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F8CA">
      <w:pPr>
        <w:spacing w:before="156" w:beforeLines="50" w:line="360" w:lineRule="auto"/>
        <w:jc w:val="center"/>
        <w:rPr>
          <w:rFonts w:hint="eastAsia" w:ascii="宋体" w:hAnsi="宋体" w:eastAsia="宋体" w:cs="宋体"/>
          <w:color w:val="auto"/>
          <w:sz w:val="52"/>
          <w:szCs w:val="52"/>
          <w:highlight w:val="none"/>
        </w:rPr>
      </w:pPr>
      <w:bookmarkStart w:id="135" w:name="_GoBack"/>
    </w:p>
    <w:p w14:paraId="736720E3">
      <w:pPr>
        <w:spacing w:before="156" w:beforeLines="50" w:line="360" w:lineRule="auto"/>
        <w:jc w:val="center"/>
        <w:rPr>
          <w:rFonts w:hint="eastAsia" w:ascii="宋体" w:hAnsi="宋体" w:eastAsia="宋体" w:cs="宋体"/>
          <w:color w:val="auto"/>
          <w:sz w:val="52"/>
          <w:szCs w:val="52"/>
          <w:highlight w:val="none"/>
        </w:rPr>
      </w:pPr>
    </w:p>
    <w:p w14:paraId="1D204870">
      <w:pPr>
        <w:spacing w:before="156" w:beforeLines="50" w:line="360" w:lineRule="auto"/>
        <w:jc w:val="center"/>
        <w:rPr>
          <w:rFonts w:hint="eastAsia" w:ascii="宋体" w:hAnsi="宋体" w:eastAsia="宋体" w:cs="宋体"/>
          <w:color w:val="auto"/>
          <w:sz w:val="36"/>
          <w:szCs w:val="36"/>
          <w:highlight w:val="none"/>
        </w:rPr>
      </w:pPr>
    </w:p>
    <w:p w14:paraId="78EECA26">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39BADDF6">
      <w:pPr>
        <w:spacing w:before="312" w:beforeLines="100" w:after="156" w:after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color w:val="auto"/>
          <w:sz w:val="32"/>
          <w:szCs w:val="32"/>
          <w:highlight w:val="none"/>
        </w:rPr>
        <w:t>（全流程电子化评标）</w:t>
      </w:r>
    </w:p>
    <w:p w14:paraId="1ED07358">
      <w:pPr>
        <w:spacing w:line="360" w:lineRule="auto"/>
        <w:jc w:val="center"/>
        <w:rPr>
          <w:rFonts w:hint="eastAsia" w:ascii="宋体" w:hAnsi="宋体" w:eastAsia="宋体" w:cs="宋体"/>
          <w:b/>
          <w:color w:val="auto"/>
          <w:sz w:val="32"/>
          <w:szCs w:val="32"/>
          <w:highlight w:val="none"/>
        </w:rPr>
      </w:pPr>
    </w:p>
    <w:p w14:paraId="770D6227">
      <w:pPr>
        <w:pStyle w:val="25"/>
        <w:spacing w:line="360" w:lineRule="auto"/>
        <w:rPr>
          <w:rFonts w:hint="eastAsia"/>
          <w:color w:val="auto"/>
          <w:highlight w:val="none"/>
        </w:rPr>
      </w:pPr>
    </w:p>
    <w:p w14:paraId="51F4B62E">
      <w:pPr>
        <w:rPr>
          <w:rFonts w:hint="eastAsia"/>
          <w:highlight w:val="none"/>
        </w:rPr>
      </w:pPr>
    </w:p>
    <w:p w14:paraId="1A637B19">
      <w:pPr>
        <w:spacing w:line="360" w:lineRule="auto"/>
        <w:rPr>
          <w:rFonts w:hint="eastAsia"/>
          <w:color w:val="auto"/>
          <w:highlight w:val="none"/>
        </w:rPr>
      </w:pPr>
    </w:p>
    <w:p w14:paraId="04105E5C">
      <w:pPr>
        <w:spacing w:line="360" w:lineRule="auto"/>
        <w:rPr>
          <w:rFonts w:hint="eastAsia"/>
          <w:color w:val="auto"/>
          <w:highlight w:val="none"/>
        </w:rPr>
      </w:pPr>
    </w:p>
    <w:p w14:paraId="1061214C">
      <w:pPr>
        <w:spacing w:line="360" w:lineRule="auto"/>
        <w:rPr>
          <w:rFonts w:hint="eastAsia"/>
          <w:color w:val="auto"/>
          <w:highlight w:val="none"/>
        </w:rPr>
      </w:pPr>
    </w:p>
    <w:p w14:paraId="26521A7E">
      <w:pPr>
        <w:pStyle w:val="21"/>
        <w:spacing w:line="360" w:lineRule="auto"/>
        <w:rPr>
          <w:rFonts w:hint="eastAsia"/>
          <w:color w:val="auto"/>
          <w:highlight w:val="none"/>
        </w:rPr>
      </w:pPr>
    </w:p>
    <w:p w14:paraId="3E639A0B">
      <w:pPr>
        <w:spacing w:line="360" w:lineRule="auto"/>
        <w:rPr>
          <w:rFonts w:hint="eastAsia"/>
          <w:color w:val="auto"/>
          <w:highlight w:val="none"/>
        </w:rPr>
      </w:pPr>
    </w:p>
    <w:p w14:paraId="2148C254">
      <w:pPr>
        <w:spacing w:line="360" w:lineRule="auto"/>
        <w:rPr>
          <w:rFonts w:hint="eastAsia"/>
          <w:color w:val="auto"/>
          <w:highlight w:val="none"/>
        </w:rPr>
      </w:pPr>
    </w:p>
    <w:p w14:paraId="73103281">
      <w:pPr>
        <w:spacing w:line="360" w:lineRule="auto"/>
        <w:rPr>
          <w:rFonts w:hint="eastAsia"/>
          <w:color w:val="auto"/>
          <w:highlight w:val="none"/>
        </w:rPr>
      </w:pPr>
    </w:p>
    <w:p w14:paraId="2118D951">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项目名称：医用织物洗涤（含消毒等）服务</w:t>
      </w:r>
    </w:p>
    <w:p w14:paraId="2B6964E9">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项目编号：GLZC2026-C3-990182-GXDC</w:t>
      </w:r>
    </w:p>
    <w:p w14:paraId="4A149E83">
      <w:pPr>
        <w:spacing w:line="360" w:lineRule="auto"/>
        <w:ind w:firstLine="0" w:firstLineChars="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采购人：桂林市中西医结合医院</w:t>
      </w:r>
    </w:p>
    <w:p w14:paraId="291C0737">
      <w:pPr>
        <w:spacing w:line="360" w:lineRule="auto"/>
        <w:ind w:firstLine="0" w:firstLineChars="0"/>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广西达成咨询有限公司</w:t>
      </w:r>
    </w:p>
    <w:p w14:paraId="1B97E19E">
      <w:pPr>
        <w:spacing w:line="360" w:lineRule="auto"/>
        <w:jc w:val="center"/>
        <w:rPr>
          <w:rFonts w:hint="eastAsia" w:ascii="宋体" w:hAnsi="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eastAsia="zh-CN"/>
        </w:rPr>
        <w:t>月</w:t>
      </w:r>
    </w:p>
    <w:p w14:paraId="7FECECA3">
      <w:pPr>
        <w:spacing w:line="360" w:lineRule="auto"/>
        <w:jc w:val="center"/>
        <w:rPr>
          <w:rFonts w:ascii="宋体" w:hAnsi="宋体" w:cs="宋体"/>
          <w:b/>
          <w:bCs/>
          <w:kern w:val="0"/>
          <w:sz w:val="32"/>
          <w:szCs w:val="32"/>
          <w:highlight w:val="none"/>
        </w:rPr>
      </w:pPr>
    </w:p>
    <w:p w14:paraId="1ECDF3C9">
      <w:pPr>
        <w:widowControl/>
        <w:jc w:val="left"/>
        <w:rPr>
          <w:rFonts w:ascii="宋体" w:hAnsi="宋体" w:cs="宋体"/>
          <w:b/>
          <w:sz w:val="44"/>
          <w:szCs w:val="44"/>
          <w:highlight w:val="none"/>
        </w:rPr>
      </w:pPr>
      <w:r>
        <w:rPr>
          <w:rFonts w:ascii="宋体" w:hAnsi="宋体" w:cs="宋体"/>
          <w:b/>
          <w:sz w:val="44"/>
          <w:szCs w:val="44"/>
          <w:highlight w:val="none"/>
        </w:rPr>
        <w:br w:type="page"/>
      </w:r>
    </w:p>
    <w:p w14:paraId="736C0107">
      <w:pPr>
        <w:spacing w:line="360" w:lineRule="auto"/>
        <w:jc w:val="center"/>
        <w:rPr>
          <w:rFonts w:ascii="宋体" w:hAnsi="宋体" w:cs="宋体"/>
          <w:b/>
          <w:sz w:val="44"/>
          <w:szCs w:val="44"/>
          <w:highlight w:val="none"/>
        </w:rPr>
      </w:pPr>
    </w:p>
    <w:p w14:paraId="499B1D69">
      <w:pPr>
        <w:spacing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14:paraId="016B1332">
      <w:pPr>
        <w:spacing w:line="400" w:lineRule="exact"/>
        <w:jc w:val="center"/>
        <w:rPr>
          <w:rFonts w:ascii="宋体" w:hAnsi="宋体" w:cs="宋体"/>
          <w:b/>
          <w:sz w:val="44"/>
          <w:szCs w:val="44"/>
          <w:highlight w:val="none"/>
        </w:rPr>
      </w:pPr>
    </w:p>
    <w:p w14:paraId="02C0637A">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aps/>
          <w:sz w:val="24"/>
          <w:highlight w:val="none"/>
        </w:rPr>
        <w:fldChar w:fldCharType="begin"/>
      </w:r>
      <w:r>
        <w:rPr>
          <w:rFonts w:hint="eastAsia" w:asciiTheme="minorEastAsia" w:hAnsiTheme="minorEastAsia" w:eastAsiaTheme="minorEastAsia" w:cstheme="minorEastAsia"/>
          <w:b/>
          <w:bCs/>
          <w:caps/>
          <w:sz w:val="24"/>
          <w:highlight w:val="none"/>
        </w:rPr>
        <w:instrText xml:space="preserve"> TOC \o "1-3" \h \z \u </w:instrText>
      </w:r>
      <w:r>
        <w:rPr>
          <w:rFonts w:hint="eastAsia" w:asciiTheme="minorEastAsia" w:hAnsiTheme="minorEastAsia" w:eastAsiaTheme="minorEastAsia" w:cstheme="minorEastAsia"/>
          <w:b/>
          <w:bCs/>
          <w:caps/>
          <w:sz w:val="24"/>
          <w:highlight w:val="none"/>
        </w:rPr>
        <w:fldChar w:fldCharType="separate"/>
      </w: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_Toc26065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第一章 竞争性磋商公告</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_Toc26065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2E878615">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_Toc32607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第二章 供应商须知</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_Toc32607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211B3037">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_Toc13362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第三章 采购需求</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_Toc13362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27</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5D1ED706">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_Toc25718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第四章 评审程序、评审方法和评审标准</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_Toc25718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50</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3F7774DB">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_Toc11741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第五章 响应文件格式</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_Toc11741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61</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39350EE1">
      <w:pPr>
        <w:pStyle w:val="2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caps/>
          <w:sz w:val="24"/>
          <w:szCs w:val="24"/>
          <w:highlight w:val="none"/>
        </w:rPr>
        <w:fldChar w:fldCharType="begin"/>
      </w:r>
      <w:r>
        <w:rPr>
          <w:rFonts w:hint="eastAsia" w:asciiTheme="minorEastAsia" w:hAnsiTheme="minorEastAsia" w:eastAsiaTheme="minorEastAsia" w:cstheme="minorEastAsia"/>
          <w:b/>
          <w:bCs/>
          <w:caps/>
          <w:sz w:val="24"/>
          <w:szCs w:val="24"/>
          <w:highlight w:val="none"/>
        </w:rPr>
        <w:instrText xml:space="preserve"> HYPERLINK \l _Toc12223 </w:instrText>
      </w:r>
      <w:r>
        <w:rPr>
          <w:rFonts w:hint="eastAsia" w:asciiTheme="minorEastAsia" w:hAnsiTheme="minorEastAsia" w:eastAsiaTheme="minorEastAsia" w:cstheme="minorEastAsia"/>
          <w:b/>
          <w:bCs/>
          <w:caps/>
          <w:sz w:val="24"/>
          <w:szCs w:val="24"/>
          <w:highlight w:val="none"/>
        </w:rPr>
        <w:fldChar w:fldCharType="separate"/>
      </w:r>
      <w:r>
        <w:rPr>
          <w:rFonts w:hint="eastAsia" w:asciiTheme="minorEastAsia" w:hAnsiTheme="minorEastAsia" w:eastAsiaTheme="minorEastAsia" w:cstheme="minorEastAsia"/>
          <w:b/>
          <w:bCs/>
          <w:sz w:val="24"/>
          <w:szCs w:val="24"/>
          <w:highlight w:val="none"/>
        </w:rPr>
        <w:t>第六章 拟签订的合同文本</w:t>
      </w:r>
      <w:r>
        <w:rPr>
          <w:rFonts w:hint="eastAsia" w:asciiTheme="minorEastAsia" w:hAnsiTheme="minorEastAsia" w:eastAsiaTheme="minorEastAsia" w:cstheme="minorEastAsia"/>
          <w:b/>
          <w:bCs/>
          <w:sz w:val="24"/>
          <w:szCs w:val="24"/>
          <w:highlight w:val="none"/>
        </w:rPr>
        <w:tab/>
      </w:r>
      <w:r>
        <w:rPr>
          <w:rFonts w:hint="eastAsia" w:asciiTheme="minorEastAsia" w:hAnsiTheme="minorEastAsia" w:eastAsiaTheme="minorEastAsia" w:cstheme="minorEastAsia"/>
          <w:b/>
          <w:bCs/>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PAGEREF _Toc12223 \h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87</w:t>
      </w:r>
      <w:r>
        <w:rPr>
          <w:rFonts w:hint="eastAsia" w:asciiTheme="minorEastAsia" w:hAnsiTheme="minorEastAsia" w:eastAsiaTheme="minorEastAsia" w:cstheme="minorEastAsia"/>
          <w:b/>
          <w:bCs/>
          <w:sz w:val="24"/>
          <w:szCs w:val="24"/>
          <w:highlight w:val="none"/>
        </w:rPr>
        <w:fldChar w:fldCharType="end"/>
      </w:r>
      <w:r>
        <w:rPr>
          <w:rFonts w:hint="eastAsia" w:asciiTheme="minorEastAsia" w:hAnsiTheme="minorEastAsia" w:eastAsiaTheme="minorEastAsia" w:cstheme="minorEastAsia"/>
          <w:b/>
          <w:bCs/>
          <w:caps/>
          <w:sz w:val="24"/>
          <w:szCs w:val="24"/>
          <w:highlight w:val="none"/>
        </w:rPr>
        <w:fldChar w:fldCharType="end"/>
      </w:r>
    </w:p>
    <w:p w14:paraId="7D2F9B4C">
      <w:pPr>
        <w:pStyle w:val="23"/>
        <w:keepNext w:val="0"/>
        <w:keepLines w:val="0"/>
        <w:pageBreakBefore w:val="0"/>
        <w:widowControl w:val="0"/>
        <w:tabs>
          <w:tab w:val="right" w:leader="dot" w:pos="8730"/>
        </w:tabs>
        <w:kinsoku/>
        <w:wordWrap/>
        <w:overflowPunct/>
        <w:topLinePunct w:val="0"/>
        <w:autoSpaceDE/>
        <w:autoSpaceDN/>
        <w:bidi w:val="0"/>
        <w:adjustRightInd/>
        <w:snapToGrid/>
        <w:spacing w:before="120" w:after="120" w:line="360" w:lineRule="auto"/>
        <w:ind w:firstLine="211" w:firstLineChars="100"/>
        <w:jc w:val="left"/>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caps/>
          <w:highlight w:val="none"/>
        </w:rPr>
        <w:fldChar w:fldCharType="end"/>
      </w:r>
    </w:p>
    <w:p w14:paraId="0DBABB7F">
      <w:pPr>
        <w:spacing w:line="400" w:lineRule="exact"/>
        <w:jc w:val="left"/>
        <w:rPr>
          <w:rFonts w:ascii="宋体" w:hAnsi="宋体" w:cs="宋体"/>
          <w:b/>
          <w:sz w:val="32"/>
          <w:szCs w:val="32"/>
          <w:highlight w:val="none"/>
        </w:rPr>
      </w:pPr>
    </w:p>
    <w:p w14:paraId="6C7799C1">
      <w:pPr>
        <w:spacing w:line="400" w:lineRule="exact"/>
        <w:jc w:val="center"/>
        <w:rPr>
          <w:rFonts w:ascii="宋体" w:hAnsi="宋体" w:cs="宋体"/>
          <w:b/>
          <w:sz w:val="32"/>
          <w:szCs w:val="32"/>
          <w:highlight w:val="none"/>
        </w:rPr>
      </w:pPr>
    </w:p>
    <w:p w14:paraId="30142585">
      <w:pPr>
        <w:spacing w:line="400" w:lineRule="exact"/>
        <w:jc w:val="center"/>
        <w:rPr>
          <w:rFonts w:ascii="宋体" w:hAnsi="宋体" w:cs="宋体"/>
          <w:b/>
          <w:sz w:val="32"/>
          <w:szCs w:val="32"/>
          <w:highlight w:val="none"/>
        </w:rPr>
      </w:pPr>
    </w:p>
    <w:p w14:paraId="1E728719">
      <w:pPr>
        <w:spacing w:line="400" w:lineRule="exact"/>
        <w:jc w:val="center"/>
        <w:rPr>
          <w:rFonts w:ascii="宋体" w:hAnsi="宋体" w:cs="宋体"/>
          <w:b/>
          <w:sz w:val="32"/>
          <w:szCs w:val="32"/>
          <w:highlight w:val="none"/>
        </w:rPr>
      </w:pPr>
    </w:p>
    <w:p w14:paraId="7AF0908C">
      <w:pPr>
        <w:pStyle w:val="25"/>
        <w:tabs>
          <w:tab w:val="right" w:leader="dot" w:pos="8931"/>
          <w:tab w:val="clear" w:pos="8296"/>
        </w:tabs>
        <w:snapToGrid w:val="0"/>
        <w:spacing w:line="500" w:lineRule="atLeast"/>
        <w:ind w:left="0" w:leftChars="0"/>
        <w:rPr>
          <w:rFonts w:ascii="宋体" w:hAnsi="宋体" w:cs="宋体"/>
          <w:b/>
          <w:sz w:val="24"/>
          <w:highlight w:val="none"/>
        </w:rPr>
      </w:pPr>
    </w:p>
    <w:p w14:paraId="1597B37A">
      <w:pPr>
        <w:spacing w:line="400" w:lineRule="exact"/>
        <w:jc w:val="left"/>
        <w:rPr>
          <w:rFonts w:ascii="宋体" w:hAnsi="宋体" w:cs="宋体"/>
          <w:b/>
          <w:sz w:val="32"/>
          <w:szCs w:val="32"/>
          <w:highlight w:val="none"/>
        </w:rPr>
      </w:pPr>
    </w:p>
    <w:p w14:paraId="20090F81">
      <w:pPr>
        <w:spacing w:line="400" w:lineRule="exact"/>
        <w:jc w:val="center"/>
        <w:rPr>
          <w:rFonts w:ascii="宋体" w:hAnsi="宋体" w:cs="宋体"/>
          <w:b/>
          <w:sz w:val="32"/>
          <w:szCs w:val="32"/>
          <w:highlight w:val="none"/>
        </w:rPr>
      </w:pPr>
    </w:p>
    <w:p w14:paraId="4EE439F8">
      <w:pPr>
        <w:spacing w:line="400" w:lineRule="exact"/>
        <w:jc w:val="center"/>
        <w:rPr>
          <w:rFonts w:ascii="宋体" w:hAnsi="宋体" w:cs="宋体"/>
          <w:b/>
          <w:sz w:val="32"/>
          <w:szCs w:val="32"/>
          <w:highlight w:val="none"/>
        </w:rPr>
      </w:pPr>
    </w:p>
    <w:p w14:paraId="44D2981F">
      <w:pPr>
        <w:spacing w:line="400" w:lineRule="exact"/>
        <w:jc w:val="center"/>
        <w:rPr>
          <w:rFonts w:ascii="宋体" w:hAnsi="宋体" w:cs="宋体"/>
          <w:b/>
          <w:sz w:val="32"/>
          <w:szCs w:val="32"/>
          <w:highlight w:val="none"/>
        </w:rPr>
      </w:pPr>
    </w:p>
    <w:p w14:paraId="29413D0B">
      <w:pPr>
        <w:spacing w:line="400" w:lineRule="exact"/>
        <w:jc w:val="center"/>
        <w:rPr>
          <w:rFonts w:ascii="宋体" w:hAnsi="宋体" w:cs="宋体"/>
          <w:b/>
          <w:sz w:val="32"/>
          <w:szCs w:val="32"/>
          <w:highlight w:val="none"/>
        </w:rPr>
      </w:pPr>
    </w:p>
    <w:p w14:paraId="5911C886">
      <w:pPr>
        <w:spacing w:line="400" w:lineRule="exact"/>
        <w:rPr>
          <w:rFonts w:ascii="宋体" w:hAnsi="宋体" w:cs="宋体"/>
          <w:b/>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0786D39C">
      <w:pPr>
        <w:pStyle w:val="2"/>
        <w:spacing w:line="360" w:lineRule="auto"/>
        <w:jc w:val="center"/>
        <w:rPr>
          <w:rFonts w:ascii="宋体" w:hAnsi="宋体" w:cs="宋体"/>
          <w:highlight w:val="none"/>
        </w:rPr>
      </w:pPr>
      <w:bookmarkStart w:id="0" w:name="_Toc26065"/>
      <w:r>
        <w:rPr>
          <w:rFonts w:hint="eastAsia" w:ascii="宋体" w:hAnsi="宋体" w:cs="宋体"/>
          <w:highlight w:val="none"/>
        </w:rPr>
        <w:t>第一章 竞争性磋商公告</w:t>
      </w:r>
      <w:bookmarkEnd w:id="0"/>
    </w:p>
    <w:p w14:paraId="044E3100">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sz w:val="21"/>
          <w:szCs w:val="21"/>
          <w:highlight w:val="none"/>
        </w:rPr>
      </w:pPr>
      <w:bookmarkStart w:id="1" w:name="_Hlk37430271"/>
      <w:r>
        <w:rPr>
          <w:rFonts w:hint="eastAsia" w:ascii="宋体" w:hAnsi="宋体" w:eastAsia="宋体" w:cs="宋体"/>
          <w:b/>
          <w:bCs/>
          <w:sz w:val="21"/>
          <w:szCs w:val="21"/>
          <w:highlight w:val="none"/>
        </w:rPr>
        <w:t>项目概况：</w:t>
      </w:r>
    </w:p>
    <w:p w14:paraId="71D065E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医用织物洗涤（含消毒等）服务</w:t>
      </w:r>
      <w:r>
        <w:rPr>
          <w:rFonts w:hint="eastAsia" w:ascii="宋体" w:hAnsi="宋体" w:eastAsia="宋体" w:cs="宋体"/>
          <w:sz w:val="21"/>
          <w:szCs w:val="21"/>
          <w:highlight w:val="none"/>
        </w:rPr>
        <w:t>项目的潜在供应商应在广西政府采购云平台（https://www.gcy.zfcg.gxzf.gov.cn/）获取</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文件，并于</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r>
        <w:rPr>
          <w:rFonts w:hint="eastAsia" w:ascii="宋体" w:hAnsi="宋体" w:eastAsia="宋体" w:cs="宋体"/>
          <w:bCs/>
          <w:sz w:val="21"/>
          <w:szCs w:val="21"/>
          <w:highlight w:val="none"/>
        </w:rPr>
        <w:t>（北京时间）前提交响应文件</w:t>
      </w:r>
      <w:r>
        <w:rPr>
          <w:rFonts w:hint="eastAsia" w:ascii="宋体" w:hAnsi="宋体" w:eastAsia="宋体" w:cs="宋体"/>
          <w:sz w:val="21"/>
          <w:szCs w:val="21"/>
          <w:highlight w:val="none"/>
        </w:rPr>
        <w:t>。</w:t>
      </w:r>
    </w:p>
    <w:p w14:paraId="057ECBA1">
      <w:pPr>
        <w:widowControl/>
        <w:spacing w:line="360" w:lineRule="auto"/>
        <w:ind w:firstLine="422" w:firstLineChars="200"/>
        <w:rPr>
          <w:rFonts w:hint="eastAsia" w:ascii="宋体" w:hAnsi="宋体" w:eastAsia="宋体" w:cs="宋体"/>
          <w:b/>
          <w:sz w:val="21"/>
          <w:szCs w:val="21"/>
          <w:highlight w:val="none"/>
        </w:rPr>
      </w:pPr>
      <w:bookmarkStart w:id="2" w:name="_Hlk37429674"/>
      <w:bookmarkStart w:id="3" w:name="_Toc28359018"/>
      <w:bookmarkStart w:id="4" w:name="_Toc35393636"/>
      <w:bookmarkStart w:id="5" w:name="_Toc28359095"/>
      <w:bookmarkStart w:id="6" w:name="_Toc35393805"/>
      <w:bookmarkStart w:id="7" w:name="_Toc44229885"/>
      <w:r>
        <w:rPr>
          <w:rFonts w:hint="eastAsia" w:ascii="宋体" w:hAnsi="宋体" w:eastAsia="宋体" w:cs="宋体"/>
          <w:b/>
          <w:sz w:val="21"/>
          <w:szCs w:val="21"/>
          <w:highlight w:val="none"/>
        </w:rPr>
        <w:t>一、项目基本情况</w:t>
      </w:r>
    </w:p>
    <w:p w14:paraId="7158A72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rPr>
        <w:t>医用织物洗涤（含消毒等）服务</w:t>
      </w:r>
    </w:p>
    <w:p w14:paraId="436F8ED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r>
        <w:rPr>
          <w:rFonts w:hint="eastAsia" w:ascii="宋体" w:hAnsi="宋体" w:eastAsia="宋体" w:cs="宋体"/>
          <w:i w:val="0"/>
          <w:iCs w:val="0"/>
          <w:caps w:val="0"/>
          <w:color w:val="auto"/>
          <w:spacing w:val="0"/>
          <w:sz w:val="21"/>
          <w:szCs w:val="21"/>
          <w:highlight w:val="none"/>
          <w:shd w:val="clear"/>
        </w:rPr>
        <w:t>GLZC2026-C3-990182-GXDC</w:t>
      </w:r>
    </w:p>
    <w:p w14:paraId="15598693">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0187E625">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1200000</w:t>
      </w:r>
    </w:p>
    <w:p w14:paraId="3F77D818">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165EDF4F">
      <w:pPr>
        <w:keepNext w:val="0"/>
        <w:keepLines w:val="0"/>
        <w:pageBreakBefore w:val="0"/>
        <w:kinsoku/>
        <w:wordWrap/>
        <w:overflowPunct/>
        <w:topLinePunct w:val="0"/>
        <w:autoSpaceDE/>
        <w:autoSpaceDN/>
        <w:bidi w:val="0"/>
        <w:adjustRightInd/>
        <w:spacing w:before="10" w:after="10" w:line="360" w:lineRule="auto"/>
        <w:ind w:left="399" w:leftChars="190" w:firstLine="0" w:firstLineChars="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w:t>
      </w:r>
      <w:r>
        <w:rPr>
          <w:rFonts w:hint="eastAsia" w:ascii="宋体" w:hAnsi="宋体" w:eastAsia="宋体" w:cs="宋体"/>
          <w:sz w:val="21"/>
          <w:szCs w:val="21"/>
          <w:highlight w:val="none"/>
          <w:u w:val="single"/>
        </w:rPr>
        <w:t>医用织物洗涤（含消毒等）服务</w:t>
      </w:r>
    </w:p>
    <w:p w14:paraId="3AFF4166">
      <w:pPr>
        <w:keepNext w:val="0"/>
        <w:keepLines w:val="0"/>
        <w:pageBreakBefore w:val="0"/>
        <w:kinsoku/>
        <w:wordWrap/>
        <w:overflowPunct/>
        <w:topLinePunct w:val="0"/>
        <w:autoSpaceDE/>
        <w:autoSpaceDN/>
        <w:bidi w:val="0"/>
        <w:adjustRightInd/>
        <w:spacing w:before="0" w:after="0" w:line="360" w:lineRule="auto"/>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不限</w:t>
      </w:r>
    </w:p>
    <w:p w14:paraId="29FAE2AE">
      <w:pPr>
        <w:keepNext w:val="0"/>
        <w:keepLines w:val="0"/>
        <w:pageBreakBefore w:val="0"/>
        <w:kinsoku/>
        <w:wordWrap/>
        <w:overflowPunct/>
        <w:topLinePunct w:val="0"/>
        <w:autoSpaceDE/>
        <w:autoSpaceDN/>
        <w:bidi w:val="0"/>
        <w:adjustRightInd/>
        <w:spacing w:before="0" w:after="0" w:line="360" w:lineRule="auto"/>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1200000</w:t>
      </w:r>
    </w:p>
    <w:p w14:paraId="59107820">
      <w:pPr>
        <w:keepNext w:val="0"/>
        <w:keepLines w:val="0"/>
        <w:pageBreakBefore w:val="0"/>
        <w:kinsoku/>
        <w:wordWrap/>
        <w:overflowPunct/>
        <w:topLinePunct w:val="0"/>
        <w:autoSpaceDE/>
        <w:autoSpaceDN/>
        <w:bidi w:val="0"/>
        <w:adjustRightInd/>
        <w:spacing w:before="0" w:after="0"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简要规格描述或项目基本概况介绍、用途</w:t>
      </w:r>
      <w:r>
        <w:rPr>
          <w:rFonts w:hint="eastAsia" w:ascii="宋体" w:hAnsi="宋体" w:eastAsia="宋体" w:cs="宋体"/>
          <w:color w:val="auto"/>
          <w:szCs w:val="21"/>
          <w:highlight w:val="none"/>
        </w:rPr>
        <w:t>：</w:t>
      </w:r>
      <w:r>
        <w:rPr>
          <w:rFonts w:hint="eastAsia" w:ascii="宋体" w:hAnsi="宋体" w:cs="宋体"/>
          <w:szCs w:val="21"/>
          <w:highlight w:val="none"/>
        </w:rPr>
        <w:t>医用织物洗涤（含消毒等）服务1项</w:t>
      </w:r>
      <w:r>
        <w:rPr>
          <w:rFonts w:hint="eastAsia" w:ascii="宋体" w:hAnsi="宋体" w:cs="宋体"/>
          <w:szCs w:val="21"/>
          <w:highlight w:val="none"/>
          <w:lang w:eastAsia="zh-CN"/>
        </w:rPr>
        <w:t>，</w:t>
      </w:r>
      <w:r>
        <w:rPr>
          <w:rFonts w:hint="eastAsia" w:ascii="宋体" w:hAnsi="宋体" w:cs="宋体"/>
          <w:szCs w:val="21"/>
          <w:highlight w:val="none"/>
        </w:rPr>
        <w:t>具体内容详见</w:t>
      </w:r>
      <w:r>
        <w:rPr>
          <w:rFonts w:hint="eastAsia" w:ascii="宋体" w:hAnsi="宋体" w:cs="宋体"/>
          <w:szCs w:val="21"/>
          <w:highlight w:val="none"/>
          <w:lang w:val="en-US" w:eastAsia="zh-CN"/>
        </w:rPr>
        <w:t>采购</w:t>
      </w:r>
      <w:r>
        <w:rPr>
          <w:rFonts w:hint="eastAsia" w:ascii="宋体" w:hAnsi="宋体" w:cs="宋体"/>
          <w:szCs w:val="21"/>
          <w:highlight w:val="none"/>
        </w:rPr>
        <w:t>需求</w:t>
      </w:r>
      <w:r>
        <w:rPr>
          <w:rFonts w:hint="eastAsia" w:ascii="宋体"/>
          <w:color w:val="auto"/>
          <w:szCs w:val="21"/>
          <w:highlight w:val="none"/>
          <w:lang w:eastAsia="zh-CN"/>
        </w:rPr>
        <w:t>。</w:t>
      </w:r>
    </w:p>
    <w:p w14:paraId="6D71AFDB">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1200000</w:t>
      </w:r>
    </w:p>
    <w:p w14:paraId="6A332F69">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合同履约期限：自签订合同之日起2年</w:t>
      </w:r>
      <w:r>
        <w:rPr>
          <w:rFonts w:hint="eastAsia" w:ascii="宋体" w:hAnsi="宋体" w:cs="宋体"/>
          <w:color w:val="auto"/>
          <w:szCs w:val="21"/>
          <w:highlight w:val="none"/>
          <w:lang w:val="en-US" w:eastAsia="zh-CN"/>
        </w:rPr>
        <w:t>。</w:t>
      </w:r>
    </w:p>
    <w:p w14:paraId="69F0BD49">
      <w:pPr>
        <w:keepNext w:val="0"/>
        <w:keepLines w:val="0"/>
        <w:pageBreakBefore w:val="0"/>
        <w:kinsoku/>
        <w:wordWrap/>
        <w:overflowPunct/>
        <w:topLinePunct w:val="0"/>
        <w:autoSpaceDE/>
        <w:autoSpaceDN/>
        <w:bidi w:val="0"/>
        <w:adjustRightInd/>
        <w:spacing w:before="10" w:after="10" w:line="360" w:lineRule="auto"/>
        <w:ind w:firstLine="420" w:firstLineChars="200"/>
        <w:textAlignment w:val="auto"/>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本</w:t>
      </w:r>
      <w:r>
        <w:rPr>
          <w:rFonts w:hint="eastAsia" w:ascii="宋体" w:hAnsi="宋体" w:eastAsia="宋体" w:cs="宋体"/>
          <w:b w:val="0"/>
          <w:bCs w:val="0"/>
          <w:color w:val="auto"/>
          <w:sz w:val="21"/>
          <w:szCs w:val="21"/>
          <w:highlight w:val="none"/>
          <w:lang w:val="en-US" w:eastAsia="zh-CN"/>
        </w:rPr>
        <w:t>标项</w:t>
      </w:r>
      <w:r>
        <w:rPr>
          <w:rFonts w:hint="eastAsia" w:ascii="宋体" w:hAnsi="宋体" w:eastAsia="宋体" w:cs="宋体"/>
          <w:b w:val="0"/>
          <w:bCs w:val="0"/>
          <w:color w:val="auto"/>
          <w:sz w:val="21"/>
          <w:szCs w:val="21"/>
          <w:highlight w:val="none"/>
        </w:rPr>
        <w:t>（否）接受联合体投标</w:t>
      </w:r>
      <w:r>
        <w:rPr>
          <w:rFonts w:hint="eastAsia" w:ascii="宋体" w:hAnsi="宋体" w:cs="宋体"/>
          <w:b w:val="0"/>
          <w:bCs w:val="0"/>
          <w:color w:val="auto"/>
          <w:sz w:val="21"/>
          <w:szCs w:val="21"/>
          <w:highlight w:val="none"/>
          <w:lang w:eastAsia="zh-CN"/>
        </w:rPr>
        <w:t>。</w:t>
      </w:r>
    </w:p>
    <w:p w14:paraId="69142F61">
      <w:pPr>
        <w:pStyle w:val="14"/>
        <w:spacing w:line="360" w:lineRule="auto"/>
        <w:ind w:firstLine="420" w:firstLineChars="200"/>
        <w:rPr>
          <w:rFonts w:hint="eastAsia" w:eastAsia="宋体"/>
          <w:color w:val="auto"/>
          <w:highlight w:val="none"/>
          <w:lang w:val="en-US" w:eastAsia="zh-CN"/>
        </w:rPr>
      </w:pPr>
      <w:r>
        <w:rPr>
          <w:rFonts w:hint="eastAsia"/>
          <w:color w:val="auto"/>
          <w:highlight w:val="none"/>
        </w:rPr>
        <w:t>备注：</w:t>
      </w:r>
      <w:r>
        <w:rPr>
          <w:rFonts w:hint="eastAsia"/>
          <w:color w:val="auto"/>
          <w:highlight w:val="none"/>
          <w:lang w:val="en-US" w:eastAsia="zh-CN"/>
        </w:rPr>
        <w:t>/。</w:t>
      </w:r>
    </w:p>
    <w:p w14:paraId="385BDB37">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二、申请人的资格条件：</w:t>
      </w:r>
    </w:p>
    <w:p w14:paraId="46A251B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满足《中华人民共和国政府采购法》第二十二条规定；</w:t>
      </w:r>
    </w:p>
    <w:p w14:paraId="6FE34FE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落实政府采购政策需满足的资格要</w:t>
      </w:r>
      <w:r>
        <w:rPr>
          <w:rFonts w:hint="eastAsia" w:ascii="宋体" w:hAnsi="宋体" w:eastAsia="宋体" w:cs="宋体"/>
          <w:sz w:val="21"/>
          <w:szCs w:val="21"/>
          <w:highlight w:val="none"/>
        </w:rPr>
        <w:t>求：是否专门面向中小企业采购（</w:t>
      </w: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rPr>
        <w:t>是</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否）；</w:t>
      </w:r>
    </w:p>
    <w:p w14:paraId="09809EC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本项目的特定资格要求：无</w:t>
      </w:r>
    </w:p>
    <w:p w14:paraId="64DF6F2E">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三、获取竞争性磋商文件</w:t>
      </w:r>
    </w:p>
    <w:p w14:paraId="6A1E71B6">
      <w:pPr>
        <w:spacing w:before="10" w:after="10" w:line="460" w:lineRule="exact"/>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时间</w:t>
      </w:r>
      <w:r>
        <w:rPr>
          <w:rFonts w:hint="eastAsia" w:ascii="宋体" w:hAnsi="宋体" w:eastAsia="宋体" w:cs="宋体"/>
          <w:bCs/>
          <w:kern w:val="0"/>
          <w:sz w:val="21"/>
          <w:szCs w:val="21"/>
          <w:highlight w:val="none"/>
        </w:rPr>
        <w:t>：</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026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026</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日，</w:t>
      </w:r>
      <w:r>
        <w:rPr>
          <w:rFonts w:hint="eastAsia" w:ascii="宋体" w:hAnsi="宋体" w:cs="宋体"/>
          <w:bCs/>
          <w:color w:val="auto"/>
          <w:kern w:val="0"/>
          <w:szCs w:val="21"/>
          <w:highlight w:val="none"/>
          <w:u w:val="none"/>
        </w:rPr>
        <w:t>每天上午00:00至12:00，下午12:00至23:59（北京时间，法定节假日除外）</w:t>
      </w:r>
      <w:r>
        <w:rPr>
          <w:rFonts w:hint="eastAsia" w:ascii="宋体" w:hAnsi="宋体" w:eastAsia="宋体" w:cs="宋体"/>
          <w:bCs/>
          <w:kern w:val="0"/>
          <w:sz w:val="21"/>
          <w:szCs w:val="21"/>
          <w:highlight w:val="none"/>
        </w:rPr>
        <w:t>。</w:t>
      </w:r>
    </w:p>
    <w:p w14:paraId="2557B8C0">
      <w:pPr>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地点</w:t>
      </w:r>
      <w:r>
        <w:rPr>
          <w:rFonts w:hint="eastAsia" w:ascii="宋体" w:hAnsi="宋体"/>
          <w:color w:val="auto"/>
          <w:szCs w:val="21"/>
          <w:highlight w:val="none"/>
        </w:rPr>
        <w:t>（网址）</w:t>
      </w:r>
      <w:r>
        <w:rPr>
          <w:rFonts w:hint="eastAsia" w:ascii="宋体" w:hAnsi="宋体" w:eastAsia="宋体" w:cs="宋体"/>
          <w:bCs/>
          <w:kern w:val="0"/>
          <w:sz w:val="21"/>
          <w:szCs w:val="21"/>
          <w:highlight w:val="none"/>
        </w:rPr>
        <w:t>：广西政府采购云平台（https://www.gcy.zfcg.gxzf.gov.cn/）</w:t>
      </w:r>
    </w:p>
    <w:p w14:paraId="3FB7FB4A">
      <w:pPr>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方式：网上下载。本项目不发放纸质文件，供应商应自行在</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HYPERLINK</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fldChar w:fldCharType="end"/>
      </w:r>
      <w:r>
        <w:rPr>
          <w:rFonts w:hint="eastAsia" w:ascii="宋体" w:hAnsi="宋体" w:eastAsia="宋体" w:cs="宋体"/>
          <w:bCs/>
          <w:kern w:val="0"/>
          <w:sz w:val="21"/>
          <w:szCs w:val="21"/>
          <w:highlight w:val="none"/>
        </w:rPr>
        <w:t>广西政府采购云平台（https://www.gcy.zfcg.gxzf.gov.cn/）下载竞争性磋商文件（操作路径：登录广西政府采购云平台-项目采购-获取采购文件-找到本项目-点击“申请获取采购文件”），</w:t>
      </w:r>
      <w:r>
        <w:rPr>
          <w:rFonts w:hint="eastAsia" w:ascii="宋体" w:hAnsi="宋体" w:eastAsia="宋体" w:cs="Times New Roman"/>
          <w:color w:val="auto"/>
          <w:szCs w:val="21"/>
          <w:highlight w:val="none"/>
        </w:rPr>
        <w:t>电子响应文件制作需要基于广西政府采购云平台（https://www.gcy.zfcg.gxzf.gov.cn/）获取的采购文件编制。</w:t>
      </w:r>
    </w:p>
    <w:p w14:paraId="58365C6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售价：0。</w:t>
      </w:r>
    </w:p>
    <w:p w14:paraId="001AC5B0">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四、响应文件提交</w:t>
      </w:r>
    </w:p>
    <w:p w14:paraId="0687CB2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截止时间：2026年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日09时30分（北京时间）</w:t>
      </w:r>
    </w:p>
    <w:p w14:paraId="2832D27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r>
        <w:rPr>
          <w:rFonts w:hint="eastAsia" w:ascii="宋体" w:hAnsi="宋体" w:cs="宋体"/>
          <w:color w:val="auto"/>
          <w:highlight w:val="none"/>
        </w:rPr>
        <w:t>（网址）</w:t>
      </w:r>
      <w:r>
        <w:rPr>
          <w:rFonts w:hint="eastAsia" w:ascii="宋体" w:hAnsi="宋体" w:eastAsia="宋体" w:cs="宋体"/>
          <w:sz w:val="21"/>
          <w:szCs w:val="21"/>
          <w:highlight w:val="none"/>
        </w:rPr>
        <w:t>：</w:t>
      </w:r>
      <w:r>
        <w:rPr>
          <w:rFonts w:hint="eastAsia" w:ascii="宋体" w:hAnsi="宋体" w:cs="宋体"/>
          <w:color w:val="auto"/>
          <w:highlight w:val="none"/>
        </w:rPr>
        <w:t>广西政府采购云平台（https://www.gcy.zfcg.gxzf.gov.cn/）</w:t>
      </w:r>
    </w:p>
    <w:p w14:paraId="4BB864FF">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五、开启</w:t>
      </w:r>
    </w:p>
    <w:p w14:paraId="542D2F99">
      <w:pPr>
        <w:widowControl/>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开启</w:t>
      </w:r>
      <w:r>
        <w:rPr>
          <w:rFonts w:hint="eastAsia" w:ascii="宋体" w:hAnsi="宋体" w:eastAsia="宋体" w:cs="宋体"/>
          <w:b w:val="0"/>
          <w:bCs/>
          <w:sz w:val="21"/>
          <w:szCs w:val="21"/>
          <w:highlight w:val="none"/>
        </w:rPr>
        <w:t>时间：</w:t>
      </w:r>
      <w:r>
        <w:rPr>
          <w:rFonts w:hint="eastAsia" w:ascii="宋体" w:hAnsi="宋体" w:eastAsia="宋体" w:cs="宋体"/>
          <w:b w:val="0"/>
          <w:bCs/>
          <w:sz w:val="21"/>
          <w:szCs w:val="21"/>
          <w:highlight w:val="none"/>
          <w:lang w:val="en-US" w:eastAsia="zh-CN"/>
        </w:rPr>
        <w:t>2026年</w:t>
      </w: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rPr>
        <w:t>月</w:t>
      </w:r>
      <w:r>
        <w:rPr>
          <w:rFonts w:hint="eastAsia" w:ascii="宋体" w:hAnsi="宋体" w:cs="宋体"/>
          <w:b w:val="0"/>
          <w:bCs/>
          <w:sz w:val="21"/>
          <w:szCs w:val="21"/>
          <w:highlight w:val="none"/>
          <w:lang w:val="en-US" w:eastAsia="zh-CN"/>
        </w:rPr>
        <w:t>2</w:t>
      </w:r>
      <w:r>
        <w:rPr>
          <w:rFonts w:hint="eastAsia" w:ascii="宋体" w:hAnsi="宋体" w:eastAsia="宋体" w:cs="宋体"/>
          <w:b w:val="0"/>
          <w:bCs/>
          <w:sz w:val="21"/>
          <w:szCs w:val="21"/>
          <w:highlight w:val="none"/>
        </w:rPr>
        <w:t>日</w:t>
      </w:r>
      <w:r>
        <w:rPr>
          <w:rFonts w:hint="eastAsia" w:ascii="宋体" w:hAnsi="宋体" w:eastAsia="宋体" w:cs="宋体"/>
          <w:b w:val="0"/>
          <w:bCs/>
          <w:sz w:val="21"/>
          <w:szCs w:val="21"/>
          <w:highlight w:val="none"/>
          <w:lang w:val="en-US" w:eastAsia="zh-CN"/>
        </w:rPr>
        <w:t>09</w:t>
      </w:r>
      <w:r>
        <w:rPr>
          <w:rFonts w:hint="eastAsia" w:ascii="宋体" w:hAnsi="宋体" w:eastAsia="宋体" w:cs="宋体"/>
          <w:b w:val="0"/>
          <w:bCs/>
          <w:sz w:val="21"/>
          <w:szCs w:val="21"/>
          <w:highlight w:val="none"/>
        </w:rPr>
        <w:t>时</w:t>
      </w:r>
      <w:r>
        <w:rPr>
          <w:rFonts w:hint="eastAsia" w:ascii="宋体" w:hAnsi="宋体" w:eastAsia="宋体" w:cs="宋体"/>
          <w:b w:val="0"/>
          <w:bCs/>
          <w:sz w:val="21"/>
          <w:szCs w:val="21"/>
          <w:highlight w:val="none"/>
          <w:lang w:val="en-US" w:eastAsia="zh-CN"/>
        </w:rPr>
        <w:t>30</w:t>
      </w:r>
      <w:r>
        <w:rPr>
          <w:rFonts w:hint="eastAsia" w:ascii="宋体" w:hAnsi="宋体" w:eastAsia="宋体" w:cs="宋体"/>
          <w:b w:val="0"/>
          <w:bCs/>
          <w:sz w:val="21"/>
          <w:szCs w:val="21"/>
          <w:highlight w:val="none"/>
        </w:rPr>
        <w:t>分（北京时间）</w:t>
      </w:r>
    </w:p>
    <w:p w14:paraId="502978A9">
      <w:pPr>
        <w:widowControl/>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地点：广西政府采购云平台开标大厅</w:t>
      </w:r>
    </w:p>
    <w:p w14:paraId="37F018C5">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六、公告期限</w:t>
      </w:r>
    </w:p>
    <w:p w14:paraId="49BF4829">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个工作日。</w:t>
      </w:r>
    </w:p>
    <w:p w14:paraId="6EEBB179">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lang w:bidi="ar"/>
        </w:rPr>
        <w:t>七、</w:t>
      </w:r>
      <w:r>
        <w:rPr>
          <w:rFonts w:hint="eastAsia" w:ascii="宋体" w:hAnsi="宋体" w:eastAsia="宋体" w:cs="宋体"/>
          <w:b/>
          <w:sz w:val="21"/>
          <w:szCs w:val="21"/>
          <w:highlight w:val="none"/>
        </w:rPr>
        <w:t>其他补充事宜</w:t>
      </w:r>
      <w:r>
        <w:rPr>
          <w:rFonts w:hint="eastAsia" w:ascii="宋体" w:hAnsi="宋体" w:eastAsia="宋体" w:cs="宋体"/>
          <w:sz w:val="21"/>
          <w:szCs w:val="21"/>
          <w:highlight w:val="none"/>
          <w:lang w:bidi="ar"/>
        </w:rPr>
        <w:t>：</w:t>
      </w:r>
    </w:p>
    <w:p w14:paraId="29C6DFED">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F47A18">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2.根据财政部《关于在政府采购活动中查询及使用信用记录有关问题的通知》（财库〔2016〕125号）的规定，对在“信用中国”网站(www.creditchina.gov.cn)、中国政府采购网(www.ccgp.gov.cn)</w:t>
      </w:r>
      <w:r>
        <w:rPr>
          <w:rFonts w:hint="eastAsia" w:ascii="宋体" w:hAnsi="宋体" w:eastAsia="宋体" w:cs="宋体"/>
          <w:sz w:val="21"/>
          <w:szCs w:val="21"/>
          <w:highlight w:val="none"/>
          <w:lang w:eastAsia="zh-CN" w:bidi="ar"/>
        </w:rPr>
        <w:t>、中国执行信息公开网（https://zxgk.court.gov.cn/）</w:t>
      </w:r>
      <w:r>
        <w:rPr>
          <w:rFonts w:hint="eastAsia" w:ascii="宋体" w:hAnsi="宋体" w:eastAsia="宋体" w:cs="宋体"/>
          <w:sz w:val="21"/>
          <w:szCs w:val="21"/>
          <w:highlight w:val="none"/>
          <w:lang w:bidi="ar"/>
        </w:rPr>
        <w:t>被列入失信被执行人、重大税收违法失信主体、政府采购严重违法失信行为记录名单及其他不符合《中华人民共和国政府采购法》第二十二条规定条件的供应商，不得参与政府采购活动。</w:t>
      </w:r>
    </w:p>
    <w:p w14:paraId="354A7D68">
      <w:pPr>
        <w:spacing w:line="360" w:lineRule="auto"/>
        <w:ind w:left="0" w:leftChars="0"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3.网上查询地址：</w:t>
      </w:r>
    </w:p>
    <w:p w14:paraId="7F2F8F4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"http://www.ccgp.gov.cn（中国政府采购网）、zfcg.gxzf.gov.cn（广西壮族自治区政府采购网）。" </w:instrText>
      </w:r>
      <w:r>
        <w:rPr>
          <w:rFonts w:hint="eastAsia" w:ascii="宋体" w:hAnsi="宋体" w:eastAsia="宋体" w:cs="Times New Roman"/>
          <w:color w:val="auto"/>
          <w:szCs w:val="21"/>
          <w:highlight w:val="none"/>
        </w:rPr>
        <w:fldChar w:fldCharType="separate"/>
      </w:r>
      <w:r>
        <w:rPr>
          <w:rFonts w:hint="eastAsia" w:ascii="宋体" w:hAnsi="宋体" w:eastAsia="宋体" w:cs="宋体"/>
          <w:color w:val="auto"/>
          <w:kern w:val="0"/>
          <w:szCs w:val="21"/>
          <w:highlight w:val="none"/>
        </w:rPr>
        <w:t>中国政府采购网（www.ccgp.gov.cn）</w:t>
      </w:r>
    </w:p>
    <w:p w14:paraId="5AFC9BE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广西壮族自治区政府采购网（www.ccgp-guangxi.gov.cn）</w:t>
      </w:r>
    </w:p>
    <w:p w14:paraId="4EFF1D4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桂林市政府采购网（zfcg.czj.guilin.gov.cn）</w:t>
      </w:r>
    </w:p>
    <w:p w14:paraId="0A0C4C49">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Times New Roman"/>
          <w:color w:val="auto"/>
          <w:szCs w:val="21"/>
          <w:highlight w:val="none"/>
        </w:rPr>
        <w:fldChar w:fldCharType="end"/>
      </w:r>
      <w:r>
        <w:rPr>
          <w:rFonts w:hint="eastAsia" w:ascii="宋体" w:hAnsi="宋体" w:eastAsia="宋体" w:cs="宋体"/>
          <w:sz w:val="21"/>
          <w:szCs w:val="21"/>
          <w:highlight w:val="none"/>
          <w:lang w:bidi="ar"/>
        </w:rPr>
        <w:t>4.本项目需要落实的政府采购政策：</w:t>
      </w:r>
    </w:p>
    <w:p w14:paraId="4F10A622">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（1）政府采购促进中小企业发展。</w:t>
      </w:r>
    </w:p>
    <w:p w14:paraId="1FE49F2C">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（2）政府采购支持采用本国产品的政策。</w:t>
      </w:r>
    </w:p>
    <w:p w14:paraId="50CDFE38">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（3）强制采购节能产品；优先采购节能产品、环境标志产品。</w:t>
      </w:r>
    </w:p>
    <w:p w14:paraId="4C682BD3">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（4）政府采购促进残疾人就业政策。</w:t>
      </w:r>
    </w:p>
    <w:p w14:paraId="11DE19AA">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（5）政府采购支持监狱企业发展。</w:t>
      </w:r>
    </w:p>
    <w:p w14:paraId="2E832FDB">
      <w:pPr>
        <w:widowControl/>
        <w:spacing w:line="360" w:lineRule="auto"/>
        <w:ind w:firstLine="420" w:firstLineChars="200"/>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bidi="ar"/>
        </w:rPr>
        <w:t>（6）扶持不发达地区和少数民族地区政策</w:t>
      </w:r>
      <w:r>
        <w:rPr>
          <w:rFonts w:hint="eastAsia" w:ascii="宋体" w:hAnsi="宋体" w:cs="宋体"/>
          <w:sz w:val="21"/>
          <w:szCs w:val="21"/>
          <w:highlight w:val="none"/>
          <w:lang w:eastAsia="zh-CN" w:bidi="ar"/>
        </w:rPr>
        <w:t>。</w:t>
      </w:r>
    </w:p>
    <w:p w14:paraId="208864DF">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5.磋商注意事项：</w:t>
      </w:r>
    </w:p>
    <w:p w14:paraId="461E222A">
      <w:pPr>
        <w:widowControl/>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sz w:val="21"/>
          <w:szCs w:val="21"/>
          <w:highlight w:val="none"/>
          <w:lang w:bidi="ar"/>
        </w:rPr>
        <w:t>（1）</w:t>
      </w: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eastAsia="宋体" w:cs="宋体"/>
          <w:sz w:val="21"/>
          <w:szCs w:val="21"/>
          <w:highlight w:val="none"/>
        </w:rPr>
        <w:t>首次响应文件提交截止时间</w:t>
      </w:r>
      <w:r>
        <w:rPr>
          <w:rFonts w:hint="eastAsia" w:ascii="宋体" w:hAnsi="宋体" w:eastAsia="宋体" w:cs="宋体"/>
          <w:sz w:val="21"/>
          <w:szCs w:val="21"/>
          <w:highlight w:val="none"/>
          <w:lang w:bidi="ar"/>
        </w:rPr>
        <w:t>前通过网络上传至广西政府采购云平台，</w:t>
      </w:r>
      <w:r>
        <w:rPr>
          <w:rFonts w:hint="eastAsia" w:ascii="宋体" w:hAnsi="宋体" w:eastAsia="宋体" w:cs="宋体"/>
          <w:b/>
          <w:sz w:val="21"/>
          <w:szCs w:val="21"/>
          <w:highlight w:val="none"/>
          <w:lang w:bidi="ar"/>
        </w:rPr>
        <w:t>供应商在广西政府采购云平台提交电子版响应文件时，请填写参加远程开标活动经办人联系方式。</w:t>
      </w:r>
    </w:p>
    <w:p w14:paraId="36F4CC2D">
      <w:pPr>
        <w:widowControl/>
        <w:wordWrap w:val="0"/>
        <w:topLinePunct/>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758B477E">
      <w:pPr>
        <w:widowControl/>
        <w:spacing w:line="360" w:lineRule="auto"/>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（3）未进行网上注册并办理数字证书（CA认证）的供应商将无法参与本项目政府采购活动，潜在供应商应当在</w:t>
      </w:r>
      <w:r>
        <w:rPr>
          <w:rFonts w:hint="eastAsia" w:ascii="宋体" w:hAnsi="宋体" w:eastAsia="宋体" w:cs="宋体"/>
          <w:sz w:val="21"/>
          <w:szCs w:val="21"/>
          <w:highlight w:val="none"/>
        </w:rPr>
        <w:t>首次响应文件提交截止时间</w:t>
      </w:r>
      <w:r>
        <w:rPr>
          <w:rFonts w:hint="eastAsia" w:ascii="宋体" w:hAnsi="宋体" w:eastAsia="宋体" w:cs="宋体"/>
          <w:sz w:val="21"/>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480276A5">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3CC8D01E">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bidi="ar"/>
        </w:rPr>
        <w:t>注：供应商应当在首次响应文件提交截止时间前完成电子响应文件的上传、提交，</w:t>
      </w:r>
      <w:r>
        <w:rPr>
          <w:rFonts w:hint="eastAsia" w:ascii="宋体" w:hAnsi="宋体" w:eastAsia="宋体" w:cs="宋体"/>
          <w:b/>
          <w:sz w:val="21"/>
          <w:szCs w:val="21"/>
          <w:highlight w:val="none"/>
        </w:rPr>
        <w:t>首次响应文件提交截止时间</w:t>
      </w:r>
      <w:r>
        <w:rPr>
          <w:rFonts w:hint="eastAsia" w:ascii="宋体" w:hAnsi="宋体" w:eastAsia="宋体" w:cs="宋体"/>
          <w:b/>
          <w:bCs/>
          <w:sz w:val="21"/>
          <w:szCs w:val="21"/>
          <w:highlight w:val="none"/>
          <w:lang w:bidi="ar"/>
        </w:rPr>
        <w:t>前可以补充、修改或者撤回响应文件。补充或者修改响应文件的，应当先行撤回原文件，补充、修改后重新上传、提交。</w:t>
      </w:r>
      <w:r>
        <w:rPr>
          <w:rFonts w:hint="eastAsia" w:ascii="宋体" w:hAnsi="宋体" w:eastAsia="宋体" w:cs="宋体"/>
          <w:b/>
          <w:sz w:val="21"/>
          <w:szCs w:val="21"/>
          <w:highlight w:val="none"/>
        </w:rPr>
        <w:t>首次响应文件提交截止时间</w:t>
      </w:r>
      <w:r>
        <w:rPr>
          <w:rFonts w:hint="eastAsia" w:ascii="宋体" w:hAnsi="宋体" w:eastAsia="宋体" w:cs="宋体"/>
          <w:b/>
          <w:bCs/>
          <w:sz w:val="21"/>
          <w:szCs w:val="21"/>
          <w:highlight w:val="none"/>
          <w:lang w:bidi="ar"/>
        </w:rPr>
        <w:t>前未完成上传、提交的，视为撤回响应文件。</w:t>
      </w:r>
      <w:r>
        <w:rPr>
          <w:rFonts w:hint="eastAsia" w:ascii="宋体" w:hAnsi="宋体" w:eastAsia="宋体" w:cs="宋体"/>
          <w:b/>
          <w:sz w:val="21"/>
          <w:szCs w:val="21"/>
          <w:highlight w:val="none"/>
        </w:rPr>
        <w:t>首次响应文件提交截止时间</w:t>
      </w:r>
      <w:r>
        <w:rPr>
          <w:rFonts w:hint="eastAsia" w:ascii="宋体" w:hAnsi="宋体" w:eastAsia="宋体" w:cs="宋体"/>
          <w:b/>
          <w:bCs/>
          <w:sz w:val="21"/>
          <w:szCs w:val="21"/>
          <w:highlight w:val="none"/>
          <w:lang w:bidi="ar"/>
        </w:rPr>
        <w:t>以后上传递交的响应文件，广西政府采购云平台将予以拒收。</w:t>
      </w:r>
    </w:p>
    <w:p w14:paraId="52075362">
      <w:pPr>
        <w:widowControl/>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lang w:bidi="ar"/>
        </w:rPr>
        <w:t>6.</w:t>
      </w:r>
      <w:r>
        <w:rPr>
          <w:rFonts w:hint="eastAsia" w:ascii="宋体" w:hAnsi="宋体" w:eastAsia="宋体" w:cs="宋体"/>
          <w:sz w:val="21"/>
          <w:szCs w:val="21"/>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B1583DD">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lang w:bidi="ar"/>
        </w:rPr>
        <w:t>7.供应商需要在具备有摄像头及语音功能且互联网网络状况良好的电脑登录广西政府采购云平台远程开标大厅参与本次磋商，否则后果自负。</w:t>
      </w:r>
    </w:p>
    <w:p w14:paraId="190197FD">
      <w:pPr>
        <w:widowControl/>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2"/>
    <w:p w14:paraId="04A9ADBB">
      <w:pPr>
        <w:widowControl/>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八、凡对本次采购提出询问，请按以下方式联系。</w:t>
      </w:r>
      <w:bookmarkEnd w:id="3"/>
      <w:bookmarkEnd w:id="4"/>
      <w:bookmarkEnd w:id="5"/>
      <w:bookmarkEnd w:id="6"/>
      <w:bookmarkEnd w:id="7"/>
    </w:p>
    <w:p w14:paraId="0DEE29AE">
      <w:pPr>
        <w:spacing w:line="360" w:lineRule="auto"/>
        <w:ind w:firstLine="567" w:firstLineChars="270"/>
        <w:jc w:val="left"/>
        <w:rPr>
          <w:rFonts w:hint="eastAsia" w:ascii="宋体" w:hAnsi="宋体" w:eastAsia="宋体" w:cs="宋体"/>
          <w:sz w:val="21"/>
          <w:szCs w:val="21"/>
          <w:highlight w:val="none"/>
        </w:rPr>
      </w:pPr>
      <w:bookmarkStart w:id="8" w:name="_Toc28359096"/>
      <w:bookmarkStart w:id="9" w:name="_Toc28359019"/>
      <w:bookmarkStart w:id="10" w:name="_Toc35393637"/>
      <w:bookmarkStart w:id="11" w:name="_Toc35393806"/>
      <w:r>
        <w:rPr>
          <w:rFonts w:hint="eastAsia" w:ascii="宋体" w:hAnsi="宋体" w:eastAsia="宋体" w:cs="宋体"/>
          <w:sz w:val="21"/>
          <w:szCs w:val="21"/>
          <w:highlight w:val="none"/>
        </w:rPr>
        <w:t>1</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采购人信息</w:t>
      </w:r>
    </w:p>
    <w:p w14:paraId="2A470A00">
      <w:pPr>
        <w:spacing w:line="360" w:lineRule="auto"/>
        <w:ind w:firstLine="567" w:firstLineChars="270"/>
        <w:rPr>
          <w:rFonts w:hint="eastAsia" w:ascii="宋体" w:hAnsi="宋体" w:eastAsia="宋体" w:cs="宋体"/>
          <w:sz w:val="21"/>
          <w:szCs w:val="21"/>
          <w:highlight w:val="none"/>
        </w:rPr>
      </w:pPr>
      <w:r>
        <w:rPr>
          <w:rFonts w:hint="eastAsia" w:ascii="宋体" w:hAnsi="宋体" w:eastAsia="宋体" w:cs="宋体"/>
          <w:sz w:val="21"/>
          <w:szCs w:val="21"/>
          <w:highlight w:val="none"/>
        </w:rPr>
        <w:t>名 称：桂林市中西医结合医院 </w:t>
      </w:r>
    </w:p>
    <w:p w14:paraId="0BFDA1F0">
      <w:pPr>
        <w:spacing w:line="360" w:lineRule="auto"/>
        <w:ind w:firstLine="567" w:firstLineChars="270"/>
        <w:jc w:val="left"/>
        <w:rPr>
          <w:rFonts w:hint="eastAsia" w:ascii="宋体" w:hAnsi="宋体" w:eastAsia="宋体" w:cs="宋体"/>
          <w:sz w:val="21"/>
          <w:szCs w:val="21"/>
          <w:highlight w:val="none"/>
        </w:rPr>
      </w:pPr>
      <w:bookmarkStart w:id="12" w:name="_Toc28359009"/>
      <w:bookmarkStart w:id="13" w:name="_Toc28359086"/>
      <w:r>
        <w:rPr>
          <w:rFonts w:hint="eastAsia" w:ascii="宋体" w:hAnsi="宋体" w:eastAsia="宋体" w:cs="宋体"/>
          <w:sz w:val="21"/>
          <w:szCs w:val="21"/>
          <w:highlight w:val="none"/>
        </w:rPr>
        <w:t>地址：桂林市七星区半塘路6号</w:t>
      </w:r>
    </w:p>
    <w:p w14:paraId="17C21967">
      <w:pPr>
        <w:spacing w:line="360" w:lineRule="auto"/>
        <w:ind w:firstLine="567" w:firstLineChars="2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rPr>
        <w:t>郭老师</w:t>
      </w:r>
    </w:p>
    <w:p w14:paraId="4B19A592">
      <w:pPr>
        <w:spacing w:line="360" w:lineRule="auto"/>
        <w:ind w:firstLine="567" w:firstLineChars="2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项目联系方式：</w:t>
      </w:r>
      <w:r>
        <w:rPr>
          <w:rFonts w:hint="eastAsia" w:ascii="宋体" w:hAnsi="宋体" w:eastAsia="宋体" w:cs="宋体"/>
          <w:sz w:val="21"/>
          <w:szCs w:val="21"/>
          <w:highlight w:val="none"/>
        </w:rPr>
        <w:t>0773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3569995</w:t>
      </w:r>
      <w:r>
        <w:rPr>
          <w:rFonts w:hint="eastAsia" w:ascii="宋体" w:hAnsi="宋体" w:eastAsia="宋体" w:cs="宋体"/>
          <w:sz w:val="21"/>
          <w:szCs w:val="21"/>
          <w:highlight w:val="none"/>
          <w:lang w:eastAsia="zh-CN"/>
        </w:rPr>
        <w:t xml:space="preserve"> </w:t>
      </w:r>
    </w:p>
    <w:p w14:paraId="1646BE3E">
      <w:pPr>
        <w:spacing w:line="360" w:lineRule="auto"/>
        <w:ind w:firstLine="567" w:firstLineChars="2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采购代理机构信息</w:t>
      </w:r>
      <w:bookmarkEnd w:id="12"/>
      <w:bookmarkEnd w:id="13"/>
    </w:p>
    <w:p w14:paraId="24010655">
      <w:pPr>
        <w:spacing w:line="360" w:lineRule="auto"/>
        <w:ind w:firstLine="567" w:firstLineChars="270"/>
        <w:rPr>
          <w:rFonts w:hint="eastAsia" w:ascii="宋体" w:hAnsi="宋体" w:eastAsia="宋体" w:cs="宋体"/>
          <w:sz w:val="21"/>
          <w:szCs w:val="21"/>
          <w:highlight w:val="none"/>
        </w:rPr>
      </w:pPr>
      <w:r>
        <w:rPr>
          <w:rFonts w:hint="eastAsia" w:ascii="宋体" w:hAnsi="宋体" w:eastAsia="宋体" w:cs="宋体"/>
          <w:sz w:val="21"/>
          <w:szCs w:val="21"/>
          <w:highlight w:val="none"/>
        </w:rPr>
        <w:t>名 称：广西达成咨询有限公司</w:t>
      </w:r>
    </w:p>
    <w:p w14:paraId="4B160105">
      <w:pPr>
        <w:spacing w:line="360" w:lineRule="auto"/>
        <w:ind w:firstLine="567" w:firstLineChars="270"/>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cs="宋体"/>
          <w:color w:val="auto"/>
          <w:szCs w:val="21"/>
          <w:highlight w:val="none"/>
          <w:lang w:eastAsia="zh-CN"/>
        </w:rPr>
        <w:t>桂林市滨江路18号滨江大厦5楼</w:t>
      </w:r>
    </w:p>
    <w:p w14:paraId="00874047">
      <w:pPr>
        <w:spacing w:line="360" w:lineRule="auto"/>
        <w:ind w:firstLine="567" w:firstLineChars="2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r>
        <w:rPr>
          <w:rFonts w:hint="eastAsia" w:ascii="宋体" w:hAnsi="宋体" w:cs="宋体"/>
          <w:szCs w:val="21"/>
          <w:highlight w:val="none"/>
        </w:rPr>
        <w:t>梁碧云、毛崇文、方莹、彭冬梅、</w:t>
      </w:r>
      <w:r>
        <w:rPr>
          <w:rFonts w:hint="eastAsia" w:ascii="宋体" w:hAnsi="宋体" w:cs="宋体"/>
          <w:szCs w:val="21"/>
          <w:highlight w:val="none"/>
          <w:lang w:val="en-US" w:eastAsia="zh-CN"/>
        </w:rPr>
        <w:t>阳泓</w:t>
      </w:r>
      <w:r>
        <w:rPr>
          <w:rFonts w:hint="eastAsia" w:ascii="宋体" w:hAnsi="宋体" w:cs="宋体"/>
          <w:szCs w:val="21"/>
          <w:highlight w:val="none"/>
        </w:rPr>
        <w:t>、李鹏宇、杨红东、崔婧</w:t>
      </w:r>
    </w:p>
    <w:p w14:paraId="629E359C">
      <w:pPr>
        <w:spacing w:line="360" w:lineRule="auto"/>
        <w:ind w:firstLine="567" w:firstLineChars="270"/>
        <w:jc w:val="left"/>
        <w:rPr>
          <w:rFonts w:hint="eastAsia" w:ascii="宋体" w:hAnsi="宋体" w:eastAsia="宋体" w:cs="宋体"/>
          <w:sz w:val="21"/>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0773-3569998</w:t>
      </w:r>
    </w:p>
    <w:bookmarkEnd w:id="1"/>
    <w:bookmarkEnd w:id="8"/>
    <w:bookmarkEnd w:id="9"/>
    <w:bookmarkEnd w:id="10"/>
    <w:bookmarkEnd w:id="11"/>
    <w:p w14:paraId="05B33B04">
      <w:pPr>
        <w:spacing w:line="360" w:lineRule="auto"/>
        <w:ind w:firstLine="567" w:firstLineChars="270"/>
        <w:jc w:val="right"/>
        <w:rPr>
          <w:rFonts w:hint="eastAsia" w:ascii="宋体" w:hAnsi="宋体" w:eastAsia="宋体" w:cs="宋体"/>
          <w:sz w:val="21"/>
          <w:szCs w:val="21"/>
          <w:highlight w:val="none"/>
        </w:rPr>
      </w:pPr>
    </w:p>
    <w:p w14:paraId="262FE2A2">
      <w:pPr>
        <w:spacing w:line="360" w:lineRule="auto"/>
        <w:ind w:firstLine="567" w:firstLineChars="270"/>
        <w:jc w:val="right"/>
        <w:rPr>
          <w:rFonts w:hint="eastAsia" w:ascii="宋体" w:hAnsi="宋体" w:eastAsia="宋体" w:cs="宋体"/>
          <w:sz w:val="21"/>
          <w:szCs w:val="21"/>
          <w:highlight w:val="none"/>
        </w:rPr>
      </w:pPr>
    </w:p>
    <w:p w14:paraId="3B4BAC9B">
      <w:pPr>
        <w:spacing w:line="360" w:lineRule="auto"/>
        <w:ind w:firstLine="567" w:firstLineChars="27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广西达成咨询有限公司</w:t>
      </w:r>
    </w:p>
    <w:p w14:paraId="7A7FE67E">
      <w:pPr>
        <w:spacing w:line="360" w:lineRule="auto"/>
        <w:ind w:firstLine="567" w:firstLineChars="270"/>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026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eastAsia="zh-CN"/>
        </w:rPr>
        <w:t xml:space="preserve">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w:t>
      </w:r>
    </w:p>
    <w:p w14:paraId="3B81DA26">
      <w:pPr>
        <w:pStyle w:val="2"/>
        <w:jc w:val="center"/>
        <w:rPr>
          <w:rFonts w:ascii="宋体" w:hAnsi="宋体" w:cs="宋体"/>
          <w:highlight w:val="none"/>
        </w:rPr>
      </w:pPr>
      <w:r>
        <w:rPr>
          <w:rFonts w:hint="eastAsia" w:ascii="宋体" w:hAnsi="宋体" w:cs="宋体"/>
          <w:sz w:val="24"/>
          <w:highlight w:val="none"/>
        </w:rPr>
        <w:br w:type="page"/>
      </w:r>
      <w:bookmarkStart w:id="14" w:name="_Toc32607"/>
      <w:r>
        <w:rPr>
          <w:rFonts w:hint="eastAsia" w:ascii="宋体" w:hAnsi="宋体" w:cs="宋体"/>
          <w:highlight w:val="none"/>
        </w:rPr>
        <w:t>第二章 供应商须知</w:t>
      </w:r>
      <w:bookmarkEnd w:id="14"/>
    </w:p>
    <w:p w14:paraId="240B2DEA">
      <w:pPr>
        <w:spacing w:line="400" w:lineRule="exact"/>
        <w:jc w:val="center"/>
        <w:rPr>
          <w:rFonts w:ascii="宋体" w:hAnsi="宋体" w:cs="宋体"/>
          <w:b/>
          <w:sz w:val="32"/>
          <w:szCs w:val="32"/>
          <w:highlight w:val="none"/>
        </w:rPr>
      </w:pPr>
      <w:r>
        <w:rPr>
          <w:rFonts w:hint="eastAsia" w:ascii="宋体" w:hAnsi="宋体" w:cs="宋体"/>
          <w:b/>
          <w:sz w:val="32"/>
          <w:szCs w:val="32"/>
          <w:highlight w:val="none"/>
        </w:rPr>
        <w:t>供应商须知前附表</w:t>
      </w:r>
    </w:p>
    <w:p w14:paraId="29A930E9">
      <w:pPr>
        <w:spacing w:line="400" w:lineRule="exact"/>
        <w:jc w:val="center"/>
        <w:rPr>
          <w:rFonts w:ascii="宋体" w:hAnsi="宋体" w:cs="宋体"/>
          <w:b/>
          <w:sz w:val="32"/>
          <w:szCs w:val="32"/>
          <w:highlight w:val="none"/>
        </w:rPr>
      </w:pPr>
    </w:p>
    <w:tbl>
      <w:tblPr>
        <w:tblStyle w:val="30"/>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2503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04A8568B">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8627" w:type="dxa"/>
          </w:tcPr>
          <w:p w14:paraId="6E29423F">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内    容</w:t>
            </w:r>
          </w:p>
        </w:tc>
      </w:tr>
      <w:tr w14:paraId="4DA7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7908B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8627" w:type="dxa"/>
            <w:vAlign w:val="center"/>
          </w:tcPr>
          <w:p w14:paraId="619E70CE">
            <w:pPr>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供应商的资格条件</w:t>
            </w:r>
            <w:r>
              <w:rPr>
                <w:rFonts w:hint="eastAsia" w:ascii="宋体" w:hAnsi="宋体" w:eastAsia="宋体" w:cs="宋体"/>
                <w:sz w:val="21"/>
                <w:szCs w:val="21"/>
                <w:highlight w:val="none"/>
              </w:rPr>
              <w:t>：详见竞争性磋商公告</w:t>
            </w:r>
          </w:p>
        </w:tc>
      </w:tr>
      <w:tr w14:paraId="78B11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17C50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8627" w:type="dxa"/>
            <w:vAlign w:val="center"/>
          </w:tcPr>
          <w:p w14:paraId="3AA5B47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是否接受联合体参加竞争性磋商：详见竞争性磋商公告</w:t>
            </w:r>
          </w:p>
        </w:tc>
      </w:tr>
      <w:tr w14:paraId="7CB2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767F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8627" w:type="dxa"/>
            <w:vAlign w:val="center"/>
          </w:tcPr>
          <w:p w14:paraId="4CC29E89">
            <w:pPr>
              <w:spacing w:line="360" w:lineRule="auto"/>
              <w:rPr>
                <w:rFonts w:hint="eastAsia" w:ascii="宋体" w:hAnsi="宋体" w:eastAsia="宋体" w:cs="宋体"/>
                <w:sz w:val="21"/>
                <w:szCs w:val="21"/>
                <w:highlight w:val="none"/>
              </w:rPr>
            </w:pPr>
            <w:r>
              <w:rPr>
                <w:rFonts w:hint="eastAsia" w:ascii="宋体" w:hAnsi="宋体" w:eastAsia="宋体" w:cs="宋体"/>
                <w:color w:val="auto"/>
                <w:szCs w:val="21"/>
                <w:highlight w:val="none"/>
              </w:rPr>
              <w:t>如接受联合体竞标，联合体竞标要求如下：无</w:t>
            </w:r>
            <w:r>
              <w:rPr>
                <w:rFonts w:hint="eastAsia" w:ascii="宋体" w:hAnsi="宋体" w:eastAsia="宋体" w:cs="宋体"/>
                <w:color w:val="auto"/>
                <w:szCs w:val="21"/>
                <w:highlight w:val="none"/>
                <w:lang w:eastAsia="zh-CN"/>
              </w:rPr>
              <w:t>。</w:t>
            </w:r>
          </w:p>
        </w:tc>
      </w:tr>
      <w:tr w14:paraId="0467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B2850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w:t>
            </w:r>
          </w:p>
        </w:tc>
        <w:tc>
          <w:tcPr>
            <w:tcW w:w="8627" w:type="dxa"/>
            <w:vAlign w:val="center"/>
          </w:tcPr>
          <w:p w14:paraId="1271D962">
            <w:pPr>
              <w:pStyle w:val="12"/>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sym w:font="Wingdings" w:char="00FE"/>
            </w:r>
            <w:r>
              <w:rPr>
                <w:rFonts w:hint="eastAsia" w:ascii="宋体" w:hAnsi="宋体" w:eastAsia="宋体" w:cs="宋体"/>
                <w:b/>
                <w:sz w:val="21"/>
                <w:szCs w:val="21"/>
                <w:highlight w:val="none"/>
              </w:rPr>
              <w:t>本项目不允许分包。</w:t>
            </w:r>
          </w:p>
          <w:p w14:paraId="6EC60727">
            <w:pPr>
              <w:pStyle w:val="12"/>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本项目允许分包：</w:t>
            </w:r>
          </w:p>
          <w:p w14:paraId="22EFDFAE">
            <w:pPr>
              <w:pStyle w:val="12"/>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分包内容：</w:t>
            </w:r>
            <w:r>
              <w:rPr>
                <w:rFonts w:hint="eastAsia" w:ascii="宋体" w:hAnsi="宋体" w:eastAsia="宋体" w:cs="宋体"/>
                <w:sz w:val="21"/>
                <w:szCs w:val="21"/>
                <w:highlight w:val="none"/>
                <w:u w:val="single"/>
              </w:rPr>
              <w:t xml:space="preserve">                                     。</w:t>
            </w:r>
          </w:p>
          <w:p w14:paraId="16F968D9">
            <w:pPr>
              <w:pStyle w:val="12"/>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分包金额或者比例：</w:t>
            </w:r>
            <w:r>
              <w:rPr>
                <w:rFonts w:hint="eastAsia" w:ascii="宋体" w:hAnsi="宋体" w:eastAsia="宋体" w:cs="宋体"/>
                <w:sz w:val="21"/>
                <w:szCs w:val="21"/>
                <w:highlight w:val="none"/>
                <w:u w:val="single"/>
              </w:rPr>
              <w:t xml:space="preserve">                                     。</w:t>
            </w:r>
          </w:p>
        </w:tc>
      </w:tr>
      <w:tr w14:paraId="6337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EBC59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12.1.1</w:t>
            </w:r>
          </w:p>
        </w:tc>
        <w:tc>
          <w:tcPr>
            <w:tcW w:w="8627" w:type="dxa"/>
            <w:vAlign w:val="center"/>
          </w:tcPr>
          <w:p w14:paraId="45463960">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资格证明文件</w:t>
            </w:r>
          </w:p>
          <w:p w14:paraId="1978B4B0">
            <w:pPr>
              <w:pStyle w:val="12"/>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1.供应商为法人或者其他组织的，证明文件为其营业执照（如营业执照或者事业单位法人证书或者执业许可证等）；供应商为自然人的，证明文件为其身份证复印件；（</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5D5E4D54">
            <w:pPr>
              <w:spacing w:line="360" w:lineRule="auto"/>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2.供应商依法缴纳税收的相关材料（截至</w:t>
            </w:r>
            <w:r>
              <w:rPr>
                <w:rFonts w:hint="eastAsia" w:ascii="宋体" w:hAnsi="宋体" w:eastAsia="宋体" w:cs="宋体"/>
                <w:sz w:val="21"/>
                <w:szCs w:val="21"/>
                <w:highlight w:val="none"/>
                <w:u w:val="single"/>
              </w:rPr>
              <w:t>首次响应文件提交截止之日半年内连续</w:t>
            </w: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个月</w:t>
            </w:r>
            <w:r>
              <w:rPr>
                <w:rFonts w:hint="eastAsia" w:ascii="宋体" w:hAnsi="宋体" w:eastAsia="宋体" w:cs="宋体"/>
                <w:sz w:val="21"/>
                <w:szCs w:val="21"/>
                <w:highlight w:val="none"/>
              </w:rPr>
              <w:t>的依法缴纳税收的凭据；依法免税的，必须提供相应文件证明。从成立之日起到首次响应文件提交截止之日不足要求月数的，只需提供从成立之日起的依法缴纳税收相应证明文件</w:t>
            </w:r>
            <w:r>
              <w:rPr>
                <w:rFonts w:hint="eastAsia" w:ascii="宋体" w:hAnsi="宋体" w:eastAsia="宋体" w:cs="宋体"/>
                <w:szCs w:val="21"/>
                <w:highlight w:val="none"/>
              </w:rPr>
              <w:t>。</w:t>
            </w:r>
            <w:r>
              <w:rPr>
                <w:rFonts w:ascii="宋体" w:hAnsi="宋体" w:eastAsia="宋体" w:cs="宋体"/>
                <w:szCs w:val="21"/>
                <w:highlight w:val="none"/>
              </w:rPr>
              <w:t>或</w:t>
            </w:r>
            <w:r>
              <w:rPr>
                <w:rFonts w:hint="eastAsia" w:ascii="宋体" w:hAnsi="宋体" w:eastAsia="宋体" w:cs="宋体"/>
                <w:bCs/>
                <w:szCs w:val="21"/>
                <w:highlight w:val="none"/>
              </w:rPr>
              <w:t>提供依法缴纳</w:t>
            </w:r>
            <w:r>
              <w:rPr>
                <w:rFonts w:hint="eastAsia" w:ascii="宋体" w:hAnsi="宋体" w:eastAsia="宋体" w:cs="宋体"/>
                <w:szCs w:val="21"/>
                <w:highlight w:val="none"/>
              </w:rPr>
              <w:t>税</w:t>
            </w:r>
            <w:r>
              <w:rPr>
                <w:rFonts w:hint="eastAsia" w:ascii="宋体" w:hAnsi="宋体" w:eastAsia="宋体" w:cs="宋体"/>
                <w:bCs/>
                <w:szCs w:val="21"/>
                <w:highlight w:val="none"/>
              </w:rPr>
              <w:t>的承诺函（格式自拟）</w:t>
            </w:r>
            <w:r>
              <w:rPr>
                <w:rFonts w:hint="eastAsia" w:ascii="宋体" w:hAnsi="宋体" w:eastAsia="宋体" w:cs="宋体"/>
                <w:sz w:val="21"/>
                <w:szCs w:val="21"/>
                <w:highlight w:val="none"/>
              </w:rPr>
              <w:t>）；（</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25418E37">
            <w:pPr>
              <w:wordWrap w:val="0"/>
              <w:topLinePunct/>
              <w:spacing w:line="360" w:lineRule="auto"/>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3.供应商依法缴纳社会保障资金的相关材料[截至</w:t>
            </w:r>
            <w:r>
              <w:rPr>
                <w:rFonts w:hint="eastAsia" w:ascii="宋体" w:hAnsi="宋体" w:eastAsia="宋体" w:cs="宋体"/>
                <w:sz w:val="21"/>
                <w:szCs w:val="21"/>
                <w:highlight w:val="none"/>
                <w:u w:val="single"/>
              </w:rPr>
              <w:t>首次响应文件提交截止之日半年内连续</w:t>
            </w: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个月</w:t>
            </w:r>
            <w:r>
              <w:rPr>
                <w:rFonts w:hint="eastAsia" w:ascii="宋体" w:hAnsi="宋体" w:eastAsia="宋体" w:cs="宋体"/>
                <w:sz w:val="21"/>
                <w:szCs w:val="21"/>
                <w:highlight w:val="none"/>
              </w:rPr>
              <w:t>的依法缴纳社会保障资金的缴费凭证；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eastAsia="宋体" w:cs="宋体"/>
                <w:szCs w:val="21"/>
                <w:highlight w:val="none"/>
              </w:rPr>
              <w:t>。</w:t>
            </w:r>
            <w:r>
              <w:rPr>
                <w:rFonts w:ascii="宋体" w:hAnsi="宋体" w:eastAsia="宋体" w:cs="宋体"/>
                <w:szCs w:val="21"/>
                <w:highlight w:val="none"/>
              </w:rPr>
              <w:t>或</w:t>
            </w:r>
            <w:r>
              <w:rPr>
                <w:rFonts w:hint="eastAsia" w:ascii="宋体" w:hAnsi="宋体" w:eastAsia="宋体" w:cs="宋体"/>
                <w:bCs/>
                <w:szCs w:val="21"/>
                <w:highlight w:val="none"/>
              </w:rPr>
              <w:t>提供依法</w:t>
            </w:r>
            <w:r>
              <w:rPr>
                <w:rFonts w:hint="eastAsia" w:ascii="宋体" w:hAnsi="宋体" w:eastAsia="宋体" w:cs="宋体"/>
                <w:szCs w:val="21"/>
                <w:highlight w:val="none"/>
              </w:rPr>
              <w:t>缴纳社会保障资金的承诺函</w:t>
            </w:r>
            <w:r>
              <w:rPr>
                <w:rFonts w:hint="eastAsia" w:ascii="宋体" w:hAnsi="宋体" w:eastAsia="宋体" w:cs="宋体"/>
                <w:bCs/>
                <w:szCs w:val="21"/>
                <w:highlight w:val="none"/>
              </w:rPr>
              <w:t>（格式自拟）</w:t>
            </w:r>
            <w:r>
              <w:rPr>
                <w:rFonts w:hint="eastAsia" w:ascii="宋体" w:hAnsi="宋体" w:eastAsia="宋体" w:cs="宋体"/>
                <w:sz w:val="21"/>
                <w:szCs w:val="21"/>
                <w:highlight w:val="none"/>
              </w:rPr>
              <w:t>]；（</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08589DDC">
            <w:pPr>
              <w:spacing w:line="360" w:lineRule="auto"/>
              <w:contextualSpacing/>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4.供应商财务状况报告（</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024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度（或2025年度）</w:t>
            </w:r>
            <w:r>
              <w:rPr>
                <w:rFonts w:hint="eastAsia" w:ascii="宋体" w:hAnsi="宋体" w:eastAsia="宋体" w:cs="宋体"/>
                <w:sz w:val="21"/>
                <w:szCs w:val="21"/>
                <w:highlight w:val="none"/>
              </w:rPr>
              <w:t>财务状况报告，</w:t>
            </w:r>
            <w:r>
              <w:rPr>
                <w:rFonts w:hint="eastAsia" w:ascii="宋体" w:hAnsi="宋体" w:eastAsia="宋体" w:cs="宋体"/>
                <w:sz w:val="21"/>
                <w:szCs w:val="21"/>
                <w:highlight w:val="none"/>
              </w:rPr>
              <w:t>或者银行出具的资信证明（资信证明应在有效期内，未注明有效期的，银行出具时间至首次响应文件提交截止之日不超过一年）；供应商成立不满一年的应按首次响应文件提交截止之日上一个月的财务状况报告</w:t>
            </w:r>
            <w:r>
              <w:rPr>
                <w:rFonts w:hint="eastAsia" w:ascii="宋体" w:hAnsi="宋体" w:eastAsia="宋体" w:cs="宋体"/>
                <w:szCs w:val="21"/>
                <w:highlight w:val="none"/>
              </w:rPr>
              <w:t>；</w:t>
            </w:r>
            <w:r>
              <w:rPr>
                <w:rFonts w:hint="eastAsia" w:ascii="宋体" w:hAnsi="宋体" w:eastAsia="宋体" w:cs="宋体"/>
                <w:bCs/>
                <w:szCs w:val="21"/>
                <w:highlight w:val="none"/>
              </w:rPr>
              <w:t>或</w:t>
            </w:r>
            <w:r>
              <w:rPr>
                <w:rFonts w:hint="eastAsia" w:ascii="宋体" w:hAnsi="宋体" w:eastAsia="宋体" w:cs="宋体"/>
                <w:szCs w:val="21"/>
                <w:highlight w:val="none"/>
              </w:rPr>
              <w:t>提供财务状况正常的承诺函</w:t>
            </w:r>
            <w:r>
              <w:rPr>
                <w:rFonts w:hint="eastAsia" w:ascii="宋体" w:hAnsi="宋体" w:eastAsia="宋体" w:cs="宋体"/>
                <w:sz w:val="21"/>
                <w:szCs w:val="21"/>
                <w:highlight w:val="none"/>
              </w:rPr>
              <w:t>）；</w:t>
            </w:r>
            <w:r>
              <w:rPr>
                <w:rFonts w:hint="eastAsia" w:ascii="宋体" w:hAnsi="宋体" w:eastAsia="宋体" w:cs="宋体"/>
                <w:bCs/>
                <w:sz w:val="21"/>
                <w:szCs w:val="21"/>
                <w:highlight w:val="none"/>
              </w:rPr>
              <w:t>（</w:t>
            </w:r>
            <w:r>
              <w:rPr>
                <w:rFonts w:hint="eastAsia" w:ascii="宋体" w:hAnsi="宋体" w:eastAsia="宋体" w:cs="宋体"/>
                <w:b/>
                <w:sz w:val="21"/>
                <w:szCs w:val="21"/>
                <w:highlight w:val="none"/>
              </w:rPr>
              <w:t>除自然人外必须提供，否则响应文件按无效响应处理</w:t>
            </w:r>
            <w:r>
              <w:rPr>
                <w:rFonts w:hint="eastAsia" w:ascii="宋体" w:hAnsi="宋体" w:eastAsia="宋体" w:cs="宋体"/>
                <w:bCs/>
                <w:sz w:val="21"/>
                <w:szCs w:val="21"/>
                <w:highlight w:val="none"/>
              </w:rPr>
              <w:t>）</w:t>
            </w:r>
          </w:p>
          <w:p w14:paraId="24509784">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5.供应商直接控股、管理关系信息表（格式后附）；（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67C88C01">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6.参与竞争性磋商声明（格式后附）；（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5A93D1F3">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7.联合体参与竞争性磋商协议书（格式后附）；（</w:t>
            </w:r>
            <w:r>
              <w:rPr>
                <w:rFonts w:hint="eastAsia" w:ascii="宋体" w:hAnsi="宋体" w:eastAsia="宋体" w:cs="宋体"/>
                <w:b/>
                <w:sz w:val="21"/>
                <w:szCs w:val="21"/>
                <w:highlight w:val="none"/>
              </w:rPr>
              <w:t>联合体</w:t>
            </w:r>
            <w:r>
              <w:rPr>
                <w:rFonts w:hint="eastAsia" w:ascii="宋体" w:hAnsi="宋体" w:eastAsia="宋体" w:cs="宋体"/>
                <w:b/>
                <w:bCs/>
                <w:sz w:val="21"/>
                <w:szCs w:val="21"/>
                <w:highlight w:val="none"/>
              </w:rPr>
              <w:t>参与竞争性磋商</w:t>
            </w:r>
            <w:r>
              <w:rPr>
                <w:rFonts w:hint="eastAsia" w:ascii="宋体" w:hAnsi="宋体" w:eastAsia="宋体" w:cs="宋体"/>
                <w:b/>
                <w:sz w:val="21"/>
                <w:szCs w:val="21"/>
                <w:highlight w:val="none"/>
              </w:rPr>
              <w:t>时必须提供，否则响应文件按无效响应处理</w:t>
            </w:r>
            <w:r>
              <w:rPr>
                <w:rFonts w:hint="eastAsia" w:ascii="宋体" w:hAnsi="宋体" w:eastAsia="宋体" w:cs="宋体"/>
                <w:sz w:val="21"/>
                <w:szCs w:val="21"/>
                <w:highlight w:val="none"/>
              </w:rPr>
              <w:t>）</w:t>
            </w:r>
          </w:p>
          <w:p w14:paraId="50C4FF7F">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8.竞争性磋商公告对应的特定资格要求的资格证明材料；</w:t>
            </w:r>
            <w:r>
              <w:rPr>
                <w:rFonts w:hint="eastAsia" w:ascii="宋体" w:hAnsi="宋体" w:eastAsia="宋体" w:cs="宋体"/>
                <w:b/>
                <w:bCs/>
                <w:sz w:val="21"/>
                <w:szCs w:val="21"/>
                <w:highlight w:val="none"/>
              </w:rPr>
              <w:t>（公告如有则必须提供</w:t>
            </w:r>
            <w:r>
              <w:rPr>
                <w:rFonts w:hint="eastAsia" w:ascii="宋体" w:hAnsi="宋体" w:eastAsia="宋体" w:cs="宋体"/>
                <w:b/>
                <w:sz w:val="21"/>
                <w:szCs w:val="21"/>
                <w:highlight w:val="none"/>
              </w:rPr>
              <w:t>，否则响应文件按无效响应处理</w:t>
            </w:r>
            <w:r>
              <w:rPr>
                <w:rFonts w:hint="eastAsia" w:ascii="宋体" w:hAnsi="宋体" w:eastAsia="宋体" w:cs="宋体"/>
                <w:sz w:val="21"/>
                <w:szCs w:val="21"/>
                <w:highlight w:val="none"/>
              </w:rPr>
              <w:t>）</w:t>
            </w:r>
          </w:p>
          <w:p w14:paraId="16F503D8">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9.除磋商文件规定必须提供以外，供应商认为需要提供的其他证明材料；</w:t>
            </w:r>
          </w:p>
          <w:p w14:paraId="357DFA6B">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b/>
                <w:bCs/>
                <w:sz w:val="21"/>
                <w:szCs w:val="21"/>
                <w:highlight w:val="none"/>
              </w:rPr>
              <w:t>【注】</w:t>
            </w:r>
            <w:r>
              <w:rPr>
                <w:rFonts w:hint="eastAsia" w:ascii="宋体" w:hAnsi="宋体" w:eastAsia="宋体" w:cs="宋体"/>
                <w:b/>
                <w:sz w:val="21"/>
                <w:szCs w:val="21"/>
                <w:highlight w:val="none"/>
              </w:rPr>
              <w:t>1.以上标明“必须提供”的材料必须加盖供应商公章，否则响应文件按无效响应处理。</w:t>
            </w:r>
          </w:p>
          <w:p w14:paraId="6458F2B8">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2.参与竞争性磋商声明必须由法定代表人在规定签章处签字</w:t>
            </w:r>
            <w:r>
              <w:rPr>
                <w:rFonts w:hint="eastAsia" w:ascii="宋体" w:hAnsi="宋体" w:eastAsia="宋体" w:cs="宋体"/>
                <w:b/>
                <w:sz w:val="21"/>
                <w:szCs w:val="21"/>
                <w:highlight w:val="none"/>
                <w:lang w:eastAsia="zh-CN"/>
              </w:rPr>
              <w:t>或签章</w:t>
            </w:r>
            <w:r>
              <w:rPr>
                <w:rFonts w:hint="eastAsia" w:ascii="宋体" w:hAnsi="宋体" w:eastAsia="宋体" w:cs="宋体"/>
                <w:b/>
                <w:sz w:val="21"/>
                <w:szCs w:val="21"/>
                <w:highlight w:val="none"/>
              </w:rPr>
              <w:t>并加盖供应商公章，否则响应文件按无效响应处理。</w:t>
            </w:r>
          </w:p>
          <w:p w14:paraId="50BF8D57">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3.供应商直接控股、管理关系信息表必须由法定代表人或者委托代理人在规定签章处签字</w:t>
            </w:r>
            <w:r>
              <w:rPr>
                <w:rFonts w:hint="eastAsia" w:ascii="宋体" w:hAnsi="宋体" w:eastAsia="宋体" w:cs="宋体"/>
                <w:b/>
                <w:sz w:val="21"/>
                <w:szCs w:val="21"/>
                <w:highlight w:val="none"/>
                <w:lang w:eastAsia="zh-CN"/>
              </w:rPr>
              <w:t>或签章</w:t>
            </w:r>
            <w:r>
              <w:rPr>
                <w:rFonts w:hint="eastAsia" w:ascii="宋体" w:hAnsi="宋体" w:eastAsia="宋体" w:cs="宋体"/>
                <w:b/>
                <w:sz w:val="21"/>
                <w:szCs w:val="21"/>
                <w:highlight w:val="none"/>
              </w:rPr>
              <w:t>并加盖供应商公章，否则响应文件按无效响应处理。</w:t>
            </w:r>
          </w:p>
          <w:p w14:paraId="4888308C">
            <w:pPr>
              <w:pStyle w:val="12"/>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4.联合体参加竞争性磋商时，第1-5项和第8项资格证明文件联合体各方均必须分别提供，联合体各方分别盖章，否则响应文件按无效响应处理。</w:t>
            </w:r>
          </w:p>
          <w:p w14:paraId="4B59F4B9">
            <w:pPr>
              <w:pStyle w:val="12"/>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5.分公司参加竞争性磋商</w:t>
            </w:r>
            <w:r>
              <w:rPr>
                <w:rFonts w:hint="eastAsia" w:ascii="宋体" w:hAnsi="宋体" w:eastAsia="宋体" w:cs="宋体"/>
                <w:b/>
                <w:bCs/>
                <w:sz w:val="21"/>
                <w:szCs w:val="21"/>
                <w:highlight w:val="none"/>
              </w:rPr>
              <w:t>的，应当取得总公司授权</w:t>
            </w:r>
            <w:r>
              <w:rPr>
                <w:rFonts w:hint="eastAsia" w:ascii="宋体" w:hAnsi="宋体" w:eastAsia="宋体" w:cs="宋体"/>
                <w:b/>
                <w:sz w:val="21"/>
                <w:szCs w:val="21"/>
                <w:highlight w:val="none"/>
              </w:rPr>
              <w:t>，否则响应文件按无效响应处理。</w:t>
            </w:r>
          </w:p>
        </w:tc>
      </w:tr>
      <w:tr w14:paraId="09FF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28E4E6A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12.1.2</w:t>
            </w:r>
          </w:p>
          <w:p w14:paraId="72D1BCD7">
            <w:pPr>
              <w:spacing w:line="360" w:lineRule="auto"/>
              <w:jc w:val="center"/>
              <w:rPr>
                <w:rFonts w:hint="eastAsia" w:ascii="宋体" w:hAnsi="宋体" w:eastAsia="宋体" w:cs="宋体"/>
                <w:sz w:val="21"/>
                <w:szCs w:val="21"/>
                <w:highlight w:val="none"/>
              </w:rPr>
            </w:pPr>
          </w:p>
        </w:tc>
        <w:tc>
          <w:tcPr>
            <w:tcW w:w="8627" w:type="dxa"/>
            <w:vAlign w:val="center"/>
          </w:tcPr>
          <w:p w14:paraId="00AC06DF">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报价文件</w:t>
            </w:r>
          </w:p>
          <w:p w14:paraId="5A9AC98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1.无串通参与竞争性磋商行为的承诺函（格式后附）；（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45763FB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2.竞争性磋商报价表（格式后附）；（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52358BC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3.中小企业声明函（或残疾人福利性单位声明函或监狱企业声明函，残疾人福利性单位或监狱企业视同小微企业）（格式后附）；</w:t>
            </w:r>
          </w:p>
          <w:p w14:paraId="1C144ED7">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注：以上标明“必须提供”的材料必须加盖供应商公章，否则响应文件按无效响应处理。</w:t>
            </w:r>
          </w:p>
        </w:tc>
      </w:tr>
      <w:tr w14:paraId="0CBD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91B24D0">
            <w:pPr>
              <w:spacing w:line="360" w:lineRule="auto"/>
              <w:jc w:val="center"/>
              <w:rPr>
                <w:rFonts w:hint="eastAsia" w:ascii="宋体" w:hAnsi="宋体" w:eastAsia="宋体" w:cs="宋体"/>
                <w:sz w:val="21"/>
                <w:szCs w:val="21"/>
                <w:highlight w:val="none"/>
              </w:rPr>
            </w:pPr>
          </w:p>
        </w:tc>
        <w:tc>
          <w:tcPr>
            <w:tcW w:w="8627" w:type="dxa"/>
            <w:vAlign w:val="center"/>
          </w:tcPr>
          <w:p w14:paraId="676A9F35">
            <w:pPr>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商务、服务文件</w:t>
            </w:r>
          </w:p>
          <w:p w14:paraId="7E3C9497">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1.法定代表人身份证明及法定代表人有效身份证正反面（格式后附）；（</w:t>
            </w:r>
            <w:r>
              <w:rPr>
                <w:rFonts w:hint="eastAsia" w:ascii="宋体" w:hAnsi="宋体" w:eastAsia="宋体" w:cs="宋体"/>
                <w:b/>
                <w:bCs/>
                <w:sz w:val="21"/>
                <w:szCs w:val="21"/>
                <w:highlight w:val="none"/>
              </w:rPr>
              <w:t>除自然人</w:t>
            </w:r>
            <w:r>
              <w:rPr>
                <w:rFonts w:hint="eastAsia" w:ascii="宋体" w:hAnsi="宋体" w:eastAsia="宋体" w:cs="宋体"/>
                <w:sz w:val="21"/>
                <w:szCs w:val="21"/>
                <w:highlight w:val="none"/>
              </w:rPr>
              <w:t>参加竞争性磋商</w:t>
            </w:r>
            <w:r>
              <w:rPr>
                <w:rFonts w:hint="eastAsia" w:ascii="宋体" w:hAnsi="宋体" w:eastAsia="宋体" w:cs="宋体"/>
                <w:b/>
                <w:bCs/>
                <w:sz w:val="21"/>
                <w:szCs w:val="21"/>
                <w:highlight w:val="none"/>
              </w:rPr>
              <w:t>外</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7014CD12">
            <w:pPr>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2.授权委托书及委托代理人有效身份证正反面（格式后附）；（</w:t>
            </w:r>
            <w:r>
              <w:rPr>
                <w:rFonts w:hint="eastAsia" w:ascii="宋体" w:hAnsi="宋体" w:eastAsia="宋体" w:cs="宋体"/>
                <w:b/>
                <w:sz w:val="21"/>
                <w:szCs w:val="21"/>
                <w:highlight w:val="none"/>
              </w:rPr>
              <w:t>委托时必须提供，否则响应文件按无效响应处理</w:t>
            </w:r>
            <w:r>
              <w:rPr>
                <w:rFonts w:hint="eastAsia" w:ascii="宋体" w:hAnsi="宋体" w:eastAsia="宋体" w:cs="宋体"/>
                <w:sz w:val="21"/>
                <w:szCs w:val="21"/>
                <w:highlight w:val="none"/>
              </w:rPr>
              <w:t>）</w:t>
            </w:r>
          </w:p>
          <w:p w14:paraId="2EDFF88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3.磋商保证金提交凭证；（</w:t>
            </w:r>
            <w:r>
              <w:rPr>
                <w:rFonts w:hint="eastAsia" w:ascii="宋体" w:hAnsi="宋体" w:eastAsia="宋体" w:cs="宋体"/>
                <w:b/>
                <w:bCs/>
                <w:sz w:val="21"/>
                <w:szCs w:val="21"/>
                <w:highlight w:val="none"/>
              </w:rPr>
              <w:t>如有则必须提供</w:t>
            </w:r>
            <w:r>
              <w:rPr>
                <w:rFonts w:hint="eastAsia" w:ascii="宋体" w:hAnsi="宋体" w:eastAsia="宋体" w:cs="宋体"/>
                <w:b/>
                <w:sz w:val="21"/>
                <w:szCs w:val="21"/>
                <w:highlight w:val="none"/>
              </w:rPr>
              <w:t>，否则响应文件按无效响应处理</w:t>
            </w:r>
            <w:r>
              <w:rPr>
                <w:rFonts w:hint="eastAsia" w:ascii="宋体" w:hAnsi="宋体" w:eastAsia="宋体" w:cs="宋体"/>
                <w:sz w:val="21"/>
                <w:szCs w:val="21"/>
                <w:highlight w:val="none"/>
              </w:rPr>
              <w:t>）</w:t>
            </w:r>
          </w:p>
          <w:p w14:paraId="19F96A9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4.商务要求偏离表（格式后附）；（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03D33F7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5.服务要求偏离表（格式后附）；（</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641C310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6.服务方案（格式自拟）；（</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5A340B7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7.项目实施人员一览表（格式自拟）；（</w:t>
            </w:r>
            <w:r>
              <w:rPr>
                <w:rFonts w:hint="eastAsia" w:ascii="宋体" w:hAnsi="宋体" w:eastAsia="宋体" w:cs="宋体"/>
                <w:b/>
                <w:sz w:val="21"/>
                <w:szCs w:val="21"/>
                <w:highlight w:val="none"/>
              </w:rPr>
              <w:t>必须提供，否则响应文件按无效响应处理</w:t>
            </w:r>
            <w:r>
              <w:rPr>
                <w:rFonts w:hint="eastAsia" w:ascii="宋体" w:hAnsi="宋体" w:eastAsia="宋体" w:cs="宋体"/>
                <w:sz w:val="21"/>
                <w:szCs w:val="21"/>
                <w:highlight w:val="none"/>
              </w:rPr>
              <w:t>）</w:t>
            </w:r>
          </w:p>
          <w:p w14:paraId="6622808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8.对应采购需求的技术要求、商务要求提供的其他文件资料（格式自拟）；</w:t>
            </w:r>
          </w:p>
          <w:p w14:paraId="2D2B2DB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9.供应商认为需要提供的其他有关资料。</w:t>
            </w:r>
          </w:p>
          <w:p w14:paraId="48507DD0">
            <w:pPr>
              <w:snapToGrid/>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注：以上标明“必须提供”的材料必须加盖供应商公章，否则响应文件按无效响应处理。</w:t>
            </w:r>
          </w:p>
        </w:tc>
      </w:tr>
      <w:tr w14:paraId="5C81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249A6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15.2</w:t>
            </w:r>
          </w:p>
        </w:tc>
        <w:tc>
          <w:tcPr>
            <w:tcW w:w="8627" w:type="dxa"/>
            <w:vAlign w:val="center"/>
          </w:tcPr>
          <w:p w14:paraId="74CBAA0B">
            <w:pPr>
              <w:snapToGrid/>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竞争性磋商报</w:t>
            </w:r>
            <w:r>
              <w:rPr>
                <w:rFonts w:hint="eastAsia" w:ascii="宋体" w:hAnsi="宋体" w:eastAsia="宋体" w:cs="宋体"/>
                <w:color w:val="auto"/>
                <w:sz w:val="21"/>
                <w:szCs w:val="21"/>
                <w:highlight w:val="none"/>
              </w:rPr>
              <w:t>价</w:t>
            </w:r>
            <w:r>
              <w:rPr>
                <w:rFonts w:hint="eastAsia" w:ascii="宋体" w:hAnsi="宋体" w:eastAsia="宋体" w:cs="宋体"/>
                <w:b w:val="0"/>
                <w:bCs/>
                <w:sz w:val="21"/>
                <w:szCs w:val="21"/>
                <w:highlight w:val="none"/>
                <w:lang w:eastAsia="zh-CN"/>
              </w:rPr>
              <w:t>（综合折扣率）</w:t>
            </w:r>
            <w:r>
              <w:rPr>
                <w:rFonts w:hint="eastAsia" w:ascii="宋体" w:hAnsi="宋体" w:eastAsia="宋体" w:cs="宋体"/>
                <w:color w:val="auto"/>
                <w:sz w:val="21"/>
                <w:szCs w:val="21"/>
                <w:highlight w:val="none"/>
              </w:rPr>
              <w:t>包括但不限于满足</w:t>
            </w:r>
            <w:r>
              <w:rPr>
                <w:rFonts w:hint="eastAsia" w:hAnsi="宋体" w:cs="宋体"/>
                <w:b w:val="0"/>
                <w:bCs/>
                <w:color w:val="auto"/>
                <w:sz w:val="21"/>
                <w:highlight w:val="none"/>
              </w:rPr>
              <w:t>本</w:t>
            </w:r>
            <w:r>
              <w:rPr>
                <w:rFonts w:hint="eastAsia" w:hAnsi="宋体" w:cs="宋体"/>
                <w:b w:val="0"/>
                <w:bCs/>
                <w:sz w:val="21"/>
                <w:highlight w:val="none"/>
              </w:rPr>
              <w:t>次服务范围的所有收集费、运送费、清洗费、消毒费、缝补费、熨烫费、折叠费、保管费、管理</w:t>
            </w:r>
            <w:r>
              <w:rPr>
                <w:rFonts w:hint="eastAsia" w:hAnsi="宋体" w:cs="宋体"/>
                <w:b w:val="0"/>
                <w:bCs/>
                <w:sz w:val="21"/>
                <w:highlight w:val="none"/>
              </w:rPr>
              <w:t>费、</w:t>
            </w:r>
            <w:r>
              <w:rPr>
                <w:rStyle w:val="33"/>
                <w:rFonts w:ascii="宋体" w:hAnsi="宋体" w:eastAsia="宋体" w:cs="宋体"/>
                <w:b w:val="0"/>
                <w:bCs w:val="0"/>
                <w:color w:val="1F2329"/>
                <w:sz w:val="21"/>
                <w:szCs w:val="21"/>
                <w:highlight w:val="none"/>
              </w:rPr>
              <w:t>人工费用</w:t>
            </w:r>
            <w:r>
              <w:rPr>
                <w:rFonts w:hint="eastAsia" w:hAnsi="宋体" w:cs="宋体"/>
                <w:b w:val="0"/>
                <w:bCs w:val="0"/>
                <w:sz w:val="21"/>
                <w:highlight w:val="none"/>
              </w:rPr>
              <w:t>、</w:t>
            </w:r>
            <w:r>
              <w:rPr>
                <w:rFonts w:hint="eastAsia" w:hAnsi="宋体" w:cs="宋体"/>
                <w:b w:val="0"/>
                <w:bCs/>
                <w:sz w:val="21"/>
                <w:highlight w:val="none"/>
              </w:rPr>
              <w:t>差旅费、交通费、税金、利润等所有成本费用。合同实施时，</w:t>
            </w:r>
            <w:r>
              <w:rPr>
                <w:rFonts w:hint="eastAsia" w:hAnsi="宋体" w:cs="宋体"/>
                <w:b w:val="0"/>
                <w:bCs/>
                <w:sz w:val="21"/>
                <w:highlight w:val="none"/>
                <w:lang w:eastAsia="zh-CN"/>
              </w:rPr>
              <w:t>采购人</w:t>
            </w:r>
            <w:r>
              <w:rPr>
                <w:rFonts w:hint="eastAsia" w:hAnsi="宋体" w:cs="宋体"/>
                <w:b w:val="0"/>
                <w:bCs/>
                <w:sz w:val="21"/>
                <w:highlight w:val="none"/>
              </w:rPr>
              <w:t>将不予支付完成本项目必须的但</w:t>
            </w:r>
            <w:r>
              <w:rPr>
                <w:rFonts w:hint="eastAsia" w:hAnsi="宋体" w:cs="宋体"/>
                <w:b w:val="0"/>
                <w:bCs/>
                <w:sz w:val="21"/>
                <w:highlight w:val="none"/>
                <w:lang w:eastAsia="zh-CN"/>
              </w:rPr>
              <w:t>成交人</w:t>
            </w:r>
            <w:r>
              <w:rPr>
                <w:rFonts w:hint="eastAsia" w:hAnsi="宋体" w:cs="宋体"/>
                <w:b w:val="0"/>
                <w:bCs/>
                <w:sz w:val="21"/>
                <w:highlight w:val="none"/>
              </w:rPr>
              <w:t>没有列入</w:t>
            </w:r>
            <w:r>
              <w:rPr>
                <w:rFonts w:hint="eastAsia" w:hAnsi="宋体" w:cs="宋体"/>
                <w:b w:val="0"/>
                <w:bCs/>
                <w:sz w:val="21"/>
                <w:highlight w:val="none"/>
                <w:lang w:val="en-US" w:eastAsia="zh-CN"/>
              </w:rPr>
              <w:t>竞争性磋商</w:t>
            </w:r>
            <w:r>
              <w:rPr>
                <w:rFonts w:hint="eastAsia" w:hAnsi="宋体" w:cs="宋体"/>
                <w:b w:val="0"/>
                <w:bCs/>
                <w:sz w:val="21"/>
                <w:highlight w:val="none"/>
              </w:rPr>
              <w:t>报价（综合折扣率）的费用，并认为此费用已包括在</w:t>
            </w:r>
            <w:r>
              <w:rPr>
                <w:rFonts w:hint="eastAsia" w:hAnsi="宋体" w:cs="宋体"/>
                <w:b w:val="0"/>
                <w:bCs/>
                <w:sz w:val="21"/>
                <w:highlight w:val="none"/>
                <w:lang w:val="en-US" w:eastAsia="zh-CN"/>
              </w:rPr>
              <w:t>竞争性磋商</w:t>
            </w:r>
            <w:r>
              <w:rPr>
                <w:rFonts w:hint="eastAsia" w:hAnsi="宋体" w:cs="宋体"/>
                <w:b w:val="0"/>
                <w:bCs/>
                <w:sz w:val="21"/>
                <w:highlight w:val="none"/>
              </w:rPr>
              <w:t>报价（综合折扣率）中</w:t>
            </w:r>
            <w:r>
              <w:rPr>
                <w:rFonts w:hint="eastAsia" w:ascii="宋体" w:hAnsi="宋体" w:eastAsia="宋体" w:cs="宋体"/>
                <w:color w:val="auto"/>
                <w:sz w:val="21"/>
                <w:szCs w:val="21"/>
                <w:highlight w:val="none"/>
              </w:rPr>
              <w:t>。合</w:t>
            </w:r>
            <w:r>
              <w:rPr>
                <w:rFonts w:hint="eastAsia" w:ascii="宋体" w:hAnsi="宋体" w:eastAsia="宋体" w:cs="宋体"/>
                <w:sz w:val="21"/>
                <w:szCs w:val="21"/>
                <w:highlight w:val="none"/>
              </w:rPr>
              <w:t>同履行过程中，采购人不再支付合同以外的其他费用。（采购需求另有约定的，从其约定）</w:t>
            </w:r>
          </w:p>
        </w:tc>
      </w:tr>
      <w:tr w14:paraId="12699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07598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16.2</w:t>
            </w:r>
          </w:p>
        </w:tc>
        <w:tc>
          <w:tcPr>
            <w:tcW w:w="8627" w:type="dxa"/>
            <w:vAlign w:val="center"/>
          </w:tcPr>
          <w:p w14:paraId="6E1770E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竞争性磋商有效期：首次响应文件提交截止之日起60天内。</w:t>
            </w:r>
          </w:p>
        </w:tc>
      </w:tr>
      <w:tr w14:paraId="0E78F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B14CE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8627" w:type="dxa"/>
            <w:vAlign w:val="center"/>
          </w:tcPr>
          <w:p w14:paraId="2D95DE16">
            <w:pPr>
              <w:autoSpaceDE/>
              <w:autoSpaceDN/>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rPr>
              <w:t>本项目不收取磋商保证金。</w:t>
            </w:r>
          </w:p>
          <w:p w14:paraId="3B7239C0">
            <w:pPr>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rPr>
              <w:t>本项目收取磋商保证金。</w:t>
            </w:r>
          </w:p>
        </w:tc>
      </w:tr>
      <w:tr w14:paraId="5112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61960E5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18.2</w:t>
            </w:r>
          </w:p>
        </w:tc>
        <w:tc>
          <w:tcPr>
            <w:tcW w:w="8627" w:type="dxa"/>
            <w:vAlign w:val="center"/>
          </w:tcPr>
          <w:p w14:paraId="7077B8F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响应文件应按资格证明文件、报价文件、商务技术文件分别编制，</w:t>
            </w:r>
            <w:r>
              <w:rPr>
                <w:rFonts w:hint="eastAsia" w:ascii="宋体" w:hAnsi="宋体" w:eastAsia="宋体" w:cs="宋体"/>
                <w:sz w:val="21"/>
                <w:szCs w:val="21"/>
                <w:highlight w:val="none"/>
                <w:lang w:bidi="ar"/>
              </w:rPr>
              <w:t>并按广西政府采购云平台的要求编制、加密、上传。</w:t>
            </w:r>
          </w:p>
        </w:tc>
      </w:tr>
      <w:tr w14:paraId="2B85D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1D1E448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19.2</w:t>
            </w:r>
          </w:p>
        </w:tc>
        <w:tc>
          <w:tcPr>
            <w:tcW w:w="8627" w:type="dxa"/>
            <w:vAlign w:val="center"/>
          </w:tcPr>
          <w:p w14:paraId="4E21C6E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本项目不接受电子备份响应文件</w:t>
            </w:r>
          </w:p>
        </w:tc>
      </w:tr>
      <w:tr w14:paraId="289E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A2CB0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20.1</w:t>
            </w:r>
          </w:p>
        </w:tc>
        <w:tc>
          <w:tcPr>
            <w:tcW w:w="8627" w:type="dxa"/>
            <w:vAlign w:val="center"/>
          </w:tcPr>
          <w:p w14:paraId="05E4965D">
            <w:pPr>
              <w:spacing w:line="360" w:lineRule="auto"/>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首次响应文件提交截止时间：详见竞争性磋商公告。</w:t>
            </w:r>
          </w:p>
          <w:p w14:paraId="1085D598">
            <w:pPr>
              <w:spacing w:line="360" w:lineRule="auto"/>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首次响应文件提交地点：详见竞争性磋商公告。</w:t>
            </w:r>
          </w:p>
        </w:tc>
      </w:tr>
      <w:tr w14:paraId="0D25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6068B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24.1</w:t>
            </w:r>
          </w:p>
        </w:tc>
        <w:tc>
          <w:tcPr>
            <w:tcW w:w="8627" w:type="dxa"/>
            <w:vAlign w:val="center"/>
          </w:tcPr>
          <w:p w14:paraId="3C609CF0">
            <w:pPr>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磋商小组的人数：3人，其中采购人代表1人，专家2人。</w:t>
            </w:r>
          </w:p>
        </w:tc>
      </w:tr>
      <w:tr w14:paraId="7F5E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41A03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25.2</w:t>
            </w:r>
          </w:p>
        </w:tc>
        <w:tc>
          <w:tcPr>
            <w:tcW w:w="8627" w:type="dxa"/>
            <w:vAlign w:val="center"/>
          </w:tcPr>
          <w:p w14:paraId="226764ED">
            <w:pPr>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采购代理机构将依托电子交易平台发起开始解密指令，</w:t>
            </w:r>
            <w:r>
              <w:rPr>
                <w:rFonts w:hint="eastAsia" w:ascii="宋体" w:hAnsi="宋体" w:eastAsia="宋体" w:cs="宋体"/>
                <w:b/>
                <w:sz w:val="21"/>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b/>
                <w:bCs/>
                <w:sz w:val="21"/>
                <w:szCs w:val="21"/>
                <w:highlight w:val="none"/>
              </w:rPr>
              <w:t>响应文件未按时解密的，</w:t>
            </w:r>
            <w:r>
              <w:rPr>
                <w:rFonts w:hint="eastAsia" w:ascii="宋体" w:hAnsi="宋体" w:eastAsia="宋体" w:cs="宋体"/>
                <w:b/>
                <w:sz w:val="21"/>
                <w:szCs w:val="21"/>
                <w:highlight w:val="none"/>
              </w:rPr>
              <w:t>视为响应</w:t>
            </w:r>
            <w:r>
              <w:rPr>
                <w:rFonts w:hint="eastAsia" w:ascii="宋体" w:hAnsi="宋体" w:eastAsia="宋体" w:cs="宋体"/>
                <w:b/>
                <w:bCs/>
                <w:sz w:val="21"/>
                <w:szCs w:val="21"/>
                <w:highlight w:val="none"/>
              </w:rPr>
              <w:t>文件无效。</w:t>
            </w:r>
          </w:p>
        </w:tc>
      </w:tr>
      <w:tr w14:paraId="3A22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49098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8627" w:type="dxa"/>
            <w:vAlign w:val="center"/>
          </w:tcPr>
          <w:p w14:paraId="69BB1F94">
            <w:pPr>
              <w:pStyle w:val="12"/>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磋商的顺序：按“广西政府采购云平台”系统的编号顺序。</w:t>
            </w:r>
          </w:p>
          <w:p w14:paraId="22F11F40">
            <w:pPr>
              <w:pStyle w:val="12"/>
              <w:spacing w:line="360" w:lineRule="auto"/>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符合磋商资格的供应商必须在接到磋商通知后规定时间内参加磋商，未在规定时间内参加磋商的视同放弃参加磋商权利，其响应文件按无效响应处理。</w:t>
            </w:r>
          </w:p>
          <w:p w14:paraId="6CA232EE">
            <w:pPr>
              <w:snapToGrid/>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注：参与磋商前，供应商法定代表人或者委托代理人向磋商小组出示本人有效证件原件（有效证件可以是身份证（含临时身份证明）或者护照的其中一项）。</w:t>
            </w:r>
          </w:p>
        </w:tc>
      </w:tr>
      <w:tr w14:paraId="2C30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1B31BD58">
            <w:pPr>
              <w:spacing w:line="360" w:lineRule="auto"/>
              <w:jc w:val="center"/>
              <w:rPr>
                <w:rFonts w:hint="eastAsia" w:ascii="宋体" w:hAnsi="宋体" w:eastAsia="宋体" w:cs="宋体"/>
                <w:sz w:val="21"/>
                <w:szCs w:val="21"/>
                <w:highlight w:val="none"/>
              </w:rPr>
            </w:pPr>
          </w:p>
        </w:tc>
        <w:tc>
          <w:tcPr>
            <w:tcW w:w="8627" w:type="dxa"/>
            <w:vAlign w:val="center"/>
          </w:tcPr>
          <w:p w14:paraId="4F652EBA">
            <w:pPr>
              <w:spacing w:line="360" w:lineRule="auto"/>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商务要求评审中允许负偏离的条款数为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0项</w:t>
            </w:r>
          </w:p>
          <w:p w14:paraId="54101941">
            <w:pPr>
              <w:spacing w:line="360" w:lineRule="auto"/>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服务要求评审中允许负偏离的条款数为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w:t>
            </w:r>
            <w:r>
              <w:rPr>
                <w:rFonts w:hint="eastAsia" w:ascii="宋体" w:hAnsi="宋体" w:eastAsia="宋体" w:cs="宋体"/>
                <w:sz w:val="21"/>
                <w:szCs w:val="21"/>
                <w:highlight w:val="none"/>
              </w:rPr>
              <w:t>项</w:t>
            </w:r>
          </w:p>
        </w:tc>
      </w:tr>
      <w:tr w14:paraId="6ED3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8DEDF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8627" w:type="dxa"/>
            <w:vAlign w:val="center"/>
          </w:tcPr>
          <w:p w14:paraId="62D34C89">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本项目不收取履约保证金。</w:t>
            </w:r>
          </w:p>
          <w:p w14:paraId="100B68C1">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本项目收取履约保证金：按</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%（注：履约保证金不超过成交金额的5%）。【如为中小型企业，按合同总金额的2%收取</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文件中提交的中小企业声明函为依据</w:t>
            </w:r>
            <w:r>
              <w:rPr>
                <w:rFonts w:hint="eastAsia" w:ascii="宋体" w:hAnsi="宋体" w:eastAsia="宋体" w:cs="宋体"/>
                <w:color w:val="auto"/>
                <w:sz w:val="21"/>
                <w:szCs w:val="21"/>
                <w:highlight w:val="none"/>
              </w:rPr>
              <w:t>】。</w:t>
            </w:r>
          </w:p>
          <w:p w14:paraId="6765967A">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w:t>
            </w:r>
            <w:r>
              <w:rPr>
                <w:rFonts w:hint="eastAsia" w:ascii="宋体" w:hAnsi="宋体" w:cs="宋体"/>
                <w:color w:val="auto"/>
                <w:highlight w:val="none"/>
              </w:rPr>
              <w:t>银行转账、支票、汇票、本票或者金融、担保机构出具的保函等非现金方式（参照</w:t>
            </w:r>
            <w:r>
              <w:rPr>
                <w:rFonts w:hint="eastAsia" w:ascii="宋体" w:hAnsi="宋体" w:cs="宋体"/>
                <w:color w:val="auto"/>
                <w:highlight w:val="none"/>
                <w:lang w:val="en-US" w:eastAsia="zh-CN"/>
              </w:rPr>
              <w:t>磋商</w:t>
            </w:r>
            <w:r>
              <w:rPr>
                <w:rFonts w:hint="eastAsia" w:ascii="宋体" w:hAnsi="宋体" w:cs="宋体"/>
                <w:color w:val="auto"/>
                <w:highlight w:val="none"/>
              </w:rPr>
              <w:t>保证金）</w:t>
            </w:r>
            <w:r>
              <w:rPr>
                <w:rFonts w:hint="eastAsia" w:ascii="宋体" w:hAnsi="宋体" w:cs="宋体"/>
                <w:color w:val="auto"/>
                <w:szCs w:val="21"/>
                <w:highlight w:val="none"/>
              </w:rPr>
              <w:t>。</w:t>
            </w:r>
          </w:p>
          <w:p w14:paraId="1E5C5BC2">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lang w:eastAsia="zh-CN"/>
              </w:rPr>
              <w:t>：如有，将依照采购文件第三章《采购需求》中“商务条款”约定。</w:t>
            </w:r>
          </w:p>
          <w:p w14:paraId="22CB96D7">
            <w:pPr>
              <w:shd w:val="clear" w:color="auto" w:fill="auto"/>
              <w:snapToGrid w:val="0"/>
              <w:spacing w:afterLines="0" w:line="360" w:lineRule="auto"/>
              <w:ind w:firstLine="420"/>
              <w:rPr>
                <w:rFonts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4D060D62">
            <w:pPr>
              <w:shd w:val="clear" w:color="auto" w:fill="auto"/>
              <w:snapToGrid w:val="0"/>
              <w:spacing w:afterLines="0" w:line="360" w:lineRule="auto"/>
              <w:ind w:firstLine="420"/>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AEEC047">
            <w:pPr>
              <w:shd w:val="clear" w:color="auto" w:fill="auto"/>
              <w:snapToGrid w:val="0"/>
              <w:spacing w:afterLines="0"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开户名称：桂林市中西医结合医院</w:t>
            </w:r>
          </w:p>
          <w:p w14:paraId="169D1FA1">
            <w:pPr>
              <w:shd w:val="clear" w:color="auto" w:fill="auto"/>
              <w:snapToGrid w:val="0"/>
              <w:spacing w:afterLines="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开户银行：</w:t>
            </w:r>
          </w:p>
          <w:p w14:paraId="09E3B6F8">
            <w:pPr>
              <w:shd w:val="clear" w:color="auto" w:fill="auto"/>
              <w:snapToGrid w:val="0"/>
              <w:spacing w:afterLines="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银行账号：</w:t>
            </w:r>
          </w:p>
          <w:p w14:paraId="05AEB961">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E7B4F97">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4E68EC9F">
            <w:pPr>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 w:val="21"/>
                <w:szCs w:val="21"/>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454937E9">
            <w:pPr>
              <w:autoSpaceDE/>
              <w:autoSpaceDN/>
              <w:snapToGrid/>
              <w:spacing w:line="360" w:lineRule="auto"/>
              <w:textAlignment w:val="bottom"/>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3.采用保函的，必须为无条件保函，否则视为无效履约保证金。</w:t>
            </w:r>
          </w:p>
          <w:p w14:paraId="657CDAAA">
            <w:pPr>
              <w:autoSpaceDE/>
              <w:autoSpaceDN/>
              <w:snapToGrid/>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为联合体的，由联合体其中一方按规定提交的履约保证金，视为有效履约保证金。</w:t>
            </w:r>
          </w:p>
        </w:tc>
      </w:tr>
      <w:tr w14:paraId="15CE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3AA68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29.1</w:t>
            </w:r>
          </w:p>
        </w:tc>
        <w:tc>
          <w:tcPr>
            <w:tcW w:w="8627" w:type="dxa"/>
            <w:vAlign w:val="center"/>
          </w:tcPr>
          <w:p w14:paraId="59DB3E8B">
            <w:pPr>
              <w:autoSpaceDE/>
              <w:autoSpaceDN/>
              <w:snapToGrid/>
              <w:spacing w:line="360" w:lineRule="auto"/>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签订合同携带的证明材料：</w:t>
            </w:r>
          </w:p>
          <w:p w14:paraId="3EB5CBF0">
            <w:pPr>
              <w:autoSpaceDE/>
              <w:autoSpaceDN/>
              <w:snapToGrid/>
              <w:spacing w:line="360" w:lineRule="auto"/>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1.委托代理人负责签订合同的，须携带授权委托书及委托代理人身份证原件等其他资格证件。</w:t>
            </w:r>
          </w:p>
          <w:p w14:paraId="2118DA1E">
            <w:pPr>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2.法定代表人负责签订合同的，须携带法定代表人身份证明原件及身份证原件等其他证明材料。</w:t>
            </w:r>
          </w:p>
        </w:tc>
      </w:tr>
      <w:tr w14:paraId="0F7B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42FF5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31.2</w:t>
            </w:r>
          </w:p>
        </w:tc>
        <w:tc>
          <w:tcPr>
            <w:tcW w:w="8627" w:type="dxa"/>
            <w:vAlign w:val="center"/>
          </w:tcPr>
          <w:p w14:paraId="3CFDDCBF">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接收质疑函方式：以纸质书面形式。</w:t>
            </w:r>
          </w:p>
          <w:p w14:paraId="5BDDF5B7">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质疑联系部门及联系方式：</w:t>
            </w:r>
            <w:r>
              <w:rPr>
                <w:rFonts w:hint="eastAsia" w:ascii="宋体" w:hAnsi="宋体" w:eastAsia="宋体" w:cs="宋体"/>
                <w:b w:val="0"/>
                <w:color w:val="auto"/>
                <w:sz w:val="21"/>
                <w:szCs w:val="21"/>
                <w:highlight w:val="none"/>
                <w:lang w:val="en-US" w:eastAsia="zh-CN"/>
              </w:rPr>
              <w:t>广西达成咨询有限公司</w:t>
            </w:r>
          </w:p>
          <w:p w14:paraId="16A9F4B1">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质疑联系人：</w:t>
            </w:r>
            <w:r>
              <w:rPr>
                <w:rFonts w:hint="eastAsia" w:ascii="宋体" w:hAnsi="宋体" w:eastAsia="宋体" w:cs="宋体"/>
                <w:sz w:val="21"/>
                <w:szCs w:val="21"/>
                <w:highlight w:val="none"/>
                <w:lang w:val="en-US" w:eastAsia="zh-CN"/>
              </w:rPr>
              <w:t>毛崇文</w:t>
            </w:r>
            <w:r>
              <w:rPr>
                <w:rFonts w:hint="eastAsia" w:ascii="宋体" w:hAnsi="宋体" w:eastAsia="宋体" w:cs="宋体"/>
                <w:sz w:val="21"/>
                <w:szCs w:val="21"/>
                <w:highlight w:val="none"/>
              </w:rPr>
              <w:t xml:space="preserve">  联系电话：</w:t>
            </w:r>
            <w:r>
              <w:rPr>
                <w:rFonts w:hint="eastAsia" w:ascii="宋体" w:hAnsi="宋体" w:eastAsia="宋体" w:cs="宋体"/>
                <w:color w:val="auto"/>
                <w:kern w:val="2"/>
                <w:sz w:val="21"/>
                <w:highlight w:val="none"/>
                <w:u w:val="none"/>
                <w:lang w:eastAsia="zh-CN"/>
              </w:rPr>
              <w:t>0773-3569998</w:t>
            </w:r>
          </w:p>
          <w:p w14:paraId="1E733E91">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通讯地址：</w:t>
            </w:r>
            <w:r>
              <w:rPr>
                <w:rFonts w:hint="eastAsia" w:ascii="宋体" w:hAnsi="宋体" w:eastAsia="宋体" w:cs="宋体"/>
                <w:sz w:val="21"/>
                <w:szCs w:val="21"/>
                <w:highlight w:val="none"/>
                <w:lang w:val="en-US" w:eastAsia="zh-CN"/>
              </w:rPr>
              <w:t>桂林市滨江路18号滨江大厦5楼</w:t>
            </w:r>
          </w:p>
          <w:p w14:paraId="726652A9">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业务时间：工作日，上午</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:00-12:00；下午15:00-18:00（北京时间）</w:t>
            </w:r>
          </w:p>
        </w:tc>
      </w:tr>
      <w:tr w14:paraId="1960B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122DB83A">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8627" w:type="dxa"/>
            <w:vAlign w:val="center"/>
          </w:tcPr>
          <w:p w14:paraId="7C2B6206">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highlight w:val="none"/>
                <w:lang w:bidi="ar"/>
              </w:rPr>
              <w:t>.</w:t>
            </w:r>
            <w:r>
              <w:rPr>
                <w:rFonts w:hint="eastAsia" w:ascii="宋体" w:hAnsi="宋体" w:eastAsia="宋体" w:cs="宋体"/>
                <w:sz w:val="21"/>
                <w:szCs w:val="21"/>
                <w:highlight w:val="none"/>
              </w:rPr>
              <w:t>采购代理服务费支付方式：本项目的招标代理服务费按以下收费标准向成交供应商收取。</w:t>
            </w:r>
          </w:p>
          <w:p w14:paraId="2293610A">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highlight w:val="none"/>
                <w:lang w:bidi="ar"/>
              </w:rPr>
              <w:t>.</w:t>
            </w:r>
            <w:r>
              <w:rPr>
                <w:rFonts w:hint="eastAsia" w:ascii="宋体" w:hAnsi="宋体" w:eastAsia="宋体" w:cs="宋体"/>
                <w:sz w:val="21"/>
                <w:szCs w:val="21"/>
                <w:highlight w:val="none"/>
              </w:rPr>
              <w:t>采购代理服务费收取标准：</w:t>
            </w:r>
          </w:p>
          <w:p w14:paraId="37BE892B">
            <w:pPr>
              <w:pStyle w:val="17"/>
              <w:snapToGrid w:val="0"/>
              <w:spacing w:line="360" w:lineRule="auto"/>
              <w:ind w:firstLine="420" w:firstLineChars="200"/>
              <w:rPr>
                <w:rFonts w:hint="default" w:hAnsi="宋体" w:cs="宋体"/>
                <w:color w:val="auto"/>
                <w:sz w:val="21"/>
                <w:highlight w:val="none"/>
                <w:lang w:val="en-US" w:eastAsia="zh-CN"/>
              </w:rPr>
            </w:pPr>
            <w:r>
              <w:rPr>
                <w:rFonts w:hint="eastAsia" w:hAnsi="宋体" w:cs="宋体"/>
                <w:color w:val="auto"/>
                <w:sz w:val="21"/>
                <w:highlight w:val="none"/>
                <w:lang w:val="en-US" w:eastAsia="zh-CN"/>
              </w:rPr>
              <w:t>☑参照国家发展计划委员会文件关于印发《招标代理服务收费管理暂行办法》的通知（计价格〔2002〕1980号）和《国家发展改革委关于降低部分</w:t>
            </w:r>
            <w:r>
              <w:rPr>
                <w:rFonts w:hint="eastAsia" w:hAnsi="宋体" w:cs="宋体"/>
                <w:color w:val="auto"/>
                <w:sz w:val="21"/>
                <w:highlight w:val="none"/>
                <w:shd w:val="clear"/>
                <w:lang w:val="en-US" w:eastAsia="zh-CN"/>
              </w:rPr>
              <w:t>建设项目收费标准规范收费行为等有关问题的通知》（发改价格〔2011〕534号）的收费标准30%收</w:t>
            </w:r>
            <w:r>
              <w:rPr>
                <w:rFonts w:hint="eastAsia" w:hAnsi="宋体" w:cs="宋体"/>
                <w:color w:val="auto"/>
                <w:sz w:val="21"/>
                <w:highlight w:val="none"/>
                <w:lang w:val="en-US" w:eastAsia="zh-CN"/>
              </w:rPr>
              <w:t>取代理服务费（代理服务费不足5000元按5000元计取）。</w:t>
            </w:r>
          </w:p>
          <w:p w14:paraId="25C70FA5">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highlight w:val="none"/>
                <w:lang w:bidi="ar"/>
              </w:rPr>
              <w:t>.</w:t>
            </w:r>
            <w:r>
              <w:rPr>
                <w:rFonts w:hint="eastAsia" w:ascii="宋体" w:hAnsi="宋体" w:eastAsia="宋体" w:cs="宋体"/>
                <w:sz w:val="21"/>
                <w:szCs w:val="21"/>
                <w:highlight w:val="none"/>
              </w:rPr>
              <w:t>采购代理服务费收取银行账号</w:t>
            </w:r>
            <w:r>
              <w:rPr>
                <w:rFonts w:hint="eastAsia" w:ascii="宋体" w:hAnsi="宋体" w:eastAsia="宋体" w:cs="宋体"/>
                <w:sz w:val="21"/>
                <w:szCs w:val="21"/>
                <w:highlight w:val="none"/>
                <w:lang w:eastAsia="zh-CN"/>
              </w:rPr>
              <w:t>：</w:t>
            </w:r>
          </w:p>
          <w:p w14:paraId="114B59DC">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开户名称：广西达成咨询有限公司第十一分公司</w:t>
            </w:r>
          </w:p>
          <w:p w14:paraId="313B0C09">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开户银行：桂林银行股份有限公司秀峰支行</w:t>
            </w:r>
          </w:p>
          <w:p w14:paraId="46A9BE0F">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银行账号：660000022460000016</w:t>
            </w:r>
          </w:p>
        </w:tc>
      </w:tr>
      <w:tr w14:paraId="5AC2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5F5A1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8627" w:type="dxa"/>
            <w:vAlign w:val="center"/>
          </w:tcPr>
          <w:p w14:paraId="00E4A1DC">
            <w:pPr>
              <w:pStyle w:val="17"/>
              <w:snapToGrid/>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F3B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45CB6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33.2</w:t>
            </w:r>
          </w:p>
        </w:tc>
        <w:tc>
          <w:tcPr>
            <w:tcW w:w="8627" w:type="dxa"/>
            <w:vAlign w:val="center"/>
          </w:tcPr>
          <w:p w14:paraId="271E7B5A">
            <w:pPr>
              <w:pStyle w:val="17"/>
              <w:snapToGrid/>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1.本磋商文件中描述</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的“公章”是指根据我国对公章的管理规定，用供应商法定主体名称制作的印章</w:t>
            </w:r>
            <w:r>
              <w:rPr>
                <w:rFonts w:hint="eastAsia" w:ascii="宋体" w:hAnsi="宋体" w:eastAsia="宋体" w:cs="宋体"/>
                <w:sz w:val="21"/>
                <w:szCs w:val="21"/>
                <w:highlight w:val="none"/>
              </w:rPr>
              <w:t>或供应商通过指定电子化政府采购平台办理数字证书（CA认证）获得的以法定主体名称制作的电子印章。</w:t>
            </w:r>
            <w:r>
              <w:rPr>
                <w:rFonts w:hint="eastAsia" w:ascii="宋体" w:hAnsi="宋体" w:eastAsia="宋体" w:cs="宋体"/>
                <w:bCs/>
                <w:sz w:val="21"/>
                <w:szCs w:val="21"/>
                <w:highlight w:val="none"/>
              </w:rPr>
              <w:t>除本磋商文件有特殊规定外，供应商的财务章、部门章、分公司章、工会章、合同章、投标专用章、业务专用章及银行的转账章、现金收讫章、现金付讫章等其他形式印章均不能代替公章。</w:t>
            </w:r>
          </w:p>
          <w:p w14:paraId="418B5C5F">
            <w:pPr>
              <w:pStyle w:val="17"/>
              <w:snapToGrid/>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2.供应商为其他组织或者自然人时，本磋商文件规定的法定代表人指负责人或者自然人。本磋商文件所称负责人是指参加</w:t>
            </w:r>
            <w:r>
              <w:rPr>
                <w:rFonts w:hint="eastAsia" w:ascii="宋体" w:hAnsi="宋体" w:eastAsia="宋体" w:cs="宋体"/>
                <w:sz w:val="21"/>
                <w:szCs w:val="21"/>
                <w:highlight w:val="none"/>
              </w:rPr>
              <w:t>竞争性磋商</w:t>
            </w:r>
            <w:r>
              <w:rPr>
                <w:rFonts w:hint="eastAsia" w:ascii="宋体" w:hAnsi="宋体" w:eastAsia="宋体" w:cs="宋体"/>
                <w:bCs/>
                <w:sz w:val="21"/>
                <w:szCs w:val="21"/>
                <w:highlight w:val="none"/>
              </w:rPr>
              <w:t>的其他组织营业执照或者执业许可证等证照上的负责人，本磋商文件所称自然人指参与</w:t>
            </w:r>
            <w:r>
              <w:rPr>
                <w:rFonts w:hint="eastAsia" w:ascii="宋体" w:hAnsi="宋体" w:eastAsia="宋体" w:cs="宋体"/>
                <w:sz w:val="21"/>
                <w:szCs w:val="21"/>
                <w:highlight w:val="none"/>
              </w:rPr>
              <w:t>竞争性磋商</w:t>
            </w:r>
            <w:r>
              <w:rPr>
                <w:rFonts w:hint="eastAsia" w:ascii="宋体" w:hAnsi="宋体" w:eastAsia="宋体" w:cs="宋体"/>
                <w:bCs/>
                <w:sz w:val="21"/>
                <w:szCs w:val="21"/>
                <w:highlight w:val="none"/>
              </w:rPr>
              <w:t>的自然人本人，且应具备独立承担民事责任能力，自然人应当为年满18岁以上成年人（十六周岁以上的未成年人，以自己的劳动收入为主要生活来源的，视为完全民事行为能力人）。</w:t>
            </w:r>
          </w:p>
          <w:p w14:paraId="0AEC1FAA">
            <w:pPr>
              <w:pStyle w:val="17"/>
              <w:snapToGrid/>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3.本磋商文件中描述</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的“签字”是指供应商的法定代表人或者委托代理人</w:t>
            </w:r>
            <w:r>
              <w:rPr>
                <w:rFonts w:hint="eastAsia" w:ascii="宋体" w:hAnsi="宋体" w:eastAsia="宋体" w:cs="宋体"/>
                <w:sz w:val="21"/>
                <w:szCs w:val="21"/>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宋体" w:hAnsi="宋体" w:eastAsia="宋体" w:cs="宋体"/>
                <w:bCs/>
                <w:sz w:val="21"/>
                <w:szCs w:val="21"/>
                <w:highlight w:val="none"/>
              </w:rPr>
              <w:t>。</w:t>
            </w:r>
          </w:p>
          <w:p w14:paraId="7C5FE3A2">
            <w:pPr>
              <w:pStyle w:val="17"/>
              <w:snapToGrid/>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8E62309">
            <w:pPr>
              <w:pStyle w:val="17"/>
              <w:snapToGrid/>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5.自然人参加</w:t>
            </w:r>
            <w:r>
              <w:rPr>
                <w:rFonts w:hint="eastAsia" w:ascii="宋体" w:hAnsi="宋体" w:eastAsia="宋体" w:cs="宋体"/>
                <w:sz w:val="21"/>
                <w:szCs w:val="21"/>
                <w:highlight w:val="none"/>
              </w:rPr>
              <w:t>竞争性磋商</w:t>
            </w:r>
            <w:r>
              <w:rPr>
                <w:rFonts w:hint="eastAsia" w:ascii="宋体" w:hAnsi="宋体" w:eastAsia="宋体" w:cs="宋体"/>
                <w:bCs/>
                <w:sz w:val="21"/>
                <w:szCs w:val="21"/>
                <w:highlight w:val="none"/>
              </w:rPr>
              <w:t>的，磋商文件规定盖公章处由自然人摁手指指印。</w:t>
            </w:r>
          </w:p>
          <w:p w14:paraId="30676C48">
            <w:pPr>
              <w:pStyle w:val="17"/>
              <w:snapToGrid/>
              <w:spacing w:line="360" w:lineRule="auto"/>
              <w:rPr>
                <w:rFonts w:hint="eastAsia" w:ascii="宋体" w:hAnsi="宋体" w:eastAsia="宋体" w:cs="宋体"/>
                <w:sz w:val="21"/>
                <w:szCs w:val="21"/>
                <w:highlight w:val="none"/>
              </w:rPr>
            </w:pPr>
            <w:r>
              <w:rPr>
                <w:rFonts w:hint="eastAsia" w:ascii="宋体" w:hAnsi="宋体" w:eastAsia="宋体" w:cs="宋体"/>
                <w:bCs/>
                <w:sz w:val="21"/>
                <w:highlight w:val="none"/>
              </w:rPr>
              <w:t>6.本磋商文件所称的“以上”“以下”“以内”“届满”，包括本数；所称的“不满”“超过”“以外”，不包括本数。</w:t>
            </w:r>
          </w:p>
        </w:tc>
      </w:tr>
    </w:tbl>
    <w:p w14:paraId="5645E55A">
      <w:pPr>
        <w:spacing w:line="360" w:lineRule="auto"/>
        <w:jc w:val="center"/>
        <w:rPr>
          <w:rFonts w:ascii="宋体" w:hAnsi="宋体" w:cs="宋体"/>
          <w:b/>
          <w:sz w:val="32"/>
          <w:szCs w:val="32"/>
          <w:highlight w:val="none"/>
        </w:rPr>
      </w:pPr>
      <w:r>
        <w:rPr>
          <w:rFonts w:hint="eastAsia" w:ascii="宋体" w:hAnsi="宋体" w:eastAsia="宋体" w:cs="宋体"/>
          <w:b/>
          <w:sz w:val="21"/>
          <w:szCs w:val="21"/>
          <w:highlight w:val="none"/>
        </w:rPr>
        <w:br w:type="page"/>
      </w:r>
      <w:r>
        <w:rPr>
          <w:rFonts w:hint="eastAsia" w:ascii="宋体" w:hAnsi="宋体" w:cs="宋体"/>
          <w:b/>
          <w:sz w:val="32"/>
          <w:szCs w:val="32"/>
          <w:highlight w:val="none"/>
        </w:rPr>
        <w:t>供应商须知正文</w:t>
      </w:r>
    </w:p>
    <w:p w14:paraId="5C9291D4">
      <w:pPr>
        <w:spacing w:line="400" w:lineRule="exact"/>
        <w:jc w:val="center"/>
        <w:rPr>
          <w:rFonts w:ascii="宋体" w:hAnsi="宋体" w:cs="宋体"/>
          <w:b/>
          <w:sz w:val="32"/>
          <w:szCs w:val="32"/>
          <w:highlight w:val="none"/>
        </w:rPr>
      </w:pPr>
    </w:p>
    <w:p w14:paraId="5D8EB7BC">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一、总则</w:t>
      </w:r>
    </w:p>
    <w:p w14:paraId="1B37CE7E">
      <w:pPr>
        <w:spacing w:line="400" w:lineRule="exact"/>
        <w:rPr>
          <w:rFonts w:ascii="宋体" w:hAnsi="宋体" w:cs="宋体"/>
          <w:szCs w:val="21"/>
          <w:highlight w:val="none"/>
        </w:rPr>
      </w:pPr>
    </w:p>
    <w:p w14:paraId="4479F338">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1.适用范围</w:t>
      </w:r>
    </w:p>
    <w:p w14:paraId="50CAC7B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1E50DF4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w:t>
      </w:r>
      <w:r>
        <w:rPr>
          <w:rFonts w:hint="eastAsia" w:ascii="宋体" w:hAnsi="宋体" w:cs="宋体"/>
          <w:spacing w:val="-6"/>
          <w:sz w:val="21"/>
          <w:szCs w:val="21"/>
          <w:highlight w:val="none"/>
        </w:rPr>
        <w:t>本竞争性磋商文件（以下简称磋商文件）适用于本项目的所有采购程序和环节（法律、法规另有规定的，从其规定）。</w:t>
      </w:r>
    </w:p>
    <w:p w14:paraId="364BF34E">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2.定义</w:t>
      </w:r>
    </w:p>
    <w:p w14:paraId="08A22CC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2.1“采购人”是指依法进行政府采购的国家机关、事业单位、团体组织。</w:t>
      </w:r>
    </w:p>
    <w:p w14:paraId="04C0FD5B">
      <w:pPr>
        <w:spacing w:line="360" w:lineRule="auto"/>
        <w:ind w:firstLine="420" w:firstLineChars="200"/>
        <w:rPr>
          <w:rFonts w:ascii="宋体" w:hAnsi="宋体" w:cs="宋体"/>
          <w:sz w:val="21"/>
          <w:szCs w:val="21"/>
          <w:highlight w:val="none"/>
          <w:u w:val="single"/>
        </w:rPr>
      </w:pPr>
      <w:r>
        <w:rPr>
          <w:rFonts w:hint="eastAsia" w:ascii="宋体" w:hAnsi="宋体" w:cs="宋体"/>
          <w:sz w:val="21"/>
          <w:szCs w:val="21"/>
          <w:highlight w:val="none"/>
        </w:rPr>
        <w:t>2.2“采购代理机构”是指政府采购集中采购机构和集中采购机构以外的采购代理机构。</w:t>
      </w:r>
    </w:p>
    <w:p w14:paraId="3C4BCC7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2.3“供应商”是指向采购人提供货物、工程或者服务的法人、其他组织或者自然人。</w:t>
      </w:r>
    </w:p>
    <w:p w14:paraId="0B02298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2.4“服务”是指除货物和工程以外的其他政府采购对象。</w:t>
      </w:r>
    </w:p>
    <w:p w14:paraId="4E01C87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2.5“</w:t>
      </w:r>
      <w:r>
        <w:rPr>
          <w:rFonts w:hint="eastAsia" w:hAnsi="宋体" w:cs="宋体"/>
          <w:sz w:val="21"/>
          <w:szCs w:val="21"/>
          <w:highlight w:val="none"/>
        </w:rPr>
        <w:t>竞争性磋商</w:t>
      </w:r>
      <w:r>
        <w:rPr>
          <w:rFonts w:hint="eastAsia" w:ascii="宋体" w:hAnsi="宋体" w:cs="宋体"/>
          <w:sz w:val="21"/>
          <w:szCs w:val="21"/>
          <w:highlight w:val="none"/>
        </w:rPr>
        <w:t>”是指供应商按照本项目竞争性磋商公告或者邀请函规定的方式获取磋商文件、提交响应文件并希望获得标的的行为。</w:t>
      </w:r>
    </w:p>
    <w:p w14:paraId="4E895784">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2.6“书面形式”是指合同书、信件和数据电文（包括电报、电传、传真、电子数据交换和电子邮件）等可以有形地表现所载内容的形式。</w:t>
      </w:r>
    </w:p>
    <w:p w14:paraId="57FB0351">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2.7“响应文件”</w:t>
      </w:r>
      <w:r>
        <w:rPr>
          <w:rFonts w:hint="eastAsia" w:ascii="宋体" w:hAnsi="宋体" w:cs="宋体"/>
          <w:spacing w:val="-6"/>
          <w:sz w:val="21"/>
          <w:szCs w:val="21"/>
          <w:highlight w:val="none"/>
        </w:rPr>
        <w:t>是指：供应商根据本磋商文件要求，编制包含资格证明、报价商务技术等所有内容的文件。</w:t>
      </w:r>
    </w:p>
    <w:p w14:paraId="782FE228">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2.8“实质性要求”是指磋商文件中已经指明不满足则响应文件按无效响应处理的条款，或者不能负偏离的条款，或者采购需求中带“▲”的条款。</w:t>
      </w:r>
    </w:p>
    <w:p w14:paraId="44559DED">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2.9“正偏离”，是指响应文件对磋商文件“采购需求”中有关条款作出的响应优于条款要求并有利于采购人的情形。</w:t>
      </w:r>
    </w:p>
    <w:p w14:paraId="71E45A88">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2.10“负偏离”，是指响应文件对磋商文件“采购需求”中有关条款作出的响应不满足条款要求，导致采购人要求不能得到满足的情形。</w:t>
      </w:r>
    </w:p>
    <w:p w14:paraId="37BA13A7">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2.11“允许负偏离的条款”是指采购需求中的不属于“实质性要求”的条款。</w:t>
      </w:r>
    </w:p>
    <w:p w14:paraId="068269B9">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2.12“首次报价”是指供应商提交的首次响应文件中的报价。</w:t>
      </w:r>
    </w:p>
    <w:p w14:paraId="0DD24C24">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3.供应商的资格条件</w:t>
      </w:r>
    </w:p>
    <w:p w14:paraId="70E27E2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供应商的资格条件详见“供应商须知前附表”。</w:t>
      </w:r>
    </w:p>
    <w:p w14:paraId="6C6EF61E">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4.</w:t>
      </w:r>
      <w:r>
        <w:rPr>
          <w:rFonts w:hint="eastAsia" w:hAnsi="宋体" w:cs="宋体"/>
          <w:b/>
          <w:sz w:val="21"/>
          <w:szCs w:val="21"/>
          <w:highlight w:val="none"/>
        </w:rPr>
        <w:t>竞争性磋商</w:t>
      </w:r>
      <w:r>
        <w:rPr>
          <w:rFonts w:hint="eastAsia" w:ascii="宋体" w:hAnsi="宋体" w:cs="宋体"/>
          <w:b/>
          <w:bCs/>
          <w:sz w:val="21"/>
          <w:szCs w:val="21"/>
          <w:highlight w:val="none"/>
        </w:rPr>
        <w:t>费用</w:t>
      </w:r>
    </w:p>
    <w:p w14:paraId="7D3039B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供应商应承担参与本次采购活动有关的所有费用，包括但不限于获取磋商文件、勘查现场、编制和提交响应文件、参加磋商与应答、签订合同等，不论</w:t>
      </w:r>
      <w:r>
        <w:rPr>
          <w:rFonts w:hint="eastAsia" w:hAnsi="宋体" w:cs="宋体"/>
          <w:sz w:val="21"/>
          <w:szCs w:val="21"/>
          <w:highlight w:val="none"/>
        </w:rPr>
        <w:t>竞争性磋商</w:t>
      </w:r>
      <w:r>
        <w:rPr>
          <w:rFonts w:hint="eastAsia" w:ascii="宋体" w:hAnsi="宋体" w:cs="宋体"/>
          <w:sz w:val="21"/>
          <w:szCs w:val="21"/>
          <w:highlight w:val="none"/>
        </w:rPr>
        <w:t>结果如何，均应自行承担。</w:t>
      </w:r>
    </w:p>
    <w:p w14:paraId="259FEF82">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5.联合体参加竞争性磋商</w:t>
      </w:r>
    </w:p>
    <w:p w14:paraId="526AA2D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5.1本项目是否接受联合体参加竞争性磋商，详见“供应商须知前附表”。</w:t>
      </w:r>
    </w:p>
    <w:p w14:paraId="29301C6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5.2如接受联合体参加</w:t>
      </w:r>
      <w:r>
        <w:rPr>
          <w:rFonts w:hint="eastAsia" w:hAnsi="宋体" w:cs="宋体"/>
          <w:sz w:val="21"/>
          <w:szCs w:val="21"/>
          <w:highlight w:val="none"/>
        </w:rPr>
        <w:t>竞争性磋商</w:t>
      </w:r>
      <w:r>
        <w:rPr>
          <w:rFonts w:hint="eastAsia" w:ascii="宋体" w:hAnsi="宋体" w:cs="宋体"/>
          <w:sz w:val="21"/>
          <w:szCs w:val="21"/>
          <w:highlight w:val="none"/>
        </w:rPr>
        <w:t>，相关要求详见“供应商须知前附表”。</w:t>
      </w:r>
    </w:p>
    <w:p w14:paraId="0DDA2E0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5.3</w:t>
      </w:r>
      <w:bookmarkStart w:id="15" w:name="_Hlk66782192"/>
      <w:r>
        <w:rPr>
          <w:rFonts w:hint="eastAsia" w:ascii="宋体" w:hAnsi="宋体" w:cs="宋体"/>
          <w:sz w:val="21"/>
          <w:szCs w:val="21"/>
          <w:highlight w:val="none"/>
        </w:rPr>
        <w:t>根据《政府采购促进中小企业发展管理办法》（财库〔2020〕46号）</w:t>
      </w:r>
      <w:r>
        <w:rPr>
          <w:rFonts w:hint="eastAsia" w:ascii="宋体" w:hAnsi="宋体" w:cs="宋体"/>
          <w:sz w:val="21"/>
          <w:szCs w:val="21"/>
          <w:highlight w:val="none"/>
          <w:lang w:eastAsia="zh-CN"/>
        </w:rPr>
        <w:t>、</w:t>
      </w:r>
      <w:r>
        <w:rPr>
          <w:rFonts w:hint="eastAsia" w:ascii="宋体" w:hAnsi="宋体" w:eastAsia="宋体" w:cs="宋体"/>
          <w:color w:val="auto"/>
          <w:szCs w:val="21"/>
          <w:highlight w:val="none"/>
        </w:rPr>
        <w:t>广西壮族自治区财政厅关于进一步发挥政府采购政策功能促进企业发展的通知》（桂财采〔2022〕3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eastAsia="zh-CN"/>
        </w:rPr>
        <w:t>及《广西壮族自治区财政厅关于持续优化政府采购营商环境推动高质量发展的通知》</w:t>
      </w:r>
      <w:r>
        <w:rPr>
          <w:rFonts w:hint="eastAsia" w:ascii="宋体" w:hAnsi="宋体" w:eastAsia="宋体" w:cs="宋体"/>
          <w:color w:val="auto"/>
          <w:szCs w:val="21"/>
          <w:highlight w:val="none"/>
        </w:rPr>
        <w:t>（桂财采〔202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55</w:t>
      </w:r>
      <w:r>
        <w:rPr>
          <w:rFonts w:hint="eastAsia" w:ascii="宋体" w:hAnsi="宋体" w:eastAsia="宋体" w:cs="宋体"/>
          <w:color w:val="auto"/>
          <w:szCs w:val="21"/>
          <w:highlight w:val="none"/>
        </w:rPr>
        <w:t>号）</w:t>
      </w:r>
      <w:r>
        <w:rPr>
          <w:rFonts w:hint="eastAsia" w:ascii="宋体" w:hAnsi="宋体" w:cs="宋体"/>
          <w:sz w:val="21"/>
          <w:szCs w:val="21"/>
          <w:highlight w:val="none"/>
          <w:lang w:val="en-US" w:eastAsia="zh-CN"/>
        </w:rPr>
        <w:t>规定</w:t>
      </w:r>
      <w:r>
        <w:rPr>
          <w:rFonts w:hint="eastAsia" w:ascii="宋体" w:hAnsi="宋体" w:cs="宋体"/>
          <w:sz w:val="21"/>
          <w:szCs w:val="21"/>
          <w:highlight w:val="none"/>
        </w:rPr>
        <w:t>。货物服务采购项目给予小微企业的价格扣除优惠</w:t>
      </w:r>
      <w:r>
        <w:rPr>
          <w:rFonts w:hint="eastAsia" w:ascii="宋体" w:hAnsi="宋体" w:cs="宋体"/>
          <w:sz w:val="21"/>
          <w:szCs w:val="21"/>
          <w:highlight w:val="none"/>
          <w:lang w:val="en-US" w:eastAsia="zh-CN"/>
        </w:rPr>
        <w:t>1</w:t>
      </w:r>
      <w:r>
        <w:rPr>
          <w:rFonts w:hint="eastAsia" w:ascii="宋体" w:hAnsi="宋体" w:cs="宋体"/>
          <w:sz w:val="21"/>
          <w:szCs w:val="21"/>
          <w:highlight w:val="none"/>
        </w:rPr>
        <w:t>0%。大中型企业与小微企业组成联合体或者大中型企业向小微企业分包的，对于联合协议约定小微企业的合同份额占到合同总金额 30%以上的，评审优惠</w:t>
      </w:r>
      <w:r>
        <w:rPr>
          <w:rFonts w:ascii="宋体" w:hAnsi="宋体" w:cs="宋体"/>
          <w:sz w:val="21"/>
          <w:szCs w:val="21"/>
          <w:highlight w:val="none"/>
        </w:rPr>
        <w:t>6%</w:t>
      </w:r>
      <w:r>
        <w:rPr>
          <w:rFonts w:hint="eastAsia" w:ascii="宋体" w:hAnsi="宋体" w:cs="宋体"/>
          <w:sz w:val="21"/>
          <w:szCs w:val="21"/>
          <w:highlight w:val="none"/>
        </w:rPr>
        <w:t>，用扣除后的价格参加评审。</w:t>
      </w:r>
      <w:bookmarkEnd w:id="15"/>
    </w:p>
    <w:p w14:paraId="2EF545F3">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 xml:space="preserve">6.转包与分包             </w:t>
      </w:r>
    </w:p>
    <w:p w14:paraId="49CF9FD6">
      <w:pPr>
        <w:spacing w:line="360" w:lineRule="auto"/>
        <w:ind w:firstLine="420" w:firstLineChars="200"/>
        <w:rPr>
          <w:rFonts w:hint="eastAsia" w:ascii="宋体" w:hAnsi="宋体" w:eastAsia="宋体" w:cs="宋体"/>
          <w:szCs w:val="21"/>
          <w:highlight w:val="none"/>
        </w:rPr>
      </w:pPr>
      <w:bookmarkStart w:id="16" w:name="_Toc254970532"/>
      <w:bookmarkStart w:id="17" w:name="_Toc254970673"/>
      <w:r>
        <w:rPr>
          <w:rFonts w:hint="eastAsia" w:ascii="宋体" w:hAnsi="宋体" w:eastAsia="宋体" w:cs="宋体"/>
          <w:szCs w:val="21"/>
          <w:highlight w:val="none"/>
        </w:rPr>
        <w:t>6.1本项目不允许转包。</w:t>
      </w:r>
    </w:p>
    <w:p w14:paraId="6CD1DD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E84D42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4A89593">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7.特别说明</w:t>
      </w:r>
      <w:bookmarkEnd w:id="16"/>
      <w:bookmarkEnd w:id="17"/>
    </w:p>
    <w:p w14:paraId="03C84872">
      <w:pPr>
        <w:spacing w:line="360" w:lineRule="auto"/>
        <w:ind w:firstLine="420" w:firstLineChars="200"/>
        <w:rPr>
          <w:rFonts w:ascii="宋体" w:hAnsi="宋体" w:cs="宋体"/>
          <w:sz w:val="21"/>
          <w:szCs w:val="21"/>
          <w:highlight w:val="none"/>
        </w:rPr>
      </w:pPr>
      <w:bookmarkStart w:id="18" w:name="_8.1提供相同品牌产品且通过资格审查、符合性审查的不同投标人参加同一合"/>
      <w:bookmarkEnd w:id="18"/>
      <w:r>
        <w:rPr>
          <w:rFonts w:hint="eastAsia" w:ascii="宋体" w:hAnsi="宋体" w:cs="宋体"/>
          <w:sz w:val="21"/>
          <w:szCs w:val="21"/>
          <w:highlight w:val="none"/>
        </w:rPr>
        <w:t>7.1</w:t>
      </w:r>
      <w:bookmarkStart w:id="19" w:name="_Hlk65832145"/>
      <w:r>
        <w:rPr>
          <w:rFonts w:hint="eastAsia" w:ascii="宋体" w:hAnsi="宋体" w:cs="宋体"/>
          <w:sz w:val="21"/>
          <w:szCs w:val="21"/>
          <w:highlight w:val="none"/>
        </w:rPr>
        <w:t>如果本磋商文件要求提供供应商或制造商的资格、信誉、荣誉、业绩与企业认证等材料的，资格、信誉、荣誉、业绩与企业认证等必须为供应商或者制造商所拥有或自身获得。</w:t>
      </w:r>
    </w:p>
    <w:bookmarkEnd w:id="19"/>
    <w:p w14:paraId="730DC4D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7.2供应商应仔细阅读磋商文件的所有内容，按照磋商文件的要求提交响应文件，并对所提供的全部资料的真实性承担法律责任。</w:t>
      </w:r>
    </w:p>
    <w:p w14:paraId="426815B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7.3供应商在参与</w:t>
      </w:r>
      <w:r>
        <w:rPr>
          <w:rFonts w:hint="eastAsia" w:hAnsi="宋体" w:cs="宋体"/>
          <w:sz w:val="21"/>
          <w:szCs w:val="21"/>
          <w:highlight w:val="none"/>
        </w:rPr>
        <w:t>竞争性磋商</w:t>
      </w:r>
      <w:r>
        <w:rPr>
          <w:rFonts w:hint="eastAsia" w:ascii="宋体" w:hAnsi="宋体" w:cs="宋体"/>
          <w:sz w:val="21"/>
          <w:szCs w:val="21"/>
          <w:highlight w:val="none"/>
        </w:rPr>
        <w:t>活动中提供任何疑似虚假材料，将报监管部门查处；签订合同后发现的，成交供应商须依法赔偿采购人，且民事赔偿并不免除违法供应商的行政与刑事责任。</w:t>
      </w:r>
    </w:p>
    <w:p w14:paraId="51C3426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7.4在政府采购活动中，采购人员及相关人员与供应商有下列利害关系之一的，应当回避：</w:t>
      </w:r>
    </w:p>
    <w:p w14:paraId="0582EAD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（1）参加采购活动前3年内与供应商存在劳动关系；</w:t>
      </w:r>
    </w:p>
    <w:p w14:paraId="6A02237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（2）参加采购活动前3年内担任供应商的董事、监事；</w:t>
      </w:r>
    </w:p>
    <w:p w14:paraId="370A3B8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（3）参加采购活动前3年内是供应商的控股股东或者实际控制人；</w:t>
      </w:r>
    </w:p>
    <w:p w14:paraId="304F03A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（4）与供应商的法定代表人或者负责人有夫妻、直系血亲、三代以内旁系血亲或者近姻亲关系；</w:t>
      </w:r>
    </w:p>
    <w:p w14:paraId="4F9308E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（5）与供应商有其他可能影响政府采购活动公平、公正进行的关系。</w:t>
      </w:r>
    </w:p>
    <w:p w14:paraId="44124F0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3C49C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7.5有下列情形之一的视为供应商相互串通参与</w:t>
      </w:r>
      <w:r>
        <w:rPr>
          <w:rFonts w:hint="eastAsia" w:hAnsi="宋体" w:cs="宋体"/>
          <w:sz w:val="21"/>
          <w:szCs w:val="21"/>
          <w:highlight w:val="none"/>
        </w:rPr>
        <w:t>竞争性磋商</w:t>
      </w:r>
      <w:r>
        <w:rPr>
          <w:rFonts w:hint="eastAsia" w:ascii="宋体" w:hAnsi="宋体" w:cs="宋体"/>
          <w:sz w:val="21"/>
          <w:szCs w:val="21"/>
          <w:highlight w:val="none"/>
        </w:rPr>
        <w:t>，响应文件将被视为无效：</w:t>
      </w:r>
    </w:p>
    <w:p w14:paraId="73F0A4CE">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（1）不同供应商的响应文件由同一单位或者个人编制；或不同供应商报名的IP地址一致的</w:t>
      </w:r>
      <w:r>
        <w:rPr>
          <w:rFonts w:hint="eastAsia" w:ascii="宋体" w:hAnsi="宋体" w:cs="宋体"/>
          <w:sz w:val="21"/>
          <w:szCs w:val="21"/>
          <w:highlight w:val="none"/>
          <w:lang w:eastAsia="zh-CN"/>
        </w:rPr>
        <w:t>；或者编制响应文件硬件设备CPU编号、硬盘编号、网卡地址一致的情况；</w:t>
      </w:r>
    </w:p>
    <w:p w14:paraId="5DBF45D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（2）不同供应商委托同一单位或者个人办理</w:t>
      </w:r>
      <w:r>
        <w:rPr>
          <w:rFonts w:hint="eastAsia" w:hAnsi="宋体" w:cs="宋体"/>
          <w:sz w:val="21"/>
          <w:szCs w:val="21"/>
          <w:highlight w:val="none"/>
        </w:rPr>
        <w:t>竞争性磋商</w:t>
      </w:r>
      <w:r>
        <w:rPr>
          <w:rFonts w:hint="eastAsia" w:ascii="宋体" w:hAnsi="宋体" w:cs="宋体"/>
          <w:sz w:val="21"/>
          <w:szCs w:val="21"/>
          <w:highlight w:val="none"/>
        </w:rPr>
        <w:t>事宜；</w:t>
      </w:r>
    </w:p>
    <w:p w14:paraId="6FD7469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（3）不同的供应商的响应文件载明的项目管理员为同一个人；</w:t>
      </w:r>
    </w:p>
    <w:p w14:paraId="08880AD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（4）不同供应商的响应文件异常一致或者报价呈规律性差异；</w:t>
      </w:r>
    </w:p>
    <w:p w14:paraId="44E5D83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（5）不同供应商的响应文件相互混装；</w:t>
      </w:r>
    </w:p>
    <w:p w14:paraId="64E08555">
      <w:pPr>
        <w:tabs>
          <w:tab w:val="left" w:pos="6931"/>
        </w:tabs>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（6）不同供应商的磋商保证金从同一单位或者个人账户转出。</w:t>
      </w:r>
      <w:r>
        <w:rPr>
          <w:rFonts w:hint="eastAsia" w:ascii="宋体" w:hAnsi="宋体" w:cs="宋体"/>
          <w:sz w:val="21"/>
          <w:szCs w:val="21"/>
          <w:highlight w:val="none"/>
        </w:rPr>
        <w:tab/>
      </w:r>
    </w:p>
    <w:p w14:paraId="56D5E64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（7）供应商之间协商报价等响应文件的实质性内容；</w:t>
      </w:r>
    </w:p>
    <w:p w14:paraId="34B72E6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（8）供应商之间约定成交供应商；</w:t>
      </w:r>
    </w:p>
    <w:p w14:paraId="7E2FF37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（9）供应商之间约定部分供应商放弃参与竞争性磋商或者成交；</w:t>
      </w:r>
    </w:p>
    <w:p w14:paraId="1CB27A88">
      <w:pPr>
        <w:spacing w:line="360" w:lineRule="auto"/>
        <w:ind w:firstLine="480"/>
        <w:rPr>
          <w:rFonts w:hint="eastAsia" w:ascii="宋体" w:hAnsi="宋体" w:cs="宋体"/>
          <w:sz w:val="21"/>
          <w:szCs w:val="21"/>
          <w:highlight w:val="none"/>
        </w:rPr>
      </w:pPr>
      <w:r>
        <w:rPr>
          <w:rFonts w:hint="eastAsia" w:ascii="宋体" w:hAnsi="宋体" w:cs="宋体"/>
          <w:sz w:val="21"/>
          <w:szCs w:val="21"/>
          <w:highlight w:val="none"/>
        </w:rPr>
        <w:t>（10）属于同一集团、协会、商会等组织成员的供应商按照该组织要求协同参与竞争性磋商；</w:t>
      </w:r>
    </w:p>
    <w:p w14:paraId="16AC1CFE">
      <w:pPr>
        <w:spacing w:line="360" w:lineRule="auto"/>
        <w:ind w:firstLine="480"/>
        <w:rPr>
          <w:szCs w:val="21"/>
          <w:highlight w:val="none"/>
        </w:rPr>
      </w:pPr>
      <w:r>
        <w:rPr>
          <w:rFonts w:hint="eastAsia" w:ascii="宋体" w:hAnsi="宋体" w:cs="宋体"/>
          <w:sz w:val="21"/>
          <w:szCs w:val="21"/>
          <w:highlight w:val="none"/>
        </w:rPr>
        <w:t>（11）供应商之间为谋取成交或者排斥特定供应商而采取的其他联合行动。</w:t>
      </w:r>
    </w:p>
    <w:p w14:paraId="4173F86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7.6供应商有下列情形之一的，属于恶意串通行为，将报同级监督管理部门：</w:t>
      </w:r>
    </w:p>
    <w:p w14:paraId="553AFC9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（1）供应商直接或者间接从采购人或者采购代理机构处获得其他供应商的相关信息并修改其响应文件；</w:t>
      </w:r>
    </w:p>
    <w:p w14:paraId="35D9E5B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（2）供应商按照采购人或者采购代理机构的授意撤换、修改响应文件；</w:t>
      </w:r>
    </w:p>
    <w:p w14:paraId="1618A1F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（3）供应商之间协商报价、技术方案等响应文件或者响应文件的实质性内容；</w:t>
      </w:r>
    </w:p>
    <w:p w14:paraId="289222D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（4）属于同一集团、协会、商会等组织成员的供应商按照该组织要求协同参加政府采购活动；</w:t>
      </w:r>
    </w:p>
    <w:p w14:paraId="331512B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（5）供应商之间事先约定一致抬高或者压低报价，或者在政府采购活动中事先约定轮流以高价位或者低价位成交，或者事先约定由某一特定供应商成交，然后再参加竞争性磋商；</w:t>
      </w:r>
    </w:p>
    <w:p w14:paraId="6D832B9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（6）供应商之间商定部分供应商放弃参加政府采购活动或者放弃成交；</w:t>
      </w:r>
    </w:p>
    <w:p w14:paraId="35662F1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（7）供应商与采购人或者采购代理机构之间、供应商相互之间，为谋求特定供应商成交或者排斥其他供应商的其他串通行为。</w:t>
      </w:r>
    </w:p>
    <w:p w14:paraId="5161A4E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7.7竞争性磋商委托</w:t>
      </w:r>
    </w:p>
    <w:p w14:paraId="23F411B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供应商代表参加竞争性磋商活动过程中必须携带个人有效身份证件。如供应商代表不是法定代表人，须持有授权委托书（按第五章要求格式填写）。</w:t>
      </w:r>
    </w:p>
    <w:p w14:paraId="79F7144F">
      <w:pPr>
        <w:pStyle w:val="14"/>
        <w:ind w:firstLine="420"/>
        <w:rPr>
          <w:highlight w:val="none"/>
        </w:rPr>
      </w:pPr>
    </w:p>
    <w:p w14:paraId="562E6900">
      <w:pPr>
        <w:spacing w:line="360" w:lineRule="auto"/>
        <w:jc w:val="center"/>
        <w:rPr>
          <w:rFonts w:ascii="宋体" w:hAnsi="宋体" w:cs="宋体"/>
          <w:b/>
          <w:bCs/>
          <w:sz w:val="24"/>
          <w:highlight w:val="none"/>
        </w:rPr>
      </w:pPr>
      <w:bookmarkStart w:id="20" w:name="_Toc254970675"/>
      <w:bookmarkStart w:id="21" w:name="_Toc254970534"/>
      <w:r>
        <w:rPr>
          <w:rFonts w:hint="eastAsia" w:ascii="宋体" w:hAnsi="宋体" w:cs="宋体"/>
          <w:b/>
          <w:bCs/>
          <w:sz w:val="24"/>
          <w:highlight w:val="none"/>
        </w:rPr>
        <w:t>二、磋商文件</w:t>
      </w:r>
      <w:bookmarkEnd w:id="20"/>
      <w:bookmarkEnd w:id="21"/>
    </w:p>
    <w:p w14:paraId="007ABD23">
      <w:pPr>
        <w:spacing w:line="360" w:lineRule="auto"/>
        <w:ind w:firstLine="482" w:firstLineChars="200"/>
        <w:rPr>
          <w:rFonts w:ascii="宋体" w:hAnsi="宋体" w:cs="宋体"/>
          <w:b/>
          <w:bCs/>
          <w:sz w:val="24"/>
          <w:highlight w:val="none"/>
        </w:rPr>
      </w:pPr>
    </w:p>
    <w:p w14:paraId="1F621357">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8.磋商文件的构成</w:t>
      </w:r>
    </w:p>
    <w:p w14:paraId="5FDD3E34">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（1）竞争性磋商公告；</w:t>
      </w:r>
    </w:p>
    <w:p w14:paraId="51A7F058">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 xml:space="preserve">（2）供应商须知； </w:t>
      </w:r>
    </w:p>
    <w:p w14:paraId="6BD7A3A5">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（3）采购需求；</w:t>
      </w:r>
    </w:p>
    <w:p w14:paraId="3F13F242">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（4）评审程序、评审方法和评审标准；</w:t>
      </w:r>
    </w:p>
    <w:p w14:paraId="6777D48A">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（5）响应文件格式；</w:t>
      </w:r>
    </w:p>
    <w:p w14:paraId="6660B0BD">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（6）</w:t>
      </w:r>
      <w:r>
        <w:rPr>
          <w:rFonts w:hint="eastAsia" w:ascii="宋体" w:hAnsi="宋体"/>
          <w:sz w:val="21"/>
          <w:szCs w:val="21"/>
          <w:highlight w:val="none"/>
        </w:rPr>
        <w:t>拟签订的</w:t>
      </w:r>
      <w:r>
        <w:rPr>
          <w:rFonts w:hint="eastAsia" w:ascii="宋体" w:hAnsi="宋体" w:cs="宋体"/>
          <w:sz w:val="21"/>
          <w:szCs w:val="21"/>
          <w:highlight w:val="none"/>
        </w:rPr>
        <w:t>合同文本。</w:t>
      </w:r>
    </w:p>
    <w:p w14:paraId="026DB759">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9.供应商的询问</w:t>
      </w:r>
    </w:p>
    <w:p w14:paraId="71C8A0B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393592A">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10.磋商文件的澄清和修改</w:t>
      </w:r>
    </w:p>
    <w:p w14:paraId="3F7ADA3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3个工作日前，在原公告发布媒体上发布更正公告；不足3个工作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7DC531A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10.2采购人和采购代理机构可以视采购具体情况，变更首次响应文件提交截止时间和开启时间，并在原公告发布媒体上发布更正公告。</w:t>
      </w:r>
    </w:p>
    <w:p w14:paraId="3EC4CDE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10.3磋商文件澄清、答复、修改、补充的内容为磋商文件的组成部分。</w:t>
      </w:r>
      <w:r>
        <w:rPr>
          <w:rFonts w:hint="eastAsia" w:ascii="宋体" w:hAnsi="宋体" w:cs="宋体"/>
          <w:b/>
          <w:sz w:val="21"/>
          <w:szCs w:val="21"/>
          <w:highlight w:val="none"/>
        </w:rPr>
        <w:t>当磋商文件与磋商文件的澄清、答复、修改、补充通知就同一内容的表述不一致时，以最后发出的文件为准。</w:t>
      </w:r>
    </w:p>
    <w:p w14:paraId="316DDD3E">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10.4响应文件未按磋商文件的澄清、修改后的内容编制的，其响应文件作无效响应处理。</w:t>
      </w:r>
    </w:p>
    <w:p w14:paraId="56BB94DF">
      <w:pPr>
        <w:spacing w:line="360" w:lineRule="auto"/>
        <w:ind w:firstLine="482" w:firstLineChars="200"/>
        <w:rPr>
          <w:rFonts w:ascii="宋体" w:hAnsi="宋体" w:cs="宋体"/>
          <w:b/>
          <w:sz w:val="24"/>
          <w:highlight w:val="none"/>
        </w:rPr>
      </w:pPr>
    </w:p>
    <w:p w14:paraId="31C941C5">
      <w:pPr>
        <w:spacing w:line="360" w:lineRule="auto"/>
        <w:jc w:val="center"/>
        <w:rPr>
          <w:rFonts w:ascii="宋体" w:hAnsi="宋体" w:cs="宋体"/>
          <w:b/>
          <w:bCs/>
          <w:sz w:val="24"/>
          <w:highlight w:val="none"/>
        </w:rPr>
      </w:pPr>
      <w:r>
        <w:rPr>
          <w:rFonts w:hint="eastAsia" w:ascii="宋体" w:hAnsi="宋体" w:cs="宋体"/>
          <w:b/>
          <w:bCs/>
          <w:sz w:val="24"/>
          <w:highlight w:val="none"/>
        </w:rPr>
        <w:t>三、响应文件的编制</w:t>
      </w:r>
    </w:p>
    <w:p w14:paraId="1C1842C8">
      <w:pPr>
        <w:spacing w:line="360" w:lineRule="auto"/>
        <w:ind w:firstLine="482" w:firstLineChars="200"/>
        <w:rPr>
          <w:rFonts w:ascii="宋体" w:hAnsi="宋体" w:cs="宋体"/>
          <w:b/>
          <w:bCs/>
          <w:sz w:val="24"/>
          <w:highlight w:val="none"/>
        </w:rPr>
      </w:pPr>
    </w:p>
    <w:p w14:paraId="21000FD0">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11.响应文件的编制原则</w:t>
      </w:r>
    </w:p>
    <w:p w14:paraId="3921ED9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供应商必须按照磋商文件的要求编制响应文件，并对其提交的响应文件的真实性、合法性承担法律责任。响应文件必须对磋商文件做出实质性响应。</w:t>
      </w:r>
    </w:p>
    <w:p w14:paraId="44433883">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12.响应文件的组成</w:t>
      </w:r>
    </w:p>
    <w:p w14:paraId="64565C2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12.1响应文件由资格证明文件、报价商务服务文件两部分组成。</w:t>
      </w:r>
    </w:p>
    <w:p w14:paraId="50EB9D10">
      <w:pPr>
        <w:spacing w:line="360" w:lineRule="auto"/>
        <w:ind w:left="840" w:leftChars="200" w:hanging="420" w:hangingChars="200"/>
        <w:rPr>
          <w:rFonts w:ascii="宋体" w:hAnsi="宋体" w:cs="宋体"/>
          <w:sz w:val="21"/>
          <w:szCs w:val="21"/>
          <w:highlight w:val="none"/>
        </w:rPr>
      </w:pPr>
      <w:r>
        <w:rPr>
          <w:rFonts w:hint="eastAsia" w:ascii="宋体" w:hAnsi="宋体" w:cs="宋体"/>
          <w:sz w:val="21"/>
          <w:szCs w:val="21"/>
          <w:highlight w:val="none"/>
        </w:rPr>
        <w:t>12.1.1资格证明文件：详见须知前附表</w:t>
      </w:r>
    </w:p>
    <w:p w14:paraId="39E1DEF4">
      <w:pPr>
        <w:spacing w:line="360" w:lineRule="auto"/>
        <w:ind w:left="840" w:leftChars="200" w:hanging="420" w:hangingChars="200"/>
        <w:rPr>
          <w:rFonts w:ascii="宋体" w:hAnsi="宋体" w:cs="宋体"/>
          <w:sz w:val="21"/>
          <w:szCs w:val="21"/>
          <w:highlight w:val="none"/>
        </w:rPr>
      </w:pPr>
      <w:r>
        <w:rPr>
          <w:rFonts w:hint="eastAsia" w:ascii="宋体" w:hAnsi="宋体" w:cs="宋体"/>
          <w:sz w:val="21"/>
          <w:szCs w:val="21"/>
          <w:highlight w:val="none"/>
        </w:rPr>
        <w:t>12.1.2报价商务服务文件：详见须知前附表</w:t>
      </w:r>
    </w:p>
    <w:p w14:paraId="360455AC">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13.计量单位</w:t>
      </w:r>
    </w:p>
    <w:p w14:paraId="14217A7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磋商文件已有明确规定的，使用磋商文件规定的计量单位；磋商文件没有规定的，应采用中华人民共和国法定计量单位，货币种类为人民币，否则视同未响应。</w:t>
      </w:r>
    </w:p>
    <w:p w14:paraId="6428E624">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14.竞争性磋商的风险</w:t>
      </w:r>
    </w:p>
    <w:p w14:paraId="1F5847F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供应商没有按照磋商文件要求提供全部资料，或者供应商没有对磋商文件在各方面做出实质性响应可能导致其响应无效，是供应商应当考虑的风险。</w:t>
      </w:r>
    </w:p>
    <w:p w14:paraId="17C6E280">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15.竞争性磋商报价</w:t>
      </w:r>
    </w:p>
    <w:p w14:paraId="3F02CF10">
      <w:pPr>
        <w:tabs>
          <w:tab w:val="left" w:pos="2492"/>
        </w:tabs>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15.1竞争性磋商报价应按磋商文件中“竞争性磋商报价表”格式填写。</w:t>
      </w:r>
    </w:p>
    <w:p w14:paraId="6D7D63BF">
      <w:pPr>
        <w:tabs>
          <w:tab w:val="left" w:pos="2492"/>
        </w:tabs>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15.2竞争性磋商报价的内容见“供应商须知前附表”。</w:t>
      </w:r>
    </w:p>
    <w:p w14:paraId="6241E7B1">
      <w:pPr>
        <w:spacing w:line="360" w:lineRule="auto"/>
        <w:ind w:left="426" w:leftChars="203"/>
        <w:rPr>
          <w:rFonts w:ascii="宋体" w:hAnsi="宋体" w:cs="宋体"/>
          <w:sz w:val="21"/>
          <w:szCs w:val="21"/>
          <w:highlight w:val="none"/>
        </w:rPr>
      </w:pPr>
      <w:r>
        <w:rPr>
          <w:rFonts w:hint="eastAsia" w:ascii="宋体" w:hAnsi="宋体" w:cs="宋体"/>
          <w:sz w:val="21"/>
          <w:szCs w:val="21"/>
          <w:highlight w:val="none"/>
        </w:rPr>
        <w:t>15.3竞争性磋商报价要求</w:t>
      </w:r>
    </w:p>
    <w:p w14:paraId="7F45ADE3">
      <w:pPr>
        <w:spacing w:line="360" w:lineRule="auto"/>
        <w:ind w:firstLine="422" w:firstLineChars="200"/>
        <w:rPr>
          <w:rFonts w:ascii="宋体" w:hAnsi="宋体" w:cs="宋体"/>
          <w:b/>
          <w:sz w:val="21"/>
          <w:szCs w:val="21"/>
          <w:highlight w:val="none"/>
        </w:rPr>
      </w:pPr>
      <w:r>
        <w:rPr>
          <w:rFonts w:hint="eastAsia" w:ascii="宋体" w:hAnsi="宋体" w:cs="宋体"/>
          <w:b/>
          <w:sz w:val="21"/>
          <w:szCs w:val="21"/>
          <w:highlight w:val="none"/>
        </w:rPr>
        <w:t>15.3.1供应商的竞争性磋商报价应符合以下要求，否则响应文件按无效响应处理：</w:t>
      </w:r>
    </w:p>
    <w:p w14:paraId="41E3BAC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（1）供应商必须就“采购需求”中所竞标的每个分标的全部内容分别作完整唯一总价报价，不得存在漏项报价；</w:t>
      </w:r>
    </w:p>
    <w:p w14:paraId="492B4D0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（2）供应商必须就所竞标的分标的单项内容作唯一报价。</w:t>
      </w:r>
    </w:p>
    <w:p w14:paraId="1811221B">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15.3.2</w:t>
      </w:r>
      <w:r>
        <w:rPr>
          <w:rFonts w:hint="eastAsia" w:ascii="宋体" w:hAnsi="宋体" w:cs="宋体"/>
          <w:sz w:val="21"/>
          <w:szCs w:val="21"/>
          <w:highlight w:val="none"/>
        </w:rPr>
        <w:t>竞争性磋商报价（包含首次报价、最后报价）超过所开展竞争性磋商分标规定的采购预算金额或者最高限价的，其响应文件将按无效响应处理。</w:t>
      </w:r>
      <w:bookmarkStart w:id="22" w:name="_Hlk42592874"/>
    </w:p>
    <w:p w14:paraId="771BB8E7">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15.3.3</w:t>
      </w:r>
      <w:r>
        <w:rPr>
          <w:rFonts w:hint="eastAsia" w:ascii="宋体" w:hAnsi="宋体" w:cs="宋体"/>
          <w:sz w:val="21"/>
          <w:szCs w:val="21"/>
          <w:highlight w:val="none"/>
        </w:rPr>
        <w:t>竞争性磋商报价（包含首次报价、最后报价）超过分项采购预算金额或者最高限价的，其响应文件将按无效处理。</w:t>
      </w:r>
    </w:p>
    <w:bookmarkEnd w:id="22"/>
    <w:p w14:paraId="0855E2B7">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16.竞争性磋商有效期</w:t>
      </w:r>
    </w:p>
    <w:p w14:paraId="2915A3A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16.1竞争性磋商有效期是指为保证采购人有足够的时间在提交响应文件后完成评审、确定成交供应商、合同签订等工作而要求供应商提交的响应文件在一定时间内保持有效的期限。</w:t>
      </w:r>
    </w:p>
    <w:p w14:paraId="78F40E1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16.2 竞争性磋商有效期应由供应商按“供应商须知前附表”规定的期限作出响应。</w:t>
      </w:r>
    </w:p>
    <w:p w14:paraId="1A4F56C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16.3供应商的响应文件在竞争性磋商有效期内均保持有效。</w:t>
      </w:r>
    </w:p>
    <w:p w14:paraId="5A1EC01E">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17.磋商保证金</w:t>
      </w:r>
    </w:p>
    <w:p w14:paraId="5A329B00">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17.1供应商须按“供应商须知前附表”的规定提交磋商保证金。</w:t>
      </w:r>
    </w:p>
    <w:p w14:paraId="78405D77">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17.2磋商保证金的退还</w:t>
      </w:r>
    </w:p>
    <w:p w14:paraId="3407D140">
      <w:pPr>
        <w:spacing w:line="360" w:lineRule="auto"/>
        <w:ind w:firstLine="420" w:firstLineChars="200"/>
        <w:rPr>
          <w:rFonts w:ascii="宋体" w:hAnsi="宋体" w:cs="宋体"/>
          <w:sz w:val="21"/>
          <w:szCs w:val="21"/>
          <w:highlight w:val="none"/>
        </w:rPr>
      </w:pPr>
      <w:bookmarkStart w:id="23" w:name="_Hlk66782243"/>
      <w:r>
        <w:rPr>
          <w:rFonts w:hint="eastAsia" w:ascii="宋体" w:hAnsi="宋体" w:cs="宋体"/>
          <w:sz w:val="21"/>
          <w:szCs w:val="21"/>
          <w:highlight w:val="none"/>
        </w:rPr>
        <w:t>未</w:t>
      </w:r>
      <w:r>
        <w:rPr>
          <w:rFonts w:hint="eastAsia" w:ascii="宋体" w:hAnsi="宋体" w:cs="宋体"/>
          <w:spacing w:val="-6"/>
          <w:sz w:val="21"/>
          <w:szCs w:val="21"/>
          <w:highlight w:val="none"/>
        </w:rPr>
        <w:t>成交供应商的磋商保证金自成交通知书发出之日起</w:t>
      </w:r>
      <w:r>
        <w:rPr>
          <w:rFonts w:hint="eastAsia" w:ascii="宋体" w:hAnsi="宋体" w:cs="宋体"/>
          <w:spacing w:val="-6"/>
          <w:sz w:val="21"/>
          <w:szCs w:val="21"/>
          <w:highlight w:val="none"/>
          <w:lang w:val="en-US" w:eastAsia="zh-CN"/>
        </w:rPr>
        <w:t>5</w:t>
      </w:r>
      <w:r>
        <w:rPr>
          <w:rFonts w:hint="eastAsia" w:ascii="宋体" w:hAnsi="宋体" w:cs="宋体"/>
          <w:spacing w:val="-6"/>
          <w:sz w:val="21"/>
          <w:szCs w:val="21"/>
          <w:highlight w:val="none"/>
        </w:rPr>
        <w:t>个工作日内退还；</w:t>
      </w:r>
      <w:r>
        <w:rPr>
          <w:rFonts w:hint="eastAsia" w:ascii="宋体" w:hAnsi="宋体" w:cs="宋体"/>
          <w:sz w:val="21"/>
          <w:szCs w:val="21"/>
          <w:highlight w:val="none"/>
        </w:rPr>
        <w:t>成交供应商的磋商保证金自签订合同之日起</w:t>
      </w:r>
      <w:r>
        <w:rPr>
          <w:rFonts w:hint="eastAsia" w:ascii="宋体" w:hAnsi="宋体" w:cs="宋体"/>
          <w:sz w:val="21"/>
          <w:szCs w:val="21"/>
          <w:highlight w:val="none"/>
          <w:lang w:val="en-US" w:eastAsia="zh-CN"/>
        </w:rPr>
        <w:t>5</w:t>
      </w:r>
      <w:r>
        <w:rPr>
          <w:rFonts w:hint="eastAsia" w:ascii="宋体" w:hAnsi="宋体" w:cs="宋体"/>
          <w:sz w:val="21"/>
          <w:szCs w:val="21"/>
          <w:highlight w:val="none"/>
        </w:rPr>
        <w:t>个工作日内退还。</w:t>
      </w:r>
      <w:bookmarkEnd w:id="23"/>
      <w:r>
        <w:rPr>
          <w:rFonts w:hint="eastAsia" w:ascii="宋体" w:hAnsi="宋体" w:cs="宋体"/>
          <w:sz w:val="21"/>
          <w:szCs w:val="21"/>
          <w:highlight w:val="none"/>
        </w:rPr>
        <w:t xml:space="preserve"> </w:t>
      </w:r>
    </w:p>
    <w:p w14:paraId="74C44074">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17.3磋商保证金不计息。</w:t>
      </w:r>
    </w:p>
    <w:p w14:paraId="40365EB3">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 xml:space="preserve">17.4供应商有下列情形之一的，磋商保证金将不予退还： </w:t>
      </w:r>
    </w:p>
    <w:p w14:paraId="1A5A3641">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（1）供应商在提交首次响应文件截止时间后撤回响应文件的；</w:t>
      </w:r>
    </w:p>
    <w:p w14:paraId="2A3A150B">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（2）未按规定提交履约保证金的；</w:t>
      </w:r>
    </w:p>
    <w:p w14:paraId="6C7794D1">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（3）供应商在响应文件中提供虚假材料的；</w:t>
      </w:r>
    </w:p>
    <w:p w14:paraId="5883AAC0">
      <w:pPr>
        <w:spacing w:line="360" w:lineRule="auto"/>
        <w:ind w:firstLine="420"/>
        <w:rPr>
          <w:rFonts w:ascii="宋体" w:hAnsi="宋体" w:cs="宋体"/>
          <w:sz w:val="21"/>
          <w:szCs w:val="21"/>
          <w:highlight w:val="none"/>
        </w:rPr>
      </w:pPr>
      <w:r>
        <w:rPr>
          <w:rFonts w:hint="eastAsia" w:ascii="宋体" w:hAnsi="宋体" w:cs="宋体"/>
          <w:sz w:val="21"/>
          <w:szCs w:val="21"/>
          <w:highlight w:val="none"/>
        </w:rPr>
        <w:t>（4）除因不可抗力或者磋商文件认可的情形以外，成交供应商不与采购人签订合同的；</w:t>
      </w:r>
    </w:p>
    <w:p w14:paraId="09ED9D88">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（5）供应商与采购人、其他供应商或者采购代理机构恶意串通的；</w:t>
      </w:r>
    </w:p>
    <w:p w14:paraId="03CEA402">
      <w:pPr>
        <w:spacing w:line="360" w:lineRule="auto"/>
        <w:ind w:left="420" w:leftChars="200"/>
        <w:rPr>
          <w:rFonts w:ascii="宋体" w:hAnsi="宋体" w:cs="宋体"/>
          <w:sz w:val="21"/>
          <w:szCs w:val="21"/>
          <w:highlight w:val="none"/>
        </w:rPr>
      </w:pPr>
      <w:r>
        <w:rPr>
          <w:rFonts w:hint="eastAsia" w:ascii="宋体" w:hAnsi="宋体" w:cs="宋体"/>
          <w:sz w:val="21"/>
          <w:szCs w:val="21"/>
          <w:highlight w:val="none"/>
        </w:rPr>
        <w:t>（6）法律法规规定的其他情形。</w:t>
      </w:r>
    </w:p>
    <w:p w14:paraId="65AE11F5">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18.响应文件编制的要求</w:t>
      </w:r>
    </w:p>
    <w:p w14:paraId="0C3B144C">
      <w:pPr>
        <w:spacing w:line="360" w:lineRule="auto"/>
        <w:ind w:firstLine="420" w:firstLineChars="200"/>
        <w:rPr>
          <w:rFonts w:ascii="宋体" w:hAnsi="宋体" w:cs="宋体"/>
          <w:spacing w:val="-6"/>
          <w:sz w:val="21"/>
          <w:szCs w:val="21"/>
          <w:highlight w:val="none"/>
        </w:rPr>
      </w:pPr>
      <w:r>
        <w:rPr>
          <w:rFonts w:hint="eastAsia" w:ascii="宋体" w:hAnsi="宋体" w:cs="宋体"/>
          <w:sz w:val="21"/>
          <w:szCs w:val="21"/>
          <w:highlight w:val="none"/>
        </w:rPr>
        <w:t>18.1供应商应按本磋商文件规定的格式和顺序编制响应文件并标注页码，响应文件内容</w:t>
      </w:r>
      <w:r>
        <w:rPr>
          <w:rFonts w:hint="eastAsia" w:ascii="宋体" w:hAnsi="宋体" w:cs="宋体"/>
          <w:spacing w:val="-6"/>
          <w:sz w:val="21"/>
          <w:szCs w:val="21"/>
          <w:highlight w:val="none"/>
        </w:rPr>
        <w:t>不完整、编排混乱导致响应文件被误读、漏读或者查找不到相关内容的，</w:t>
      </w:r>
      <w:r>
        <w:rPr>
          <w:rFonts w:hint="eastAsia" w:ascii="宋体" w:hAnsi="宋体" w:cs="宋体"/>
          <w:sz w:val="21"/>
          <w:szCs w:val="21"/>
          <w:highlight w:val="none"/>
        </w:rPr>
        <w:t>由此引发的</w:t>
      </w:r>
      <w:r>
        <w:rPr>
          <w:rFonts w:hint="eastAsia" w:ascii="宋体" w:hAnsi="宋体" w:cs="宋体"/>
          <w:spacing w:val="-6"/>
          <w:sz w:val="21"/>
          <w:szCs w:val="21"/>
          <w:highlight w:val="none"/>
        </w:rPr>
        <w:t>后果由供应商承担。</w:t>
      </w:r>
    </w:p>
    <w:p w14:paraId="1BFB808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18.2响应文件应按资格证明文件、报价商务服务文件分别编制电子文件，</w:t>
      </w:r>
      <w:r>
        <w:rPr>
          <w:rFonts w:hint="eastAsia" w:ascii="宋体" w:hAnsi="宋体" w:cs="宋体"/>
          <w:sz w:val="21"/>
          <w:szCs w:val="21"/>
          <w:highlight w:val="none"/>
          <w:lang w:bidi="ar"/>
        </w:rPr>
        <w:t>并按广西政府采购云平台的要求编制、加密、上传。</w:t>
      </w:r>
    </w:p>
    <w:p w14:paraId="1CD4035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18.</w:t>
      </w:r>
      <w:bookmarkStart w:id="24" w:name="_Hlk65832699"/>
      <w:r>
        <w:rPr>
          <w:rFonts w:hint="eastAsia" w:ascii="宋体" w:hAnsi="宋体" w:cs="宋体"/>
          <w:sz w:val="21"/>
          <w:szCs w:val="21"/>
          <w:highlight w:val="none"/>
        </w:rPr>
        <w:t>3响应文件须由供应商在规定位置盖公章并</w:t>
      </w:r>
      <w:bookmarkStart w:id="25" w:name="_Hlk65832569"/>
      <w:r>
        <w:rPr>
          <w:rFonts w:hint="eastAsia" w:ascii="宋体" w:hAnsi="宋体" w:cs="宋体"/>
          <w:sz w:val="21"/>
          <w:szCs w:val="21"/>
          <w:highlight w:val="none"/>
        </w:rPr>
        <w:t>签字或签章（具体以供应商须知前附表或响应文件格式规定为准）</w:t>
      </w:r>
      <w:bookmarkEnd w:id="24"/>
      <w:bookmarkEnd w:id="25"/>
      <w:r>
        <w:rPr>
          <w:rFonts w:hint="eastAsia" w:ascii="宋体" w:hAnsi="宋体" w:cs="宋体"/>
          <w:sz w:val="21"/>
          <w:szCs w:val="21"/>
          <w:highlight w:val="none"/>
        </w:rPr>
        <w:t>，否则其响应文件按无效响应处理。</w:t>
      </w:r>
    </w:p>
    <w:p w14:paraId="0B407BD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18.4响应文件中标注的供应商名称应与营业执照（事业单位法人证书、执业许可证、自然人身份证）及公章一致，否则其响应文件按无效响应处理。</w:t>
      </w:r>
    </w:p>
    <w:p w14:paraId="0B106FE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E4C054C">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19.响应文件的加密、解密及电子备份响应文件</w:t>
      </w:r>
    </w:p>
    <w:p w14:paraId="2AD0FD3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19.1电子响应文件编制完成后，供应商应按广西政府采购云平台的要求进行加密，并在规定时间内解密，否则，由此产生的后果由供应商自行负责。</w:t>
      </w:r>
    </w:p>
    <w:p w14:paraId="2C88CA55">
      <w:pPr>
        <w:spacing w:line="360" w:lineRule="auto"/>
        <w:ind w:firstLine="420" w:firstLineChars="200"/>
        <w:rPr>
          <w:szCs w:val="21"/>
          <w:highlight w:val="none"/>
        </w:rPr>
      </w:pPr>
      <w:r>
        <w:rPr>
          <w:rFonts w:ascii="宋体" w:hAnsi="宋体" w:cs="宋体"/>
          <w:sz w:val="21"/>
          <w:szCs w:val="21"/>
          <w:highlight w:val="none"/>
        </w:rPr>
        <w:t>19.2</w:t>
      </w:r>
      <w:r>
        <w:rPr>
          <w:rFonts w:hint="eastAsia" w:ascii="宋体" w:hAnsi="宋体" w:cs="宋体"/>
          <w:sz w:val="21"/>
          <w:szCs w:val="21"/>
          <w:highlight w:val="none"/>
        </w:rPr>
        <w:t>电子备份响应文件是指通过“广西政府采购云平台电子投标客户端”在线编制生成且后缀名为“</w:t>
      </w:r>
      <w:r>
        <w:rPr>
          <w:rFonts w:ascii="宋体" w:hAnsi="宋体" w:cs="宋体"/>
          <w:sz w:val="21"/>
          <w:szCs w:val="21"/>
          <w:highlight w:val="none"/>
        </w:rPr>
        <w:t>bfbs</w:t>
      </w:r>
      <w:r>
        <w:rPr>
          <w:rFonts w:hint="eastAsia" w:ascii="宋体" w:hAnsi="宋体" w:cs="宋体"/>
          <w:sz w:val="21"/>
          <w:szCs w:val="21"/>
          <w:highlight w:val="none"/>
        </w:rPr>
        <w:t>”的文件，是否接受电子备份响应文件详见在“供应商须知前附表”。</w:t>
      </w:r>
    </w:p>
    <w:p w14:paraId="021D5536">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20.响应文件的提交</w:t>
      </w:r>
    </w:p>
    <w:p w14:paraId="12CB087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20.1供应商必须在“供应商须知前附表”规定的时间和地点提交响应文件。</w:t>
      </w:r>
    </w:p>
    <w:p w14:paraId="2A4210E2">
      <w:pPr>
        <w:widowControl/>
        <w:spacing w:line="360" w:lineRule="auto"/>
        <w:ind w:firstLine="420" w:firstLineChars="200"/>
        <w:rPr>
          <w:rFonts w:ascii="宋体" w:hAnsi="宋体" w:cs="宋体"/>
          <w:b/>
          <w:sz w:val="21"/>
          <w:szCs w:val="21"/>
          <w:highlight w:val="none"/>
          <w:lang w:bidi="ar"/>
        </w:rPr>
      </w:pPr>
      <w:r>
        <w:rPr>
          <w:rFonts w:hint="eastAsia" w:ascii="宋体" w:hAnsi="宋体" w:cs="宋体"/>
          <w:sz w:val="21"/>
          <w:szCs w:val="21"/>
          <w:highlight w:val="none"/>
        </w:rPr>
        <w:t>20.2</w:t>
      </w:r>
      <w:r>
        <w:rPr>
          <w:rFonts w:hint="eastAsia" w:ascii="宋体" w:hAnsi="宋体" w:cs="宋体"/>
          <w:sz w:val="21"/>
          <w:szCs w:val="21"/>
          <w:highlight w:val="none"/>
          <w:lang w:bidi="ar"/>
        </w:rPr>
        <w:t>本项目为全流程电子化政府采购项目，通过广西政府采购云平台（https://www.gcy.zfcg.gxzf.gov.cn/）实行在线电子</w:t>
      </w:r>
      <w:r>
        <w:rPr>
          <w:rFonts w:hint="eastAsia" w:ascii="宋体" w:hAnsi="宋体" w:cs="宋体"/>
          <w:sz w:val="21"/>
          <w:szCs w:val="21"/>
          <w:highlight w:val="none"/>
        </w:rPr>
        <w:t>竞争性磋商</w:t>
      </w:r>
      <w:r>
        <w:rPr>
          <w:rFonts w:hint="eastAsia" w:ascii="宋体" w:hAnsi="宋体" w:cs="宋体"/>
          <w:sz w:val="21"/>
          <w:szCs w:val="21"/>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 w:val="21"/>
          <w:szCs w:val="21"/>
          <w:highlight w:val="none"/>
          <w:lang w:bidi="ar"/>
        </w:rPr>
        <w:t>供应商在广西政府采购云平台提交电子版响应文件时，请填写参加远程开标活动经办人联系方式。</w:t>
      </w:r>
    </w:p>
    <w:p w14:paraId="619E3D5D">
      <w:pPr>
        <w:pStyle w:val="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20.3未在规定时间内上传或者未按广西政府采购云平台的要求编制、加密的电子响应文件，广西政府采购云平台将拒收。</w:t>
      </w:r>
    </w:p>
    <w:p w14:paraId="681104B9">
      <w:pPr>
        <w:pStyle w:val="7"/>
        <w:spacing w:line="360" w:lineRule="auto"/>
        <w:rPr>
          <w:rFonts w:ascii="宋体" w:hAnsi="宋体" w:cs="宋体"/>
          <w:sz w:val="21"/>
          <w:szCs w:val="21"/>
          <w:highlight w:val="none"/>
        </w:rPr>
      </w:pPr>
      <w:r>
        <w:rPr>
          <w:rFonts w:hint="eastAsia" w:ascii="宋体" w:hAnsi="宋体" w:cs="宋体"/>
          <w:sz w:val="21"/>
          <w:szCs w:val="21"/>
          <w:highlight w:val="none"/>
        </w:rPr>
        <w:t>20.4电子响应文件提交方</w:t>
      </w:r>
      <w:r>
        <w:rPr>
          <w:rFonts w:hint="eastAsia" w:ascii="宋体" w:hAnsi="宋体" w:cs="宋体"/>
          <w:bCs/>
          <w:sz w:val="21"/>
          <w:szCs w:val="21"/>
          <w:highlight w:val="none"/>
        </w:rPr>
        <w:t>式见“竞争性磋商公告”</w:t>
      </w:r>
      <w:r>
        <w:rPr>
          <w:rFonts w:hint="eastAsia" w:ascii="宋体" w:hAnsi="宋体" w:cs="宋体"/>
          <w:sz w:val="21"/>
          <w:szCs w:val="21"/>
          <w:highlight w:val="none"/>
        </w:rPr>
        <w:t>中“四、响应文件提交”。</w:t>
      </w:r>
    </w:p>
    <w:p w14:paraId="5D17BFD7">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21.首次响应文件的补充、修改与撤回</w:t>
      </w:r>
    </w:p>
    <w:p w14:paraId="6BBE534C">
      <w:pPr>
        <w:spacing w:line="360" w:lineRule="auto"/>
        <w:ind w:firstLine="420" w:firstLineChars="200"/>
        <w:rPr>
          <w:rFonts w:ascii="宋体" w:hAnsi="宋体" w:cs="宋体"/>
          <w:bCs/>
          <w:sz w:val="21"/>
          <w:szCs w:val="21"/>
          <w:highlight w:val="none"/>
          <w:lang w:bidi="ar"/>
        </w:rPr>
      </w:pPr>
      <w:r>
        <w:rPr>
          <w:rFonts w:hint="eastAsia" w:ascii="宋体" w:hAnsi="宋体" w:cs="宋体"/>
          <w:bCs/>
          <w:sz w:val="21"/>
          <w:szCs w:val="21"/>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25BC70F5">
      <w:pPr>
        <w:spacing w:line="360" w:lineRule="auto"/>
        <w:ind w:firstLine="422" w:firstLineChars="200"/>
        <w:rPr>
          <w:rFonts w:ascii="宋体" w:hAnsi="宋体" w:cs="宋体"/>
          <w:b/>
          <w:bCs/>
          <w:sz w:val="21"/>
          <w:szCs w:val="21"/>
          <w:highlight w:val="none"/>
        </w:rPr>
      </w:pPr>
      <w:bookmarkStart w:id="26" w:name="_Hlk45702405"/>
      <w:r>
        <w:rPr>
          <w:rFonts w:hint="eastAsia" w:ascii="宋体" w:hAnsi="宋体" w:cs="宋体"/>
          <w:b/>
          <w:bCs/>
          <w:sz w:val="21"/>
          <w:szCs w:val="21"/>
          <w:highlight w:val="none"/>
        </w:rPr>
        <w:t>22.首次响应文件的退回</w:t>
      </w:r>
    </w:p>
    <w:p w14:paraId="3F77241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583FA61D">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23.截止时间后的撤回</w:t>
      </w:r>
    </w:p>
    <w:p w14:paraId="1B941A0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23.1供应商在首次响应文件提交截止时间后书面通知采购人、采购代理机构书面撤回响应文件的，将根据本磋商文件《供应商须知正文》第17.4条的规定不予退还其磋商保证金。</w:t>
      </w:r>
    </w:p>
    <w:bookmarkEnd w:id="26"/>
    <w:p w14:paraId="5E41E13B">
      <w:pPr>
        <w:spacing w:line="360" w:lineRule="auto"/>
        <w:rPr>
          <w:rFonts w:ascii="宋体" w:hAnsi="宋体" w:cs="宋体"/>
          <w:sz w:val="24"/>
          <w:highlight w:val="none"/>
        </w:rPr>
      </w:pPr>
    </w:p>
    <w:p w14:paraId="0D10D81E">
      <w:pPr>
        <w:spacing w:line="360" w:lineRule="auto"/>
        <w:jc w:val="center"/>
        <w:rPr>
          <w:rFonts w:ascii="宋体" w:hAnsi="宋体" w:cs="宋体"/>
          <w:b/>
          <w:bCs/>
          <w:sz w:val="24"/>
          <w:highlight w:val="none"/>
        </w:rPr>
      </w:pPr>
      <w:r>
        <w:rPr>
          <w:rFonts w:hint="eastAsia" w:ascii="宋体" w:hAnsi="宋体" w:cs="宋体"/>
          <w:b/>
          <w:bCs/>
          <w:sz w:val="24"/>
          <w:highlight w:val="none"/>
        </w:rPr>
        <w:t>四、评审及磋商</w:t>
      </w:r>
    </w:p>
    <w:p w14:paraId="7F08A5AF">
      <w:pPr>
        <w:spacing w:line="360" w:lineRule="auto"/>
        <w:ind w:firstLine="482" w:firstLineChars="200"/>
        <w:rPr>
          <w:rFonts w:ascii="宋体" w:hAnsi="宋体" w:cs="宋体"/>
          <w:b/>
          <w:bCs/>
          <w:sz w:val="24"/>
          <w:highlight w:val="none"/>
        </w:rPr>
      </w:pPr>
    </w:p>
    <w:p w14:paraId="53393EDB">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24.磋商小组成立</w:t>
      </w:r>
    </w:p>
    <w:p w14:paraId="2B51745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A52B3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AEA332">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25.首次响应文件的开启</w:t>
      </w:r>
    </w:p>
    <w:p w14:paraId="3F9F948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25.1首次响应文件由磋商小组或者采购代理机构在“供应商须知前附表”规定的时间开启。</w:t>
      </w:r>
    </w:p>
    <w:p w14:paraId="48F8665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 w:val="21"/>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1"/>
          <w:szCs w:val="21"/>
          <w:highlight w:val="none"/>
        </w:rPr>
        <w:t>响应文件未按时解密的，</w:t>
      </w:r>
      <w:r>
        <w:rPr>
          <w:rFonts w:hint="eastAsia" w:ascii="宋体" w:hAnsi="宋体" w:cs="宋体"/>
          <w:b/>
          <w:sz w:val="21"/>
          <w:szCs w:val="21"/>
          <w:highlight w:val="none"/>
        </w:rPr>
        <w:t>视为响应</w:t>
      </w:r>
      <w:r>
        <w:rPr>
          <w:rFonts w:hint="eastAsia" w:ascii="宋体" w:hAnsi="宋体" w:cs="宋体"/>
          <w:b/>
          <w:bCs/>
          <w:sz w:val="21"/>
          <w:szCs w:val="21"/>
          <w:highlight w:val="none"/>
        </w:rPr>
        <w:t>文件无效。</w:t>
      </w:r>
      <w:r>
        <w:rPr>
          <w:rFonts w:hint="eastAsia" w:ascii="宋体" w:hAnsi="宋体" w:cs="宋体"/>
          <w:sz w:val="21"/>
          <w:szCs w:val="21"/>
          <w:highlight w:val="none"/>
        </w:rPr>
        <w:t>（解密异常情况处理：详见本章26.</w:t>
      </w:r>
      <w:r>
        <w:rPr>
          <w:rFonts w:ascii="宋体" w:hAnsi="宋体" w:cs="宋体"/>
          <w:sz w:val="21"/>
          <w:szCs w:val="21"/>
          <w:highlight w:val="none"/>
        </w:rPr>
        <w:t>3</w:t>
      </w:r>
      <w:r>
        <w:rPr>
          <w:rFonts w:hint="eastAsia" w:ascii="宋体" w:hAnsi="宋体" w:cs="宋体"/>
          <w:sz w:val="21"/>
          <w:szCs w:val="21"/>
          <w:highlight w:val="none"/>
        </w:rPr>
        <w:t>电子交易活动的中止。）</w:t>
      </w:r>
    </w:p>
    <w:p w14:paraId="7257FFB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25.3成功解密响应文件的供应商不足3家的，不得磋商。</w:t>
      </w:r>
    </w:p>
    <w:p w14:paraId="3842E4AE">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26.评审程序、评审方法和评审标准</w:t>
      </w:r>
    </w:p>
    <w:p w14:paraId="5E2993C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26.1磋商小组按照“第四章 评审程序、评审方法和评审标准”规定的方法、评审因素、标准和程序对响应文件进行评审。</w:t>
      </w:r>
    </w:p>
    <w:p w14:paraId="702B9880">
      <w:pPr>
        <w:spacing w:line="360" w:lineRule="auto"/>
        <w:ind w:firstLine="420" w:firstLineChars="200"/>
        <w:rPr>
          <w:szCs w:val="21"/>
          <w:highlight w:val="none"/>
        </w:rPr>
      </w:pPr>
      <w:r>
        <w:rPr>
          <w:rFonts w:hint="eastAsia" w:ascii="宋体" w:hAnsi="宋体" w:cs="宋体"/>
          <w:sz w:val="21"/>
          <w:szCs w:val="21"/>
          <w:highlight w:val="none"/>
        </w:rPr>
        <w:t>26.</w:t>
      </w:r>
      <w:r>
        <w:rPr>
          <w:rFonts w:ascii="宋体" w:hAnsi="宋体" w:cs="宋体"/>
          <w:sz w:val="21"/>
          <w:szCs w:val="21"/>
          <w:highlight w:val="none"/>
        </w:rPr>
        <w:t>2</w:t>
      </w:r>
      <w:r>
        <w:rPr>
          <w:rFonts w:hint="eastAsia" w:ascii="宋体" w:hAnsi="宋体" w:cs="宋体"/>
          <w:sz w:val="21"/>
          <w:szCs w:val="21"/>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416596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26.</w:t>
      </w:r>
      <w:r>
        <w:rPr>
          <w:rFonts w:ascii="宋体" w:hAnsi="宋体" w:cs="宋体"/>
          <w:sz w:val="21"/>
          <w:szCs w:val="21"/>
          <w:highlight w:val="none"/>
        </w:rPr>
        <w:t>3</w:t>
      </w:r>
      <w:r>
        <w:rPr>
          <w:rFonts w:hint="eastAsia" w:ascii="宋体" w:hAnsi="宋体" w:cs="宋体"/>
          <w:sz w:val="21"/>
          <w:szCs w:val="21"/>
          <w:highlight w:val="none"/>
        </w:rPr>
        <w:t>电子交易活动的中止。采购过程中出现以下情形，导致电子交易平台无法正常运行，或者无法保证电子交易的公平、公正和安全时，采购机构可中止电子交易活动：</w:t>
      </w:r>
    </w:p>
    <w:p w14:paraId="4E2F04F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（1）电子交易平台发生故障而无法登录访问的； </w:t>
      </w:r>
    </w:p>
    <w:p w14:paraId="13F7B95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（2）电子交易平台应用或数据库出现错误，不能进行正常操作的；</w:t>
      </w:r>
    </w:p>
    <w:p w14:paraId="6F1D188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（3）电子交易平台发现严重安全漏洞，有潜在泄密危险的；</w:t>
      </w:r>
    </w:p>
    <w:p w14:paraId="3FF803D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（4）病毒发作导致不能进行正常操作的； </w:t>
      </w:r>
    </w:p>
    <w:p w14:paraId="010BD5D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5</w:t>
      </w:r>
      <w:r>
        <w:rPr>
          <w:rFonts w:hint="eastAsia" w:ascii="宋体" w:hAnsi="宋体" w:cs="宋体"/>
          <w:sz w:val="21"/>
          <w:szCs w:val="21"/>
          <w:highlight w:val="none"/>
        </w:rPr>
        <w:t>）其他无法保证电子交易的公平、公正和安全的情况。</w:t>
      </w:r>
    </w:p>
    <w:p w14:paraId="766C9DD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26.</w:t>
      </w:r>
      <w:r>
        <w:rPr>
          <w:rFonts w:ascii="宋体" w:hAnsi="宋体" w:cs="宋体"/>
          <w:sz w:val="21"/>
          <w:szCs w:val="21"/>
          <w:highlight w:val="none"/>
        </w:rPr>
        <w:t>4</w:t>
      </w:r>
      <w:r>
        <w:rPr>
          <w:rFonts w:hint="eastAsia" w:ascii="宋体" w:hAnsi="宋体" w:cs="宋体"/>
          <w:sz w:val="21"/>
          <w:szCs w:val="21"/>
          <w:highlight w:val="none"/>
        </w:rPr>
        <w:t>出现以上情形，不影响采购公平、公正性的，采购代理机构可以待上述情形消除后继续组织电子交易活动；影响或可能影响采购公平、公正性的，经采购代理机构确认后，应当重新采购。</w:t>
      </w:r>
    </w:p>
    <w:p w14:paraId="7CAC2A86">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27.确定成交供应商及结果公告</w:t>
      </w:r>
    </w:p>
    <w:p w14:paraId="44DE6BE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27.1</w:t>
      </w:r>
      <w:r>
        <w:rPr>
          <w:rFonts w:hint="eastAsia" w:ascii="宋体" w:hAnsi="宋体" w:cs="宋体"/>
          <w:kern w:val="0"/>
          <w:sz w:val="21"/>
          <w:szCs w:val="21"/>
          <w:highlight w:val="none"/>
        </w:rPr>
        <w:t xml:space="preserve"> </w:t>
      </w:r>
      <w:r>
        <w:rPr>
          <w:rFonts w:hint="eastAsia" w:ascii="宋体" w:hAnsi="宋体" w:cs="宋体"/>
          <w:sz w:val="21"/>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37874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27.2采购代理机构应当在</w:t>
      </w:r>
      <w:r>
        <w:rPr>
          <w:rFonts w:hint="eastAsia" w:ascii="宋体" w:hAnsi="宋体" w:cs="宋体"/>
          <w:kern w:val="0"/>
          <w:sz w:val="21"/>
          <w:szCs w:val="21"/>
          <w:highlight w:val="none"/>
        </w:rPr>
        <w:t>成交</w:t>
      </w:r>
      <w:r>
        <w:rPr>
          <w:rFonts w:hint="eastAsia" w:ascii="宋体" w:hAnsi="宋体" w:cs="宋体"/>
          <w:sz w:val="21"/>
          <w:szCs w:val="21"/>
          <w:highlight w:val="none"/>
        </w:rPr>
        <w:t>供应商确定后2个工作日内，在省级以上财政部门指定的媒体上公告成交结果，同时向成交供应商发出成交通知书。</w:t>
      </w:r>
      <w:r>
        <w:rPr>
          <w:rFonts w:hint="eastAsia" w:ascii="宋体" w:hAnsi="宋体" w:cs="宋体"/>
          <w:b/>
          <w:sz w:val="21"/>
          <w:szCs w:val="21"/>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sz w:val="21"/>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7" w:name="_Hlk66782294"/>
      <w:r>
        <w:rPr>
          <w:rFonts w:hint="eastAsia" w:ascii="宋体" w:hAnsi="宋体" w:cs="宋体"/>
          <w:sz w:val="21"/>
          <w:szCs w:val="21"/>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7"/>
    </w:p>
    <w:p w14:paraId="00233D4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397E43B">
      <w:pPr>
        <w:pStyle w:val="12"/>
        <w:spacing w:line="360" w:lineRule="auto"/>
        <w:ind w:firstLine="422" w:firstLineChars="200"/>
        <w:rPr>
          <w:b/>
          <w:szCs w:val="21"/>
          <w:highlight w:val="none"/>
        </w:rPr>
      </w:pPr>
      <w:r>
        <w:rPr>
          <w:rFonts w:hint="eastAsia" w:ascii="宋体" w:hAnsi="宋体" w:cs="宋体"/>
          <w:b/>
          <w:sz w:val="21"/>
          <w:szCs w:val="21"/>
          <w:highlight w:val="none"/>
        </w:rPr>
        <w:t>成交供应商拒绝与采购人签订合同的，其投标保证金不予退还，并上缴国库。给采购人造成损失，或（并）因此延误采购人</w:t>
      </w:r>
      <w:r>
        <w:rPr>
          <w:rFonts w:hint="eastAsia" w:ascii="宋体" w:hAnsi="宋体" w:cs="宋体"/>
          <w:b/>
          <w:sz w:val="21"/>
          <w:szCs w:val="21"/>
          <w:highlight w:val="none"/>
          <w:lang w:eastAsia="zh-CN"/>
        </w:rPr>
        <w:t>项目</w:t>
      </w:r>
      <w:r>
        <w:rPr>
          <w:rFonts w:hint="eastAsia" w:ascii="宋体" w:hAnsi="宋体" w:cs="宋体"/>
          <w:b/>
          <w:sz w:val="21"/>
          <w:szCs w:val="21"/>
          <w:highlight w:val="none"/>
        </w:rPr>
        <w:t>计划的，须依据《中华人民共和国民法典》第五百条、《政府采购非招标采购方式管理办法（财政部令第</w:t>
      </w:r>
      <w:r>
        <w:rPr>
          <w:rFonts w:ascii="宋体" w:hAnsi="宋体" w:cs="宋体"/>
          <w:b/>
          <w:sz w:val="21"/>
          <w:szCs w:val="21"/>
          <w:highlight w:val="none"/>
        </w:rPr>
        <w:t>74号）》第二十二条、第五十四条规定承担赔偿损失等法律责任，采购人有权将成交供应商的失信行为报财政部门记入诚信档案，以示惩戒。</w:t>
      </w:r>
    </w:p>
    <w:p w14:paraId="430F0ACD">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27.4</w:t>
      </w:r>
      <w:r>
        <w:rPr>
          <w:rFonts w:hint="eastAsia" w:ascii="宋体" w:hAnsi="宋体" w:cs="宋体"/>
          <w:sz w:val="21"/>
          <w:szCs w:val="21"/>
          <w:highlight w:val="none"/>
        </w:rPr>
        <w:t>出现下列情形之一的，采购人或者采购代理机构应当终止竞争性磋商采购活动，发布项目终止公告并说明原因，重新开展采购活动：</w:t>
      </w:r>
    </w:p>
    <w:p w14:paraId="7B1241A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1</w:t>
      </w:r>
      <w:r>
        <w:rPr>
          <w:rFonts w:hint="eastAsia" w:ascii="宋体" w:hAnsi="宋体" w:cs="宋体"/>
          <w:sz w:val="21"/>
          <w:szCs w:val="21"/>
          <w:highlight w:val="none"/>
        </w:rPr>
        <w:t>）因情况变化，不再符合规定的竞争性磋商采购方式适用情形的；</w:t>
      </w:r>
    </w:p>
    <w:p w14:paraId="66B88D5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2</w:t>
      </w:r>
      <w:r>
        <w:rPr>
          <w:rFonts w:hint="eastAsia" w:ascii="宋体" w:hAnsi="宋体" w:cs="宋体"/>
          <w:sz w:val="21"/>
          <w:szCs w:val="21"/>
          <w:highlight w:val="none"/>
        </w:rPr>
        <w:t>）出现影响采购公正的违法、违规行为的；</w:t>
      </w:r>
    </w:p>
    <w:p w14:paraId="6E9CA3A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3</w:t>
      </w:r>
      <w:r>
        <w:rPr>
          <w:rFonts w:hint="eastAsia" w:ascii="宋体" w:hAnsi="宋体" w:cs="宋体"/>
          <w:sz w:val="21"/>
          <w:szCs w:val="21"/>
          <w:highlight w:val="none"/>
        </w:rPr>
        <w:t>）除“第四章</w:t>
      </w:r>
      <w:r>
        <w:rPr>
          <w:rFonts w:ascii="宋体" w:hAnsi="宋体" w:cs="宋体"/>
          <w:sz w:val="21"/>
          <w:szCs w:val="21"/>
          <w:highlight w:val="none"/>
        </w:rPr>
        <w:t xml:space="preserve"> </w:t>
      </w:r>
      <w:r>
        <w:rPr>
          <w:rFonts w:hint="eastAsia" w:ascii="宋体" w:hAnsi="宋体" w:cs="宋体"/>
          <w:sz w:val="21"/>
          <w:szCs w:val="21"/>
          <w:highlight w:val="none"/>
        </w:rPr>
        <w:t>评审程序、评审方法和评审标准”第</w:t>
      </w:r>
      <w:r>
        <w:rPr>
          <w:rFonts w:ascii="宋体" w:hAnsi="宋体" w:cs="宋体"/>
          <w:sz w:val="21"/>
          <w:szCs w:val="21"/>
          <w:highlight w:val="none"/>
        </w:rPr>
        <w:t>4.3</w:t>
      </w:r>
      <w:r>
        <w:rPr>
          <w:rFonts w:hint="eastAsia" w:ascii="宋体" w:hAnsi="宋体" w:cs="宋体"/>
          <w:sz w:val="21"/>
          <w:szCs w:val="21"/>
          <w:highlight w:val="none"/>
        </w:rPr>
        <w:t>条规定的情形外，在采购过程中符合要求的供应商或者报价未超过采购预算的供应商不足</w:t>
      </w:r>
      <w:r>
        <w:rPr>
          <w:rFonts w:ascii="宋体" w:hAnsi="宋体" w:cs="宋体"/>
          <w:sz w:val="21"/>
          <w:szCs w:val="21"/>
          <w:highlight w:val="none"/>
        </w:rPr>
        <w:t>3</w:t>
      </w:r>
      <w:r>
        <w:rPr>
          <w:rFonts w:hint="eastAsia" w:ascii="宋体" w:hAnsi="宋体" w:cs="宋体"/>
          <w:sz w:val="21"/>
          <w:szCs w:val="21"/>
          <w:highlight w:val="none"/>
        </w:rPr>
        <w:t>家的。</w:t>
      </w:r>
    </w:p>
    <w:p w14:paraId="4B374DC1">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 xml:space="preserve">27.5 </w:t>
      </w:r>
      <w:r>
        <w:rPr>
          <w:rFonts w:hint="eastAsia" w:ascii="宋体" w:hAnsi="宋体" w:cs="宋体"/>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0B98317B">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28.履约保证金</w:t>
      </w:r>
    </w:p>
    <w:p w14:paraId="759383E8">
      <w:pPr>
        <w:spacing w:line="360" w:lineRule="auto"/>
        <w:ind w:firstLine="424" w:firstLineChars="202"/>
        <w:rPr>
          <w:rFonts w:ascii="宋体" w:hAnsi="宋体" w:cs="宋体"/>
          <w:sz w:val="21"/>
          <w:szCs w:val="21"/>
          <w:highlight w:val="none"/>
        </w:rPr>
      </w:pPr>
      <w:r>
        <w:rPr>
          <w:rFonts w:hint="eastAsia" w:ascii="宋体" w:hAnsi="宋体" w:cs="宋体"/>
          <w:sz w:val="21"/>
          <w:szCs w:val="21"/>
          <w:highlight w:val="none"/>
        </w:rPr>
        <w:t>28.1履约保证金的金额、提交方式、退付的时间和条件详见“供应商须知前附表”。</w:t>
      </w:r>
    </w:p>
    <w:p w14:paraId="7963B2F8">
      <w:pPr>
        <w:spacing w:line="360" w:lineRule="auto"/>
        <w:ind w:firstLine="424" w:firstLineChars="202"/>
        <w:rPr>
          <w:rFonts w:ascii="宋体" w:hAnsi="宋体" w:cs="宋体"/>
          <w:sz w:val="21"/>
          <w:szCs w:val="21"/>
          <w:highlight w:val="none"/>
        </w:rPr>
      </w:pPr>
      <w:r>
        <w:rPr>
          <w:rFonts w:hint="eastAsia" w:ascii="宋体" w:hAnsi="宋体" w:cs="宋体"/>
          <w:sz w:val="21"/>
          <w:szCs w:val="21"/>
          <w:highlight w:val="none"/>
        </w:rPr>
        <w:t>28.2在履约保证金退还日期前，若成交供应商的开户名称、开户银行、</w:t>
      </w:r>
      <w:r>
        <w:rPr>
          <w:rFonts w:hint="eastAsia" w:ascii="宋体" w:hAnsi="宋体" w:cs="宋体"/>
          <w:sz w:val="21"/>
          <w:szCs w:val="21"/>
          <w:highlight w:val="none"/>
          <w:lang w:eastAsia="zh-CN"/>
        </w:rPr>
        <w:t>账号</w:t>
      </w:r>
      <w:r>
        <w:rPr>
          <w:rFonts w:hint="eastAsia" w:ascii="宋体" w:hAnsi="宋体" w:cs="宋体"/>
          <w:sz w:val="21"/>
          <w:szCs w:val="21"/>
          <w:highlight w:val="none"/>
        </w:rPr>
        <w:t>有变动的，请以书面形式通知履约保证金收取单位，否则由此产生的后果由成交供应商自行承担。</w:t>
      </w:r>
    </w:p>
    <w:p w14:paraId="42E6F4D6">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29.签订合同</w:t>
      </w:r>
    </w:p>
    <w:p w14:paraId="5A26D42A">
      <w:pPr>
        <w:spacing w:line="360" w:lineRule="auto"/>
        <w:ind w:firstLine="424" w:firstLineChars="202"/>
        <w:rPr>
          <w:rFonts w:ascii="宋体" w:hAnsi="宋体" w:cs="宋体"/>
          <w:sz w:val="21"/>
          <w:szCs w:val="21"/>
          <w:highlight w:val="none"/>
        </w:rPr>
      </w:pPr>
      <w:r>
        <w:rPr>
          <w:rFonts w:hint="eastAsia" w:ascii="宋体" w:hAnsi="宋体" w:cs="宋体"/>
          <w:sz w:val="21"/>
          <w:szCs w:val="21"/>
          <w:highlight w:val="none"/>
        </w:rPr>
        <w:t>29.1成交供应商在收到成交通知书（书面或电子）后，应当在签订合同时向采购人出示相关证明材料，具体内容详见“供应商须知前附表”，经采购人核验合格后方可签订合同（书面或电子）。如成交供应商为联合体的，联合体各方应当共同与采购人签订采购合同，就采购合同约定的事项对采购人承担连带责任。</w:t>
      </w:r>
    </w:p>
    <w:p w14:paraId="25DE9C85">
      <w:pPr>
        <w:keepNext w:val="0"/>
        <w:keepLines w:val="0"/>
        <w:pageBreakBefore w:val="0"/>
        <w:widowControl/>
        <w:shd w:val="clear"/>
        <w:kinsoku/>
        <w:wordWrap/>
        <w:overflowPunct/>
        <w:topLinePunct w:val="0"/>
        <w:autoSpaceDE/>
        <w:autoSpaceDN/>
        <w:bidi w:val="0"/>
        <w:adjustRightInd/>
        <w:snapToGrid/>
        <w:spacing w:before="0" w:beforeLines="-2147483648" w:after="0" w:afterLines="-2147483648" w:line="360" w:lineRule="auto"/>
        <w:ind w:firstLine="424" w:firstLineChars="202"/>
        <w:textAlignment w:val="auto"/>
        <w:rPr>
          <w:rFonts w:hint="eastAsia" w:ascii="宋体" w:hAnsi="宋体" w:eastAsia="宋体" w:cs="宋体"/>
          <w:color w:val="auto"/>
          <w:highlight w:val="none"/>
          <w:lang w:eastAsia="zh-CN"/>
        </w:rPr>
      </w:pPr>
      <w:r>
        <w:rPr>
          <w:rFonts w:hint="eastAsia" w:ascii="宋体" w:hAnsi="宋体" w:eastAsia="宋体" w:cs="宋体"/>
          <w:sz w:val="21"/>
          <w:szCs w:val="21"/>
          <w:highlight w:val="none"/>
        </w:rPr>
        <w:t>29</w:t>
      </w:r>
      <w:r>
        <w:rPr>
          <w:rFonts w:hint="eastAsia" w:ascii="宋体" w:hAnsi="宋体" w:cs="宋体"/>
          <w:sz w:val="21"/>
          <w:szCs w:val="21"/>
          <w:highlight w:val="none"/>
        </w:rPr>
        <w:t>.2签订合同时间：</w:t>
      </w: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lang w:val="en-US" w:eastAsia="zh-CN"/>
        </w:rPr>
        <w:t>8个工作</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eastAsia="zh-CN"/>
        </w:rPr>
        <w:t>；</w:t>
      </w:r>
    </w:p>
    <w:p w14:paraId="7F68A39F">
      <w:pPr>
        <w:spacing w:line="360" w:lineRule="auto"/>
        <w:ind w:firstLine="426" w:firstLineChars="202"/>
        <w:rPr>
          <w:rFonts w:ascii="宋体" w:hAnsi="宋体" w:cs="宋体"/>
          <w:b/>
          <w:sz w:val="21"/>
          <w:szCs w:val="21"/>
          <w:highlight w:val="none"/>
        </w:rPr>
      </w:pPr>
      <w:r>
        <w:rPr>
          <w:rFonts w:ascii="宋体" w:hAnsi="宋体" w:cs="宋体"/>
          <w:b/>
          <w:sz w:val="21"/>
          <w:szCs w:val="21"/>
          <w:highlight w:val="none"/>
        </w:rPr>
        <w:t>29.3成交供应</w:t>
      </w:r>
      <w:r>
        <w:rPr>
          <w:rFonts w:hint="eastAsia" w:ascii="宋体" w:hAnsi="宋体" w:cs="宋体"/>
          <w:b/>
          <w:sz w:val="21"/>
          <w:szCs w:val="21"/>
          <w:highlight w:val="none"/>
        </w:rPr>
        <w:t>商拒绝与采购人签订合同的，按照本磋商文件之《供应商须知正文》第</w:t>
      </w:r>
      <w:r>
        <w:rPr>
          <w:rFonts w:ascii="宋体" w:hAnsi="宋体" w:cs="宋体"/>
          <w:b/>
          <w:sz w:val="21"/>
          <w:szCs w:val="21"/>
          <w:highlight w:val="none"/>
        </w:rPr>
        <w:t>27.3条的规定执行。</w:t>
      </w:r>
    </w:p>
    <w:p w14:paraId="4F9F8A72">
      <w:pPr>
        <w:spacing w:line="360" w:lineRule="auto"/>
        <w:ind w:firstLine="424" w:firstLineChars="202"/>
        <w:rPr>
          <w:rFonts w:ascii="宋体" w:hAnsi="宋体" w:cs="宋体"/>
          <w:sz w:val="21"/>
          <w:szCs w:val="21"/>
          <w:highlight w:val="none"/>
        </w:rPr>
      </w:pPr>
      <w:r>
        <w:rPr>
          <w:rFonts w:ascii="宋体" w:hAnsi="宋体" w:cs="宋体"/>
          <w:sz w:val="21"/>
          <w:szCs w:val="21"/>
          <w:highlight w:val="none"/>
        </w:rPr>
        <w:t>29.4</w:t>
      </w:r>
      <w:r>
        <w:rPr>
          <w:rFonts w:hint="eastAsia" w:ascii="宋体" w:hAnsi="宋体" w:cs="宋体"/>
          <w:sz w:val="21"/>
          <w:szCs w:val="21"/>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776FF68">
      <w:pPr>
        <w:spacing w:line="360" w:lineRule="auto"/>
        <w:ind w:firstLine="424" w:firstLineChars="202"/>
        <w:rPr>
          <w:rFonts w:ascii="宋体" w:hAnsi="宋体" w:cs="宋体"/>
          <w:sz w:val="21"/>
          <w:szCs w:val="21"/>
          <w:highlight w:val="none"/>
        </w:rPr>
      </w:pPr>
      <w:r>
        <w:rPr>
          <w:rFonts w:ascii="宋体" w:hAnsi="宋体" w:cs="宋体"/>
          <w:sz w:val="21"/>
          <w:szCs w:val="21"/>
          <w:highlight w:val="none"/>
        </w:rPr>
        <w:t>29.5</w:t>
      </w:r>
      <w:r>
        <w:rPr>
          <w:rFonts w:hint="eastAsia" w:ascii="宋体" w:hAnsi="宋体" w:cs="宋体"/>
          <w:sz w:val="21"/>
          <w:szCs w:val="21"/>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79EDC991">
      <w:pPr>
        <w:spacing w:line="360" w:lineRule="auto"/>
        <w:ind w:firstLine="424" w:firstLineChars="202"/>
        <w:rPr>
          <w:rFonts w:ascii="宋体" w:hAnsi="宋体" w:cs="宋体"/>
          <w:sz w:val="21"/>
          <w:szCs w:val="21"/>
          <w:highlight w:val="none"/>
        </w:rPr>
      </w:pPr>
      <w:r>
        <w:rPr>
          <w:rFonts w:ascii="宋体" w:hAnsi="宋体" w:cs="宋体"/>
          <w:sz w:val="21"/>
          <w:szCs w:val="21"/>
          <w:highlight w:val="none"/>
        </w:rPr>
        <w:t>29.6</w:t>
      </w:r>
      <w:r>
        <w:rPr>
          <w:rFonts w:hint="eastAsia" w:ascii="宋体" w:hAnsi="宋体" w:cs="宋体"/>
          <w:sz w:val="21"/>
          <w:szCs w:val="21"/>
          <w:highlight w:val="none"/>
        </w:rPr>
        <w:t>如签订合同并生效后，供应商无故拒绝或延期，除按照合同条款处理外，将承担相应的法律责任。</w:t>
      </w:r>
    </w:p>
    <w:p w14:paraId="5A00D456">
      <w:pPr>
        <w:spacing w:line="360" w:lineRule="auto"/>
        <w:ind w:firstLine="424" w:firstLineChars="202"/>
        <w:rPr>
          <w:rFonts w:ascii="宋体" w:hAnsi="宋体" w:cs="宋体"/>
          <w:sz w:val="21"/>
          <w:szCs w:val="21"/>
          <w:highlight w:val="none"/>
        </w:rPr>
      </w:pPr>
      <w:r>
        <w:rPr>
          <w:rFonts w:ascii="宋体" w:hAnsi="宋体" w:cs="宋体"/>
          <w:sz w:val="21"/>
          <w:szCs w:val="21"/>
          <w:highlight w:val="none"/>
        </w:rPr>
        <w:t>29.7</w:t>
      </w:r>
      <w:r>
        <w:rPr>
          <w:rFonts w:hint="eastAsia" w:ascii="宋体" w:hAnsi="宋体" w:cs="宋体"/>
          <w:sz w:val="21"/>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sz w:val="21"/>
          <w:szCs w:val="21"/>
          <w:highlight w:val="none"/>
        </w:rPr>
        <w:t>10%</w:t>
      </w:r>
      <w:r>
        <w:rPr>
          <w:rFonts w:hint="eastAsia" w:ascii="宋体" w:hAnsi="宋体" w:cs="宋体"/>
          <w:sz w:val="21"/>
          <w:szCs w:val="21"/>
          <w:highlight w:val="none"/>
        </w:rPr>
        <w:t>。</w:t>
      </w:r>
    </w:p>
    <w:p w14:paraId="68AEC01E">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30.政府采购合同公告</w:t>
      </w:r>
    </w:p>
    <w:p w14:paraId="06F0F7A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A69A46">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31.询问、质疑和投诉</w:t>
      </w:r>
    </w:p>
    <w:p w14:paraId="0ECC2288">
      <w:pPr>
        <w:pStyle w:val="7"/>
        <w:spacing w:line="360" w:lineRule="auto"/>
        <w:rPr>
          <w:rFonts w:ascii="宋体" w:hAnsi="宋体" w:cs="宋体"/>
          <w:sz w:val="21"/>
          <w:szCs w:val="21"/>
          <w:highlight w:val="none"/>
        </w:rPr>
      </w:pPr>
      <w:r>
        <w:rPr>
          <w:rFonts w:hint="eastAsia" w:ascii="宋体" w:hAnsi="宋体" w:cs="宋体"/>
          <w:sz w:val="21"/>
          <w:szCs w:val="21"/>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1336916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2C92C90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（1）对可以质疑的磋商文件提出质疑的，为收到磋商文件之日或者竞争性磋商公告期限届满之日；</w:t>
      </w:r>
    </w:p>
    <w:p w14:paraId="799E7FA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（2）对采购过程提出质疑的，为各采购程序环节结束之日；</w:t>
      </w:r>
    </w:p>
    <w:p w14:paraId="18085B1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（3）对成交结果提出质疑的，为成交结果公告期限届满之日。</w:t>
      </w:r>
    </w:p>
    <w:p w14:paraId="6CBD2A0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A6F312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sz w:val="21"/>
          <w:szCs w:val="21"/>
          <w:highlight w:val="none"/>
        </w:rPr>
        <w:t>（质疑函格式后附）</w:t>
      </w:r>
      <w:r>
        <w:rPr>
          <w:rFonts w:hint="eastAsia" w:ascii="宋体" w:hAnsi="宋体" w:cs="宋体"/>
          <w:sz w:val="21"/>
          <w:szCs w:val="21"/>
          <w:highlight w:val="none"/>
        </w:rPr>
        <w:t>：</w:t>
      </w:r>
    </w:p>
    <w:p w14:paraId="59DEF1A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（1）供应商的姓名或者名称、地址、邮编、联系人及联系电话；</w:t>
      </w:r>
    </w:p>
    <w:p w14:paraId="1CE6825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（2）质疑项目的名称、编号；</w:t>
      </w:r>
    </w:p>
    <w:p w14:paraId="33551C4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（3）具体、明确的质疑事项和与质疑事项相关的请求；</w:t>
      </w:r>
    </w:p>
    <w:p w14:paraId="3766ABC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（4）事实依据；</w:t>
      </w:r>
    </w:p>
    <w:p w14:paraId="325CD68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（5）必要的法律依据；</w:t>
      </w:r>
    </w:p>
    <w:p w14:paraId="584988D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（6）提出质疑的日期。</w:t>
      </w:r>
    </w:p>
    <w:p w14:paraId="5C9B263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供应商为自然人的，应当由本人签字或签章；供应商为法人或者其他组织的，应当由法定代表人、主要负责人，或者其委托代理人签字或签章，并加盖公章。</w:t>
      </w:r>
    </w:p>
    <w:p w14:paraId="07B16F7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1C52A6C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（1）对采购文件提出的质疑，依法通过澄清或者修改可以继续开展采购活动的，澄清或者修改采购文件后继续开展采购活动；否则应当修改采购文件后重新开展采购活动。</w:t>
      </w:r>
    </w:p>
    <w:p w14:paraId="43245AB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5535688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质疑答复导致成交结果改变的，采购人或者采购代理机构应当将有关情况书面报告本级财政部门。</w:t>
      </w:r>
    </w:p>
    <w:p w14:paraId="15D001C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640165C">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32.其他内容</w:t>
      </w:r>
    </w:p>
    <w:p w14:paraId="196CD82E">
      <w:pPr>
        <w:tabs>
          <w:tab w:val="left" w:pos="2835"/>
        </w:tabs>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32.1代理服务费：代理服务收取标准及缴费账户详见“供应商须知前附表”，供应商为联合体的，可以由联合体中的一方或者多方共同交纳代理服务费。</w:t>
      </w:r>
    </w:p>
    <w:p w14:paraId="3A29246D">
      <w:pPr>
        <w:tabs>
          <w:tab w:val="left" w:pos="2835"/>
        </w:tabs>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32.2代理服务费收费计算标准：</w:t>
      </w:r>
      <w:r>
        <w:rPr>
          <w:rFonts w:hint="eastAsia" w:ascii="宋体" w:hAnsi="宋体" w:cs="宋体"/>
          <w:color w:val="auto"/>
          <w:szCs w:val="21"/>
          <w:highlight w:val="none"/>
          <w:lang w:val="en-US" w:eastAsia="zh-CN"/>
        </w:rPr>
        <w:t>详见供应商须知前附表</w:t>
      </w:r>
      <w:r>
        <w:rPr>
          <w:rFonts w:hint="eastAsia" w:ascii="宋体" w:hAnsi="宋体" w:cs="宋体"/>
          <w:color w:val="auto"/>
          <w:szCs w:val="21"/>
          <w:highlight w:val="none"/>
        </w:rPr>
        <w:t>。</w:t>
      </w:r>
    </w:p>
    <w:p w14:paraId="3D11B82D">
      <w:pPr>
        <w:spacing w:line="360"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33.需要补充的其他内容</w:t>
      </w:r>
    </w:p>
    <w:p w14:paraId="12D87349">
      <w:pPr>
        <w:pStyle w:val="17"/>
        <w:spacing w:line="360" w:lineRule="auto"/>
        <w:ind w:firstLine="420" w:firstLineChars="200"/>
        <w:textAlignment w:val="center"/>
        <w:rPr>
          <w:rFonts w:hAnsi="宋体" w:cs="宋体"/>
          <w:kern w:val="2"/>
          <w:sz w:val="21"/>
          <w:szCs w:val="21"/>
          <w:highlight w:val="none"/>
        </w:rPr>
      </w:pPr>
      <w:r>
        <w:rPr>
          <w:rFonts w:hint="eastAsia" w:hAnsi="宋体" w:cs="宋体"/>
          <w:kern w:val="2"/>
          <w:sz w:val="21"/>
          <w:szCs w:val="21"/>
          <w:highlight w:val="none"/>
        </w:rPr>
        <w:t>33.1本磋商文件解释规则详见“供应商须知前附表”。</w:t>
      </w:r>
    </w:p>
    <w:p w14:paraId="50FD708C">
      <w:pPr>
        <w:pStyle w:val="17"/>
        <w:spacing w:line="360" w:lineRule="auto"/>
        <w:ind w:firstLine="420" w:firstLineChars="200"/>
        <w:textAlignment w:val="center"/>
        <w:rPr>
          <w:rFonts w:hAnsi="宋体" w:cs="宋体"/>
          <w:kern w:val="2"/>
          <w:sz w:val="21"/>
          <w:szCs w:val="21"/>
          <w:highlight w:val="none"/>
        </w:rPr>
      </w:pPr>
      <w:r>
        <w:rPr>
          <w:rFonts w:hint="eastAsia" w:hAnsi="宋体" w:cs="宋体"/>
          <w:kern w:val="2"/>
          <w:sz w:val="21"/>
          <w:szCs w:val="21"/>
          <w:highlight w:val="none"/>
        </w:rPr>
        <w:t>33.2 其他事项详见“供应商须知前附表”。</w:t>
      </w:r>
    </w:p>
    <w:p w14:paraId="4966AB78">
      <w:pPr>
        <w:pStyle w:val="17"/>
        <w:spacing w:line="360" w:lineRule="auto"/>
        <w:ind w:firstLine="420" w:firstLineChars="200"/>
        <w:textAlignment w:val="center"/>
        <w:rPr>
          <w:rFonts w:hAnsi="宋体" w:cs="宋体"/>
          <w:kern w:val="2"/>
          <w:sz w:val="21"/>
          <w:szCs w:val="21"/>
          <w:highlight w:val="none"/>
        </w:rPr>
      </w:pPr>
      <w:r>
        <w:rPr>
          <w:rFonts w:hint="eastAsia" w:hAnsi="宋体" w:cs="宋体"/>
          <w:kern w:val="2"/>
          <w:sz w:val="21"/>
          <w:szCs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8A43078">
      <w:pPr>
        <w:pStyle w:val="17"/>
        <w:spacing w:line="360" w:lineRule="auto"/>
        <w:ind w:firstLine="420" w:firstLineChars="200"/>
        <w:contextualSpacing/>
        <w:rPr>
          <w:rFonts w:hAnsi="宋体" w:cs="宋体"/>
          <w:sz w:val="21"/>
          <w:szCs w:val="21"/>
          <w:highlight w:val="none"/>
        </w:rPr>
      </w:pPr>
      <w:r>
        <w:rPr>
          <w:rFonts w:hint="eastAsia" w:hAnsi="宋体" w:cs="宋体"/>
          <w:sz w:val="21"/>
          <w:szCs w:val="21"/>
          <w:highlight w:val="none"/>
        </w:rPr>
        <w:t>（1）在货物采购项目中，货物由中小企业制造，即货物由中小企业生产且使用该中小企业商号或者注册商标，不对其中涉及的工程承建商和服务的承接商作出要求；</w:t>
      </w:r>
    </w:p>
    <w:p w14:paraId="69E8B99C">
      <w:pPr>
        <w:pStyle w:val="17"/>
        <w:spacing w:line="360" w:lineRule="auto"/>
        <w:ind w:firstLine="420" w:firstLineChars="200"/>
        <w:contextualSpacing/>
        <w:rPr>
          <w:rFonts w:hAnsi="宋体" w:cs="宋体"/>
          <w:sz w:val="21"/>
          <w:szCs w:val="21"/>
          <w:highlight w:val="none"/>
        </w:rPr>
      </w:pPr>
      <w:r>
        <w:rPr>
          <w:rFonts w:hint="eastAsia" w:hAnsi="宋体" w:cs="宋体"/>
          <w:sz w:val="21"/>
          <w:szCs w:val="21"/>
          <w:highlight w:val="none"/>
        </w:rPr>
        <w:t>（2）在工程采购项目中，工程由中小企业承建，即工程施工单位为中小企业，不对其中涉及的货物的制造商和服务的承接商作出要求；</w:t>
      </w:r>
    </w:p>
    <w:p w14:paraId="35007EF1">
      <w:pPr>
        <w:pStyle w:val="17"/>
        <w:spacing w:line="360" w:lineRule="auto"/>
        <w:ind w:firstLine="420" w:firstLineChars="200"/>
        <w:contextualSpacing/>
        <w:rPr>
          <w:rFonts w:hAnsi="宋体" w:cs="宋体"/>
          <w:sz w:val="21"/>
          <w:szCs w:val="21"/>
          <w:highlight w:val="none"/>
        </w:rPr>
      </w:pPr>
      <w:r>
        <w:rPr>
          <w:rFonts w:hint="eastAsia" w:hAnsi="宋体" w:cs="宋体"/>
          <w:sz w:val="21"/>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7DDD916">
      <w:pPr>
        <w:pStyle w:val="17"/>
        <w:spacing w:line="360" w:lineRule="auto"/>
        <w:ind w:firstLine="420" w:firstLineChars="200"/>
        <w:textAlignment w:val="center"/>
        <w:rPr>
          <w:rFonts w:hAnsi="宋体" w:cs="宋体"/>
          <w:kern w:val="2"/>
          <w:sz w:val="21"/>
          <w:szCs w:val="21"/>
          <w:highlight w:val="none"/>
        </w:rPr>
      </w:pPr>
      <w:r>
        <w:rPr>
          <w:rFonts w:hint="eastAsia" w:hAnsi="宋体" w:cs="宋体"/>
          <w:kern w:val="2"/>
          <w:sz w:val="21"/>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B4E9BEE">
      <w:pPr>
        <w:pStyle w:val="17"/>
        <w:spacing w:line="360" w:lineRule="auto"/>
        <w:ind w:firstLine="420" w:firstLineChars="200"/>
        <w:textAlignment w:val="center"/>
        <w:rPr>
          <w:rFonts w:hint="eastAsia" w:hAnsi="宋体" w:cs="宋体"/>
          <w:kern w:val="2"/>
          <w:sz w:val="21"/>
          <w:szCs w:val="21"/>
          <w:highlight w:val="none"/>
        </w:rPr>
      </w:pPr>
      <w:r>
        <w:rPr>
          <w:rFonts w:hint="eastAsia" w:hAnsi="宋体" w:cs="宋体"/>
          <w:kern w:val="2"/>
          <w:sz w:val="21"/>
          <w:szCs w:val="21"/>
          <w:highlight w:val="none"/>
        </w:rPr>
        <w:t>依据本磋商文件规定享受扶持政策获得政府采购合同的，小微企业不得将合同分包给大中型企业，中型企业不得将合同分包给大型企业。</w:t>
      </w:r>
    </w:p>
    <w:p w14:paraId="73563534">
      <w:pPr>
        <w:rPr>
          <w:rFonts w:hint="eastAsia" w:hAnsi="宋体" w:cs="宋体"/>
          <w:kern w:val="2"/>
          <w:sz w:val="21"/>
          <w:szCs w:val="21"/>
          <w:highlight w:val="none"/>
        </w:rPr>
      </w:pPr>
      <w:r>
        <w:rPr>
          <w:rFonts w:hint="eastAsia" w:hAnsi="宋体" w:cs="宋体"/>
          <w:kern w:val="2"/>
          <w:sz w:val="21"/>
          <w:szCs w:val="21"/>
          <w:highlight w:val="none"/>
        </w:rPr>
        <w:br w:type="page"/>
      </w:r>
    </w:p>
    <w:p w14:paraId="0BB351F5">
      <w:pPr>
        <w:spacing w:line="360" w:lineRule="auto"/>
        <w:ind w:firstLine="643" w:firstLineChars="200"/>
        <w:rPr>
          <w:rFonts w:hint="eastAsia" w:hAnsi="宋体"/>
          <w:color w:val="auto"/>
          <w:highlight w:val="none"/>
        </w:rPr>
      </w:pPr>
      <w:r>
        <w:rPr>
          <w:rFonts w:hint="eastAsia" w:ascii="宋体" w:hAnsi="宋体" w:eastAsia="宋体" w:cs="宋体"/>
          <w:b/>
          <w:bCs w:val="0"/>
          <w:color w:val="auto"/>
          <w:sz w:val="32"/>
          <w:szCs w:val="32"/>
          <w:highlight w:val="none"/>
        </w:rPr>
        <w:t>附件1：</w:t>
      </w:r>
    </w:p>
    <w:p w14:paraId="347A57C9">
      <w:pPr>
        <w:widowControl/>
        <w:shd w:val="clear" w:color="auto" w:fill="FFFFFF"/>
        <w:spacing w:line="360" w:lineRule="auto"/>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7BE0FED5">
      <w:pPr>
        <w:widowControl/>
        <w:shd w:val="clear" w:color="auto" w:fill="FFFFFF"/>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）政府采购项目</w:t>
      </w:r>
      <w:r>
        <w:rPr>
          <w:rFonts w:hint="eastAsia" w:ascii="宋体" w:hAnsi="宋体" w:cs="宋体"/>
          <w:color w:val="auto"/>
          <w:kern w:val="0"/>
          <w:szCs w:val="21"/>
          <w:highlight w:val="none"/>
          <w:lang w:eastAsia="zh-CN"/>
        </w:rPr>
        <w:t>成交人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公司名称</w:t>
      </w:r>
      <w:r>
        <w:rPr>
          <w:rFonts w:hint="eastAsia" w:ascii="宋体" w:hAnsi="宋体" w:eastAsia="宋体" w:cs="宋体"/>
          <w:color w:val="auto"/>
          <w:kern w:val="0"/>
          <w:szCs w:val="21"/>
          <w:highlight w:val="none"/>
        </w:rPr>
        <w:t>）提供的工程（或者货物、服务）进行了验收，验收情况如下：</w:t>
      </w:r>
    </w:p>
    <w:tbl>
      <w:tblPr>
        <w:tblStyle w:val="30"/>
        <w:tblW w:w="8659" w:type="dxa"/>
        <w:jc w:val="center"/>
        <w:tblLayout w:type="fixed"/>
        <w:tblCellMar>
          <w:top w:w="0" w:type="dxa"/>
          <w:left w:w="0" w:type="dxa"/>
          <w:bottom w:w="0" w:type="dxa"/>
          <w:right w:w="0" w:type="dxa"/>
        </w:tblCellMar>
      </w:tblPr>
      <w:tblGrid>
        <w:gridCol w:w="824"/>
        <w:gridCol w:w="846"/>
        <w:gridCol w:w="1664"/>
        <w:gridCol w:w="818"/>
        <w:gridCol w:w="105"/>
        <w:gridCol w:w="2052"/>
        <w:gridCol w:w="183"/>
        <w:gridCol w:w="701"/>
        <w:gridCol w:w="1466"/>
      </w:tblGrid>
      <w:tr w14:paraId="71EFD7CC">
        <w:tblPrEx>
          <w:tblCellMar>
            <w:top w:w="0" w:type="dxa"/>
            <w:left w:w="0" w:type="dxa"/>
            <w:bottom w:w="0" w:type="dxa"/>
            <w:right w:w="0" w:type="dxa"/>
          </w:tblCellMar>
        </w:tblPrEx>
        <w:trPr>
          <w:trHeight w:val="90" w:hRule="atLeast"/>
          <w:jc w:val="center"/>
        </w:trPr>
        <w:tc>
          <w:tcPr>
            <w:tcW w:w="3334" w:type="dxa"/>
            <w:gridSpan w:val="3"/>
            <w:tcBorders>
              <w:top w:val="single" w:color="auto" w:sz="8" w:space="0"/>
              <w:left w:val="single" w:color="auto" w:sz="8" w:space="0"/>
              <w:bottom w:val="single" w:color="auto" w:sz="8" w:space="0"/>
              <w:right w:val="single" w:color="auto" w:sz="8" w:space="0"/>
            </w:tcBorders>
            <w:vAlign w:val="center"/>
          </w:tcPr>
          <w:p w14:paraId="2588694F">
            <w:pPr>
              <w:widowControl/>
              <w:snapToGrid w:val="0"/>
              <w:spacing w:before="100" w:beforeAutospacing="1" w:after="100" w:afterAutospacing="1" w:line="360" w:lineRule="auto"/>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325" w:type="dxa"/>
            <w:gridSpan w:val="6"/>
            <w:tcBorders>
              <w:top w:val="single" w:color="auto" w:sz="8" w:space="0"/>
              <w:left w:val="nil"/>
              <w:bottom w:val="single" w:color="auto" w:sz="8" w:space="0"/>
              <w:right w:val="single" w:color="auto" w:sz="8" w:space="0"/>
            </w:tcBorders>
            <w:vAlign w:val="center"/>
          </w:tcPr>
          <w:p w14:paraId="04CAD1B6">
            <w:pPr>
              <w:widowControl/>
              <w:snapToGrid w:val="0"/>
              <w:spacing w:before="100" w:beforeAutospacing="1" w:after="100" w:afterAutospacing="1" w:line="360" w:lineRule="auto"/>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自行验收</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14:paraId="3DE2EF22">
        <w:tblPrEx>
          <w:tblCellMar>
            <w:top w:w="0" w:type="dxa"/>
            <w:left w:w="0" w:type="dxa"/>
            <w:bottom w:w="0" w:type="dxa"/>
            <w:right w:w="0" w:type="dxa"/>
          </w:tblCellMar>
        </w:tblPrEx>
        <w:trPr>
          <w:trHeight w:val="90" w:hRule="atLeast"/>
          <w:jc w:val="center"/>
        </w:trPr>
        <w:tc>
          <w:tcPr>
            <w:tcW w:w="824" w:type="dxa"/>
            <w:tcBorders>
              <w:top w:val="nil"/>
              <w:left w:val="single" w:color="auto" w:sz="8" w:space="0"/>
              <w:bottom w:val="single" w:color="auto" w:sz="8" w:space="0"/>
              <w:right w:val="single" w:color="auto" w:sz="8" w:space="0"/>
            </w:tcBorders>
            <w:vAlign w:val="center"/>
          </w:tcPr>
          <w:p w14:paraId="288843BD">
            <w:pPr>
              <w:widowControl/>
              <w:snapToGrid w:val="0"/>
              <w:spacing w:before="100" w:beforeAutospacing="1" w:after="100" w:afterAutospacing="1" w:line="360" w:lineRule="auto"/>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510" w:type="dxa"/>
            <w:gridSpan w:val="2"/>
            <w:tcBorders>
              <w:top w:val="nil"/>
              <w:left w:val="nil"/>
              <w:bottom w:val="single" w:color="auto" w:sz="8" w:space="0"/>
              <w:right w:val="single" w:color="auto" w:sz="8" w:space="0"/>
            </w:tcBorders>
            <w:vAlign w:val="center"/>
          </w:tcPr>
          <w:p w14:paraId="7833A0A3">
            <w:pPr>
              <w:widowControl/>
              <w:snapToGrid w:val="0"/>
              <w:spacing w:before="100" w:beforeAutospacing="1" w:after="100" w:afterAutospacing="1" w:line="360" w:lineRule="auto"/>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75" w:type="dxa"/>
            <w:gridSpan w:val="3"/>
            <w:tcBorders>
              <w:top w:val="nil"/>
              <w:left w:val="nil"/>
              <w:bottom w:val="single" w:color="auto" w:sz="8" w:space="0"/>
              <w:right w:val="single" w:color="auto" w:sz="8" w:space="0"/>
            </w:tcBorders>
            <w:vAlign w:val="center"/>
          </w:tcPr>
          <w:p w14:paraId="32B8C3F7">
            <w:pPr>
              <w:widowControl/>
              <w:snapToGrid w:val="0"/>
              <w:spacing w:before="100" w:beforeAutospacing="1" w:after="100" w:afterAutospacing="1" w:line="360" w:lineRule="auto"/>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84" w:type="dxa"/>
            <w:gridSpan w:val="2"/>
            <w:tcBorders>
              <w:top w:val="nil"/>
              <w:left w:val="nil"/>
              <w:bottom w:val="single" w:color="auto" w:sz="8" w:space="0"/>
              <w:right w:val="single" w:color="auto" w:sz="8" w:space="0"/>
            </w:tcBorders>
            <w:vAlign w:val="center"/>
          </w:tcPr>
          <w:p w14:paraId="27AABC8A">
            <w:pPr>
              <w:widowControl/>
              <w:snapToGrid w:val="0"/>
              <w:spacing w:before="100" w:beforeAutospacing="1" w:after="100" w:afterAutospacing="1" w:line="360" w:lineRule="auto"/>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66" w:type="dxa"/>
            <w:tcBorders>
              <w:top w:val="nil"/>
              <w:left w:val="nil"/>
              <w:bottom w:val="single" w:color="auto" w:sz="8" w:space="0"/>
              <w:right w:val="single" w:color="auto" w:sz="8" w:space="0"/>
            </w:tcBorders>
            <w:vAlign w:val="center"/>
          </w:tcPr>
          <w:p w14:paraId="47D46B48">
            <w:pPr>
              <w:widowControl/>
              <w:snapToGrid w:val="0"/>
              <w:spacing w:before="100" w:beforeAutospacing="1" w:after="100" w:afterAutospacing="1" w:line="360" w:lineRule="auto"/>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72393DA2">
        <w:tblPrEx>
          <w:tblCellMar>
            <w:top w:w="0" w:type="dxa"/>
            <w:left w:w="0" w:type="dxa"/>
            <w:bottom w:w="0" w:type="dxa"/>
            <w:right w:w="0" w:type="dxa"/>
          </w:tblCellMar>
        </w:tblPrEx>
        <w:trPr>
          <w:trHeight w:val="90" w:hRule="atLeast"/>
          <w:jc w:val="center"/>
        </w:trPr>
        <w:tc>
          <w:tcPr>
            <w:tcW w:w="824" w:type="dxa"/>
            <w:tcBorders>
              <w:top w:val="nil"/>
              <w:left w:val="single" w:color="auto" w:sz="8" w:space="0"/>
              <w:bottom w:val="single" w:color="auto" w:sz="8" w:space="0"/>
              <w:right w:val="single" w:color="auto" w:sz="8" w:space="0"/>
            </w:tcBorders>
            <w:vAlign w:val="center"/>
          </w:tcPr>
          <w:p w14:paraId="0232D09C">
            <w:pPr>
              <w:widowControl/>
              <w:spacing w:before="100" w:beforeAutospacing="1" w:after="100" w:afterAutospacing="1" w:line="360" w:lineRule="auto"/>
              <w:jc w:val="center"/>
              <w:rPr>
                <w:rFonts w:ascii="Verdana" w:hAnsi="Verdana" w:cs="宋体"/>
                <w:color w:val="auto"/>
                <w:kern w:val="0"/>
                <w:szCs w:val="21"/>
                <w:highlight w:val="none"/>
              </w:rPr>
            </w:pPr>
          </w:p>
        </w:tc>
        <w:tc>
          <w:tcPr>
            <w:tcW w:w="2510" w:type="dxa"/>
            <w:gridSpan w:val="2"/>
            <w:tcBorders>
              <w:top w:val="nil"/>
              <w:left w:val="nil"/>
              <w:bottom w:val="single" w:color="auto" w:sz="8" w:space="0"/>
              <w:right w:val="single" w:color="auto" w:sz="8" w:space="0"/>
            </w:tcBorders>
            <w:vAlign w:val="center"/>
          </w:tcPr>
          <w:p w14:paraId="5006D72D">
            <w:pPr>
              <w:widowControl/>
              <w:spacing w:before="100" w:beforeAutospacing="1" w:after="100" w:afterAutospacing="1" w:line="360" w:lineRule="auto"/>
              <w:jc w:val="center"/>
              <w:rPr>
                <w:rFonts w:ascii="Verdana" w:hAnsi="Verdana" w:cs="宋体"/>
                <w:color w:val="auto"/>
                <w:kern w:val="0"/>
                <w:szCs w:val="21"/>
                <w:highlight w:val="none"/>
              </w:rPr>
            </w:pPr>
          </w:p>
        </w:tc>
        <w:tc>
          <w:tcPr>
            <w:tcW w:w="2975" w:type="dxa"/>
            <w:gridSpan w:val="3"/>
            <w:tcBorders>
              <w:top w:val="nil"/>
              <w:left w:val="nil"/>
              <w:bottom w:val="single" w:color="auto" w:sz="8" w:space="0"/>
              <w:right w:val="single" w:color="auto" w:sz="8" w:space="0"/>
            </w:tcBorders>
            <w:vAlign w:val="center"/>
          </w:tcPr>
          <w:p w14:paraId="67B7FC49">
            <w:pPr>
              <w:widowControl/>
              <w:spacing w:before="100" w:beforeAutospacing="1" w:after="100" w:afterAutospacing="1" w:line="360" w:lineRule="auto"/>
              <w:jc w:val="center"/>
              <w:rPr>
                <w:rFonts w:ascii="Verdana" w:hAnsi="Verdana" w:cs="宋体"/>
                <w:color w:val="auto"/>
                <w:kern w:val="0"/>
                <w:szCs w:val="21"/>
                <w:highlight w:val="none"/>
              </w:rPr>
            </w:pPr>
          </w:p>
        </w:tc>
        <w:tc>
          <w:tcPr>
            <w:tcW w:w="884" w:type="dxa"/>
            <w:gridSpan w:val="2"/>
            <w:tcBorders>
              <w:top w:val="nil"/>
              <w:left w:val="nil"/>
              <w:bottom w:val="single" w:color="auto" w:sz="8" w:space="0"/>
              <w:right w:val="single" w:color="auto" w:sz="8" w:space="0"/>
            </w:tcBorders>
            <w:vAlign w:val="center"/>
          </w:tcPr>
          <w:p w14:paraId="585BFDD0">
            <w:pPr>
              <w:widowControl/>
              <w:spacing w:before="100" w:beforeAutospacing="1" w:after="100" w:afterAutospacing="1" w:line="360" w:lineRule="auto"/>
              <w:jc w:val="center"/>
              <w:rPr>
                <w:rFonts w:ascii="Verdana" w:hAnsi="Verdana" w:cs="宋体"/>
                <w:color w:val="auto"/>
                <w:kern w:val="0"/>
                <w:szCs w:val="21"/>
                <w:highlight w:val="none"/>
              </w:rPr>
            </w:pPr>
          </w:p>
        </w:tc>
        <w:tc>
          <w:tcPr>
            <w:tcW w:w="1466" w:type="dxa"/>
            <w:tcBorders>
              <w:top w:val="nil"/>
              <w:left w:val="nil"/>
              <w:bottom w:val="single" w:color="auto" w:sz="8" w:space="0"/>
              <w:right w:val="single" w:color="auto" w:sz="8" w:space="0"/>
            </w:tcBorders>
            <w:vAlign w:val="center"/>
          </w:tcPr>
          <w:p w14:paraId="10C793BD">
            <w:pPr>
              <w:widowControl/>
              <w:spacing w:before="100" w:beforeAutospacing="1" w:after="100" w:afterAutospacing="1" w:line="360" w:lineRule="auto"/>
              <w:jc w:val="center"/>
              <w:rPr>
                <w:rFonts w:ascii="Verdana" w:hAnsi="Verdana" w:cs="宋体"/>
                <w:color w:val="auto"/>
                <w:kern w:val="0"/>
                <w:szCs w:val="21"/>
                <w:highlight w:val="none"/>
              </w:rPr>
            </w:pPr>
          </w:p>
        </w:tc>
      </w:tr>
      <w:tr w14:paraId="1252AEED">
        <w:trPr>
          <w:trHeight w:val="90" w:hRule="atLeast"/>
          <w:jc w:val="center"/>
        </w:trPr>
        <w:tc>
          <w:tcPr>
            <w:tcW w:w="824" w:type="dxa"/>
            <w:tcBorders>
              <w:top w:val="nil"/>
              <w:left w:val="single" w:color="auto" w:sz="8" w:space="0"/>
              <w:bottom w:val="single" w:color="auto" w:sz="8" w:space="0"/>
              <w:right w:val="single" w:color="auto" w:sz="8" w:space="0"/>
            </w:tcBorders>
            <w:vAlign w:val="center"/>
          </w:tcPr>
          <w:p w14:paraId="355AB1C9">
            <w:pPr>
              <w:widowControl/>
              <w:spacing w:before="100" w:beforeAutospacing="1" w:after="100" w:afterAutospacing="1" w:line="360" w:lineRule="auto"/>
              <w:jc w:val="center"/>
              <w:rPr>
                <w:rFonts w:ascii="Verdana" w:hAnsi="Verdana" w:cs="宋体"/>
                <w:color w:val="auto"/>
                <w:kern w:val="0"/>
                <w:szCs w:val="21"/>
                <w:highlight w:val="none"/>
              </w:rPr>
            </w:pPr>
          </w:p>
        </w:tc>
        <w:tc>
          <w:tcPr>
            <w:tcW w:w="2510" w:type="dxa"/>
            <w:gridSpan w:val="2"/>
            <w:tcBorders>
              <w:top w:val="nil"/>
              <w:left w:val="nil"/>
              <w:bottom w:val="single" w:color="auto" w:sz="8" w:space="0"/>
              <w:right w:val="single" w:color="auto" w:sz="8" w:space="0"/>
            </w:tcBorders>
            <w:vAlign w:val="center"/>
          </w:tcPr>
          <w:p w14:paraId="2109D586">
            <w:pPr>
              <w:widowControl/>
              <w:spacing w:before="100" w:beforeAutospacing="1" w:after="100" w:afterAutospacing="1" w:line="360" w:lineRule="auto"/>
              <w:jc w:val="center"/>
              <w:rPr>
                <w:rFonts w:ascii="Verdana" w:hAnsi="Verdana" w:cs="宋体"/>
                <w:color w:val="auto"/>
                <w:kern w:val="0"/>
                <w:szCs w:val="21"/>
                <w:highlight w:val="none"/>
              </w:rPr>
            </w:pPr>
          </w:p>
        </w:tc>
        <w:tc>
          <w:tcPr>
            <w:tcW w:w="2975" w:type="dxa"/>
            <w:gridSpan w:val="3"/>
            <w:tcBorders>
              <w:top w:val="nil"/>
              <w:left w:val="nil"/>
              <w:bottom w:val="single" w:color="auto" w:sz="8" w:space="0"/>
              <w:right w:val="single" w:color="auto" w:sz="8" w:space="0"/>
            </w:tcBorders>
            <w:vAlign w:val="center"/>
          </w:tcPr>
          <w:p w14:paraId="7CC094A9">
            <w:pPr>
              <w:widowControl/>
              <w:spacing w:before="100" w:beforeAutospacing="1" w:after="100" w:afterAutospacing="1" w:line="360" w:lineRule="auto"/>
              <w:jc w:val="center"/>
              <w:rPr>
                <w:rFonts w:ascii="Verdana" w:hAnsi="Verdana" w:cs="宋体"/>
                <w:color w:val="auto"/>
                <w:kern w:val="0"/>
                <w:szCs w:val="21"/>
                <w:highlight w:val="none"/>
              </w:rPr>
            </w:pPr>
          </w:p>
        </w:tc>
        <w:tc>
          <w:tcPr>
            <w:tcW w:w="884" w:type="dxa"/>
            <w:gridSpan w:val="2"/>
            <w:tcBorders>
              <w:top w:val="nil"/>
              <w:left w:val="nil"/>
              <w:bottom w:val="single" w:color="auto" w:sz="8" w:space="0"/>
              <w:right w:val="single" w:color="auto" w:sz="8" w:space="0"/>
            </w:tcBorders>
            <w:vAlign w:val="center"/>
          </w:tcPr>
          <w:p w14:paraId="4FB50776">
            <w:pPr>
              <w:widowControl/>
              <w:spacing w:before="100" w:beforeAutospacing="1" w:after="100" w:afterAutospacing="1" w:line="360" w:lineRule="auto"/>
              <w:jc w:val="center"/>
              <w:rPr>
                <w:rFonts w:ascii="Verdana" w:hAnsi="Verdana" w:cs="宋体"/>
                <w:color w:val="auto"/>
                <w:kern w:val="0"/>
                <w:szCs w:val="21"/>
                <w:highlight w:val="none"/>
              </w:rPr>
            </w:pPr>
          </w:p>
        </w:tc>
        <w:tc>
          <w:tcPr>
            <w:tcW w:w="1466" w:type="dxa"/>
            <w:tcBorders>
              <w:top w:val="nil"/>
              <w:left w:val="nil"/>
              <w:bottom w:val="single" w:color="auto" w:sz="8" w:space="0"/>
              <w:right w:val="single" w:color="auto" w:sz="8" w:space="0"/>
            </w:tcBorders>
            <w:vAlign w:val="center"/>
          </w:tcPr>
          <w:p w14:paraId="4961DB07">
            <w:pPr>
              <w:widowControl/>
              <w:spacing w:before="100" w:beforeAutospacing="1" w:after="100" w:afterAutospacing="1" w:line="360" w:lineRule="auto"/>
              <w:jc w:val="center"/>
              <w:rPr>
                <w:rFonts w:ascii="Verdana" w:hAnsi="Verdana" w:cs="宋体"/>
                <w:color w:val="auto"/>
                <w:kern w:val="0"/>
                <w:szCs w:val="21"/>
                <w:highlight w:val="none"/>
              </w:rPr>
            </w:pPr>
          </w:p>
        </w:tc>
      </w:tr>
      <w:tr w14:paraId="57CCB36A">
        <w:trPr>
          <w:trHeight w:val="90" w:hRule="atLeast"/>
          <w:jc w:val="center"/>
        </w:trPr>
        <w:tc>
          <w:tcPr>
            <w:tcW w:w="824" w:type="dxa"/>
            <w:tcBorders>
              <w:top w:val="nil"/>
              <w:left w:val="single" w:color="auto" w:sz="8" w:space="0"/>
              <w:bottom w:val="single" w:color="auto" w:sz="8" w:space="0"/>
              <w:right w:val="single" w:color="auto" w:sz="8" w:space="0"/>
            </w:tcBorders>
            <w:vAlign w:val="center"/>
          </w:tcPr>
          <w:p w14:paraId="75E17E6C">
            <w:pPr>
              <w:widowControl/>
              <w:spacing w:before="100" w:beforeAutospacing="1" w:after="100" w:afterAutospacing="1" w:line="360" w:lineRule="auto"/>
              <w:jc w:val="center"/>
              <w:rPr>
                <w:rFonts w:ascii="Verdana" w:hAnsi="Verdana" w:cs="宋体"/>
                <w:color w:val="auto"/>
                <w:kern w:val="0"/>
                <w:szCs w:val="21"/>
                <w:highlight w:val="none"/>
              </w:rPr>
            </w:pPr>
          </w:p>
        </w:tc>
        <w:tc>
          <w:tcPr>
            <w:tcW w:w="2510" w:type="dxa"/>
            <w:gridSpan w:val="2"/>
            <w:tcBorders>
              <w:top w:val="nil"/>
              <w:left w:val="nil"/>
              <w:bottom w:val="single" w:color="auto" w:sz="8" w:space="0"/>
              <w:right w:val="single" w:color="auto" w:sz="8" w:space="0"/>
            </w:tcBorders>
            <w:vAlign w:val="center"/>
          </w:tcPr>
          <w:p w14:paraId="7DA55601">
            <w:pPr>
              <w:widowControl/>
              <w:spacing w:before="100" w:beforeAutospacing="1" w:after="100" w:afterAutospacing="1" w:line="360" w:lineRule="auto"/>
              <w:jc w:val="center"/>
              <w:rPr>
                <w:rFonts w:ascii="Verdana" w:hAnsi="Verdana" w:cs="宋体"/>
                <w:color w:val="auto"/>
                <w:kern w:val="0"/>
                <w:szCs w:val="21"/>
                <w:highlight w:val="none"/>
              </w:rPr>
            </w:pPr>
          </w:p>
        </w:tc>
        <w:tc>
          <w:tcPr>
            <w:tcW w:w="2975" w:type="dxa"/>
            <w:gridSpan w:val="3"/>
            <w:tcBorders>
              <w:top w:val="nil"/>
              <w:left w:val="nil"/>
              <w:bottom w:val="single" w:color="auto" w:sz="8" w:space="0"/>
              <w:right w:val="single" w:color="auto" w:sz="8" w:space="0"/>
            </w:tcBorders>
            <w:vAlign w:val="center"/>
          </w:tcPr>
          <w:p w14:paraId="7095F0FE">
            <w:pPr>
              <w:widowControl/>
              <w:spacing w:before="100" w:beforeAutospacing="1" w:after="100" w:afterAutospacing="1" w:line="360" w:lineRule="auto"/>
              <w:jc w:val="center"/>
              <w:rPr>
                <w:rFonts w:ascii="Verdana" w:hAnsi="Verdana" w:cs="宋体"/>
                <w:color w:val="auto"/>
                <w:kern w:val="0"/>
                <w:szCs w:val="21"/>
                <w:highlight w:val="none"/>
              </w:rPr>
            </w:pPr>
          </w:p>
        </w:tc>
        <w:tc>
          <w:tcPr>
            <w:tcW w:w="884" w:type="dxa"/>
            <w:gridSpan w:val="2"/>
            <w:tcBorders>
              <w:top w:val="nil"/>
              <w:left w:val="nil"/>
              <w:bottom w:val="single" w:color="auto" w:sz="8" w:space="0"/>
              <w:right w:val="single" w:color="auto" w:sz="8" w:space="0"/>
            </w:tcBorders>
            <w:vAlign w:val="center"/>
          </w:tcPr>
          <w:p w14:paraId="44834FFD">
            <w:pPr>
              <w:widowControl/>
              <w:spacing w:before="100" w:beforeAutospacing="1" w:after="100" w:afterAutospacing="1" w:line="360" w:lineRule="auto"/>
              <w:jc w:val="center"/>
              <w:rPr>
                <w:rFonts w:ascii="Verdana" w:hAnsi="Verdana" w:cs="宋体"/>
                <w:color w:val="auto"/>
                <w:kern w:val="0"/>
                <w:szCs w:val="21"/>
                <w:highlight w:val="none"/>
              </w:rPr>
            </w:pPr>
          </w:p>
        </w:tc>
        <w:tc>
          <w:tcPr>
            <w:tcW w:w="1466" w:type="dxa"/>
            <w:tcBorders>
              <w:top w:val="nil"/>
              <w:left w:val="nil"/>
              <w:bottom w:val="single" w:color="auto" w:sz="8" w:space="0"/>
              <w:right w:val="single" w:color="auto" w:sz="8" w:space="0"/>
            </w:tcBorders>
            <w:vAlign w:val="center"/>
          </w:tcPr>
          <w:p w14:paraId="52F20340">
            <w:pPr>
              <w:widowControl/>
              <w:spacing w:before="100" w:beforeAutospacing="1" w:after="100" w:afterAutospacing="1" w:line="360" w:lineRule="auto"/>
              <w:jc w:val="center"/>
              <w:rPr>
                <w:rFonts w:ascii="Verdana" w:hAnsi="Verdana" w:cs="宋体"/>
                <w:color w:val="auto"/>
                <w:kern w:val="0"/>
                <w:szCs w:val="21"/>
                <w:highlight w:val="none"/>
              </w:rPr>
            </w:pPr>
          </w:p>
        </w:tc>
      </w:tr>
      <w:tr w14:paraId="716DDC2D">
        <w:tblPrEx>
          <w:tblCellMar>
            <w:top w:w="0" w:type="dxa"/>
            <w:left w:w="0" w:type="dxa"/>
            <w:bottom w:w="0" w:type="dxa"/>
            <w:right w:w="0" w:type="dxa"/>
          </w:tblCellMar>
        </w:tblPrEx>
        <w:trPr>
          <w:trHeight w:val="90" w:hRule="atLeast"/>
          <w:jc w:val="center"/>
        </w:trPr>
        <w:tc>
          <w:tcPr>
            <w:tcW w:w="6309" w:type="dxa"/>
            <w:gridSpan w:val="6"/>
            <w:tcBorders>
              <w:top w:val="nil"/>
              <w:left w:val="single" w:color="auto" w:sz="8" w:space="0"/>
              <w:bottom w:val="single" w:color="auto" w:sz="8" w:space="0"/>
              <w:right w:val="single" w:color="auto" w:sz="8" w:space="0"/>
            </w:tcBorders>
            <w:vAlign w:val="center"/>
          </w:tcPr>
          <w:p w14:paraId="785F0DB5">
            <w:pPr>
              <w:widowControl/>
              <w:snapToGrid w:val="0"/>
              <w:spacing w:before="100" w:beforeAutospacing="1" w:after="100" w:afterAutospacing="1" w:line="360" w:lineRule="auto"/>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合计</w:t>
            </w:r>
          </w:p>
        </w:tc>
        <w:tc>
          <w:tcPr>
            <w:tcW w:w="884" w:type="dxa"/>
            <w:gridSpan w:val="2"/>
            <w:tcBorders>
              <w:top w:val="nil"/>
              <w:left w:val="nil"/>
              <w:bottom w:val="single" w:color="auto" w:sz="8" w:space="0"/>
              <w:right w:val="single" w:color="auto" w:sz="8" w:space="0"/>
            </w:tcBorders>
            <w:vAlign w:val="center"/>
          </w:tcPr>
          <w:p w14:paraId="55F0FFF7">
            <w:pPr>
              <w:widowControl/>
              <w:spacing w:before="100" w:beforeAutospacing="1" w:after="100" w:afterAutospacing="1" w:line="360" w:lineRule="auto"/>
              <w:jc w:val="center"/>
              <w:rPr>
                <w:rFonts w:ascii="Verdana" w:hAnsi="Verdana" w:cs="宋体"/>
                <w:color w:val="auto"/>
                <w:kern w:val="0"/>
                <w:szCs w:val="21"/>
                <w:highlight w:val="none"/>
              </w:rPr>
            </w:pPr>
          </w:p>
        </w:tc>
        <w:tc>
          <w:tcPr>
            <w:tcW w:w="1466" w:type="dxa"/>
            <w:tcBorders>
              <w:top w:val="nil"/>
              <w:left w:val="nil"/>
              <w:bottom w:val="single" w:color="auto" w:sz="8" w:space="0"/>
              <w:right w:val="single" w:color="auto" w:sz="8" w:space="0"/>
            </w:tcBorders>
            <w:vAlign w:val="center"/>
          </w:tcPr>
          <w:p w14:paraId="03625755">
            <w:pPr>
              <w:widowControl/>
              <w:spacing w:before="100" w:beforeAutospacing="1" w:after="100" w:afterAutospacing="1" w:line="360" w:lineRule="auto"/>
              <w:jc w:val="center"/>
              <w:rPr>
                <w:rFonts w:ascii="Verdana" w:hAnsi="Verdana" w:cs="宋体"/>
                <w:color w:val="auto"/>
                <w:kern w:val="0"/>
                <w:szCs w:val="21"/>
                <w:highlight w:val="none"/>
              </w:rPr>
            </w:pPr>
          </w:p>
        </w:tc>
      </w:tr>
      <w:tr w14:paraId="66DC7FE9">
        <w:tblPrEx>
          <w:tblCellMar>
            <w:top w:w="0" w:type="dxa"/>
            <w:left w:w="0" w:type="dxa"/>
            <w:bottom w:w="0" w:type="dxa"/>
            <w:right w:w="0" w:type="dxa"/>
          </w:tblCellMar>
        </w:tblPrEx>
        <w:trPr>
          <w:trHeight w:val="90" w:hRule="atLeast"/>
          <w:jc w:val="center"/>
        </w:trPr>
        <w:tc>
          <w:tcPr>
            <w:tcW w:w="8659" w:type="dxa"/>
            <w:gridSpan w:val="9"/>
            <w:tcBorders>
              <w:top w:val="nil"/>
              <w:left w:val="single" w:color="auto" w:sz="8" w:space="0"/>
              <w:bottom w:val="single" w:color="auto" w:sz="8" w:space="0"/>
              <w:right w:val="single" w:color="auto" w:sz="8" w:space="0"/>
            </w:tcBorders>
            <w:vAlign w:val="center"/>
          </w:tcPr>
          <w:p w14:paraId="7D51CAD5">
            <w:pPr>
              <w:widowControl/>
              <w:snapToGrid w:val="0"/>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2557518B">
        <w:tblPrEx>
          <w:tblCellMar>
            <w:top w:w="0" w:type="dxa"/>
            <w:left w:w="0" w:type="dxa"/>
            <w:bottom w:w="0" w:type="dxa"/>
            <w:right w:w="0" w:type="dxa"/>
          </w:tblCellMar>
        </w:tblPrEx>
        <w:trPr>
          <w:trHeight w:val="90" w:hRule="atLeast"/>
          <w:jc w:val="center"/>
        </w:trPr>
        <w:tc>
          <w:tcPr>
            <w:tcW w:w="1670" w:type="dxa"/>
            <w:gridSpan w:val="2"/>
            <w:tcBorders>
              <w:top w:val="nil"/>
              <w:left w:val="single" w:color="auto" w:sz="8" w:space="0"/>
              <w:bottom w:val="single" w:color="auto" w:sz="8" w:space="0"/>
              <w:right w:val="single" w:color="auto" w:sz="8" w:space="0"/>
            </w:tcBorders>
            <w:vAlign w:val="center"/>
          </w:tcPr>
          <w:p w14:paraId="2DC90E10">
            <w:pPr>
              <w:widowControl/>
              <w:snapToGrid w:val="0"/>
              <w:spacing w:before="100" w:beforeAutospacing="1" w:after="100" w:afterAutospacing="1" w:line="360" w:lineRule="auto"/>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82" w:type="dxa"/>
            <w:gridSpan w:val="2"/>
            <w:tcBorders>
              <w:top w:val="nil"/>
              <w:left w:val="nil"/>
              <w:bottom w:val="single" w:color="auto" w:sz="8" w:space="0"/>
              <w:right w:val="single" w:color="auto" w:sz="8" w:space="0"/>
            </w:tcBorders>
            <w:vAlign w:val="center"/>
          </w:tcPr>
          <w:p w14:paraId="1A7D2564">
            <w:pPr>
              <w:widowControl/>
              <w:spacing w:before="100" w:beforeAutospacing="1" w:after="100" w:afterAutospacing="1" w:line="360" w:lineRule="auto"/>
              <w:jc w:val="center"/>
              <w:rPr>
                <w:rFonts w:ascii="Verdana" w:hAnsi="Verdana" w:cs="宋体"/>
                <w:color w:val="auto"/>
                <w:kern w:val="0"/>
                <w:szCs w:val="21"/>
                <w:highlight w:val="none"/>
              </w:rPr>
            </w:pPr>
          </w:p>
        </w:tc>
        <w:tc>
          <w:tcPr>
            <w:tcW w:w="2340" w:type="dxa"/>
            <w:gridSpan w:val="3"/>
            <w:tcBorders>
              <w:top w:val="nil"/>
              <w:left w:val="nil"/>
              <w:bottom w:val="single" w:color="auto" w:sz="8" w:space="0"/>
              <w:right w:val="single" w:color="auto" w:sz="8" w:space="0"/>
            </w:tcBorders>
            <w:vAlign w:val="center"/>
          </w:tcPr>
          <w:p w14:paraId="6BE4E2A6">
            <w:pPr>
              <w:widowControl/>
              <w:snapToGrid w:val="0"/>
              <w:spacing w:before="100" w:beforeAutospacing="1" w:after="100" w:afterAutospacing="1" w:line="360" w:lineRule="auto"/>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67" w:type="dxa"/>
            <w:gridSpan w:val="2"/>
            <w:tcBorders>
              <w:top w:val="nil"/>
              <w:left w:val="nil"/>
              <w:bottom w:val="single" w:color="auto" w:sz="8" w:space="0"/>
              <w:right w:val="single" w:color="auto" w:sz="8" w:space="0"/>
            </w:tcBorders>
            <w:vAlign w:val="center"/>
          </w:tcPr>
          <w:p w14:paraId="3904FCED">
            <w:pPr>
              <w:widowControl/>
              <w:spacing w:before="100" w:beforeAutospacing="1" w:after="100" w:afterAutospacing="1" w:line="360" w:lineRule="auto"/>
              <w:jc w:val="center"/>
              <w:rPr>
                <w:rFonts w:ascii="Verdana" w:hAnsi="Verdana" w:cs="宋体"/>
                <w:color w:val="auto"/>
                <w:kern w:val="0"/>
                <w:szCs w:val="21"/>
                <w:highlight w:val="none"/>
              </w:rPr>
            </w:pPr>
          </w:p>
        </w:tc>
      </w:tr>
      <w:tr w14:paraId="7400ADC0">
        <w:tblPrEx>
          <w:tblCellMar>
            <w:top w:w="0" w:type="dxa"/>
            <w:left w:w="0" w:type="dxa"/>
            <w:bottom w:w="0" w:type="dxa"/>
            <w:right w:w="0" w:type="dxa"/>
          </w:tblCellMar>
        </w:tblPrEx>
        <w:trPr>
          <w:trHeight w:val="90" w:hRule="atLeast"/>
          <w:jc w:val="center"/>
        </w:trPr>
        <w:tc>
          <w:tcPr>
            <w:tcW w:w="167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0C3F12">
            <w:pPr>
              <w:widowControl/>
              <w:snapToGrid w:val="0"/>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98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A7E999F">
            <w:pPr>
              <w:widowControl/>
              <w:snapToGrid w:val="0"/>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w:t>
            </w:r>
            <w:r>
              <w:rPr>
                <w:rFonts w:hint="eastAsia" w:ascii="Verdana" w:hAnsi="Verdana" w:cs="宋体"/>
                <w:color w:val="auto"/>
                <w:kern w:val="0"/>
                <w:szCs w:val="21"/>
                <w:highlight w:val="none"/>
                <w:lang w:eastAsia="zh-CN"/>
              </w:rPr>
              <w:t>成交人</w:t>
            </w:r>
            <w:r>
              <w:rPr>
                <w:rFonts w:ascii="Verdana" w:hAnsi="Verdana" w:cs="宋体"/>
                <w:color w:val="auto"/>
                <w:kern w:val="0"/>
                <w:szCs w:val="21"/>
                <w:highlight w:val="none"/>
              </w:rPr>
              <w:t>在安装调试等方面是否违反合同约定或者服务规范要求、提供的质量保证证明材料是否齐全、应有的配件及附件是否达到合同约定等。可附件)</w:t>
            </w:r>
          </w:p>
        </w:tc>
      </w:tr>
      <w:tr w14:paraId="2B713F72">
        <w:tblPrEx>
          <w:tblCellMar>
            <w:top w:w="0" w:type="dxa"/>
            <w:left w:w="0" w:type="dxa"/>
            <w:bottom w:w="0" w:type="dxa"/>
            <w:right w:w="0" w:type="dxa"/>
          </w:tblCellMar>
        </w:tblPrEx>
        <w:trPr>
          <w:trHeight w:val="90" w:hRule="atLeast"/>
          <w:jc w:val="center"/>
        </w:trPr>
        <w:tc>
          <w:tcPr>
            <w:tcW w:w="1670"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8C0148">
            <w:pPr>
              <w:widowControl/>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989" w:type="dxa"/>
            <w:gridSpan w:val="7"/>
            <w:tcBorders>
              <w:top w:val="nil"/>
              <w:left w:val="nil"/>
              <w:bottom w:val="single" w:color="auto" w:sz="8" w:space="0"/>
              <w:right w:val="single" w:color="auto" w:sz="8" w:space="0"/>
            </w:tcBorders>
            <w:vAlign w:val="center"/>
          </w:tcPr>
          <w:p w14:paraId="600C5302">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B5CE6F7">
        <w:tblPrEx>
          <w:tblCellMar>
            <w:top w:w="0" w:type="dxa"/>
            <w:left w:w="0" w:type="dxa"/>
            <w:bottom w:w="0" w:type="dxa"/>
            <w:right w:w="0" w:type="dxa"/>
          </w:tblCellMar>
        </w:tblPrEx>
        <w:trPr>
          <w:trHeight w:val="90" w:hRule="atLeast"/>
          <w:jc w:val="center"/>
        </w:trPr>
        <w:tc>
          <w:tcPr>
            <w:tcW w:w="1670" w:type="dxa"/>
            <w:gridSpan w:val="2"/>
            <w:vMerge w:val="continue"/>
            <w:tcBorders>
              <w:top w:val="nil"/>
              <w:left w:val="single" w:color="auto" w:sz="8" w:space="0"/>
              <w:bottom w:val="single" w:color="auto" w:sz="8" w:space="0"/>
              <w:right w:val="single" w:color="auto" w:sz="8" w:space="0"/>
            </w:tcBorders>
            <w:vAlign w:val="center"/>
          </w:tcPr>
          <w:p w14:paraId="1D8A8B7B">
            <w:pPr>
              <w:widowControl/>
              <w:spacing w:line="360" w:lineRule="auto"/>
              <w:jc w:val="left"/>
              <w:rPr>
                <w:rFonts w:ascii="Verdana" w:hAnsi="Verdana" w:cs="宋体"/>
                <w:color w:val="auto"/>
                <w:kern w:val="0"/>
                <w:szCs w:val="21"/>
                <w:highlight w:val="none"/>
              </w:rPr>
            </w:pPr>
          </w:p>
        </w:tc>
        <w:tc>
          <w:tcPr>
            <w:tcW w:w="6989" w:type="dxa"/>
            <w:gridSpan w:val="7"/>
            <w:tcBorders>
              <w:top w:val="nil"/>
              <w:left w:val="nil"/>
              <w:bottom w:val="single" w:color="auto" w:sz="8" w:space="0"/>
              <w:right w:val="single" w:color="auto" w:sz="8" w:space="0"/>
            </w:tcBorders>
            <w:vAlign w:val="center"/>
          </w:tcPr>
          <w:p w14:paraId="527EDFBA">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E1BF8A9">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lang w:eastAsia="zh-CN"/>
              </w:rPr>
              <w:t>签字（或个人CA签章）</w:t>
            </w:r>
            <w:r>
              <w:rPr>
                <w:rFonts w:ascii="Verdana" w:hAnsi="Verdana" w:cs="宋体"/>
                <w:color w:val="auto"/>
                <w:kern w:val="0"/>
                <w:szCs w:val="21"/>
                <w:highlight w:val="none"/>
              </w:rPr>
              <w:t>：</w:t>
            </w:r>
          </w:p>
        </w:tc>
      </w:tr>
      <w:tr w14:paraId="387D3E1F">
        <w:tblPrEx>
          <w:tblCellMar>
            <w:top w:w="0" w:type="dxa"/>
            <w:left w:w="0" w:type="dxa"/>
            <w:bottom w:w="0" w:type="dxa"/>
            <w:right w:w="0" w:type="dxa"/>
          </w:tblCellMar>
        </w:tblPrEx>
        <w:trPr>
          <w:trHeight w:val="90" w:hRule="atLeast"/>
          <w:jc w:val="center"/>
        </w:trPr>
        <w:tc>
          <w:tcPr>
            <w:tcW w:w="865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416DD5">
            <w:pPr>
              <w:widowControl/>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验收小组成员</w:t>
            </w:r>
            <w:r>
              <w:rPr>
                <w:rFonts w:hint="eastAsia" w:ascii="Verdana" w:hAnsi="Verdana" w:cs="宋体"/>
                <w:color w:val="auto"/>
                <w:kern w:val="0"/>
                <w:szCs w:val="21"/>
                <w:highlight w:val="none"/>
                <w:lang w:eastAsia="zh-CN"/>
              </w:rPr>
              <w:t>签字（或个人CA签章）</w:t>
            </w:r>
            <w:r>
              <w:rPr>
                <w:rFonts w:ascii="Verdana" w:hAnsi="Verdana" w:cs="宋体"/>
                <w:color w:val="auto"/>
                <w:kern w:val="0"/>
                <w:szCs w:val="21"/>
                <w:highlight w:val="none"/>
              </w:rPr>
              <w:t>：</w:t>
            </w:r>
          </w:p>
        </w:tc>
      </w:tr>
      <w:tr w14:paraId="29932B08">
        <w:tblPrEx>
          <w:tblCellMar>
            <w:top w:w="0" w:type="dxa"/>
            <w:left w:w="0" w:type="dxa"/>
            <w:bottom w:w="0" w:type="dxa"/>
            <w:right w:w="0" w:type="dxa"/>
          </w:tblCellMar>
        </w:tblPrEx>
        <w:trPr>
          <w:trHeight w:val="90" w:hRule="atLeast"/>
          <w:jc w:val="center"/>
        </w:trPr>
        <w:tc>
          <w:tcPr>
            <w:tcW w:w="865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9861DE">
            <w:pPr>
              <w:widowControl/>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w:t>
            </w:r>
            <w:r>
              <w:rPr>
                <w:rFonts w:hint="eastAsia" w:ascii="Verdana" w:hAnsi="Verdana" w:cs="宋体"/>
                <w:color w:val="auto"/>
                <w:kern w:val="0"/>
                <w:szCs w:val="21"/>
                <w:highlight w:val="none"/>
                <w:lang w:eastAsia="zh-CN"/>
              </w:rPr>
              <w:t>签字（或个人CA签章）</w:t>
            </w:r>
            <w:r>
              <w:rPr>
                <w:rFonts w:ascii="Verdana" w:hAnsi="Verdana" w:cs="宋体"/>
                <w:color w:val="auto"/>
                <w:kern w:val="0"/>
                <w:szCs w:val="21"/>
                <w:highlight w:val="none"/>
              </w:rPr>
              <w:t>：</w:t>
            </w:r>
          </w:p>
          <w:p w14:paraId="35E5884D">
            <w:pPr>
              <w:widowControl/>
              <w:spacing w:before="100" w:beforeAutospacing="1" w:after="100" w:afterAutospacing="1" w:line="360" w:lineRule="auto"/>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750BC798">
        <w:tblPrEx>
          <w:tblCellMar>
            <w:top w:w="0" w:type="dxa"/>
            <w:left w:w="0" w:type="dxa"/>
            <w:bottom w:w="0" w:type="dxa"/>
            <w:right w:w="0" w:type="dxa"/>
          </w:tblCellMar>
        </w:tblPrEx>
        <w:trPr>
          <w:trHeight w:val="90" w:hRule="atLeast"/>
          <w:jc w:val="center"/>
        </w:trPr>
        <w:tc>
          <w:tcPr>
            <w:tcW w:w="4257"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78D66F2">
            <w:pPr>
              <w:widowControl/>
              <w:spacing w:before="100" w:beforeAutospacing="1" w:after="100" w:afterAutospacing="1" w:line="360" w:lineRule="auto"/>
              <w:jc w:val="left"/>
              <w:rPr>
                <w:rFonts w:ascii="Verdana" w:hAnsi="Verdana" w:cs="宋体"/>
                <w:color w:val="auto"/>
                <w:kern w:val="0"/>
                <w:szCs w:val="21"/>
                <w:highlight w:val="none"/>
              </w:rPr>
            </w:pPr>
            <w:r>
              <w:rPr>
                <w:rFonts w:hint="eastAsia" w:ascii="Verdana" w:hAnsi="Verdana" w:cs="宋体"/>
                <w:color w:val="auto"/>
                <w:kern w:val="0"/>
                <w:szCs w:val="21"/>
                <w:highlight w:val="none"/>
                <w:lang w:eastAsia="zh-CN"/>
              </w:rPr>
              <w:t>成交人</w:t>
            </w:r>
            <w:r>
              <w:rPr>
                <w:rFonts w:ascii="Verdana" w:hAnsi="Verdana" w:cs="宋体"/>
                <w:color w:val="auto"/>
                <w:kern w:val="0"/>
                <w:szCs w:val="21"/>
                <w:highlight w:val="none"/>
              </w:rPr>
              <w:t>负责人</w:t>
            </w:r>
            <w:r>
              <w:rPr>
                <w:rFonts w:hint="eastAsia" w:ascii="Verdana" w:hAnsi="Verdana" w:cs="宋体"/>
                <w:color w:val="auto"/>
                <w:kern w:val="0"/>
                <w:szCs w:val="21"/>
                <w:highlight w:val="none"/>
                <w:lang w:eastAsia="zh-CN"/>
              </w:rPr>
              <w:t>签字（或个人CA签章）</w:t>
            </w:r>
            <w:r>
              <w:rPr>
                <w:rFonts w:ascii="Verdana" w:hAnsi="Verdana" w:cs="宋体"/>
                <w:color w:val="auto"/>
                <w:kern w:val="0"/>
                <w:szCs w:val="21"/>
                <w:highlight w:val="none"/>
              </w:rPr>
              <w:t>或者</w:t>
            </w:r>
            <w:r>
              <w:rPr>
                <w:rFonts w:hint="eastAsia" w:ascii="Verdana" w:hAnsi="Verdana" w:cs="宋体"/>
                <w:color w:val="auto"/>
                <w:kern w:val="0"/>
                <w:szCs w:val="21"/>
                <w:highlight w:val="none"/>
                <w:lang w:eastAsia="zh-CN"/>
              </w:rPr>
              <w:t>的</w:t>
            </w:r>
            <w:r>
              <w:rPr>
                <w:rFonts w:ascii="Verdana" w:hAnsi="Verdana" w:cs="宋体"/>
                <w:color w:val="auto"/>
                <w:kern w:val="0"/>
                <w:szCs w:val="21"/>
                <w:highlight w:val="none"/>
              </w:rPr>
              <w:t>盖章：</w:t>
            </w:r>
          </w:p>
          <w:p w14:paraId="6E8D3C6A">
            <w:pPr>
              <w:widowControl/>
              <w:spacing w:before="100" w:beforeAutospacing="1" w:after="100" w:afterAutospacing="1" w:line="360" w:lineRule="auto"/>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402" w:type="dxa"/>
            <w:gridSpan w:val="4"/>
            <w:tcBorders>
              <w:top w:val="nil"/>
              <w:left w:val="nil"/>
              <w:bottom w:val="single" w:color="auto" w:sz="8" w:space="0"/>
              <w:right w:val="single" w:color="auto" w:sz="8" w:space="0"/>
            </w:tcBorders>
            <w:vAlign w:val="center"/>
          </w:tcPr>
          <w:p w14:paraId="35A74960">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lang w:eastAsia="zh-CN"/>
              </w:rPr>
              <w:t>采购人</w:t>
            </w:r>
            <w:r>
              <w:rPr>
                <w:rFonts w:ascii="Verdana" w:hAnsi="Verdana" w:cs="宋体"/>
                <w:color w:val="auto"/>
                <w:kern w:val="0"/>
                <w:szCs w:val="21"/>
                <w:highlight w:val="none"/>
              </w:rPr>
              <w:t>或者受托机构的意见（盖章）：</w:t>
            </w:r>
          </w:p>
          <w:p w14:paraId="3FB6187F">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p>
          <w:p w14:paraId="656432F6">
            <w:pPr>
              <w:widowControl/>
              <w:spacing w:before="100" w:beforeAutospacing="1" w:after="100" w:afterAutospacing="1" w:line="360" w:lineRule="auto"/>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59515D55">
      <w:pPr>
        <w:pStyle w:val="17"/>
        <w:snapToGrid w:val="0"/>
        <w:spacing w:line="360" w:lineRule="auto"/>
        <w:rPr>
          <w:rFonts w:hint="eastAsia" w:ascii="黑体" w:hAnsi="黑体" w:eastAsia="黑体" w:cs="黑体"/>
          <w:color w:val="auto"/>
          <w:sz w:val="32"/>
          <w:szCs w:val="32"/>
          <w:highlight w:val="none"/>
        </w:rPr>
      </w:pPr>
      <w:r>
        <w:rPr>
          <w:rFonts w:hAnsi="宋体"/>
          <w:color w:val="auto"/>
          <w:highlight w:val="none"/>
        </w:rPr>
        <w:br w:type="page"/>
      </w:r>
      <w:r>
        <w:rPr>
          <w:rFonts w:hint="eastAsia" w:ascii="宋体" w:hAnsi="宋体" w:eastAsia="宋体" w:cs="宋体"/>
          <w:b/>
          <w:bCs/>
          <w:color w:val="auto"/>
          <w:sz w:val="32"/>
          <w:szCs w:val="32"/>
          <w:highlight w:val="none"/>
        </w:rPr>
        <w:t>附件2：</w:t>
      </w:r>
    </w:p>
    <w:p w14:paraId="2CDD4A75">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B1C78D6">
      <w:pPr>
        <w:spacing w:line="360" w:lineRule="auto"/>
        <w:jc w:val="center"/>
        <w:rPr>
          <w:rFonts w:hint="eastAsia" w:ascii="黑体" w:hAnsi="黑体" w:eastAsia="黑体"/>
          <w:color w:val="auto"/>
          <w:sz w:val="36"/>
          <w:szCs w:val="36"/>
          <w:highlight w:val="none"/>
        </w:rPr>
      </w:pPr>
    </w:p>
    <w:tbl>
      <w:tblPr>
        <w:tblStyle w:val="30"/>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967"/>
      </w:tblGrid>
      <w:tr w14:paraId="1384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2" w:type="dxa"/>
            <w:vMerge w:val="restart"/>
            <w:vAlign w:val="center"/>
          </w:tcPr>
          <w:p w14:paraId="11736C79">
            <w:pPr>
              <w:spacing w:line="360" w:lineRule="auto"/>
              <w:jc w:val="center"/>
              <w:rPr>
                <w:rFonts w:hint="eastAsia"/>
                <w:color w:val="auto"/>
                <w:sz w:val="21"/>
                <w:szCs w:val="21"/>
                <w:highlight w:val="none"/>
              </w:rPr>
            </w:pPr>
            <w:r>
              <w:rPr>
                <w:rFonts w:hint="eastAsia"/>
                <w:color w:val="auto"/>
                <w:sz w:val="21"/>
                <w:szCs w:val="21"/>
                <w:highlight w:val="none"/>
              </w:rPr>
              <w:t>供</w:t>
            </w:r>
          </w:p>
          <w:p w14:paraId="4B5D74A8">
            <w:pPr>
              <w:spacing w:line="360" w:lineRule="auto"/>
              <w:jc w:val="center"/>
              <w:rPr>
                <w:rFonts w:hint="eastAsia"/>
                <w:color w:val="auto"/>
                <w:sz w:val="21"/>
                <w:szCs w:val="21"/>
                <w:highlight w:val="none"/>
              </w:rPr>
            </w:pPr>
            <w:r>
              <w:rPr>
                <w:rFonts w:hint="eastAsia"/>
                <w:color w:val="auto"/>
                <w:sz w:val="21"/>
                <w:szCs w:val="21"/>
                <w:highlight w:val="none"/>
              </w:rPr>
              <w:t>应</w:t>
            </w:r>
          </w:p>
          <w:p w14:paraId="69D505E9">
            <w:pPr>
              <w:spacing w:line="360" w:lineRule="auto"/>
              <w:jc w:val="center"/>
              <w:rPr>
                <w:rFonts w:hint="eastAsia"/>
                <w:color w:val="auto"/>
                <w:sz w:val="21"/>
                <w:szCs w:val="21"/>
                <w:highlight w:val="none"/>
              </w:rPr>
            </w:pPr>
            <w:r>
              <w:rPr>
                <w:rFonts w:hint="eastAsia"/>
                <w:color w:val="auto"/>
                <w:sz w:val="21"/>
                <w:szCs w:val="21"/>
                <w:highlight w:val="none"/>
              </w:rPr>
              <w:t>商</w:t>
            </w:r>
          </w:p>
          <w:p w14:paraId="495DB359">
            <w:pPr>
              <w:spacing w:line="360" w:lineRule="auto"/>
              <w:jc w:val="center"/>
              <w:rPr>
                <w:rFonts w:hint="eastAsia"/>
                <w:color w:val="auto"/>
                <w:sz w:val="21"/>
                <w:szCs w:val="21"/>
                <w:highlight w:val="none"/>
              </w:rPr>
            </w:pPr>
            <w:r>
              <w:rPr>
                <w:rFonts w:hint="eastAsia"/>
                <w:color w:val="auto"/>
                <w:sz w:val="21"/>
                <w:szCs w:val="21"/>
                <w:highlight w:val="none"/>
              </w:rPr>
              <w:t>申</w:t>
            </w:r>
          </w:p>
          <w:p w14:paraId="105FF38F">
            <w:pPr>
              <w:spacing w:line="360" w:lineRule="auto"/>
              <w:jc w:val="center"/>
              <w:rPr>
                <w:rFonts w:hint="eastAsia"/>
                <w:color w:val="auto"/>
                <w:sz w:val="21"/>
                <w:szCs w:val="21"/>
                <w:highlight w:val="none"/>
              </w:rPr>
            </w:pPr>
            <w:r>
              <w:rPr>
                <w:rFonts w:hint="eastAsia"/>
                <w:color w:val="auto"/>
                <w:sz w:val="21"/>
                <w:szCs w:val="21"/>
                <w:highlight w:val="none"/>
              </w:rPr>
              <w:t>请</w:t>
            </w:r>
          </w:p>
        </w:tc>
        <w:tc>
          <w:tcPr>
            <w:tcW w:w="7967" w:type="dxa"/>
            <w:vAlign w:val="center"/>
          </w:tcPr>
          <w:p w14:paraId="420B712E">
            <w:pPr>
              <w:spacing w:line="360" w:lineRule="auto"/>
              <w:rPr>
                <w:rFonts w:hint="eastAsia"/>
                <w:color w:val="auto"/>
                <w:sz w:val="21"/>
                <w:szCs w:val="21"/>
                <w:highlight w:val="none"/>
              </w:rPr>
            </w:pPr>
            <w:r>
              <w:rPr>
                <w:rFonts w:hint="eastAsia"/>
                <w:color w:val="auto"/>
                <w:sz w:val="21"/>
                <w:szCs w:val="21"/>
                <w:highlight w:val="none"/>
              </w:rPr>
              <w:t>项目编号：</w:t>
            </w:r>
          </w:p>
        </w:tc>
      </w:tr>
      <w:tr w14:paraId="2789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2" w:type="dxa"/>
            <w:vMerge w:val="continue"/>
            <w:vAlign w:val="center"/>
          </w:tcPr>
          <w:p w14:paraId="52A3C972">
            <w:pPr>
              <w:spacing w:line="360" w:lineRule="auto"/>
              <w:rPr>
                <w:rFonts w:hint="eastAsia"/>
                <w:color w:val="auto"/>
                <w:sz w:val="21"/>
                <w:szCs w:val="21"/>
                <w:highlight w:val="none"/>
              </w:rPr>
            </w:pPr>
          </w:p>
        </w:tc>
        <w:tc>
          <w:tcPr>
            <w:tcW w:w="7967" w:type="dxa"/>
            <w:vAlign w:val="center"/>
          </w:tcPr>
          <w:p w14:paraId="52332220">
            <w:pPr>
              <w:spacing w:line="360" w:lineRule="auto"/>
              <w:rPr>
                <w:rFonts w:hint="eastAsia"/>
                <w:color w:val="auto"/>
                <w:sz w:val="21"/>
                <w:szCs w:val="21"/>
                <w:highlight w:val="none"/>
              </w:rPr>
            </w:pPr>
            <w:r>
              <w:rPr>
                <w:rFonts w:hint="eastAsia"/>
                <w:color w:val="auto"/>
                <w:sz w:val="21"/>
                <w:szCs w:val="21"/>
                <w:highlight w:val="none"/>
              </w:rPr>
              <w:t>项目名称：</w:t>
            </w:r>
          </w:p>
        </w:tc>
      </w:tr>
      <w:tr w14:paraId="310A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812" w:type="dxa"/>
            <w:vMerge w:val="continue"/>
            <w:vAlign w:val="top"/>
          </w:tcPr>
          <w:p w14:paraId="635B6355">
            <w:pPr>
              <w:spacing w:line="360" w:lineRule="auto"/>
              <w:rPr>
                <w:rFonts w:hint="eastAsia"/>
                <w:color w:val="auto"/>
                <w:sz w:val="21"/>
                <w:szCs w:val="21"/>
                <w:highlight w:val="none"/>
              </w:rPr>
            </w:pPr>
          </w:p>
        </w:tc>
        <w:tc>
          <w:tcPr>
            <w:tcW w:w="7967" w:type="dxa"/>
            <w:vAlign w:val="top"/>
          </w:tcPr>
          <w:p w14:paraId="48FD6EE0">
            <w:pPr>
              <w:spacing w:line="360" w:lineRule="auto"/>
              <w:rPr>
                <w:rFonts w:hint="eastAsia" w:eastAsia="宋体"/>
                <w:color w:val="auto"/>
                <w:sz w:val="21"/>
                <w:szCs w:val="21"/>
                <w:highlight w:val="none"/>
                <w:lang w:eastAsia="zh-CN"/>
              </w:rPr>
            </w:pPr>
          </w:p>
          <w:p w14:paraId="698F98E2">
            <w:pPr>
              <w:spacing w:line="360" w:lineRule="auto"/>
              <w:ind w:firstLine="420" w:firstLineChars="200"/>
              <w:rPr>
                <w:rFonts w:hint="eastAsia"/>
                <w:color w:val="auto"/>
                <w:sz w:val="21"/>
                <w:szCs w:val="21"/>
                <w:highlight w:val="none"/>
              </w:rPr>
            </w:pPr>
            <w:r>
              <w:rPr>
                <w:rFonts w:hint="eastAsia"/>
                <w:color w:val="auto"/>
                <w:sz w:val="21"/>
                <w:szCs w:val="21"/>
                <w:highlight w:val="none"/>
              </w:rPr>
              <w:t>该项目已于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日验收并交付使用。根据合同规定，该项目的履约保证金期限于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日已满，请将履约保证金</w:t>
            </w:r>
          </w:p>
          <w:p w14:paraId="3CAE8568">
            <w:pPr>
              <w:spacing w:line="360" w:lineRule="auto"/>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（大写）¥</w:t>
            </w:r>
            <w:r>
              <w:rPr>
                <w:rFonts w:hint="eastAsia"/>
                <w:color w:val="auto"/>
                <w:sz w:val="21"/>
                <w:szCs w:val="21"/>
                <w:highlight w:val="none"/>
                <w:u w:val="single"/>
              </w:rPr>
              <w:t xml:space="preserve">          </w:t>
            </w:r>
            <w:r>
              <w:rPr>
                <w:rFonts w:hint="eastAsia"/>
                <w:color w:val="auto"/>
                <w:sz w:val="21"/>
                <w:szCs w:val="21"/>
                <w:highlight w:val="none"/>
              </w:rPr>
              <w:t>（小写）退付到达以下帐户。</w:t>
            </w:r>
          </w:p>
          <w:p w14:paraId="5A677B5E">
            <w:pPr>
              <w:spacing w:line="360" w:lineRule="auto"/>
              <w:rPr>
                <w:rFonts w:hint="eastAsia"/>
                <w:color w:val="auto"/>
                <w:sz w:val="21"/>
                <w:szCs w:val="21"/>
                <w:highlight w:val="none"/>
              </w:rPr>
            </w:pPr>
            <w:r>
              <w:rPr>
                <w:rFonts w:hint="eastAsia"/>
                <w:color w:val="auto"/>
                <w:sz w:val="21"/>
                <w:szCs w:val="21"/>
                <w:highlight w:val="none"/>
              </w:rPr>
              <w:t>单位名称：</w:t>
            </w:r>
          </w:p>
          <w:p w14:paraId="01DACF74">
            <w:pPr>
              <w:spacing w:line="360" w:lineRule="auto"/>
              <w:rPr>
                <w:rFonts w:hint="eastAsia"/>
                <w:color w:val="auto"/>
                <w:sz w:val="21"/>
                <w:szCs w:val="21"/>
                <w:highlight w:val="none"/>
              </w:rPr>
            </w:pPr>
            <w:r>
              <w:rPr>
                <w:rFonts w:hint="eastAsia"/>
                <w:color w:val="auto"/>
                <w:sz w:val="21"/>
                <w:szCs w:val="21"/>
                <w:highlight w:val="none"/>
              </w:rPr>
              <w:t>开户银行：</w:t>
            </w:r>
          </w:p>
          <w:p w14:paraId="7BA2584A">
            <w:pPr>
              <w:spacing w:line="360" w:lineRule="auto"/>
              <w:rPr>
                <w:rFonts w:hint="eastAsia"/>
                <w:color w:val="auto"/>
                <w:sz w:val="21"/>
                <w:szCs w:val="21"/>
                <w:highlight w:val="none"/>
              </w:rPr>
            </w:pPr>
            <w:r>
              <w:rPr>
                <w:rFonts w:hint="eastAsia"/>
                <w:color w:val="auto"/>
                <w:sz w:val="21"/>
                <w:szCs w:val="21"/>
                <w:highlight w:val="none"/>
              </w:rPr>
              <w:t>帐    号：</w:t>
            </w:r>
          </w:p>
          <w:p w14:paraId="3C7FD9D4">
            <w:pPr>
              <w:spacing w:line="360" w:lineRule="auto"/>
              <w:rPr>
                <w:rFonts w:hint="eastAsia"/>
                <w:color w:val="auto"/>
                <w:sz w:val="21"/>
                <w:szCs w:val="21"/>
                <w:highlight w:val="none"/>
              </w:rPr>
            </w:pPr>
            <w:r>
              <w:rPr>
                <w:rFonts w:hint="eastAsia"/>
                <w:color w:val="auto"/>
                <w:sz w:val="21"/>
                <w:szCs w:val="21"/>
                <w:highlight w:val="none"/>
              </w:rPr>
              <w:t>联系人及电话：</w:t>
            </w:r>
          </w:p>
          <w:p w14:paraId="37AC25E3">
            <w:pPr>
              <w:spacing w:line="360" w:lineRule="auto"/>
              <w:rPr>
                <w:rFonts w:hint="eastAsia"/>
                <w:color w:val="auto"/>
                <w:sz w:val="21"/>
                <w:szCs w:val="21"/>
                <w:highlight w:val="none"/>
              </w:rPr>
            </w:pPr>
          </w:p>
          <w:p w14:paraId="12286DCF">
            <w:pPr>
              <w:spacing w:line="360" w:lineRule="auto"/>
              <w:jc w:val="center"/>
              <w:rPr>
                <w:rFonts w:hint="eastAsia"/>
                <w:color w:val="auto"/>
                <w:sz w:val="21"/>
                <w:szCs w:val="21"/>
                <w:highlight w:val="none"/>
              </w:rPr>
            </w:pPr>
            <w:r>
              <w:rPr>
                <w:rFonts w:hint="eastAsia"/>
                <w:color w:val="auto"/>
                <w:sz w:val="21"/>
                <w:szCs w:val="21"/>
                <w:highlight w:val="none"/>
              </w:rPr>
              <w:t xml:space="preserve">                           供应商签章：</w:t>
            </w:r>
          </w:p>
          <w:p w14:paraId="1622F899">
            <w:pPr>
              <w:spacing w:line="360" w:lineRule="auto"/>
              <w:jc w:val="center"/>
              <w:rPr>
                <w:rFonts w:hint="eastAsia"/>
                <w:color w:val="auto"/>
                <w:sz w:val="21"/>
                <w:szCs w:val="21"/>
                <w:highlight w:val="none"/>
              </w:rPr>
            </w:pPr>
            <w:r>
              <w:rPr>
                <w:rFonts w:hint="eastAsia"/>
                <w:color w:val="auto"/>
                <w:sz w:val="21"/>
                <w:szCs w:val="21"/>
                <w:highlight w:val="none"/>
              </w:rPr>
              <w:t xml:space="preserve">                                                年    月    日</w:t>
            </w:r>
          </w:p>
        </w:tc>
      </w:tr>
      <w:tr w14:paraId="05A4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2" w:type="dxa"/>
            <w:vAlign w:val="center"/>
          </w:tcPr>
          <w:p w14:paraId="370F78DD">
            <w:pPr>
              <w:spacing w:line="360" w:lineRule="auto"/>
              <w:jc w:val="center"/>
              <w:rPr>
                <w:rFonts w:hint="eastAsia"/>
                <w:color w:val="auto"/>
                <w:sz w:val="21"/>
                <w:szCs w:val="21"/>
                <w:highlight w:val="none"/>
              </w:rPr>
            </w:pPr>
            <w:r>
              <w:rPr>
                <w:rFonts w:hint="eastAsia"/>
                <w:color w:val="auto"/>
                <w:sz w:val="21"/>
                <w:szCs w:val="21"/>
                <w:highlight w:val="none"/>
              </w:rPr>
              <w:t>采</w:t>
            </w:r>
          </w:p>
          <w:p w14:paraId="5B27E96B">
            <w:pPr>
              <w:spacing w:line="360" w:lineRule="auto"/>
              <w:jc w:val="center"/>
              <w:rPr>
                <w:rFonts w:hint="eastAsia"/>
                <w:color w:val="auto"/>
                <w:sz w:val="21"/>
                <w:szCs w:val="21"/>
                <w:highlight w:val="none"/>
              </w:rPr>
            </w:pPr>
            <w:r>
              <w:rPr>
                <w:rFonts w:hint="eastAsia"/>
                <w:color w:val="auto"/>
                <w:sz w:val="21"/>
                <w:szCs w:val="21"/>
                <w:highlight w:val="none"/>
              </w:rPr>
              <w:t>购</w:t>
            </w:r>
          </w:p>
          <w:p w14:paraId="27F7CE0E">
            <w:pPr>
              <w:spacing w:line="360" w:lineRule="auto"/>
              <w:jc w:val="center"/>
              <w:rPr>
                <w:rFonts w:hint="eastAsia"/>
                <w:color w:val="auto"/>
                <w:sz w:val="21"/>
                <w:szCs w:val="21"/>
                <w:highlight w:val="none"/>
              </w:rPr>
            </w:pPr>
            <w:r>
              <w:rPr>
                <w:rFonts w:hint="eastAsia"/>
                <w:color w:val="auto"/>
                <w:sz w:val="21"/>
                <w:szCs w:val="21"/>
                <w:highlight w:val="none"/>
              </w:rPr>
              <w:t>单</w:t>
            </w:r>
          </w:p>
          <w:p w14:paraId="788F438B">
            <w:pPr>
              <w:spacing w:line="360" w:lineRule="auto"/>
              <w:jc w:val="center"/>
              <w:rPr>
                <w:rFonts w:hint="eastAsia"/>
                <w:color w:val="auto"/>
                <w:sz w:val="21"/>
                <w:szCs w:val="21"/>
                <w:highlight w:val="none"/>
              </w:rPr>
            </w:pPr>
            <w:r>
              <w:rPr>
                <w:rFonts w:hint="eastAsia"/>
                <w:color w:val="auto"/>
                <w:sz w:val="21"/>
                <w:szCs w:val="21"/>
                <w:highlight w:val="none"/>
              </w:rPr>
              <w:t>位</w:t>
            </w:r>
          </w:p>
          <w:p w14:paraId="588CB94E">
            <w:pPr>
              <w:spacing w:line="360" w:lineRule="auto"/>
              <w:jc w:val="center"/>
              <w:rPr>
                <w:rFonts w:hint="eastAsia"/>
                <w:color w:val="auto"/>
                <w:sz w:val="21"/>
                <w:szCs w:val="21"/>
                <w:highlight w:val="none"/>
              </w:rPr>
            </w:pPr>
            <w:r>
              <w:rPr>
                <w:rFonts w:hint="eastAsia"/>
                <w:color w:val="auto"/>
                <w:sz w:val="21"/>
                <w:szCs w:val="21"/>
                <w:highlight w:val="none"/>
              </w:rPr>
              <w:t>意</w:t>
            </w:r>
          </w:p>
          <w:p w14:paraId="13F3885F">
            <w:pPr>
              <w:spacing w:line="360" w:lineRule="auto"/>
              <w:jc w:val="center"/>
              <w:rPr>
                <w:rFonts w:hint="eastAsia"/>
                <w:color w:val="auto"/>
                <w:sz w:val="21"/>
                <w:szCs w:val="21"/>
                <w:highlight w:val="none"/>
              </w:rPr>
            </w:pPr>
            <w:r>
              <w:rPr>
                <w:rFonts w:hint="eastAsia"/>
                <w:color w:val="auto"/>
                <w:sz w:val="21"/>
                <w:szCs w:val="21"/>
                <w:highlight w:val="none"/>
              </w:rPr>
              <w:t>见</w:t>
            </w:r>
          </w:p>
        </w:tc>
        <w:tc>
          <w:tcPr>
            <w:tcW w:w="7967" w:type="dxa"/>
            <w:vAlign w:val="top"/>
          </w:tcPr>
          <w:p w14:paraId="36E3504A">
            <w:pPr>
              <w:spacing w:line="360" w:lineRule="auto"/>
              <w:rPr>
                <w:rFonts w:hint="eastAsia"/>
                <w:color w:val="auto"/>
                <w:sz w:val="21"/>
                <w:szCs w:val="21"/>
                <w:highlight w:val="none"/>
              </w:rPr>
            </w:pPr>
          </w:p>
          <w:p w14:paraId="5CDCE3CB">
            <w:pPr>
              <w:spacing w:line="360" w:lineRule="auto"/>
              <w:rPr>
                <w:rFonts w:hint="eastAsia"/>
                <w:color w:val="auto"/>
                <w:sz w:val="21"/>
                <w:szCs w:val="21"/>
                <w:highlight w:val="none"/>
              </w:rPr>
            </w:pPr>
            <w:r>
              <w:rPr>
                <w:rFonts w:hint="eastAsia"/>
                <w:color w:val="auto"/>
                <w:sz w:val="21"/>
                <w:szCs w:val="21"/>
                <w:highlight w:val="none"/>
              </w:rPr>
              <w:t>退付意见：是否同意退付履约保证金及退付金额：</w:t>
            </w:r>
          </w:p>
          <w:p w14:paraId="74B5C88A">
            <w:pPr>
              <w:spacing w:line="360" w:lineRule="auto"/>
              <w:rPr>
                <w:rFonts w:hint="eastAsia"/>
                <w:color w:val="auto"/>
                <w:sz w:val="21"/>
                <w:szCs w:val="21"/>
                <w:highlight w:val="none"/>
              </w:rPr>
            </w:pPr>
          </w:p>
          <w:p w14:paraId="5218BB8E">
            <w:pPr>
              <w:spacing w:line="360" w:lineRule="auto"/>
              <w:rPr>
                <w:rFonts w:hint="eastAsia"/>
                <w:color w:val="auto"/>
                <w:sz w:val="21"/>
                <w:szCs w:val="21"/>
                <w:highlight w:val="none"/>
              </w:rPr>
            </w:pPr>
          </w:p>
          <w:p w14:paraId="1910EB83">
            <w:pPr>
              <w:spacing w:line="360" w:lineRule="auto"/>
              <w:rPr>
                <w:rFonts w:hint="eastAsia"/>
                <w:color w:val="auto"/>
                <w:sz w:val="21"/>
                <w:szCs w:val="21"/>
                <w:highlight w:val="none"/>
              </w:rPr>
            </w:pPr>
            <w:r>
              <w:rPr>
                <w:rFonts w:hint="eastAsia"/>
                <w:color w:val="auto"/>
                <w:sz w:val="21"/>
                <w:szCs w:val="21"/>
                <w:highlight w:val="none"/>
              </w:rPr>
              <w:t xml:space="preserve">联系人及电话：                                </w:t>
            </w:r>
          </w:p>
          <w:p w14:paraId="75C738DA">
            <w:pPr>
              <w:spacing w:line="360" w:lineRule="auto"/>
              <w:rPr>
                <w:rFonts w:hint="eastAsia"/>
                <w:color w:val="auto"/>
                <w:sz w:val="21"/>
                <w:szCs w:val="21"/>
                <w:highlight w:val="none"/>
              </w:rPr>
            </w:pPr>
          </w:p>
          <w:p w14:paraId="07C55AE0">
            <w:pPr>
              <w:spacing w:line="360" w:lineRule="auto"/>
              <w:ind w:firstLine="3990" w:firstLineChars="1900"/>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采购人</w:t>
            </w:r>
            <w:r>
              <w:rPr>
                <w:rFonts w:hint="eastAsia"/>
                <w:color w:val="auto"/>
                <w:sz w:val="21"/>
                <w:szCs w:val="21"/>
                <w:highlight w:val="none"/>
              </w:rPr>
              <w:t>签章：</w:t>
            </w:r>
          </w:p>
          <w:p w14:paraId="56AFFC33">
            <w:pPr>
              <w:spacing w:line="360" w:lineRule="auto"/>
              <w:jc w:val="center"/>
              <w:rPr>
                <w:rFonts w:hint="eastAsia"/>
                <w:color w:val="auto"/>
                <w:sz w:val="21"/>
                <w:szCs w:val="21"/>
                <w:highlight w:val="none"/>
              </w:rPr>
            </w:pPr>
            <w:r>
              <w:rPr>
                <w:rFonts w:hint="eastAsia"/>
                <w:color w:val="auto"/>
                <w:sz w:val="21"/>
                <w:szCs w:val="21"/>
                <w:highlight w:val="none"/>
              </w:rPr>
              <w:t xml:space="preserve">                                                年    月    日</w:t>
            </w:r>
          </w:p>
        </w:tc>
      </w:tr>
      <w:tr w14:paraId="10F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12" w:type="dxa"/>
            <w:vAlign w:val="center"/>
          </w:tcPr>
          <w:p w14:paraId="5CF19D70">
            <w:pPr>
              <w:spacing w:line="360" w:lineRule="auto"/>
              <w:jc w:val="center"/>
              <w:rPr>
                <w:rFonts w:hint="eastAsia"/>
                <w:color w:val="auto"/>
                <w:sz w:val="21"/>
                <w:szCs w:val="21"/>
                <w:highlight w:val="none"/>
              </w:rPr>
            </w:pPr>
            <w:r>
              <w:rPr>
                <w:rFonts w:hint="eastAsia"/>
                <w:color w:val="auto"/>
                <w:sz w:val="21"/>
                <w:szCs w:val="21"/>
                <w:highlight w:val="none"/>
              </w:rPr>
              <w:t>备注</w:t>
            </w:r>
          </w:p>
        </w:tc>
        <w:tc>
          <w:tcPr>
            <w:tcW w:w="7967" w:type="dxa"/>
            <w:vAlign w:val="top"/>
          </w:tcPr>
          <w:p w14:paraId="3C98CEBC">
            <w:pPr>
              <w:spacing w:line="360" w:lineRule="auto"/>
              <w:rPr>
                <w:rFonts w:hint="eastAsia"/>
                <w:color w:val="auto"/>
                <w:sz w:val="21"/>
                <w:szCs w:val="21"/>
                <w:highlight w:val="none"/>
              </w:rPr>
            </w:pPr>
          </w:p>
        </w:tc>
      </w:tr>
    </w:tbl>
    <w:p w14:paraId="13201BFC">
      <w:pPr>
        <w:pStyle w:val="14"/>
        <w:spacing w:line="360" w:lineRule="auto"/>
        <w:ind w:left="1" w:firstLine="2" w:firstLineChars="1"/>
        <w:rPr>
          <w:rFonts w:hint="eastAsia" w:ascii="宋体"/>
          <w:b/>
          <w:bCs/>
          <w:color w:val="auto"/>
          <w:sz w:val="18"/>
          <w:szCs w:val="18"/>
          <w:highlight w:val="none"/>
        </w:rPr>
      </w:pPr>
      <w:r>
        <w:rPr>
          <w:rFonts w:hint="eastAsia" w:ascii="宋体"/>
          <w:b/>
          <w:bCs/>
          <w:color w:val="auto"/>
          <w:sz w:val="18"/>
          <w:szCs w:val="18"/>
          <w:highlight w:val="none"/>
        </w:rPr>
        <w:t>注：供应商凭经</w:t>
      </w:r>
      <w:r>
        <w:rPr>
          <w:rFonts w:hint="eastAsia" w:ascii="宋体"/>
          <w:b/>
          <w:bCs/>
          <w:color w:val="auto"/>
          <w:sz w:val="18"/>
          <w:szCs w:val="18"/>
          <w:highlight w:val="none"/>
          <w:lang w:eastAsia="zh-CN"/>
        </w:rPr>
        <w:t>采购人</w:t>
      </w:r>
      <w:r>
        <w:rPr>
          <w:rFonts w:hint="eastAsia" w:ascii="宋体"/>
          <w:b/>
          <w:bCs/>
          <w:color w:val="auto"/>
          <w:sz w:val="18"/>
          <w:szCs w:val="18"/>
          <w:highlight w:val="none"/>
        </w:rPr>
        <w:t>审批的退付意见书到履约保证金收取单位财务部门办理履约保证金退付事宜。</w:t>
      </w:r>
    </w:p>
    <w:p w14:paraId="2F99FFD4">
      <w:pPr>
        <w:rPr>
          <w:rFonts w:hAnsi="Times New Roman" w:cs="Times New Roman"/>
          <w:b w:val="0"/>
          <w:sz w:val="21"/>
          <w:szCs w:val="24"/>
          <w:highlight w:val="none"/>
        </w:rPr>
      </w:pPr>
    </w:p>
    <w:p w14:paraId="0AF4E19F">
      <w:pPr>
        <w:pStyle w:val="17"/>
        <w:snapToGrid w:val="0"/>
        <w:spacing w:before="120" w:after="120" w:line="360" w:lineRule="auto"/>
        <w:jc w:val="center"/>
        <w:outlineLvl w:val="0"/>
        <w:rPr>
          <w:rFonts w:hAnsi="宋体" w:cs="宋体"/>
          <w:b/>
          <w:bCs/>
          <w:sz w:val="44"/>
          <w:szCs w:val="44"/>
          <w:highlight w:val="none"/>
        </w:rPr>
      </w:pPr>
      <w:r>
        <w:rPr>
          <w:rFonts w:hint="eastAsia" w:hAnsi="宋体" w:cs="宋体"/>
          <w:highlight w:val="none"/>
        </w:rPr>
        <w:br w:type="page"/>
      </w:r>
      <w:bookmarkStart w:id="28" w:name="_Toc13362"/>
      <w:r>
        <w:rPr>
          <w:rFonts w:hint="eastAsia" w:hAnsi="宋体" w:cs="宋体"/>
          <w:b/>
          <w:bCs/>
          <w:sz w:val="44"/>
          <w:szCs w:val="44"/>
          <w:highlight w:val="none"/>
        </w:rPr>
        <w:t>第三章</w:t>
      </w:r>
      <w:r>
        <w:rPr>
          <w:rFonts w:hAnsi="宋体" w:cs="宋体"/>
          <w:b/>
          <w:bCs/>
          <w:sz w:val="44"/>
          <w:szCs w:val="44"/>
          <w:highlight w:val="none"/>
        </w:rPr>
        <w:t xml:space="preserve"> </w:t>
      </w:r>
      <w:r>
        <w:rPr>
          <w:rFonts w:hint="eastAsia" w:hAnsi="宋体" w:cs="宋体"/>
          <w:b/>
          <w:bCs/>
          <w:sz w:val="44"/>
          <w:szCs w:val="44"/>
          <w:highlight w:val="none"/>
        </w:rPr>
        <w:t>采购需求</w:t>
      </w:r>
      <w:bookmarkEnd w:id="28"/>
    </w:p>
    <w:p w14:paraId="299458DA">
      <w:pPr>
        <w:spacing w:line="440" w:lineRule="exact"/>
        <w:jc w:val="center"/>
        <w:rPr>
          <w:rFonts w:ascii="宋体" w:hAnsi="宋体" w:cs="宋体"/>
          <w:b/>
          <w:sz w:val="32"/>
          <w:szCs w:val="32"/>
          <w:highlight w:val="none"/>
        </w:rPr>
      </w:pPr>
    </w:p>
    <w:p w14:paraId="11DEFB24">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2436E541">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1.为落实政府采购政策需满足的要求:</w:t>
      </w:r>
    </w:p>
    <w:p w14:paraId="4A3CF0F7">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本竞争性磋商采购文件所称中小企业必须符合《政府采购促进中小企业发展管理办法》（财库〔2020〕46号）的规定。</w:t>
      </w:r>
    </w:p>
    <w:p w14:paraId="2CC287DE">
      <w:pPr>
        <w:spacing w:line="360" w:lineRule="auto"/>
        <w:ind w:firstLine="424" w:firstLineChars="202"/>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.供应商必须自行为其参加竞争性磋商的产品侵犯他人的知识产权或者专利成果的行为承担相应法律责任。</w:t>
      </w:r>
    </w:p>
    <w:p w14:paraId="11DE033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11" w:firstLineChars="196"/>
        <w:jc w:val="both"/>
        <w:textAlignment w:val="auto"/>
        <w:rPr>
          <w:rFonts w:hint="eastAsia" w:ascii="宋体" w:hAnsi="宋体" w:cs="宋体"/>
          <w:b/>
          <w:color w:val="auto"/>
          <w:szCs w:val="21"/>
          <w:highlight w:val="none"/>
        </w:rPr>
      </w:pPr>
      <w:r>
        <w:rPr>
          <w:rFonts w:hint="eastAsia" w:ascii="宋体" w:hAnsi="宋体" w:eastAsia="宋体" w:cs="宋体"/>
          <w:bCs/>
          <w:sz w:val="21"/>
          <w:szCs w:val="21"/>
          <w:highlight w:val="none"/>
          <w:lang w:eastAsia="zh-CN"/>
        </w:rPr>
        <w:t>3</w:t>
      </w:r>
      <w:r>
        <w:rPr>
          <w:rFonts w:hint="eastAsia" w:ascii="宋体" w:hAnsi="宋体" w:eastAsia="宋体" w:cs="宋体"/>
          <w:bCs/>
          <w:sz w:val="21"/>
          <w:szCs w:val="21"/>
          <w:highlight w:val="none"/>
        </w:rPr>
        <w:t>．</w:t>
      </w:r>
      <w:r>
        <w:rPr>
          <w:rFonts w:hint="eastAsia" w:ascii="宋体" w:hAnsi="宋体" w:cs="宋体"/>
          <w:b/>
          <w:bCs/>
          <w:color w:val="auto"/>
          <w:szCs w:val="21"/>
          <w:highlight w:val="none"/>
        </w:rPr>
        <w:t>“实质性要求”是指采购需求中带“▲”的条款或者不能负偏离的条款或者已经指明不满足按响应文件作无效处理的条款。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本项目凡标注“▲”的条款或要求不响应或不满足的，其响应文件即作竞争性磋商无效处理。</w:t>
      </w:r>
    </w:p>
    <w:p w14:paraId="0062D424">
      <w:pPr>
        <w:spacing w:line="360" w:lineRule="auto"/>
        <w:ind w:left="-10" w:leftChars="-5" w:right="2" w:rightChars="1"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采购预算</w:t>
      </w:r>
      <w:r>
        <w:rPr>
          <w:rFonts w:hint="eastAsia" w:ascii="宋体" w:hAnsi="宋体" w:eastAsia="宋体" w:cs="宋体"/>
          <w:bCs/>
          <w:sz w:val="21"/>
          <w:szCs w:val="21"/>
          <w:highlight w:val="none"/>
        </w:rPr>
        <w:t>：详见采购公告</w:t>
      </w:r>
    </w:p>
    <w:p w14:paraId="6D3922F7">
      <w:pPr>
        <w:spacing w:line="360" w:lineRule="auto"/>
        <w:ind w:left="-10" w:leftChars="-5" w:right="2" w:rightChars="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所属行业：</w:t>
      </w:r>
      <w:r>
        <w:rPr>
          <w:rFonts w:hint="eastAsia" w:ascii="宋体" w:hAnsi="宋体" w:cs="宋体"/>
          <w:color w:val="000000"/>
          <w:szCs w:val="21"/>
          <w:highlight w:val="none"/>
          <w:lang w:val="en-US" w:eastAsia="zh-CN"/>
        </w:rPr>
        <w:t>其他未列明行业（详见附件七《中小企业划型标准规定》）</w:t>
      </w:r>
    </w:p>
    <w:tbl>
      <w:tblPr>
        <w:tblStyle w:val="30"/>
        <w:tblW w:w="8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129"/>
        <w:gridCol w:w="1031"/>
        <w:gridCol w:w="6040"/>
      </w:tblGrid>
      <w:tr w14:paraId="67503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8860" w:type="dxa"/>
            <w:gridSpan w:val="4"/>
            <w:vAlign w:val="center"/>
          </w:tcPr>
          <w:p w14:paraId="0CF94E1F">
            <w:pPr>
              <w:tabs>
                <w:tab w:val="left" w:pos="180"/>
                <w:tab w:val="left" w:pos="1620"/>
              </w:tabs>
              <w:jc w:val="both"/>
              <w:rPr>
                <w:rFonts w:hint="eastAsia" w:ascii="宋体" w:hAnsi="宋体" w:eastAsia="宋体" w:cs="宋体"/>
                <w:b/>
                <w:sz w:val="21"/>
                <w:szCs w:val="21"/>
                <w:highlight w:val="none"/>
              </w:rPr>
            </w:pPr>
            <w:r>
              <w:rPr>
                <w:rFonts w:hint="eastAsia" w:ascii="宋体" w:hAnsi="宋体" w:cs="宋体"/>
                <w:b/>
                <w:bCs/>
                <w:color w:val="auto"/>
                <w:szCs w:val="21"/>
                <w:highlight w:val="none"/>
              </w:rPr>
              <w:br w:type="page"/>
            </w:r>
            <w:r>
              <w:rPr>
                <w:rFonts w:hint="eastAsia" w:ascii="宋体" w:hAnsi="宋体" w:eastAsia="宋体" w:cs="宋体"/>
                <w:b/>
                <w:color w:val="auto"/>
                <w:sz w:val="21"/>
                <w:szCs w:val="21"/>
                <w:highlight w:val="none"/>
                <w:lang w:eastAsia="zh-CN"/>
              </w:rPr>
              <w:t>▲</w:t>
            </w:r>
            <w:r>
              <w:rPr>
                <w:rFonts w:hint="eastAsia" w:ascii="宋体" w:hAnsi="宋体" w:cs="Arial"/>
                <w:b/>
                <w:color w:val="auto"/>
                <w:sz w:val="21"/>
                <w:szCs w:val="21"/>
                <w:highlight w:val="none"/>
                <w:lang w:eastAsia="zh-CN"/>
              </w:rPr>
              <w:t>一、</w:t>
            </w:r>
            <w:r>
              <w:rPr>
                <w:rFonts w:hint="eastAsia" w:ascii="宋体" w:hAnsi="宋体" w:cs="Arial"/>
                <w:b/>
                <w:color w:val="auto"/>
                <w:sz w:val="21"/>
                <w:szCs w:val="21"/>
                <w:highlight w:val="none"/>
              </w:rPr>
              <w:t>采购需求一览表</w:t>
            </w:r>
          </w:p>
        </w:tc>
      </w:tr>
      <w:tr w14:paraId="2875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vAlign w:val="center"/>
          </w:tcPr>
          <w:p w14:paraId="3E9E4731">
            <w:pPr>
              <w:tabs>
                <w:tab w:val="left" w:pos="180"/>
                <w:tab w:val="left" w:pos="162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29" w:type="dxa"/>
            <w:vAlign w:val="center"/>
          </w:tcPr>
          <w:p w14:paraId="71EC9AD7">
            <w:pPr>
              <w:tabs>
                <w:tab w:val="left" w:pos="180"/>
                <w:tab w:val="left" w:pos="162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标的</w:t>
            </w:r>
          </w:p>
          <w:p w14:paraId="10C8A555">
            <w:pPr>
              <w:tabs>
                <w:tab w:val="left" w:pos="180"/>
                <w:tab w:val="left" w:pos="162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1031" w:type="dxa"/>
            <w:vAlign w:val="center"/>
          </w:tcPr>
          <w:p w14:paraId="130802C5">
            <w:pPr>
              <w:tabs>
                <w:tab w:val="left" w:pos="180"/>
                <w:tab w:val="left" w:pos="162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数量及单位</w:t>
            </w:r>
          </w:p>
        </w:tc>
        <w:tc>
          <w:tcPr>
            <w:tcW w:w="6040" w:type="dxa"/>
            <w:vAlign w:val="center"/>
          </w:tcPr>
          <w:p w14:paraId="27EEFAB6">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服务要求</w:t>
            </w:r>
          </w:p>
        </w:tc>
      </w:tr>
      <w:tr w14:paraId="4095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0" w:type="dxa"/>
            <w:vAlign w:val="center"/>
          </w:tcPr>
          <w:p w14:paraId="500543E9">
            <w:pPr>
              <w:tabs>
                <w:tab w:val="left" w:pos="180"/>
                <w:tab w:val="left" w:pos="1620"/>
              </w:tab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29" w:type="dxa"/>
            <w:vAlign w:val="center"/>
          </w:tcPr>
          <w:p w14:paraId="4454942B">
            <w:pPr>
              <w:widowControl/>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医用织物洗涤（含消毒等）服务</w:t>
            </w:r>
          </w:p>
        </w:tc>
        <w:tc>
          <w:tcPr>
            <w:tcW w:w="1031" w:type="dxa"/>
            <w:vAlign w:val="center"/>
          </w:tcPr>
          <w:p w14:paraId="5D4A0E5F">
            <w:pPr>
              <w:widowControl/>
              <w:snapToGrid w:val="0"/>
              <w:spacing w:line="360" w:lineRule="auto"/>
              <w:jc w:val="center"/>
              <w:rPr>
                <w:rFonts w:hint="default" w:ascii="宋体" w:hAnsi="宋体" w:eastAsia="宋体" w:cs="宋体"/>
                <w:szCs w:val="21"/>
                <w:highlight w:val="none"/>
              </w:rPr>
            </w:pPr>
            <w:r>
              <w:rPr>
                <w:rFonts w:hint="eastAsia" w:ascii="宋体" w:hAnsi="宋体" w:eastAsia="宋体" w:cs="宋体"/>
                <w:szCs w:val="21"/>
                <w:highlight w:val="none"/>
                <w:lang w:val="en-US" w:eastAsia="zh-CN"/>
              </w:rPr>
              <w:t>1项</w:t>
            </w:r>
          </w:p>
        </w:tc>
        <w:tc>
          <w:tcPr>
            <w:tcW w:w="6040" w:type="dxa"/>
            <w:vAlign w:val="center"/>
          </w:tcPr>
          <w:p w14:paraId="4A5D68B9">
            <w:pPr>
              <w:spacing w:line="400" w:lineRule="exact"/>
              <w:ind w:firstLine="422" w:firstLineChars="200"/>
              <w:jc w:val="left"/>
              <w:rPr>
                <w:rFonts w:ascii="宋体" w:hAnsi="宋体" w:cs="宋体"/>
                <w:b/>
                <w:highlight w:val="none"/>
              </w:rPr>
            </w:pPr>
            <w:r>
              <w:rPr>
                <w:rFonts w:hint="eastAsia" w:ascii="宋体" w:hAnsi="宋体" w:cs="宋体"/>
                <w:b/>
                <w:highlight w:val="none"/>
              </w:rPr>
              <w:t>（一）服务内容：</w:t>
            </w:r>
          </w:p>
          <w:p w14:paraId="177B6581">
            <w:pPr>
              <w:spacing w:line="400" w:lineRule="exact"/>
              <w:ind w:firstLine="420" w:firstLineChars="200"/>
              <w:jc w:val="left"/>
              <w:rPr>
                <w:rFonts w:ascii="宋体" w:hAnsi="宋体" w:cs="宋体"/>
                <w:b w:val="0"/>
                <w:bCs/>
                <w:szCs w:val="21"/>
                <w:highlight w:val="none"/>
              </w:rPr>
            </w:pPr>
            <w:r>
              <w:rPr>
                <w:rFonts w:hint="eastAsia" w:ascii="宋体" w:hAnsi="宋体" w:cs="宋体"/>
                <w:b w:val="0"/>
                <w:bCs/>
                <w:highlight w:val="none"/>
                <w:lang w:val="en-US" w:eastAsia="zh-CN"/>
              </w:rPr>
              <w:t>供应商</w:t>
            </w:r>
            <w:r>
              <w:rPr>
                <w:rFonts w:hint="eastAsia" w:ascii="宋体" w:hAnsi="宋体" w:cs="宋体"/>
                <w:b w:val="0"/>
                <w:bCs/>
                <w:highlight w:val="none"/>
              </w:rPr>
              <w:t>于服务期限内，负责</w:t>
            </w:r>
            <w:r>
              <w:rPr>
                <w:rFonts w:hint="eastAsia" w:ascii="宋体" w:hAnsi="宋体" w:cs="宋体"/>
                <w:b w:val="0"/>
                <w:bCs/>
                <w:highlight w:val="none"/>
                <w:lang w:eastAsia="zh-CN"/>
              </w:rPr>
              <w:t>采购</w:t>
            </w:r>
            <w:r>
              <w:rPr>
                <w:rFonts w:hint="eastAsia" w:ascii="宋体" w:hAnsi="宋体" w:cs="宋体"/>
                <w:b w:val="0"/>
                <w:bCs/>
                <w:highlight w:val="none"/>
              </w:rPr>
              <w:t>人医用织物的收集、运送、清洗、消毒、缝补、熨烫、折叠、保管等服务。具体洗涤（含消毒等）数量以合同履行过程中实际产生的数量为准。</w:t>
            </w:r>
          </w:p>
          <w:p w14:paraId="40A06E8C">
            <w:pPr>
              <w:spacing w:line="400" w:lineRule="exact"/>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（二）服务要求</w:t>
            </w:r>
          </w:p>
          <w:p w14:paraId="3B5F5152">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1.厂房环境、设施及管理要求</w:t>
            </w:r>
          </w:p>
          <w:p w14:paraId="2A339A3A">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（1）符合国家环保、工商、卫生、防疫等部门的有关要求。</w:t>
            </w:r>
          </w:p>
          <w:p w14:paraId="2E5F9172">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w:t>
            </w:r>
            <w:r>
              <w:rPr>
                <w:rFonts w:hint="eastAsia" w:ascii="宋体" w:hAnsi="宋体" w:cs="宋体"/>
                <w:b w:val="0"/>
                <w:bCs/>
                <w:highlight w:val="none"/>
                <w:lang w:val="en-US" w:eastAsia="zh-CN"/>
              </w:rPr>
              <w:t>供应商</w:t>
            </w:r>
            <w:r>
              <w:rPr>
                <w:rFonts w:hint="eastAsia" w:ascii="宋体" w:hAnsi="宋体" w:cs="宋体"/>
                <w:b w:val="0"/>
                <w:bCs/>
                <w:highlight w:val="none"/>
              </w:rPr>
              <w:t>洗涤工厂要求符合国家《医院医用织物洗涤消毒技术规范》（WS/T508-2016）文件要求。</w:t>
            </w:r>
          </w:p>
          <w:p w14:paraId="4A833F23">
            <w:pPr>
              <w:spacing w:line="400" w:lineRule="exact"/>
              <w:ind w:firstLine="420" w:firstLineChars="200"/>
              <w:jc w:val="left"/>
              <w:rPr>
                <w:rFonts w:hint="eastAsia" w:ascii="宋体" w:hAnsi="宋体" w:cs="宋体"/>
                <w:b w:val="0"/>
                <w:bCs/>
                <w:highlight w:val="none"/>
              </w:rPr>
            </w:pPr>
            <w:r>
              <w:rPr>
                <w:rFonts w:hint="eastAsia" w:ascii="宋体" w:hAnsi="宋体" w:cs="宋体"/>
                <w:b w:val="0"/>
                <w:bCs/>
                <w:highlight w:val="none"/>
              </w:rPr>
              <w:t>（3）</w:t>
            </w:r>
            <w:r>
              <w:rPr>
                <w:rFonts w:hint="eastAsia" w:ascii="宋体" w:hAnsi="宋体" w:cs="宋体"/>
                <w:b w:val="0"/>
                <w:bCs/>
                <w:highlight w:val="none"/>
                <w:lang w:val="en-US" w:eastAsia="zh-CN"/>
              </w:rPr>
              <w:t>供应商</w:t>
            </w:r>
            <w:r>
              <w:rPr>
                <w:rFonts w:hint="eastAsia" w:ascii="宋体" w:hAnsi="宋体" w:cs="宋体"/>
                <w:b w:val="0"/>
                <w:bCs/>
                <w:highlight w:val="none"/>
              </w:rPr>
              <w:t>具有洗涤医用织物要求的设施[包括加热（最高温度达90℃）功能的专用洗涤和烘干设备、烫平等]和专业技术能力。</w:t>
            </w:r>
          </w:p>
          <w:p w14:paraId="68829B80">
            <w:pPr>
              <w:spacing w:line="400" w:lineRule="exact"/>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4）洗涤厂区必须设置</w:t>
            </w:r>
            <w:r>
              <w:rPr>
                <w:rStyle w:val="33"/>
                <w:rFonts w:ascii="宋体" w:hAnsi="宋体" w:eastAsia="宋体" w:cs="宋体"/>
                <w:b/>
                <w:bCs/>
                <w:color w:val="1F2329"/>
                <w:sz w:val="21"/>
                <w:szCs w:val="21"/>
                <w:highlight w:val="none"/>
              </w:rPr>
              <w:t>污染区、清洁区</w:t>
            </w:r>
            <w:r>
              <w:rPr>
                <w:rFonts w:ascii="宋体" w:hAnsi="宋体" w:eastAsia="宋体" w:cs="宋体"/>
                <w:sz w:val="21"/>
                <w:szCs w:val="21"/>
                <w:highlight w:val="none"/>
              </w:rPr>
              <w:t>，两区之间设置</w:t>
            </w:r>
            <w:r>
              <w:rPr>
                <w:rStyle w:val="33"/>
                <w:rFonts w:ascii="宋体" w:hAnsi="宋体" w:eastAsia="宋体" w:cs="宋体"/>
                <w:b/>
                <w:bCs/>
                <w:color w:val="1F2329"/>
                <w:sz w:val="21"/>
                <w:szCs w:val="21"/>
                <w:highlight w:val="none"/>
              </w:rPr>
              <w:t>完全物理隔离屏障</w:t>
            </w:r>
            <w:r>
              <w:rPr>
                <w:rFonts w:ascii="宋体" w:hAnsi="宋体" w:eastAsia="宋体" w:cs="宋体"/>
                <w:sz w:val="21"/>
                <w:szCs w:val="21"/>
                <w:highlight w:val="none"/>
              </w:rPr>
              <w:t>，洁污通道独立、无交叉。</w:t>
            </w:r>
          </w:p>
          <w:p w14:paraId="2945F53B">
            <w:pPr>
              <w:spacing w:line="400" w:lineRule="exact"/>
              <w:ind w:firstLine="420" w:firstLineChars="200"/>
              <w:jc w:val="left"/>
              <w:rPr>
                <w:rFonts w:ascii="宋体" w:hAnsi="宋体" w:eastAsia="宋体" w:cs="宋体"/>
                <w:sz w:val="21"/>
                <w:szCs w:val="21"/>
                <w:highlight w:val="none"/>
              </w:rPr>
            </w:pPr>
            <w:r>
              <w:rPr>
                <w:rFonts w:ascii="宋体" w:hAnsi="宋体" w:eastAsia="宋体" w:cs="宋体"/>
                <w:sz w:val="21"/>
                <w:szCs w:val="21"/>
                <w:highlight w:val="none"/>
              </w:rPr>
              <w:t>（5）必须执行</w:t>
            </w:r>
            <w:r>
              <w:rPr>
                <w:rStyle w:val="33"/>
                <w:rFonts w:ascii="宋体" w:hAnsi="宋体" w:eastAsia="宋体" w:cs="宋体"/>
                <w:b/>
                <w:bCs/>
                <w:color w:val="1F2329"/>
                <w:sz w:val="21"/>
                <w:szCs w:val="21"/>
                <w:highlight w:val="none"/>
              </w:rPr>
              <w:t>专机洗涤</w:t>
            </w:r>
            <w:r>
              <w:rPr>
                <w:rFonts w:ascii="宋体" w:hAnsi="宋体" w:eastAsia="宋体" w:cs="宋体"/>
                <w:sz w:val="21"/>
                <w:szCs w:val="21"/>
                <w:highlight w:val="none"/>
              </w:rPr>
              <w:t>：感染性医用织物、手术室医用织物、新生儿科医用织物须专机洗涤，患者与医务人员使用后的医用织物分机洗涤，严禁混洗。</w:t>
            </w:r>
          </w:p>
          <w:p w14:paraId="36BCCE75">
            <w:pPr>
              <w:spacing w:line="400" w:lineRule="exact"/>
              <w:ind w:firstLine="420" w:firstLineChars="200"/>
              <w:jc w:val="left"/>
              <w:rPr>
                <w:rFonts w:hint="eastAsia" w:ascii="宋体" w:hAnsi="宋体" w:cs="宋体"/>
                <w:b w:val="0"/>
                <w:bCs/>
                <w:szCs w:val="21"/>
                <w:highlight w:val="none"/>
              </w:rPr>
            </w:pPr>
            <w:r>
              <w:rPr>
                <w:rFonts w:ascii="宋体" w:hAnsi="宋体" w:eastAsia="宋体" w:cs="宋体"/>
                <w:sz w:val="21"/>
                <w:szCs w:val="21"/>
                <w:highlight w:val="none"/>
              </w:rPr>
              <w:t>（6）耐热医用织物必须执行</w:t>
            </w:r>
            <w:r>
              <w:rPr>
                <w:rStyle w:val="33"/>
                <w:rFonts w:ascii="宋体" w:hAnsi="宋体" w:eastAsia="宋体" w:cs="宋体"/>
                <w:b/>
                <w:bCs/>
                <w:color w:val="1F2329"/>
                <w:sz w:val="21"/>
                <w:szCs w:val="21"/>
                <w:highlight w:val="none"/>
              </w:rPr>
              <w:t>热力消毒强制参数</w:t>
            </w:r>
            <w:r>
              <w:rPr>
                <w:rFonts w:ascii="宋体" w:hAnsi="宋体" w:eastAsia="宋体" w:cs="宋体"/>
                <w:sz w:val="21"/>
                <w:szCs w:val="21"/>
                <w:highlight w:val="none"/>
              </w:rPr>
              <w:t>：</w:t>
            </w:r>
            <w:r>
              <w:rPr>
                <w:rFonts w:hint="eastAsia" w:ascii="宋体" w:hAnsi="宋体" w:cs="宋体"/>
                <w:b/>
                <w:bCs/>
                <w:sz w:val="21"/>
                <w:szCs w:val="21"/>
                <w:highlight w:val="none"/>
                <w:lang w:val="en-US" w:eastAsia="zh-CN"/>
              </w:rPr>
              <w:t>7</w:t>
            </w:r>
            <w:r>
              <w:rPr>
                <w:rStyle w:val="33"/>
                <w:rFonts w:ascii="宋体" w:hAnsi="宋体" w:eastAsia="宋体" w:cs="宋体"/>
                <w:b/>
                <w:bCs/>
                <w:color w:val="1F2329"/>
                <w:sz w:val="21"/>
                <w:szCs w:val="21"/>
                <w:highlight w:val="none"/>
              </w:rPr>
              <w:t>5℃≥30min</w:t>
            </w:r>
            <w:r>
              <w:rPr>
                <w:rFonts w:ascii="宋体" w:hAnsi="宋体" w:eastAsia="宋体" w:cs="宋体"/>
                <w:sz w:val="21"/>
                <w:szCs w:val="21"/>
                <w:highlight w:val="none"/>
              </w:rPr>
              <w:t xml:space="preserve"> 或 </w:t>
            </w:r>
            <w:r>
              <w:rPr>
                <w:rStyle w:val="33"/>
                <w:rFonts w:ascii="宋体" w:hAnsi="宋体" w:eastAsia="宋体" w:cs="宋体"/>
                <w:b/>
                <w:bCs/>
                <w:color w:val="1F2329"/>
                <w:sz w:val="21"/>
                <w:szCs w:val="21"/>
                <w:highlight w:val="none"/>
              </w:rPr>
              <w:t>80℃≥10min</w:t>
            </w:r>
            <w:r>
              <w:rPr>
                <w:rFonts w:ascii="宋体" w:hAnsi="宋体" w:eastAsia="宋体" w:cs="宋体"/>
                <w:sz w:val="21"/>
                <w:szCs w:val="21"/>
                <w:highlight w:val="none"/>
              </w:rPr>
              <w:t>，设备须可记录温度与时间。</w:t>
            </w:r>
          </w:p>
          <w:p w14:paraId="4A647AC8">
            <w:pPr>
              <w:adjustRightInd w:val="0"/>
              <w:snapToGrid w:val="0"/>
              <w:spacing w:line="380" w:lineRule="exact"/>
              <w:ind w:firstLine="420" w:firstLineChars="200"/>
              <w:rPr>
                <w:rFonts w:hint="eastAsia" w:ascii="宋体" w:hAnsi="宋体" w:cs="宋体"/>
                <w:kern w:val="0"/>
                <w:szCs w:val="20"/>
                <w:highlight w:val="none"/>
              </w:rPr>
            </w:pPr>
            <w:r>
              <w:rPr>
                <w:rFonts w:hint="eastAsia" w:ascii="宋体" w:hAnsi="宋体" w:cs="宋体"/>
                <w:b w:val="0"/>
                <w:bCs/>
                <w:highlight w:val="none"/>
              </w:rPr>
              <w:t>2.</w:t>
            </w:r>
            <w:r>
              <w:rPr>
                <w:rFonts w:hint="eastAsia" w:ascii="宋体" w:hAnsi="宋体" w:cs="宋体"/>
                <w:kern w:val="0"/>
                <w:szCs w:val="20"/>
                <w:highlight w:val="none"/>
              </w:rPr>
              <w:t>感染性医用织物要求</w:t>
            </w:r>
          </w:p>
          <w:p w14:paraId="6201D2BF">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0" w:after="0" w:afterAutospacing="0" w:line="360" w:lineRule="auto"/>
              <w:ind w:left="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Style w:val="33"/>
                <w:rFonts w:hint="eastAsia" w:ascii="宋体" w:hAnsi="宋体" w:eastAsia="宋体" w:cs="宋体"/>
                <w:b/>
                <w:bCs/>
                <w:color w:val="1F2329"/>
                <w:sz w:val="21"/>
                <w:szCs w:val="21"/>
                <w:highlight w:val="none"/>
              </w:rPr>
              <w:t>双层包装</w:t>
            </w:r>
            <w:r>
              <w:rPr>
                <w:rFonts w:hint="eastAsia" w:ascii="宋体" w:hAnsi="宋体" w:eastAsia="宋体" w:cs="宋体"/>
                <w:color w:val="1F2329"/>
                <w:sz w:val="21"/>
                <w:szCs w:val="21"/>
                <w:highlight w:val="none"/>
              </w:rPr>
              <w:t>：感染性医用织物采用</w:t>
            </w:r>
            <w:r>
              <w:rPr>
                <w:rStyle w:val="33"/>
                <w:rFonts w:hint="eastAsia" w:ascii="宋体" w:hAnsi="宋体" w:eastAsia="宋体" w:cs="宋体"/>
                <w:b/>
                <w:bCs/>
                <w:color w:val="1F2329"/>
                <w:sz w:val="21"/>
                <w:szCs w:val="21"/>
                <w:highlight w:val="none"/>
              </w:rPr>
              <w:t>双层黄色医疗废物袋</w:t>
            </w:r>
            <w:r>
              <w:rPr>
                <w:rFonts w:hint="eastAsia" w:ascii="宋体" w:hAnsi="宋体" w:eastAsia="宋体" w:cs="宋体"/>
                <w:color w:val="1F2329"/>
                <w:sz w:val="21"/>
                <w:szCs w:val="21"/>
                <w:highlight w:val="none"/>
              </w:rPr>
              <w:t>密封包装，粘贴红色 “感染性医用织物” 标识，全程密闭、不得拆封。</w:t>
            </w:r>
          </w:p>
          <w:p w14:paraId="00888613">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0" w:after="0" w:afterAutospacing="0" w:line="360" w:lineRule="auto"/>
              <w:ind w:left="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Style w:val="33"/>
                <w:rFonts w:hint="eastAsia" w:ascii="宋体" w:hAnsi="宋体" w:eastAsia="宋体" w:cs="宋体"/>
                <w:b/>
                <w:bCs/>
                <w:color w:val="1F2329"/>
                <w:sz w:val="21"/>
                <w:szCs w:val="21"/>
                <w:highlight w:val="none"/>
              </w:rPr>
              <w:t>密闭转运</w:t>
            </w:r>
            <w:r>
              <w:rPr>
                <w:rFonts w:hint="eastAsia" w:ascii="宋体" w:hAnsi="宋体" w:eastAsia="宋体" w:cs="宋体"/>
                <w:color w:val="1F2329"/>
                <w:sz w:val="21"/>
                <w:szCs w:val="21"/>
                <w:highlight w:val="none"/>
              </w:rPr>
              <w:t>：使用</w:t>
            </w:r>
            <w:r>
              <w:rPr>
                <w:rStyle w:val="33"/>
                <w:rFonts w:hint="eastAsia" w:ascii="宋体" w:hAnsi="宋体" w:eastAsia="宋体" w:cs="宋体"/>
                <w:b/>
                <w:bCs/>
                <w:color w:val="1F2329"/>
                <w:sz w:val="21"/>
                <w:szCs w:val="21"/>
                <w:highlight w:val="none"/>
              </w:rPr>
              <w:t>专用密闭容器/车辆</w:t>
            </w:r>
            <w:r>
              <w:rPr>
                <w:rFonts w:hint="eastAsia" w:ascii="宋体" w:hAnsi="宋体" w:eastAsia="宋体" w:cs="宋体"/>
                <w:color w:val="1F2329"/>
                <w:sz w:val="21"/>
                <w:szCs w:val="21"/>
                <w:highlight w:val="none"/>
              </w:rPr>
              <w:t>单独转运，严禁与清洁织物混装、混运，转运工具一用一消毒。</w:t>
            </w:r>
          </w:p>
          <w:p w14:paraId="7D408875">
            <w:pPr>
              <w:spacing w:line="400" w:lineRule="exact"/>
              <w:ind w:firstLine="420" w:firstLineChars="200"/>
              <w:jc w:val="left"/>
              <w:rPr>
                <w:rFonts w:hint="eastAsia" w:ascii="宋体" w:hAnsi="宋体" w:cs="宋体"/>
                <w:b w:val="0"/>
                <w:bCs/>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Style w:val="33"/>
                <w:rFonts w:hint="eastAsia" w:ascii="宋体" w:hAnsi="宋体" w:eastAsia="宋体" w:cs="宋体"/>
                <w:b/>
                <w:bCs/>
                <w:color w:val="1F2329"/>
                <w:sz w:val="21"/>
                <w:szCs w:val="21"/>
                <w:highlight w:val="none"/>
              </w:rPr>
              <w:t>专机专洗</w:t>
            </w:r>
            <w:r>
              <w:rPr>
                <w:rFonts w:hint="eastAsia" w:ascii="宋体" w:hAnsi="宋体" w:eastAsia="宋体" w:cs="宋体"/>
                <w:color w:val="1F2329"/>
                <w:sz w:val="21"/>
                <w:szCs w:val="21"/>
                <w:highlight w:val="none"/>
              </w:rPr>
              <w:t>：感染性医用织物必须</w:t>
            </w:r>
            <w:r>
              <w:rPr>
                <w:rStyle w:val="33"/>
                <w:rFonts w:hint="eastAsia" w:ascii="宋体" w:hAnsi="宋体" w:eastAsia="宋体" w:cs="宋体"/>
                <w:b/>
                <w:bCs/>
                <w:color w:val="1F2329"/>
                <w:sz w:val="21"/>
                <w:szCs w:val="21"/>
                <w:highlight w:val="none"/>
              </w:rPr>
              <w:t>专机洗涤</w:t>
            </w:r>
            <w:r>
              <w:rPr>
                <w:rFonts w:hint="eastAsia" w:ascii="宋体" w:hAnsi="宋体" w:eastAsia="宋体" w:cs="宋体"/>
                <w:color w:val="1F2329"/>
                <w:sz w:val="21"/>
                <w:szCs w:val="21"/>
                <w:highlight w:val="none"/>
              </w:rPr>
              <w:t>，严禁与其他医用织物混洗，严禁手工洗涤。</w:t>
            </w:r>
          </w:p>
          <w:p w14:paraId="52228D22">
            <w:pPr>
              <w:spacing w:line="400" w:lineRule="exact"/>
              <w:ind w:firstLine="420" w:firstLineChars="200"/>
              <w:jc w:val="left"/>
              <w:rPr>
                <w:rFonts w:ascii="仿宋" w:hAnsi="仿宋" w:eastAsia="仿宋" w:cs="宋体"/>
                <w:b w:val="0"/>
                <w:bCs/>
                <w:spacing w:val="8"/>
                <w:position w:val="15"/>
                <w:sz w:val="24"/>
                <w:highlight w:val="none"/>
              </w:rPr>
            </w:pPr>
            <w:r>
              <w:rPr>
                <w:rFonts w:hint="eastAsia" w:ascii="宋体" w:hAnsi="宋体" w:cs="宋体"/>
                <w:b w:val="0"/>
                <w:bCs/>
                <w:highlight w:val="none"/>
                <w:lang w:val="en-US" w:eastAsia="zh-CN"/>
              </w:rPr>
              <w:t>3.</w:t>
            </w:r>
            <w:r>
              <w:rPr>
                <w:rFonts w:hint="eastAsia" w:ascii="宋体" w:hAnsi="宋体" w:cs="宋体"/>
                <w:b w:val="0"/>
                <w:bCs/>
                <w:highlight w:val="none"/>
              </w:rPr>
              <w:t>服务人员配置及要求：根据</w:t>
            </w:r>
            <w:r>
              <w:rPr>
                <w:rFonts w:hint="eastAsia" w:ascii="宋体" w:hAnsi="宋体" w:cs="宋体"/>
                <w:b w:val="0"/>
                <w:bCs/>
                <w:highlight w:val="none"/>
                <w:lang w:eastAsia="zh-CN"/>
              </w:rPr>
              <w:t>采购</w:t>
            </w:r>
            <w:r>
              <w:rPr>
                <w:rFonts w:hint="eastAsia" w:ascii="宋体" w:hAnsi="宋体" w:cs="宋体"/>
                <w:b w:val="0"/>
                <w:bCs/>
                <w:highlight w:val="none"/>
              </w:rPr>
              <w:t>人目前工作量需求，</w:t>
            </w:r>
            <w:r>
              <w:rPr>
                <w:rFonts w:hint="eastAsia" w:ascii="宋体" w:hAnsi="宋体" w:cs="宋体"/>
                <w:b w:val="0"/>
                <w:bCs/>
                <w:highlight w:val="none"/>
                <w:lang w:val="en-US" w:eastAsia="zh-CN"/>
              </w:rPr>
              <w:t>成交</w:t>
            </w:r>
            <w:r>
              <w:rPr>
                <w:rFonts w:hint="eastAsia" w:ascii="宋体" w:hAnsi="宋体" w:cs="宋体"/>
                <w:b w:val="0"/>
                <w:bCs/>
                <w:highlight w:val="none"/>
              </w:rPr>
              <w:t>人至少派遣3名工人负责</w:t>
            </w:r>
            <w:r>
              <w:rPr>
                <w:rFonts w:hint="eastAsia" w:ascii="宋体" w:hAnsi="宋体" w:cs="宋体"/>
                <w:b w:val="0"/>
                <w:bCs/>
                <w:highlight w:val="none"/>
                <w:lang w:eastAsia="zh-CN"/>
              </w:rPr>
              <w:t>采购</w:t>
            </w:r>
            <w:r>
              <w:rPr>
                <w:rFonts w:hint="eastAsia" w:ascii="宋体" w:hAnsi="宋体" w:cs="宋体"/>
                <w:b w:val="0"/>
                <w:bCs/>
                <w:highlight w:val="none"/>
              </w:rPr>
              <w:t>人院内医用织物的分类、收送等工作。</w:t>
            </w:r>
            <w:r>
              <w:rPr>
                <w:rFonts w:hint="eastAsia" w:ascii="宋体" w:hAnsi="宋体" w:cs="宋体"/>
                <w:b w:val="0"/>
                <w:bCs/>
                <w:highlight w:val="none"/>
                <w:lang w:eastAsia="zh-CN"/>
              </w:rPr>
              <w:t>采购</w:t>
            </w:r>
            <w:r>
              <w:rPr>
                <w:rFonts w:hint="eastAsia" w:ascii="宋体" w:hAnsi="宋体" w:cs="宋体"/>
                <w:b w:val="0"/>
                <w:bCs/>
                <w:highlight w:val="none"/>
              </w:rPr>
              <w:t>人固定负责3名工人人工费用人民币7200元/月（3名工人年人工费用=7200元/月×12个月=86400.00元（该项费用作为不可竞争费用），由</w:t>
            </w:r>
            <w:r>
              <w:rPr>
                <w:rFonts w:hint="eastAsia" w:ascii="宋体" w:hAnsi="宋体" w:cs="宋体"/>
                <w:b w:val="0"/>
                <w:bCs/>
                <w:highlight w:val="none"/>
                <w:lang w:eastAsia="zh-CN"/>
              </w:rPr>
              <w:t>采购</w:t>
            </w:r>
            <w:r>
              <w:rPr>
                <w:rFonts w:hint="eastAsia" w:ascii="宋体" w:hAnsi="宋体" w:cs="宋体"/>
                <w:b w:val="0"/>
                <w:bCs/>
                <w:highlight w:val="none"/>
              </w:rPr>
              <w:t>人每月将该3名工人人工费用转至</w:t>
            </w:r>
            <w:r>
              <w:rPr>
                <w:rFonts w:hint="eastAsia" w:ascii="宋体" w:hAnsi="宋体" w:cs="宋体"/>
                <w:b w:val="0"/>
                <w:bCs/>
                <w:highlight w:val="none"/>
                <w:lang w:eastAsia="zh-CN"/>
              </w:rPr>
              <w:t>成交</w:t>
            </w:r>
            <w:r>
              <w:rPr>
                <w:rFonts w:hint="eastAsia" w:ascii="宋体" w:hAnsi="宋体" w:cs="宋体"/>
                <w:b w:val="0"/>
                <w:bCs/>
                <w:highlight w:val="none"/>
              </w:rPr>
              <w:t>人指定账户，由</w:t>
            </w:r>
            <w:r>
              <w:rPr>
                <w:rFonts w:hint="eastAsia" w:ascii="宋体" w:hAnsi="宋体" w:cs="宋体"/>
                <w:b w:val="0"/>
                <w:bCs/>
                <w:highlight w:val="none"/>
                <w:lang w:eastAsia="zh-CN"/>
              </w:rPr>
              <w:t>成交</w:t>
            </w:r>
            <w:r>
              <w:rPr>
                <w:rFonts w:hint="eastAsia" w:ascii="宋体" w:hAnsi="宋体" w:cs="宋体"/>
                <w:b w:val="0"/>
                <w:bCs/>
                <w:highlight w:val="none"/>
              </w:rPr>
              <w:t>人向该3名工人发放工资，其余工人的人工费用由</w:t>
            </w:r>
            <w:r>
              <w:rPr>
                <w:rFonts w:hint="eastAsia" w:ascii="宋体" w:hAnsi="宋体" w:cs="宋体"/>
                <w:b w:val="0"/>
                <w:bCs/>
                <w:highlight w:val="none"/>
                <w:lang w:val="en-US" w:eastAsia="zh-CN"/>
              </w:rPr>
              <w:t>供应商</w:t>
            </w:r>
            <w:r>
              <w:rPr>
                <w:rFonts w:hint="eastAsia" w:ascii="宋体" w:hAnsi="宋体" w:cs="宋体"/>
                <w:b w:val="0"/>
                <w:bCs/>
                <w:highlight w:val="none"/>
              </w:rPr>
              <w:t>自行承担。人员的人事关系、人员工资、日常排班由</w:t>
            </w:r>
            <w:r>
              <w:rPr>
                <w:rFonts w:hint="eastAsia" w:ascii="宋体" w:hAnsi="宋体" w:cs="宋体"/>
                <w:b w:val="0"/>
                <w:bCs/>
                <w:highlight w:val="none"/>
                <w:lang w:eastAsia="zh-CN"/>
              </w:rPr>
              <w:t>成交</w:t>
            </w:r>
            <w:r>
              <w:rPr>
                <w:rFonts w:hint="eastAsia" w:ascii="宋体" w:hAnsi="宋体" w:cs="宋体"/>
                <w:b w:val="0"/>
                <w:bCs/>
                <w:highlight w:val="none"/>
              </w:rPr>
              <w:t>人负责，如不按规定配备，按缺岗人数扣发</w:t>
            </w:r>
            <w:r>
              <w:rPr>
                <w:rFonts w:hint="eastAsia" w:ascii="宋体" w:hAnsi="宋体" w:cs="宋体"/>
                <w:b w:val="0"/>
                <w:bCs/>
                <w:highlight w:val="none"/>
                <w:lang w:eastAsia="zh-CN"/>
              </w:rPr>
              <w:t>成交</w:t>
            </w:r>
            <w:r>
              <w:rPr>
                <w:rFonts w:hint="eastAsia" w:ascii="宋体" w:hAnsi="宋体" w:cs="宋体"/>
                <w:b w:val="0"/>
                <w:bCs/>
                <w:highlight w:val="none"/>
              </w:rPr>
              <w:t>人人工费。</w:t>
            </w:r>
          </w:p>
          <w:p w14:paraId="36519CC4">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lang w:val="en-US" w:eastAsia="zh-CN"/>
              </w:rPr>
              <w:t>4</w:t>
            </w:r>
            <w:r>
              <w:rPr>
                <w:rFonts w:hint="eastAsia" w:ascii="宋体" w:hAnsi="宋体" w:cs="宋体"/>
                <w:b w:val="0"/>
                <w:bCs/>
                <w:highlight w:val="none"/>
              </w:rPr>
              <w:t>.各类医用织物洗涤（含消毒等）单价最高限价：详见“附件一《各类医用织物洗涤（含消毒等）单价最高限价明细表》”。</w:t>
            </w:r>
          </w:p>
          <w:p w14:paraId="3F5735A7">
            <w:pPr>
              <w:spacing w:line="400" w:lineRule="exact"/>
              <w:ind w:firstLine="422" w:firstLineChars="200"/>
              <w:jc w:val="left"/>
              <w:rPr>
                <w:rFonts w:hint="eastAsia" w:ascii="宋体" w:hAnsi="宋体" w:eastAsia="宋体" w:cs="宋体"/>
                <w:b/>
                <w:highlight w:val="none"/>
                <w:lang w:val="en-US" w:eastAsia="zh-CN"/>
              </w:rPr>
            </w:pPr>
            <w:r>
              <w:rPr>
                <w:rFonts w:hint="eastAsia" w:ascii="宋体" w:hAnsi="宋体" w:cs="宋体"/>
                <w:b/>
                <w:highlight w:val="none"/>
                <w:lang w:val="en-US" w:eastAsia="zh-CN"/>
              </w:rPr>
              <w:t>5.</w:t>
            </w:r>
            <w:r>
              <w:rPr>
                <w:rFonts w:hint="eastAsia" w:ascii="宋体" w:hAnsi="宋体" w:cs="宋体"/>
                <w:b/>
                <w:highlight w:val="none"/>
              </w:rPr>
              <w:t>应急预案</w:t>
            </w:r>
            <w:r>
              <w:rPr>
                <w:rFonts w:hint="eastAsia" w:ascii="宋体" w:hAnsi="宋体" w:cs="宋体"/>
                <w:b/>
                <w:highlight w:val="none"/>
                <w:lang w:val="en-US" w:eastAsia="zh-CN"/>
              </w:rPr>
              <w:t>要求</w:t>
            </w:r>
          </w:p>
          <w:p w14:paraId="739FF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供应商须制定</w:t>
            </w:r>
            <w:r>
              <w:rPr>
                <w:rStyle w:val="33"/>
                <w:rFonts w:ascii="宋体" w:hAnsi="宋体" w:eastAsia="宋体" w:cs="宋体"/>
                <w:b/>
                <w:bCs/>
                <w:color w:val="1F2329"/>
                <w:kern w:val="0"/>
                <w:sz w:val="21"/>
                <w:szCs w:val="21"/>
                <w:highlight w:val="none"/>
                <w:lang w:val="en-US" w:eastAsia="zh-CN" w:bidi="ar"/>
              </w:rPr>
              <w:t>重大疫情、批量污染、织物丢失破损</w:t>
            </w:r>
            <w:r>
              <w:rPr>
                <w:rFonts w:ascii="宋体" w:hAnsi="宋体" w:eastAsia="宋体" w:cs="宋体"/>
                <w:color w:val="1F2329"/>
                <w:kern w:val="0"/>
                <w:sz w:val="21"/>
                <w:szCs w:val="21"/>
                <w:highlight w:val="none"/>
                <w:lang w:val="en-US" w:eastAsia="zh-CN" w:bidi="ar"/>
              </w:rPr>
              <w:t>三项专项应急预案，</w:t>
            </w:r>
            <w:r>
              <w:rPr>
                <w:rFonts w:ascii="宋体" w:hAnsi="宋体" w:eastAsia="宋体" w:cs="宋体"/>
                <w:b/>
                <w:bCs/>
                <w:color w:val="1F2329"/>
                <w:kern w:val="0"/>
                <w:sz w:val="21"/>
                <w:szCs w:val="21"/>
                <w:highlight w:val="none"/>
                <w:lang w:val="en-US" w:eastAsia="zh-CN" w:bidi="ar"/>
              </w:rPr>
              <w:t>响应文件未提供上述应急预案的，按无效响应处理。</w:t>
            </w:r>
          </w:p>
          <w:p w14:paraId="68EBCC3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420" w:leftChars="200" w:right="0" w:firstLine="0" w:firstLineChars="0"/>
              <w:jc w:val="left"/>
              <w:rPr>
                <w:rStyle w:val="33"/>
                <w:rFonts w:hint="eastAsia"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eastAsia="zh-CN"/>
              </w:rPr>
              <w:t>（</w:t>
            </w:r>
            <w:r>
              <w:rPr>
                <w:rStyle w:val="33"/>
                <w:rFonts w:hint="eastAsia" w:ascii="宋体" w:hAnsi="宋体" w:eastAsia="宋体" w:cs="宋体"/>
                <w:b/>
                <w:bCs/>
                <w:color w:val="1F2329"/>
                <w:sz w:val="21"/>
                <w:szCs w:val="21"/>
                <w:highlight w:val="none"/>
                <w:lang w:val="en-US" w:eastAsia="zh-CN"/>
              </w:rPr>
              <w:t>1</w:t>
            </w:r>
            <w:r>
              <w:rPr>
                <w:rStyle w:val="33"/>
                <w:rFonts w:hint="eastAsia" w:ascii="宋体" w:hAnsi="宋体" w:eastAsia="宋体" w:cs="宋体"/>
                <w:b/>
                <w:bCs/>
                <w:color w:val="1F2329"/>
                <w:sz w:val="21"/>
                <w:szCs w:val="21"/>
                <w:highlight w:val="none"/>
                <w:lang w:eastAsia="zh-CN"/>
              </w:rPr>
              <w:t>）</w:t>
            </w:r>
            <w:r>
              <w:rPr>
                <w:rStyle w:val="33"/>
                <w:rFonts w:hint="eastAsia" w:ascii="宋体" w:hAnsi="宋体" w:cs="宋体"/>
                <w:b/>
                <w:bCs/>
                <w:color w:val="1F2329"/>
                <w:sz w:val="21"/>
                <w:szCs w:val="21"/>
                <w:highlight w:val="none"/>
              </w:rPr>
              <w:t>重大疫情应急预案</w:t>
            </w:r>
          </w:p>
          <w:p w14:paraId="7EA832A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①</w:t>
            </w:r>
            <w:r>
              <w:rPr>
                <w:rFonts w:hint="eastAsia" w:ascii="宋体" w:hAnsi="宋体" w:cs="宋体"/>
                <w:color w:val="1F2329"/>
                <w:sz w:val="21"/>
                <w:szCs w:val="21"/>
                <w:highlight w:val="none"/>
              </w:rPr>
              <w:t>启动条件：发生重大公共卫生事件、疫情防控等级提升；</w:t>
            </w:r>
          </w:p>
          <w:p w14:paraId="65B6881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②</w:t>
            </w:r>
            <w:r>
              <w:rPr>
                <w:rFonts w:hint="eastAsia" w:ascii="宋体" w:hAnsi="宋体" w:cs="宋体"/>
                <w:color w:val="1F2329"/>
                <w:sz w:val="21"/>
                <w:szCs w:val="21"/>
                <w:highlight w:val="none"/>
              </w:rPr>
              <w:t>处置要求：立即执行</w:t>
            </w:r>
            <w:r>
              <w:rPr>
                <w:rStyle w:val="33"/>
                <w:rFonts w:hint="eastAsia" w:ascii="宋体" w:hAnsi="宋体" w:cs="宋体"/>
                <w:b/>
                <w:bCs/>
                <w:color w:val="1F2329"/>
                <w:sz w:val="21"/>
                <w:szCs w:val="21"/>
                <w:highlight w:val="none"/>
              </w:rPr>
              <w:t>全闭环管理</w:t>
            </w:r>
            <w:r>
              <w:rPr>
                <w:rFonts w:hint="eastAsia" w:ascii="宋体" w:hAnsi="宋体" w:cs="宋体"/>
                <w:color w:val="1F2329"/>
                <w:sz w:val="21"/>
                <w:szCs w:val="21"/>
                <w:highlight w:val="none"/>
              </w:rPr>
              <w:t>，感染性织物</w:t>
            </w:r>
            <w:r>
              <w:rPr>
                <w:rStyle w:val="33"/>
                <w:rFonts w:hint="eastAsia" w:ascii="宋体" w:hAnsi="宋体" w:cs="宋体"/>
                <w:b/>
                <w:bCs/>
                <w:color w:val="1F2329"/>
                <w:sz w:val="21"/>
                <w:szCs w:val="21"/>
                <w:highlight w:val="none"/>
              </w:rPr>
              <w:t>双层包装、专运专洗、高温强化消毒</w:t>
            </w:r>
            <w:r>
              <w:rPr>
                <w:rFonts w:hint="eastAsia" w:ascii="宋体" w:hAnsi="宋体" w:cs="宋体"/>
                <w:color w:val="1F2329"/>
                <w:sz w:val="21"/>
                <w:szCs w:val="21"/>
                <w:highlight w:val="none"/>
              </w:rPr>
              <w:t>；人员二级以上防护，厂区每日全域消杀；保障织物 2 小时应急供应，绝不中断诊疗；</w:t>
            </w:r>
          </w:p>
          <w:p w14:paraId="403E039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cs="宋体"/>
                <w:color w:val="1F2329"/>
                <w:sz w:val="21"/>
                <w:szCs w:val="21"/>
                <w:highlight w:val="none"/>
              </w:rPr>
            </w:pPr>
            <w:r>
              <w:rPr>
                <w:rFonts w:hint="eastAsia" w:ascii="宋体" w:hAnsi="宋体" w:eastAsia="宋体" w:cs="宋体"/>
                <w:color w:val="1F2329"/>
                <w:sz w:val="21"/>
                <w:szCs w:val="21"/>
                <w:highlight w:val="none"/>
              </w:rPr>
              <w:t>③</w:t>
            </w:r>
            <w:r>
              <w:rPr>
                <w:rFonts w:hint="eastAsia" w:ascii="宋体" w:hAnsi="宋体" w:cs="宋体"/>
                <w:color w:val="1F2329"/>
                <w:sz w:val="21"/>
                <w:szCs w:val="21"/>
                <w:highlight w:val="none"/>
              </w:rPr>
              <w:t>报告要求：1 小时内向采购人报备处置方案，全程留存消杀、转运、洗涤记录。</w:t>
            </w:r>
          </w:p>
          <w:p w14:paraId="4D640D0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2" w:firstLineChars="200"/>
              <w:jc w:val="left"/>
              <w:rPr>
                <w:rStyle w:val="33"/>
                <w:rFonts w:hint="eastAsia"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eastAsia="zh-CN"/>
              </w:rPr>
              <w:t>（</w:t>
            </w:r>
            <w:r>
              <w:rPr>
                <w:rStyle w:val="33"/>
                <w:rFonts w:hint="eastAsia" w:ascii="宋体" w:hAnsi="宋体" w:eastAsia="宋体" w:cs="宋体"/>
                <w:b/>
                <w:bCs/>
                <w:color w:val="1F2329"/>
                <w:sz w:val="21"/>
                <w:szCs w:val="21"/>
                <w:highlight w:val="none"/>
                <w:lang w:val="en-US" w:eastAsia="zh-CN"/>
              </w:rPr>
              <w:t>2</w:t>
            </w:r>
            <w:r>
              <w:rPr>
                <w:rStyle w:val="33"/>
                <w:rFonts w:hint="eastAsia" w:ascii="宋体" w:hAnsi="宋体" w:eastAsia="宋体" w:cs="宋体"/>
                <w:b/>
                <w:bCs/>
                <w:color w:val="1F2329"/>
                <w:sz w:val="21"/>
                <w:szCs w:val="21"/>
                <w:highlight w:val="none"/>
                <w:lang w:eastAsia="zh-CN"/>
              </w:rPr>
              <w:t>）</w:t>
            </w:r>
            <w:r>
              <w:rPr>
                <w:rStyle w:val="33"/>
                <w:rFonts w:hint="eastAsia" w:ascii="宋体" w:hAnsi="宋体" w:cs="宋体"/>
                <w:b/>
                <w:bCs/>
                <w:color w:val="1F2329"/>
                <w:sz w:val="21"/>
                <w:szCs w:val="21"/>
                <w:highlight w:val="none"/>
              </w:rPr>
              <w:t>批量污染应急预案</w:t>
            </w:r>
          </w:p>
          <w:p w14:paraId="49FB531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①</w:t>
            </w:r>
            <w:r>
              <w:rPr>
                <w:rFonts w:hint="eastAsia" w:ascii="宋体" w:hAnsi="宋体" w:cs="宋体"/>
                <w:color w:val="1F2329"/>
                <w:sz w:val="21"/>
                <w:szCs w:val="21"/>
                <w:highlight w:val="none"/>
              </w:rPr>
              <w:t>启动条件：发生血液 / 体液 / 致病菌批量污染、多重耐药菌污染；</w:t>
            </w:r>
          </w:p>
          <w:p w14:paraId="3C05DC6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②</w:t>
            </w:r>
            <w:r>
              <w:rPr>
                <w:rFonts w:hint="eastAsia" w:ascii="宋体" w:hAnsi="宋体" w:cs="宋体"/>
                <w:color w:val="1F2329"/>
                <w:sz w:val="21"/>
                <w:szCs w:val="21"/>
                <w:highlight w:val="none"/>
              </w:rPr>
              <w:t>处置要求：</w:t>
            </w:r>
            <w:r>
              <w:rPr>
                <w:rStyle w:val="33"/>
                <w:rFonts w:hint="eastAsia" w:ascii="宋体" w:hAnsi="宋体" w:cs="宋体"/>
                <w:b/>
                <w:bCs/>
                <w:color w:val="1F2329"/>
                <w:sz w:val="21"/>
                <w:szCs w:val="21"/>
                <w:highlight w:val="none"/>
              </w:rPr>
              <w:t>立即隔离污染织物</w:t>
            </w:r>
            <w:r>
              <w:rPr>
                <w:rFonts w:hint="eastAsia" w:ascii="宋体" w:hAnsi="宋体" w:cs="宋体"/>
                <w:color w:val="1F2329"/>
                <w:sz w:val="21"/>
                <w:szCs w:val="21"/>
                <w:highlight w:val="none"/>
              </w:rPr>
              <w:t>，单独密闭转运，按最高等级消毒流程专机处理；污染区域、工具即刻终末消毒；追溯污染源头，4 小时内完成整改，防止扩散；</w:t>
            </w:r>
          </w:p>
          <w:p w14:paraId="712E68B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cs="宋体"/>
                <w:color w:val="1F2329"/>
                <w:sz w:val="21"/>
                <w:szCs w:val="21"/>
                <w:highlight w:val="none"/>
              </w:rPr>
            </w:pPr>
            <w:r>
              <w:rPr>
                <w:rFonts w:hint="eastAsia" w:ascii="宋体" w:hAnsi="宋体" w:eastAsia="宋体" w:cs="宋体"/>
                <w:color w:val="1F2329"/>
                <w:sz w:val="21"/>
                <w:szCs w:val="21"/>
                <w:highlight w:val="none"/>
              </w:rPr>
              <w:t>③</w:t>
            </w:r>
            <w:r>
              <w:rPr>
                <w:rFonts w:hint="eastAsia" w:ascii="宋体" w:hAnsi="宋体" w:cs="宋体"/>
                <w:color w:val="1F2329"/>
                <w:sz w:val="21"/>
                <w:szCs w:val="21"/>
                <w:highlight w:val="none"/>
              </w:rPr>
              <w:t>质量要求：重洗后织物必须经第三方快速检测合格方可回用。</w:t>
            </w:r>
          </w:p>
          <w:p w14:paraId="41280E4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2" w:firstLineChars="200"/>
              <w:jc w:val="left"/>
              <w:rPr>
                <w:rStyle w:val="33"/>
                <w:rFonts w:hint="eastAsia"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eastAsia="zh-CN"/>
              </w:rPr>
              <w:t>（</w:t>
            </w:r>
            <w:r>
              <w:rPr>
                <w:rStyle w:val="33"/>
                <w:rFonts w:hint="eastAsia" w:ascii="宋体" w:hAnsi="宋体" w:eastAsia="宋体" w:cs="宋体"/>
                <w:b/>
                <w:bCs/>
                <w:color w:val="1F2329"/>
                <w:sz w:val="21"/>
                <w:szCs w:val="21"/>
                <w:highlight w:val="none"/>
                <w:lang w:val="en-US" w:eastAsia="zh-CN"/>
              </w:rPr>
              <w:t>3</w:t>
            </w:r>
            <w:r>
              <w:rPr>
                <w:rStyle w:val="33"/>
                <w:rFonts w:hint="eastAsia" w:ascii="宋体" w:hAnsi="宋体" w:eastAsia="宋体" w:cs="宋体"/>
                <w:b/>
                <w:bCs/>
                <w:color w:val="1F2329"/>
                <w:sz w:val="21"/>
                <w:szCs w:val="21"/>
                <w:highlight w:val="none"/>
                <w:lang w:eastAsia="zh-CN"/>
              </w:rPr>
              <w:t>）</w:t>
            </w:r>
            <w:r>
              <w:rPr>
                <w:rStyle w:val="33"/>
                <w:rFonts w:hint="eastAsia" w:ascii="宋体" w:hAnsi="宋体" w:cs="宋体"/>
                <w:b/>
                <w:bCs/>
                <w:color w:val="1F2329"/>
                <w:sz w:val="21"/>
                <w:szCs w:val="21"/>
                <w:highlight w:val="none"/>
              </w:rPr>
              <w:t>织物丢失破损应急预案</w:t>
            </w:r>
          </w:p>
          <w:p w14:paraId="2D8D1B3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①</w:t>
            </w:r>
            <w:r>
              <w:rPr>
                <w:rFonts w:hint="eastAsia" w:ascii="宋体" w:hAnsi="宋体" w:cs="宋体"/>
                <w:color w:val="1F2329"/>
                <w:sz w:val="21"/>
                <w:szCs w:val="21"/>
                <w:highlight w:val="none"/>
              </w:rPr>
              <w:t>启动条件：发生批量织物丢失、非正常破损、短缺影响临床使用；</w:t>
            </w:r>
          </w:p>
          <w:p w14:paraId="0FE217D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eastAsia="宋体" w:cs="宋体"/>
                <w:color w:val="1F2329"/>
                <w:sz w:val="21"/>
                <w:szCs w:val="21"/>
                <w:highlight w:val="none"/>
              </w:rPr>
            </w:pPr>
            <w:r>
              <w:rPr>
                <w:rFonts w:hint="eastAsia" w:ascii="宋体" w:hAnsi="宋体" w:eastAsia="宋体" w:cs="宋体"/>
                <w:color w:val="1F2329"/>
                <w:sz w:val="21"/>
                <w:szCs w:val="21"/>
                <w:highlight w:val="none"/>
              </w:rPr>
              <w:t>②</w:t>
            </w:r>
            <w:r>
              <w:rPr>
                <w:rFonts w:hint="eastAsia" w:ascii="宋体" w:hAnsi="宋体" w:cs="宋体"/>
                <w:color w:val="1F2329"/>
                <w:sz w:val="21"/>
                <w:szCs w:val="21"/>
                <w:highlight w:val="none"/>
              </w:rPr>
              <w:t>处置要求：</w:t>
            </w:r>
            <w:r>
              <w:rPr>
                <w:rStyle w:val="33"/>
                <w:rFonts w:hint="eastAsia" w:ascii="宋体" w:hAnsi="宋体" w:cs="宋体"/>
                <w:b/>
                <w:bCs/>
                <w:color w:val="1F2329"/>
                <w:sz w:val="21"/>
                <w:szCs w:val="21"/>
                <w:highlight w:val="none"/>
              </w:rPr>
              <w:t>1 小时内核查溯源</w:t>
            </w:r>
            <w:r>
              <w:rPr>
                <w:rFonts w:hint="eastAsia" w:ascii="宋体" w:hAnsi="宋体" w:cs="宋体"/>
                <w:color w:val="1F2329"/>
                <w:sz w:val="21"/>
                <w:szCs w:val="21"/>
                <w:highlight w:val="none"/>
              </w:rPr>
              <w:t>，2 小时内补齐应急织物；按合同约定标准即时赔付；完善交接、盘点、台账管理，杜绝重复发生；</w:t>
            </w:r>
          </w:p>
          <w:p w14:paraId="0D0F9E2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cs="宋体"/>
                <w:color w:val="1F2329"/>
                <w:sz w:val="21"/>
                <w:szCs w:val="21"/>
                <w:highlight w:val="none"/>
              </w:rPr>
            </w:pPr>
            <w:r>
              <w:rPr>
                <w:rFonts w:hint="eastAsia" w:ascii="宋体" w:hAnsi="宋体" w:eastAsia="宋体" w:cs="宋体"/>
                <w:color w:val="1F2329"/>
                <w:sz w:val="21"/>
                <w:szCs w:val="21"/>
                <w:highlight w:val="none"/>
              </w:rPr>
              <w:t>③</w:t>
            </w:r>
            <w:r>
              <w:rPr>
                <w:rFonts w:hint="eastAsia" w:ascii="宋体" w:hAnsi="宋体" w:cs="宋体"/>
                <w:color w:val="1F2329"/>
                <w:sz w:val="21"/>
                <w:szCs w:val="21"/>
                <w:highlight w:val="none"/>
              </w:rPr>
              <w:t>保障要求：建立备用织物储备，确保临床诊疗不受影响。</w:t>
            </w:r>
          </w:p>
          <w:p w14:paraId="42F0B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2" w:firstLineChars="200"/>
              <w:jc w:val="left"/>
              <w:rPr>
                <w:rFonts w:hint="eastAsia" w:ascii="宋体" w:hAnsi="宋体" w:cs="宋体"/>
                <w:b/>
                <w:bCs/>
                <w:color w:val="1F2329"/>
                <w:sz w:val="21"/>
                <w:szCs w:val="21"/>
                <w:highlight w:val="none"/>
              </w:rPr>
            </w:pPr>
            <w:r>
              <w:rPr>
                <w:rFonts w:hint="eastAsia" w:ascii="宋体" w:hAnsi="宋体" w:eastAsia="宋体" w:cs="宋体"/>
                <w:b/>
                <w:bCs/>
                <w:color w:val="1F2329"/>
                <w:kern w:val="0"/>
                <w:sz w:val="21"/>
                <w:szCs w:val="21"/>
                <w:highlight w:val="none"/>
                <w:lang w:val="en-US" w:eastAsia="zh-CN" w:bidi="ar"/>
              </w:rPr>
              <w:t>6.</w:t>
            </w:r>
            <w:r>
              <w:rPr>
                <w:rFonts w:ascii="宋体" w:hAnsi="宋体" w:eastAsia="宋体" w:cs="宋体"/>
                <w:b/>
                <w:bCs/>
                <w:color w:val="1F2329"/>
                <w:kern w:val="0"/>
                <w:sz w:val="21"/>
                <w:szCs w:val="21"/>
                <w:highlight w:val="none"/>
                <w:lang w:val="en-US" w:eastAsia="zh-CN" w:bidi="ar"/>
              </w:rPr>
              <w:t>疾病预防控制中心抽检不合格处置机制（响应文件未提供的，按无效响应处理。）</w:t>
            </w:r>
          </w:p>
          <w:p w14:paraId="4E2CBF1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（1）</w:t>
            </w:r>
            <w:r>
              <w:rPr>
                <w:rStyle w:val="33"/>
                <w:rFonts w:hint="eastAsia" w:ascii="宋体" w:hAnsi="宋体" w:cs="宋体"/>
                <w:b/>
                <w:bCs/>
                <w:color w:val="1F2329"/>
                <w:sz w:val="21"/>
                <w:szCs w:val="21"/>
                <w:highlight w:val="none"/>
              </w:rPr>
              <w:t>首次抽检不合格</w:t>
            </w:r>
            <w:r>
              <w:rPr>
                <w:rFonts w:hint="eastAsia" w:ascii="宋体" w:hAnsi="宋体" w:cs="宋体"/>
                <w:color w:val="1F2329"/>
                <w:sz w:val="21"/>
                <w:szCs w:val="21"/>
                <w:highlight w:val="none"/>
              </w:rPr>
              <w:t>：立即</w:t>
            </w:r>
            <w:r>
              <w:rPr>
                <w:rStyle w:val="33"/>
                <w:rFonts w:hint="eastAsia" w:ascii="宋体" w:hAnsi="宋体" w:cs="宋体"/>
                <w:b/>
                <w:bCs/>
                <w:color w:val="1F2329"/>
                <w:sz w:val="21"/>
                <w:szCs w:val="21"/>
                <w:highlight w:val="none"/>
              </w:rPr>
              <w:t>暂停医用织物洗涤配送服务</w:t>
            </w:r>
            <w:r>
              <w:rPr>
                <w:rFonts w:hint="eastAsia" w:ascii="宋体" w:hAnsi="宋体" w:cs="宋体"/>
                <w:color w:val="1F2329"/>
                <w:sz w:val="21"/>
                <w:szCs w:val="21"/>
                <w:highlight w:val="none"/>
              </w:rPr>
              <w:t>，24 小时内提交书面整改方案，限期 7 天完成全流程整改；整改期间承担临床应急织物供应费用，并</w:t>
            </w:r>
            <w:r>
              <w:rPr>
                <w:rStyle w:val="33"/>
                <w:rFonts w:hint="eastAsia" w:ascii="宋体" w:hAnsi="宋体" w:cs="宋体"/>
                <w:b/>
                <w:bCs/>
                <w:color w:val="1F2329"/>
                <w:sz w:val="21"/>
                <w:szCs w:val="21"/>
                <w:highlight w:val="none"/>
              </w:rPr>
              <w:t>赔付当季洗涤服务费的 20%</w:t>
            </w:r>
            <w:r>
              <w:rPr>
                <w:rFonts w:hint="eastAsia" w:ascii="宋体" w:hAnsi="宋体" w:cs="宋体"/>
                <w:color w:val="1F2329"/>
                <w:sz w:val="21"/>
                <w:szCs w:val="21"/>
                <w:highlight w:val="none"/>
              </w:rPr>
              <w:t>。</w:t>
            </w:r>
          </w:p>
          <w:p w14:paraId="06CFE02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（2）</w:t>
            </w:r>
            <w:r>
              <w:rPr>
                <w:rStyle w:val="33"/>
                <w:rFonts w:hint="eastAsia" w:ascii="宋体" w:hAnsi="宋体" w:cs="宋体"/>
                <w:b/>
                <w:bCs/>
                <w:color w:val="1F2329"/>
                <w:sz w:val="21"/>
                <w:szCs w:val="21"/>
                <w:highlight w:val="none"/>
              </w:rPr>
              <w:t>复检仍不合格</w:t>
            </w:r>
            <w:r>
              <w:rPr>
                <w:rFonts w:hint="eastAsia" w:ascii="宋体" w:hAnsi="宋体" w:cs="宋体"/>
                <w:color w:val="1F2329"/>
                <w:sz w:val="21"/>
                <w:szCs w:val="21"/>
                <w:highlight w:val="none"/>
              </w:rPr>
              <w:t>：</w:t>
            </w:r>
            <w:r>
              <w:rPr>
                <w:rStyle w:val="33"/>
                <w:rFonts w:hint="eastAsia" w:ascii="宋体" w:hAnsi="宋体" w:cs="宋体"/>
                <w:b/>
                <w:bCs/>
                <w:color w:val="1F2329"/>
                <w:sz w:val="21"/>
                <w:szCs w:val="21"/>
                <w:highlight w:val="none"/>
              </w:rPr>
              <w:t>全面暂停服务</w:t>
            </w:r>
            <w:r>
              <w:rPr>
                <w:rFonts w:hint="eastAsia" w:ascii="宋体" w:hAnsi="宋体" w:cs="宋体"/>
                <w:color w:val="1F2329"/>
                <w:sz w:val="21"/>
                <w:szCs w:val="21"/>
                <w:highlight w:val="none"/>
              </w:rPr>
              <w:t>，限期 15 天深度整改；赔付合同总金额的 5%，承担因服务中断、院感风险产生的全部损失。</w:t>
            </w:r>
          </w:p>
          <w:p w14:paraId="319E52B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eastAsia="zh-CN"/>
              </w:rPr>
              <w:t>（</w:t>
            </w:r>
            <w:r>
              <w:rPr>
                <w:rStyle w:val="33"/>
                <w:rFonts w:hint="eastAsia" w:ascii="宋体" w:hAnsi="宋体" w:cs="宋体"/>
                <w:b/>
                <w:bCs/>
                <w:color w:val="1F2329"/>
                <w:sz w:val="21"/>
                <w:szCs w:val="21"/>
                <w:highlight w:val="none"/>
                <w:lang w:val="en-US" w:eastAsia="zh-CN"/>
              </w:rPr>
              <w:t>3</w:t>
            </w:r>
            <w:r>
              <w:rPr>
                <w:rStyle w:val="33"/>
                <w:rFonts w:hint="eastAsia" w:ascii="宋体" w:hAnsi="宋体" w:cs="宋体"/>
                <w:b/>
                <w:bCs/>
                <w:color w:val="1F2329"/>
                <w:sz w:val="21"/>
                <w:szCs w:val="21"/>
                <w:highlight w:val="none"/>
                <w:lang w:eastAsia="zh-CN"/>
              </w:rPr>
              <w:t>）</w:t>
            </w:r>
            <w:r>
              <w:rPr>
                <w:rStyle w:val="33"/>
                <w:rFonts w:hint="eastAsia" w:ascii="宋体" w:hAnsi="宋体" w:cs="宋体"/>
                <w:b/>
                <w:bCs/>
                <w:color w:val="1F2329"/>
                <w:sz w:val="21"/>
                <w:szCs w:val="21"/>
                <w:highlight w:val="none"/>
              </w:rPr>
              <w:t>两次及以上抽检不合格</w:t>
            </w:r>
            <w:r>
              <w:rPr>
                <w:rFonts w:hint="eastAsia" w:ascii="宋体" w:hAnsi="宋体" w:cs="宋体"/>
                <w:color w:val="1F2329"/>
                <w:sz w:val="21"/>
                <w:szCs w:val="21"/>
                <w:highlight w:val="none"/>
              </w:rPr>
              <w:t>：立即</w:t>
            </w:r>
            <w:r>
              <w:rPr>
                <w:rStyle w:val="33"/>
                <w:rFonts w:hint="eastAsia" w:ascii="宋体" w:hAnsi="宋体" w:cs="宋体"/>
                <w:b/>
                <w:bCs/>
                <w:color w:val="1F2329"/>
                <w:sz w:val="21"/>
                <w:szCs w:val="21"/>
                <w:highlight w:val="none"/>
              </w:rPr>
              <w:t>终止合同</w:t>
            </w:r>
            <w:r>
              <w:rPr>
                <w:rFonts w:hint="eastAsia" w:ascii="宋体" w:hAnsi="宋体" w:cs="宋体"/>
                <w:color w:val="1F2329"/>
                <w:sz w:val="21"/>
                <w:szCs w:val="21"/>
                <w:highlight w:val="none"/>
              </w:rPr>
              <w:t>，赔付采购人全部实际损失，永久禁止参与采购人后续同类项目采购。</w:t>
            </w:r>
          </w:p>
          <w:p w14:paraId="5D6EE1FA">
            <w:pPr>
              <w:spacing w:line="400" w:lineRule="exact"/>
              <w:ind w:firstLine="422" w:firstLineChars="200"/>
              <w:jc w:val="left"/>
              <w:rPr>
                <w:rFonts w:ascii="宋体" w:hAnsi="宋体" w:cs="宋体"/>
                <w:b/>
                <w:highlight w:val="none"/>
              </w:rPr>
            </w:pPr>
            <w:r>
              <w:rPr>
                <w:rFonts w:hint="eastAsia" w:ascii="宋体" w:hAnsi="宋体" w:cs="宋体"/>
                <w:b/>
                <w:highlight w:val="none"/>
              </w:rPr>
              <w:t>（三）双方权利、义务、责任</w:t>
            </w:r>
          </w:p>
          <w:p w14:paraId="7606B217">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w:t>
            </w:r>
            <w:r>
              <w:rPr>
                <w:rFonts w:hint="eastAsia" w:ascii="宋体" w:hAnsi="宋体" w:cs="宋体"/>
                <w:b w:val="0"/>
                <w:bCs/>
                <w:highlight w:val="none"/>
                <w:lang w:val="en-US" w:eastAsia="zh-CN"/>
              </w:rPr>
              <w:t>采购</w:t>
            </w:r>
            <w:r>
              <w:rPr>
                <w:rFonts w:hint="eastAsia" w:ascii="宋体" w:hAnsi="宋体" w:cs="宋体"/>
                <w:b w:val="0"/>
                <w:bCs/>
                <w:highlight w:val="none"/>
              </w:rPr>
              <w:t>人权利、义务、责任</w:t>
            </w:r>
          </w:p>
          <w:p w14:paraId="177F4545">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w:t>
            </w:r>
            <w:r>
              <w:rPr>
                <w:rFonts w:hint="eastAsia" w:ascii="宋体" w:hAnsi="宋体" w:cs="宋体"/>
                <w:b w:val="0"/>
                <w:bCs/>
                <w:highlight w:val="none"/>
                <w:lang w:val="en-US" w:eastAsia="zh-CN"/>
              </w:rPr>
              <w:t>采购</w:t>
            </w:r>
            <w:r>
              <w:rPr>
                <w:rFonts w:hint="eastAsia" w:ascii="宋体" w:hAnsi="宋体" w:cs="宋体"/>
                <w:b w:val="0"/>
                <w:bCs/>
                <w:highlight w:val="none"/>
              </w:rPr>
              <w:t>人科室按 “附件二《医用织物洗涤管理规定》”存放、收集等，负责安排人员在指定时间内与</w:t>
            </w:r>
            <w:r>
              <w:rPr>
                <w:rFonts w:hint="eastAsia" w:ascii="宋体" w:hAnsi="宋体" w:cs="宋体"/>
                <w:b w:val="0"/>
                <w:bCs/>
                <w:highlight w:val="none"/>
                <w:lang w:val="en-US" w:eastAsia="zh-CN"/>
              </w:rPr>
              <w:t>成交</w:t>
            </w:r>
            <w:r>
              <w:rPr>
                <w:rFonts w:hint="eastAsia" w:ascii="宋体" w:hAnsi="宋体" w:cs="宋体"/>
                <w:b w:val="0"/>
                <w:bCs/>
                <w:highlight w:val="none"/>
              </w:rPr>
              <w:t>人员工进行医用织物清点交接。</w:t>
            </w:r>
          </w:p>
          <w:p w14:paraId="028CF573">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w:t>
            </w:r>
            <w:r>
              <w:rPr>
                <w:rFonts w:hint="eastAsia" w:ascii="宋体" w:hAnsi="宋体" w:cs="宋体"/>
                <w:b w:val="0"/>
                <w:bCs/>
                <w:highlight w:val="none"/>
                <w:lang w:val="en-US" w:eastAsia="zh-CN"/>
              </w:rPr>
              <w:t>采购</w:t>
            </w:r>
            <w:r>
              <w:rPr>
                <w:rFonts w:hint="eastAsia" w:ascii="宋体" w:hAnsi="宋体" w:cs="宋体"/>
                <w:b w:val="0"/>
                <w:bCs/>
                <w:highlight w:val="none"/>
              </w:rPr>
              <w:t>人为</w:t>
            </w:r>
            <w:r>
              <w:rPr>
                <w:rFonts w:hint="eastAsia" w:ascii="宋体" w:hAnsi="宋体" w:cs="宋体"/>
                <w:b w:val="0"/>
                <w:bCs/>
                <w:highlight w:val="none"/>
                <w:lang w:eastAsia="zh-CN"/>
              </w:rPr>
              <w:t>成交人</w:t>
            </w:r>
            <w:r>
              <w:rPr>
                <w:rFonts w:hint="eastAsia" w:ascii="宋体" w:hAnsi="宋体" w:cs="宋体"/>
                <w:b w:val="0"/>
                <w:bCs/>
                <w:highlight w:val="none"/>
              </w:rPr>
              <w:t>提供洗涤布类堆放分发场所。</w:t>
            </w:r>
          </w:p>
          <w:p w14:paraId="6558DBC7">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（3）</w:t>
            </w:r>
            <w:r>
              <w:rPr>
                <w:rFonts w:hint="eastAsia" w:ascii="宋体" w:hAnsi="宋体" w:cs="宋体"/>
                <w:b w:val="0"/>
                <w:bCs/>
                <w:highlight w:val="none"/>
                <w:lang w:val="en-US" w:eastAsia="zh-CN"/>
              </w:rPr>
              <w:t>采购</w:t>
            </w:r>
            <w:r>
              <w:rPr>
                <w:rFonts w:hint="eastAsia" w:ascii="宋体" w:hAnsi="宋体" w:cs="宋体"/>
                <w:b w:val="0"/>
                <w:bCs/>
                <w:highlight w:val="none"/>
              </w:rPr>
              <w:t>人医用织物应有医院标记、科室标记、工作服编号，标明启用年月。</w:t>
            </w:r>
          </w:p>
          <w:p w14:paraId="7C1DAC0F">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（4）为保障</w:t>
            </w:r>
            <w:r>
              <w:rPr>
                <w:rFonts w:hint="eastAsia" w:ascii="宋体" w:hAnsi="宋体" w:cs="宋体"/>
                <w:b w:val="0"/>
                <w:bCs/>
                <w:highlight w:val="none"/>
                <w:lang w:val="en-US" w:eastAsia="zh-CN"/>
              </w:rPr>
              <w:t>采购</w:t>
            </w:r>
            <w:r>
              <w:rPr>
                <w:rFonts w:hint="eastAsia" w:ascii="宋体" w:hAnsi="宋体" w:cs="宋体"/>
                <w:b w:val="0"/>
                <w:bCs/>
                <w:highlight w:val="none"/>
              </w:rPr>
              <w:t>人诊疗工作正常进行，</w:t>
            </w:r>
            <w:r>
              <w:rPr>
                <w:rFonts w:hint="eastAsia" w:ascii="宋体" w:hAnsi="宋体" w:cs="宋体"/>
                <w:b w:val="0"/>
                <w:bCs/>
                <w:highlight w:val="none"/>
                <w:lang w:val="en-US" w:eastAsia="zh-CN"/>
              </w:rPr>
              <w:t>采购</w:t>
            </w:r>
            <w:r>
              <w:rPr>
                <w:rFonts w:hint="eastAsia" w:ascii="宋体" w:hAnsi="宋体" w:cs="宋体"/>
                <w:b w:val="0"/>
                <w:bCs/>
                <w:highlight w:val="none"/>
              </w:rPr>
              <w:t>人科室应备足一定的清洁被服库存量（按床物1:2.5-3比例，即1张病床配置2.5-3套病床用品，手术医用织物按日均使用量的3倍配置，以备急需所用。</w:t>
            </w:r>
          </w:p>
          <w:p w14:paraId="33530E85">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（5）</w:t>
            </w:r>
            <w:r>
              <w:rPr>
                <w:rFonts w:hint="eastAsia" w:ascii="宋体" w:hAnsi="宋体" w:cs="宋体"/>
                <w:b w:val="0"/>
                <w:bCs/>
                <w:highlight w:val="none"/>
                <w:lang w:eastAsia="zh-CN"/>
              </w:rPr>
              <w:t>采购人</w:t>
            </w:r>
            <w:r>
              <w:rPr>
                <w:rFonts w:hint="eastAsia" w:ascii="宋体" w:hAnsi="宋体" w:cs="宋体"/>
                <w:b w:val="0"/>
                <w:bCs/>
                <w:highlight w:val="none"/>
              </w:rPr>
              <w:t>保证</w:t>
            </w:r>
            <w:r>
              <w:rPr>
                <w:rFonts w:hint="eastAsia" w:ascii="宋体" w:hAnsi="宋体" w:cs="宋体"/>
                <w:b w:val="0"/>
                <w:bCs/>
                <w:highlight w:val="none"/>
                <w:lang w:eastAsia="zh-CN"/>
              </w:rPr>
              <w:t>成交人</w:t>
            </w:r>
            <w:r>
              <w:rPr>
                <w:rFonts w:hint="eastAsia" w:ascii="宋体" w:hAnsi="宋体" w:cs="宋体"/>
                <w:b w:val="0"/>
                <w:bCs/>
                <w:highlight w:val="none"/>
              </w:rPr>
              <w:t>运输医用织物的车辆在医院范围出入顺畅。</w:t>
            </w:r>
          </w:p>
          <w:p w14:paraId="1D68C8D3">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（6）</w:t>
            </w:r>
            <w:r>
              <w:rPr>
                <w:rFonts w:hint="eastAsia" w:ascii="宋体" w:hAnsi="宋体" w:cs="宋体"/>
                <w:b w:val="0"/>
                <w:bCs/>
                <w:highlight w:val="none"/>
                <w:lang w:eastAsia="zh-CN"/>
              </w:rPr>
              <w:t>采购人</w:t>
            </w:r>
            <w:r>
              <w:rPr>
                <w:rFonts w:hint="eastAsia" w:ascii="宋体" w:hAnsi="宋体" w:cs="宋体"/>
                <w:b w:val="0"/>
                <w:bCs/>
                <w:highlight w:val="none"/>
              </w:rPr>
              <w:t>管理部门及使用科室有权监督检查</w:t>
            </w:r>
            <w:r>
              <w:rPr>
                <w:rFonts w:hint="eastAsia" w:ascii="宋体" w:hAnsi="宋体" w:cs="宋体"/>
                <w:b w:val="0"/>
                <w:bCs/>
                <w:highlight w:val="none"/>
                <w:lang w:eastAsia="zh-CN"/>
              </w:rPr>
              <w:t>成交人</w:t>
            </w:r>
            <w:r>
              <w:rPr>
                <w:rFonts w:hint="eastAsia" w:ascii="宋体" w:hAnsi="宋体" w:cs="宋体"/>
                <w:b w:val="0"/>
                <w:bCs/>
                <w:highlight w:val="none"/>
              </w:rPr>
              <w:t>的医用织务洗涤、消毒等服务质量，每月根据“附件三《医用织物洗涤质量考核标准》”对</w:t>
            </w:r>
            <w:r>
              <w:rPr>
                <w:rFonts w:hint="eastAsia" w:ascii="宋体" w:hAnsi="宋体" w:cs="宋体"/>
                <w:b w:val="0"/>
                <w:bCs/>
                <w:highlight w:val="none"/>
                <w:lang w:eastAsia="zh-CN"/>
              </w:rPr>
              <w:t>成交人</w:t>
            </w:r>
            <w:r>
              <w:rPr>
                <w:rFonts w:hint="eastAsia" w:ascii="宋体" w:hAnsi="宋体" w:cs="宋体"/>
                <w:b w:val="0"/>
                <w:bCs/>
                <w:highlight w:val="none"/>
              </w:rPr>
              <w:t>进行考核，考核扣罚金额从当月洗涤（含消毒等）服务费中扣除。</w:t>
            </w:r>
          </w:p>
          <w:p w14:paraId="2EB6A51C">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（7）</w:t>
            </w:r>
            <w:r>
              <w:rPr>
                <w:rFonts w:hint="eastAsia" w:ascii="宋体" w:hAnsi="宋体" w:cs="宋体"/>
                <w:b w:val="0"/>
                <w:bCs/>
                <w:highlight w:val="none"/>
                <w:lang w:eastAsia="zh-CN"/>
              </w:rPr>
              <w:t>采购人</w:t>
            </w:r>
            <w:r>
              <w:rPr>
                <w:rFonts w:hint="eastAsia" w:ascii="宋体" w:hAnsi="宋体" w:cs="宋体"/>
                <w:b w:val="0"/>
                <w:bCs/>
                <w:highlight w:val="none"/>
              </w:rPr>
              <w:t>有权要求修改不合理的工作职责和流程。</w:t>
            </w:r>
          </w:p>
          <w:p w14:paraId="3F4B5A7B">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（8）确定因布料质地因素而造成褪色、缩水，确定由</w:t>
            </w:r>
            <w:r>
              <w:rPr>
                <w:rFonts w:hint="eastAsia" w:ascii="宋体" w:hAnsi="宋体" w:cs="宋体"/>
                <w:b w:val="0"/>
                <w:bCs/>
                <w:highlight w:val="none"/>
                <w:lang w:eastAsia="zh-CN"/>
              </w:rPr>
              <w:t>采购人</w:t>
            </w:r>
            <w:r>
              <w:rPr>
                <w:rFonts w:hint="eastAsia" w:ascii="宋体" w:hAnsi="宋体" w:cs="宋体"/>
                <w:b w:val="0"/>
                <w:bCs/>
                <w:highlight w:val="none"/>
              </w:rPr>
              <w:t>科室原因在送洗前接触其他化学物品的而导致洗涤（含消毒等）过程中破损的，均由</w:t>
            </w:r>
            <w:r>
              <w:rPr>
                <w:rFonts w:hint="eastAsia" w:ascii="宋体" w:hAnsi="宋体" w:cs="宋体"/>
                <w:b w:val="0"/>
                <w:bCs/>
                <w:highlight w:val="none"/>
                <w:lang w:eastAsia="zh-CN"/>
              </w:rPr>
              <w:t>采购人</w:t>
            </w:r>
            <w:r>
              <w:rPr>
                <w:rFonts w:hint="eastAsia" w:ascii="宋体" w:hAnsi="宋体" w:cs="宋体"/>
                <w:b w:val="0"/>
                <w:bCs/>
                <w:highlight w:val="none"/>
              </w:rPr>
              <w:t>科室负责，</w:t>
            </w:r>
            <w:r>
              <w:rPr>
                <w:rFonts w:hint="eastAsia" w:ascii="宋体" w:hAnsi="宋体" w:cs="宋体"/>
                <w:b w:val="0"/>
                <w:bCs/>
                <w:highlight w:val="none"/>
                <w:lang w:eastAsia="zh-CN"/>
              </w:rPr>
              <w:t>成交人</w:t>
            </w:r>
            <w:r>
              <w:rPr>
                <w:rFonts w:hint="eastAsia" w:ascii="宋体" w:hAnsi="宋体" w:cs="宋体"/>
                <w:b w:val="0"/>
                <w:bCs/>
                <w:highlight w:val="none"/>
              </w:rPr>
              <w:t>不承担责任。</w:t>
            </w:r>
          </w:p>
          <w:p w14:paraId="4D3B30C8">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（9）科室或部门收到已洗涤（含消毒等）医用织物后，若发现有破损、未洗净污渍等现象，应在第二天</w:t>
            </w:r>
            <w:r>
              <w:rPr>
                <w:rFonts w:hint="eastAsia" w:ascii="宋体" w:hAnsi="宋体" w:cs="宋体"/>
                <w:b w:val="0"/>
                <w:bCs/>
                <w:highlight w:val="none"/>
                <w:lang w:eastAsia="zh-CN"/>
              </w:rPr>
              <w:t>成交人</w:t>
            </w:r>
            <w:r>
              <w:rPr>
                <w:rFonts w:hint="eastAsia" w:ascii="宋体" w:hAnsi="宋体" w:cs="宋体"/>
                <w:b w:val="0"/>
                <w:bCs/>
                <w:highlight w:val="none"/>
              </w:rPr>
              <w:t>上门收集医用织物时通知</w:t>
            </w:r>
            <w:r>
              <w:rPr>
                <w:rFonts w:hint="eastAsia" w:ascii="宋体" w:hAnsi="宋体" w:cs="宋体"/>
                <w:b w:val="0"/>
                <w:bCs/>
                <w:highlight w:val="none"/>
                <w:lang w:eastAsia="zh-CN"/>
              </w:rPr>
              <w:t>成交人</w:t>
            </w:r>
            <w:r>
              <w:rPr>
                <w:rFonts w:hint="eastAsia" w:ascii="宋体" w:hAnsi="宋体" w:cs="宋体"/>
                <w:b w:val="0"/>
                <w:bCs/>
                <w:highlight w:val="none"/>
              </w:rPr>
              <w:t>，以便重洗。</w:t>
            </w:r>
          </w:p>
          <w:p w14:paraId="43CF02FB">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（10）全新被套、大单、枕套、工作服、机罩等使用周期二年，病衣裤、纱卡手术医用织物使用周期一年，原白布使用周期为半年，超过使用周期的医用织物经自然损耗后应增补。</w:t>
            </w:r>
          </w:p>
          <w:p w14:paraId="04CB3464">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（11）</w:t>
            </w:r>
            <w:r>
              <w:rPr>
                <w:rFonts w:hint="eastAsia" w:ascii="宋体" w:hAnsi="宋体" w:cs="宋体"/>
                <w:b w:val="0"/>
                <w:bCs/>
                <w:highlight w:val="none"/>
                <w:lang w:eastAsia="zh-CN"/>
              </w:rPr>
              <w:t>采购人</w:t>
            </w:r>
            <w:r>
              <w:rPr>
                <w:rFonts w:hint="eastAsia" w:ascii="宋体" w:hAnsi="宋体" w:cs="宋体"/>
                <w:b w:val="0"/>
                <w:bCs/>
                <w:highlight w:val="none"/>
              </w:rPr>
              <w:t>应按时支付</w:t>
            </w:r>
            <w:r>
              <w:rPr>
                <w:rFonts w:hint="eastAsia" w:ascii="宋体" w:hAnsi="宋体" w:cs="宋体"/>
                <w:b w:val="0"/>
                <w:bCs/>
                <w:highlight w:val="none"/>
                <w:lang w:eastAsia="zh-CN"/>
              </w:rPr>
              <w:t>成交人</w:t>
            </w:r>
            <w:r>
              <w:rPr>
                <w:rFonts w:hint="eastAsia" w:ascii="宋体" w:hAnsi="宋体" w:cs="宋体"/>
                <w:b w:val="0"/>
                <w:bCs/>
                <w:highlight w:val="none"/>
              </w:rPr>
              <w:t>的洗涤（含消毒等）费和人工费。</w:t>
            </w:r>
          </w:p>
          <w:p w14:paraId="6C5E2BEE">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w:t>
            </w:r>
            <w:r>
              <w:rPr>
                <w:rFonts w:hint="eastAsia" w:ascii="宋体" w:hAnsi="宋体" w:cs="宋体"/>
                <w:b w:val="0"/>
                <w:bCs/>
                <w:highlight w:val="none"/>
                <w:lang w:eastAsia="zh-CN"/>
              </w:rPr>
              <w:t>成交人</w:t>
            </w:r>
            <w:r>
              <w:rPr>
                <w:rFonts w:hint="eastAsia" w:ascii="宋体" w:hAnsi="宋体" w:cs="宋体"/>
                <w:b w:val="0"/>
                <w:bCs/>
                <w:highlight w:val="none"/>
              </w:rPr>
              <w:t xml:space="preserve">权利、义务、责任 </w:t>
            </w:r>
          </w:p>
          <w:p w14:paraId="77E25FA9">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w:t>
            </w:r>
            <w:r>
              <w:rPr>
                <w:rFonts w:hint="eastAsia" w:ascii="宋体" w:hAnsi="宋体" w:cs="宋体"/>
                <w:b w:val="0"/>
                <w:bCs/>
                <w:highlight w:val="none"/>
                <w:lang w:eastAsia="zh-CN"/>
              </w:rPr>
              <w:t>成交人</w:t>
            </w:r>
            <w:r>
              <w:rPr>
                <w:rFonts w:hint="eastAsia" w:ascii="宋体" w:hAnsi="宋体" w:cs="宋体"/>
                <w:b w:val="0"/>
                <w:bCs/>
                <w:highlight w:val="none"/>
              </w:rPr>
              <w:t>洗涤厂必须符合国家环保、工商、卫生、防疫等部门的有关要求。</w:t>
            </w:r>
          </w:p>
          <w:p w14:paraId="57674199">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w:t>
            </w:r>
            <w:r>
              <w:rPr>
                <w:rFonts w:hint="eastAsia" w:ascii="宋体" w:hAnsi="宋体" w:cs="宋体"/>
                <w:b w:val="0"/>
                <w:bCs/>
                <w:highlight w:val="none"/>
                <w:lang w:eastAsia="zh-CN"/>
              </w:rPr>
              <w:t>成交人</w:t>
            </w:r>
            <w:r>
              <w:rPr>
                <w:rFonts w:hint="eastAsia" w:ascii="宋体" w:hAnsi="宋体" w:cs="宋体"/>
                <w:b w:val="0"/>
                <w:bCs/>
                <w:highlight w:val="none"/>
              </w:rPr>
              <w:t>具有完善的管理制度、职责、流程及服务规范等，不合理的制度、职责流程及服务规范等必须及时修订。必须遵守国家有关法律法规，《医院医用织物洗涤消毒技术规范》（WS/T508-2016）、《卫生健康委关于印发医疗消毒供应中心等三类医疗机构基本标准和管理规范（试行）的通知》等行业规范、《医用织物洗涤管理规定》（详见附件二）、《医用织物收发工人岗位职责》（详见附件四）、《发送清洁医用织物工作流程》（详见附件五）、《回收脏污医用织物工作流程》（详见附件六）等各项规章制度、规定、规范及流程，认真履行合同及职责。</w:t>
            </w:r>
          </w:p>
          <w:p w14:paraId="06518B3D">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（3）</w:t>
            </w:r>
            <w:r>
              <w:rPr>
                <w:rFonts w:hint="eastAsia" w:ascii="宋体" w:hAnsi="宋体" w:cs="宋体"/>
                <w:b w:val="0"/>
                <w:bCs/>
                <w:highlight w:val="none"/>
                <w:lang w:eastAsia="zh-CN"/>
              </w:rPr>
              <w:t>成交人</w:t>
            </w:r>
            <w:r>
              <w:rPr>
                <w:rFonts w:hint="eastAsia" w:ascii="宋体" w:hAnsi="宋体" w:cs="宋体"/>
                <w:b w:val="0"/>
                <w:bCs/>
                <w:highlight w:val="none"/>
              </w:rPr>
              <w:t>保证医院医用织物的应急保障，要求在距离医院50公里内设置洗涤工厂或应急储备仓库，所有医用织物的供应响应时间在2小时以内。</w:t>
            </w:r>
          </w:p>
          <w:p w14:paraId="3CDCB1D8">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（4）如</w:t>
            </w:r>
            <w:r>
              <w:rPr>
                <w:rFonts w:hint="eastAsia" w:ascii="宋体" w:hAnsi="宋体" w:cs="宋体"/>
                <w:b w:val="0"/>
                <w:bCs/>
                <w:highlight w:val="none"/>
                <w:lang w:eastAsia="zh-CN"/>
              </w:rPr>
              <w:t>供应商</w:t>
            </w:r>
            <w:r>
              <w:rPr>
                <w:rFonts w:hint="eastAsia" w:ascii="宋体" w:hAnsi="宋体" w:cs="宋体"/>
                <w:b w:val="0"/>
                <w:bCs/>
                <w:highlight w:val="none"/>
              </w:rPr>
              <w:t>同时承接传染病医院洗涤（含消毒等）业务的，必须承诺不与</w:t>
            </w:r>
            <w:r>
              <w:rPr>
                <w:rFonts w:hint="eastAsia" w:ascii="宋体" w:hAnsi="宋体" w:cs="宋体"/>
                <w:b w:val="0"/>
                <w:bCs/>
                <w:highlight w:val="none"/>
                <w:lang w:eastAsia="zh-CN"/>
              </w:rPr>
              <w:t>采购人</w:t>
            </w:r>
            <w:r>
              <w:rPr>
                <w:rFonts w:hint="eastAsia" w:ascii="宋体" w:hAnsi="宋体" w:cs="宋体"/>
                <w:b w:val="0"/>
                <w:bCs/>
                <w:highlight w:val="none"/>
              </w:rPr>
              <w:t>织物混洗、混车运输，如混洗或运输过程中造成污染的，所有责任由</w:t>
            </w:r>
            <w:r>
              <w:rPr>
                <w:rFonts w:hint="eastAsia" w:ascii="宋体" w:hAnsi="宋体" w:cs="宋体"/>
                <w:b w:val="0"/>
                <w:bCs/>
                <w:highlight w:val="none"/>
                <w:lang w:eastAsia="zh-CN"/>
              </w:rPr>
              <w:t>成交人</w:t>
            </w:r>
            <w:r>
              <w:rPr>
                <w:rFonts w:hint="eastAsia" w:ascii="宋体" w:hAnsi="宋体" w:cs="宋体"/>
                <w:b w:val="0"/>
                <w:bCs/>
                <w:highlight w:val="none"/>
              </w:rPr>
              <w:t>承</w:t>
            </w:r>
            <w:r>
              <w:rPr>
                <w:rFonts w:hint="eastAsia" w:ascii="宋体" w:hAnsi="宋体" w:cs="宋体"/>
                <w:b w:val="0"/>
                <w:bCs/>
                <w:highlight w:val="none"/>
                <w:lang w:eastAsia="zh-CN"/>
              </w:rPr>
              <w:t>采购文件</w:t>
            </w:r>
            <w:r>
              <w:rPr>
                <w:rFonts w:hint="eastAsia" w:ascii="宋体" w:hAnsi="宋体" w:cs="宋体"/>
                <w:b w:val="0"/>
                <w:bCs/>
                <w:highlight w:val="none"/>
              </w:rPr>
              <w:t>中进行说明。</w:t>
            </w:r>
          </w:p>
          <w:p w14:paraId="75481F80">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（5）</w:t>
            </w:r>
            <w:r>
              <w:rPr>
                <w:rFonts w:hint="eastAsia" w:ascii="宋体" w:hAnsi="宋体" w:cs="宋体"/>
                <w:b w:val="0"/>
                <w:bCs/>
                <w:highlight w:val="none"/>
                <w:lang w:eastAsia="zh-CN"/>
              </w:rPr>
              <w:t>成交人</w:t>
            </w:r>
            <w:r>
              <w:rPr>
                <w:rFonts w:hint="eastAsia" w:ascii="宋体" w:hAnsi="宋体" w:cs="宋体"/>
                <w:b w:val="0"/>
                <w:bCs/>
                <w:highlight w:val="none"/>
              </w:rPr>
              <w:t>负责医用织物分发场地的清洁消毒，保持场地整洁，物品摆放整齐有序。</w:t>
            </w:r>
          </w:p>
          <w:p w14:paraId="3DF03A71">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（6）</w:t>
            </w:r>
            <w:r>
              <w:rPr>
                <w:rFonts w:hint="eastAsia" w:ascii="宋体" w:hAnsi="宋体" w:cs="宋体"/>
                <w:b w:val="0"/>
                <w:bCs/>
                <w:highlight w:val="none"/>
                <w:lang w:eastAsia="zh-CN"/>
              </w:rPr>
              <w:t>成交人</w:t>
            </w:r>
            <w:r>
              <w:rPr>
                <w:rFonts w:hint="eastAsia" w:ascii="宋体" w:hAnsi="宋体" w:cs="宋体"/>
                <w:b w:val="0"/>
                <w:bCs/>
                <w:highlight w:val="none"/>
              </w:rPr>
              <w:t>委派一名大专及以上学历的驻院管理人员，负责管理、协调、质控及培训等工作【</w:t>
            </w:r>
            <w:r>
              <w:rPr>
                <w:rFonts w:hint="eastAsia" w:ascii="宋体" w:hAnsi="宋体" w:cs="宋体"/>
                <w:b w:val="0"/>
                <w:bCs/>
                <w:highlight w:val="none"/>
                <w:lang w:eastAsia="zh-CN"/>
              </w:rPr>
              <w:t>响应</w:t>
            </w:r>
            <w:r>
              <w:rPr>
                <w:rFonts w:hint="eastAsia" w:ascii="宋体" w:hAnsi="宋体" w:cs="宋体"/>
                <w:b w:val="0"/>
                <w:bCs/>
                <w:highlight w:val="none"/>
              </w:rPr>
              <w:t>文件中提供驻院管理人员学历（或学位）证明材料复印件及</w:t>
            </w:r>
            <w:r>
              <w:rPr>
                <w:rFonts w:hint="eastAsia" w:ascii="宋体" w:hAnsi="宋体" w:eastAsia="宋体" w:cs="宋体"/>
                <w:sz w:val="21"/>
                <w:szCs w:val="21"/>
                <w:highlight w:val="none"/>
              </w:rPr>
              <w:t>截至</w:t>
            </w:r>
            <w:r>
              <w:rPr>
                <w:rFonts w:hint="eastAsia" w:ascii="宋体" w:hAnsi="宋体" w:eastAsia="宋体" w:cs="宋体"/>
                <w:sz w:val="21"/>
                <w:szCs w:val="21"/>
                <w:highlight w:val="none"/>
                <w:u w:val="single"/>
              </w:rPr>
              <w:t>首次响应文件提交截止之日半年内</w:t>
            </w:r>
            <w:r>
              <w:rPr>
                <w:rFonts w:hint="eastAsia" w:ascii="宋体" w:hAnsi="宋体" w:eastAsia="宋体" w:cs="宋体"/>
                <w:sz w:val="21"/>
                <w:szCs w:val="21"/>
                <w:highlight w:val="none"/>
                <w:u w:val="single"/>
                <w:lang w:val="en-US" w:eastAsia="zh-CN"/>
              </w:rPr>
              <w:t>任意1</w:t>
            </w:r>
            <w:r>
              <w:rPr>
                <w:rFonts w:hint="eastAsia" w:ascii="宋体" w:hAnsi="宋体" w:eastAsia="宋体" w:cs="宋体"/>
                <w:sz w:val="21"/>
                <w:szCs w:val="21"/>
                <w:highlight w:val="none"/>
                <w:u w:val="single"/>
              </w:rPr>
              <w:t>个月</w:t>
            </w:r>
            <w:r>
              <w:rPr>
                <w:rFonts w:hint="eastAsia" w:ascii="宋体" w:hAnsi="宋体" w:cs="宋体"/>
                <w:b w:val="0"/>
                <w:bCs/>
                <w:highlight w:val="none"/>
                <w:lang w:eastAsia="zh-CN"/>
              </w:rPr>
              <w:t>供应商</w:t>
            </w:r>
            <w:r>
              <w:rPr>
                <w:rFonts w:hint="eastAsia" w:ascii="宋体" w:hAnsi="宋体" w:cs="宋体"/>
                <w:b w:val="0"/>
                <w:bCs/>
                <w:highlight w:val="none"/>
              </w:rPr>
              <w:t>为驻院管理人员交纳的社保证明复印件】，即时处理</w:t>
            </w:r>
            <w:r>
              <w:rPr>
                <w:rFonts w:hint="eastAsia" w:ascii="宋体" w:hAnsi="宋体" w:cs="宋体"/>
                <w:b w:val="0"/>
                <w:bCs/>
                <w:highlight w:val="none"/>
                <w:lang w:eastAsia="zh-CN"/>
              </w:rPr>
              <w:t>采购人</w:t>
            </w:r>
            <w:r>
              <w:rPr>
                <w:rFonts w:hint="eastAsia" w:ascii="宋体" w:hAnsi="宋体" w:cs="宋体"/>
                <w:b w:val="0"/>
                <w:bCs/>
                <w:highlight w:val="none"/>
              </w:rPr>
              <w:t>投诉，并做好</w:t>
            </w:r>
            <w:r>
              <w:rPr>
                <w:rFonts w:hint="eastAsia" w:ascii="宋体" w:hAnsi="宋体" w:cs="宋体"/>
                <w:b w:val="0"/>
                <w:bCs/>
                <w:highlight w:val="none"/>
              </w:rPr>
              <w:t>与</w:t>
            </w:r>
            <w:r>
              <w:rPr>
                <w:rFonts w:hint="eastAsia" w:ascii="宋体" w:hAnsi="宋体" w:cs="宋体"/>
                <w:b w:val="0"/>
                <w:bCs/>
                <w:highlight w:val="none"/>
                <w:lang w:eastAsia="zh-CN"/>
              </w:rPr>
              <w:t>采购人</w:t>
            </w:r>
            <w:r>
              <w:rPr>
                <w:rFonts w:hint="eastAsia" w:ascii="宋体" w:hAnsi="宋体" w:cs="宋体"/>
                <w:b w:val="0"/>
                <w:bCs/>
                <w:highlight w:val="none"/>
              </w:rPr>
              <w:t>负责人的联系工作；负责新聘用员工的法律法规、制度、服务规范、安全教育、业务技术等培训，考核合格后方能上岗，并定期组织员工进行相关内容的培训，强化服务态度和责任心，提高业务水平及服务意识。</w:t>
            </w:r>
          </w:p>
          <w:p w14:paraId="7B643A60">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（7）在服务期内，</w:t>
            </w:r>
            <w:r>
              <w:rPr>
                <w:rFonts w:hint="eastAsia" w:ascii="宋体" w:hAnsi="宋体" w:cs="宋体"/>
                <w:b w:val="0"/>
                <w:bCs/>
                <w:highlight w:val="none"/>
                <w:lang w:eastAsia="zh-CN"/>
              </w:rPr>
              <w:t>成交人</w:t>
            </w:r>
            <w:r>
              <w:rPr>
                <w:rFonts w:hint="eastAsia" w:ascii="宋体" w:hAnsi="宋体" w:cs="宋体"/>
                <w:b w:val="0"/>
                <w:bCs/>
                <w:highlight w:val="none"/>
              </w:rPr>
              <w:t>员工因劳动纠纷引发的各种经济赔偿或因</w:t>
            </w:r>
            <w:r>
              <w:rPr>
                <w:rFonts w:hint="eastAsia" w:ascii="宋体" w:hAnsi="宋体" w:cs="宋体"/>
                <w:b w:val="0"/>
                <w:bCs/>
                <w:highlight w:val="none"/>
                <w:lang w:eastAsia="zh-CN"/>
              </w:rPr>
              <w:t>成交人</w:t>
            </w:r>
            <w:r>
              <w:rPr>
                <w:rFonts w:hint="eastAsia" w:ascii="宋体" w:hAnsi="宋体" w:cs="宋体"/>
                <w:b w:val="0"/>
                <w:bCs/>
                <w:highlight w:val="none"/>
              </w:rPr>
              <w:t>原因出现安全事故，完全由</w:t>
            </w:r>
            <w:r>
              <w:rPr>
                <w:rFonts w:hint="eastAsia" w:ascii="宋体" w:hAnsi="宋体" w:cs="宋体"/>
                <w:b w:val="0"/>
                <w:bCs/>
                <w:highlight w:val="none"/>
                <w:lang w:eastAsia="zh-CN"/>
              </w:rPr>
              <w:t>成交人</w:t>
            </w:r>
            <w:r>
              <w:rPr>
                <w:rFonts w:hint="eastAsia" w:ascii="宋体" w:hAnsi="宋体" w:cs="宋体"/>
                <w:b w:val="0"/>
                <w:bCs/>
                <w:highlight w:val="none"/>
              </w:rPr>
              <w:t>负责，</w:t>
            </w:r>
            <w:r>
              <w:rPr>
                <w:rFonts w:hint="eastAsia" w:ascii="宋体" w:hAnsi="宋体" w:cs="宋体"/>
                <w:b w:val="0"/>
                <w:bCs/>
                <w:highlight w:val="none"/>
                <w:lang w:eastAsia="zh-CN"/>
              </w:rPr>
              <w:t>采购人</w:t>
            </w:r>
            <w:r>
              <w:rPr>
                <w:rFonts w:hint="eastAsia" w:ascii="宋体" w:hAnsi="宋体" w:cs="宋体"/>
                <w:b w:val="0"/>
                <w:bCs/>
                <w:highlight w:val="none"/>
              </w:rPr>
              <w:t>不负任何责任（因</w:t>
            </w:r>
            <w:r>
              <w:rPr>
                <w:rFonts w:hint="eastAsia" w:ascii="宋体" w:hAnsi="宋体" w:cs="宋体"/>
                <w:b w:val="0"/>
                <w:bCs/>
                <w:highlight w:val="none"/>
                <w:lang w:eastAsia="zh-CN"/>
              </w:rPr>
              <w:t>采购人</w:t>
            </w:r>
            <w:r>
              <w:rPr>
                <w:rFonts w:hint="eastAsia" w:ascii="宋体" w:hAnsi="宋体" w:cs="宋体"/>
                <w:b w:val="0"/>
                <w:bCs/>
                <w:highlight w:val="none"/>
              </w:rPr>
              <w:t>原因或不可抗力除外），</w:t>
            </w:r>
            <w:r>
              <w:rPr>
                <w:rFonts w:hint="eastAsia" w:ascii="宋体" w:hAnsi="宋体" w:cs="宋体"/>
                <w:b w:val="0"/>
                <w:bCs/>
                <w:highlight w:val="none"/>
                <w:lang w:eastAsia="zh-CN"/>
              </w:rPr>
              <w:t>采购人</w:t>
            </w:r>
            <w:r>
              <w:rPr>
                <w:rFonts w:hint="eastAsia" w:ascii="宋体" w:hAnsi="宋体" w:cs="宋体"/>
                <w:b w:val="0"/>
                <w:bCs/>
                <w:highlight w:val="none"/>
              </w:rPr>
              <w:t>有义务协助</w:t>
            </w:r>
            <w:r>
              <w:rPr>
                <w:rFonts w:hint="eastAsia" w:ascii="宋体" w:hAnsi="宋体" w:cs="宋体"/>
                <w:b w:val="0"/>
                <w:bCs/>
                <w:highlight w:val="none"/>
                <w:lang w:eastAsia="zh-CN"/>
              </w:rPr>
              <w:t>成交人</w:t>
            </w:r>
            <w:r>
              <w:rPr>
                <w:rFonts w:hint="eastAsia" w:ascii="宋体" w:hAnsi="宋体" w:cs="宋体"/>
                <w:b w:val="0"/>
                <w:bCs/>
                <w:highlight w:val="none"/>
              </w:rPr>
              <w:t>办理。</w:t>
            </w:r>
          </w:p>
          <w:p w14:paraId="35A3C40F">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（8）</w:t>
            </w:r>
            <w:r>
              <w:rPr>
                <w:rFonts w:hint="eastAsia" w:ascii="宋体" w:hAnsi="宋体" w:cs="宋体"/>
                <w:b w:val="0"/>
                <w:bCs/>
                <w:highlight w:val="none"/>
                <w:lang w:eastAsia="zh-CN"/>
              </w:rPr>
              <w:t>成交人</w:t>
            </w:r>
            <w:r>
              <w:rPr>
                <w:rFonts w:hint="eastAsia" w:ascii="宋体" w:hAnsi="宋体" w:cs="宋体"/>
                <w:b w:val="0"/>
                <w:bCs/>
                <w:highlight w:val="none"/>
              </w:rPr>
              <w:t>提供统一着装、服务牌及院内洁污运输工具，污衣袋等。</w:t>
            </w:r>
          </w:p>
          <w:p w14:paraId="559975C5">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（9）</w:t>
            </w:r>
            <w:r>
              <w:rPr>
                <w:rFonts w:hint="eastAsia" w:ascii="宋体" w:hAnsi="宋体" w:cs="宋体"/>
                <w:b w:val="0"/>
                <w:bCs/>
                <w:highlight w:val="none"/>
                <w:lang w:eastAsia="zh-CN"/>
              </w:rPr>
              <w:t>成交人</w:t>
            </w:r>
            <w:r>
              <w:rPr>
                <w:rFonts w:hint="eastAsia" w:ascii="宋体" w:hAnsi="宋体" w:cs="宋体"/>
                <w:b w:val="0"/>
                <w:bCs/>
                <w:highlight w:val="none"/>
              </w:rPr>
              <w:t>负责完成缝补工作，但缝补所需的三分带、松紧带、线及扣子、布料等材料由</w:t>
            </w:r>
            <w:r>
              <w:rPr>
                <w:rFonts w:hint="eastAsia" w:ascii="宋体" w:hAnsi="宋体" w:cs="宋体"/>
                <w:b w:val="0"/>
                <w:bCs/>
                <w:highlight w:val="none"/>
                <w:lang w:eastAsia="zh-CN"/>
              </w:rPr>
              <w:t>采购人</w:t>
            </w:r>
            <w:r>
              <w:rPr>
                <w:rFonts w:hint="eastAsia" w:ascii="宋体" w:hAnsi="宋体" w:cs="宋体"/>
                <w:b w:val="0"/>
                <w:bCs/>
                <w:highlight w:val="none"/>
              </w:rPr>
              <w:t>提供。</w:t>
            </w:r>
          </w:p>
          <w:p w14:paraId="0B50EF20">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（10）</w:t>
            </w:r>
            <w:r>
              <w:rPr>
                <w:rFonts w:hint="eastAsia" w:ascii="宋体" w:hAnsi="宋体" w:cs="宋体"/>
                <w:b w:val="0"/>
                <w:bCs/>
                <w:highlight w:val="none"/>
                <w:lang w:eastAsia="zh-CN"/>
              </w:rPr>
              <w:t>成交人</w:t>
            </w:r>
            <w:r>
              <w:rPr>
                <w:rFonts w:hint="eastAsia" w:ascii="宋体" w:hAnsi="宋体" w:cs="宋体"/>
                <w:b w:val="0"/>
                <w:bCs/>
                <w:highlight w:val="none"/>
              </w:rPr>
              <w:t>负责每天到</w:t>
            </w:r>
            <w:r>
              <w:rPr>
                <w:rFonts w:hint="eastAsia" w:ascii="宋体" w:hAnsi="宋体" w:cs="宋体"/>
                <w:b w:val="0"/>
                <w:bCs/>
                <w:highlight w:val="none"/>
                <w:lang w:eastAsia="zh-CN"/>
              </w:rPr>
              <w:t>采购人</w:t>
            </w:r>
            <w:r>
              <w:rPr>
                <w:rFonts w:hint="eastAsia" w:ascii="宋体" w:hAnsi="宋体" w:cs="宋体"/>
                <w:b w:val="0"/>
                <w:bCs/>
                <w:highlight w:val="none"/>
              </w:rPr>
              <w:t>科室收、送洗涤（含消毒等）医用织物1-2次，手术医用织物收送3-4次（遇法定节假日及医院大型检查等特殊情况，与</w:t>
            </w:r>
            <w:r>
              <w:rPr>
                <w:rFonts w:hint="eastAsia" w:ascii="宋体" w:hAnsi="宋体" w:cs="宋体"/>
                <w:b w:val="0"/>
                <w:bCs/>
                <w:highlight w:val="none"/>
                <w:lang w:eastAsia="zh-CN"/>
              </w:rPr>
              <w:t>采购人</w:t>
            </w:r>
            <w:r>
              <w:rPr>
                <w:rFonts w:hint="eastAsia" w:ascii="宋体" w:hAnsi="宋体" w:cs="宋体"/>
                <w:b w:val="0"/>
                <w:bCs/>
                <w:highlight w:val="none"/>
              </w:rPr>
              <w:t>主管部门协商安排），具体医用织物收送要求按附件二《医用织物洗涤管理规定》执行。</w:t>
            </w:r>
          </w:p>
          <w:p w14:paraId="6D6FE80D">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（11）</w:t>
            </w:r>
            <w:r>
              <w:rPr>
                <w:rFonts w:hint="eastAsia" w:ascii="宋体" w:hAnsi="宋体" w:cs="宋体"/>
                <w:b w:val="0"/>
                <w:bCs/>
                <w:highlight w:val="none"/>
                <w:lang w:eastAsia="zh-CN"/>
              </w:rPr>
              <w:t>采购人</w:t>
            </w:r>
            <w:r>
              <w:rPr>
                <w:rFonts w:hint="eastAsia" w:ascii="宋体" w:hAnsi="宋体" w:cs="宋体"/>
                <w:b w:val="0"/>
                <w:bCs/>
                <w:highlight w:val="none"/>
              </w:rPr>
              <w:t>造成的顽固污渍，</w:t>
            </w:r>
            <w:r>
              <w:rPr>
                <w:rFonts w:hint="eastAsia" w:ascii="宋体" w:hAnsi="宋体" w:cs="宋体"/>
                <w:b w:val="0"/>
                <w:bCs/>
                <w:highlight w:val="none"/>
                <w:lang w:eastAsia="zh-CN"/>
              </w:rPr>
              <w:t>成交人</w:t>
            </w:r>
            <w:r>
              <w:rPr>
                <w:rFonts w:hint="eastAsia" w:ascii="宋体" w:hAnsi="宋体" w:cs="宋体"/>
                <w:b w:val="0"/>
                <w:bCs/>
                <w:highlight w:val="none"/>
              </w:rPr>
              <w:t>须尽力进行技术处理。</w:t>
            </w:r>
          </w:p>
          <w:p w14:paraId="0C338EEC">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（12）保证洗涤（含消毒等）服务后的医用织物无污渍（老、旧床单除外）、无异味、无变色、串色等现象；熨烫平整，按规范整理叠好；因洗涤（含消毒等）方面造成的质量问题，</w:t>
            </w:r>
            <w:r>
              <w:rPr>
                <w:rFonts w:hint="eastAsia" w:ascii="宋体" w:hAnsi="宋体" w:cs="宋体"/>
                <w:b w:val="0"/>
                <w:bCs/>
                <w:highlight w:val="none"/>
                <w:lang w:eastAsia="zh-CN"/>
              </w:rPr>
              <w:t>成交人</w:t>
            </w:r>
            <w:r>
              <w:rPr>
                <w:rFonts w:hint="eastAsia" w:ascii="宋体" w:hAnsi="宋体" w:cs="宋体"/>
                <w:b w:val="0"/>
                <w:bCs/>
                <w:highlight w:val="none"/>
              </w:rPr>
              <w:t>负责返工重洗，不得再计费。</w:t>
            </w:r>
          </w:p>
          <w:p w14:paraId="37E9A37C">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（13）</w:t>
            </w:r>
            <w:r>
              <w:rPr>
                <w:rFonts w:hint="eastAsia" w:ascii="宋体" w:hAnsi="宋体" w:cs="宋体"/>
                <w:b w:val="0"/>
                <w:bCs/>
                <w:highlight w:val="none"/>
                <w:lang w:eastAsia="zh-CN"/>
              </w:rPr>
              <w:t>成交人</w:t>
            </w:r>
            <w:r>
              <w:rPr>
                <w:rFonts w:hint="eastAsia" w:ascii="宋体" w:hAnsi="宋体" w:cs="宋体"/>
                <w:b w:val="0"/>
                <w:bCs/>
                <w:highlight w:val="none"/>
              </w:rPr>
              <w:t>服从</w:t>
            </w:r>
            <w:r>
              <w:rPr>
                <w:rFonts w:hint="eastAsia" w:ascii="宋体" w:hAnsi="宋体" w:cs="宋体"/>
                <w:b w:val="0"/>
                <w:bCs/>
                <w:highlight w:val="none"/>
                <w:lang w:eastAsia="zh-CN"/>
              </w:rPr>
              <w:t>采购人</w:t>
            </w:r>
            <w:r>
              <w:rPr>
                <w:rFonts w:hint="eastAsia" w:ascii="宋体" w:hAnsi="宋体" w:cs="宋体"/>
                <w:b w:val="0"/>
                <w:bCs/>
                <w:highlight w:val="none"/>
              </w:rPr>
              <w:t>的管理，并接受</w:t>
            </w:r>
            <w:r>
              <w:rPr>
                <w:rFonts w:hint="eastAsia" w:ascii="宋体" w:hAnsi="宋体" w:cs="宋体"/>
                <w:b w:val="0"/>
                <w:bCs/>
                <w:highlight w:val="none"/>
                <w:lang w:eastAsia="zh-CN"/>
              </w:rPr>
              <w:t>采购人</w:t>
            </w:r>
            <w:r>
              <w:rPr>
                <w:rFonts w:hint="eastAsia" w:ascii="宋体" w:hAnsi="宋体" w:cs="宋体"/>
                <w:b w:val="0"/>
                <w:bCs/>
                <w:highlight w:val="none"/>
              </w:rPr>
              <w:t>的定期考核，对</w:t>
            </w:r>
            <w:r>
              <w:rPr>
                <w:rFonts w:hint="eastAsia" w:ascii="宋体" w:hAnsi="宋体" w:cs="宋体"/>
                <w:b w:val="0"/>
                <w:bCs/>
                <w:highlight w:val="none"/>
                <w:lang w:eastAsia="zh-CN"/>
              </w:rPr>
              <w:t>采购人</w:t>
            </w:r>
            <w:r>
              <w:rPr>
                <w:rFonts w:hint="eastAsia" w:ascii="宋体" w:hAnsi="宋体" w:cs="宋体"/>
                <w:b w:val="0"/>
                <w:bCs/>
                <w:highlight w:val="none"/>
              </w:rPr>
              <w:t>职工、相关管理部门提出的合理意见、建议要及时整改并有成效。</w:t>
            </w:r>
          </w:p>
          <w:p w14:paraId="72E93B6F">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（14）</w:t>
            </w:r>
            <w:r>
              <w:rPr>
                <w:rFonts w:hint="eastAsia" w:ascii="宋体" w:hAnsi="宋体" w:cs="宋体"/>
                <w:b w:val="0"/>
                <w:bCs/>
                <w:highlight w:val="none"/>
                <w:lang w:eastAsia="zh-CN"/>
              </w:rPr>
              <w:t>成交人</w:t>
            </w:r>
            <w:r>
              <w:rPr>
                <w:rFonts w:hint="eastAsia" w:ascii="宋体" w:hAnsi="宋体" w:cs="宋体"/>
                <w:b w:val="0"/>
                <w:bCs/>
                <w:highlight w:val="none"/>
              </w:rPr>
              <w:t>在洗涤（含消毒等）过程中发现</w:t>
            </w:r>
            <w:r>
              <w:rPr>
                <w:rFonts w:hint="eastAsia" w:ascii="宋体" w:hAnsi="宋体" w:cs="宋体"/>
                <w:b w:val="0"/>
                <w:bCs/>
                <w:highlight w:val="none"/>
                <w:lang w:eastAsia="zh-CN"/>
              </w:rPr>
              <w:t>采购人</w:t>
            </w:r>
            <w:r>
              <w:rPr>
                <w:rFonts w:hint="eastAsia" w:ascii="宋体" w:hAnsi="宋体" w:cs="宋体"/>
                <w:b w:val="0"/>
                <w:bCs/>
                <w:highlight w:val="none"/>
              </w:rPr>
              <w:t>物件等，应及时归还，随意丢弃或损坏</w:t>
            </w:r>
            <w:r>
              <w:rPr>
                <w:rFonts w:hint="eastAsia" w:ascii="宋体" w:hAnsi="宋体" w:cs="宋体"/>
                <w:b w:val="0"/>
                <w:bCs/>
                <w:highlight w:val="none"/>
                <w:lang w:eastAsia="zh-CN"/>
              </w:rPr>
              <w:t>采购人</w:t>
            </w:r>
            <w:r>
              <w:rPr>
                <w:rFonts w:hint="eastAsia" w:ascii="宋体" w:hAnsi="宋体" w:cs="宋体"/>
                <w:b w:val="0"/>
                <w:bCs/>
                <w:highlight w:val="none"/>
              </w:rPr>
              <w:t>物件，应负责赔偿。</w:t>
            </w:r>
          </w:p>
          <w:p w14:paraId="53D119F3">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（15）因在运输、洗涤（含消毒等）过程中造成医用织物损坏、丢失，</w:t>
            </w:r>
            <w:r>
              <w:rPr>
                <w:rFonts w:hint="eastAsia" w:ascii="宋体" w:hAnsi="宋体" w:cs="宋体"/>
                <w:b w:val="0"/>
                <w:bCs/>
                <w:highlight w:val="none"/>
                <w:lang w:eastAsia="zh-CN"/>
              </w:rPr>
              <w:t>成交人</w:t>
            </w:r>
            <w:r>
              <w:rPr>
                <w:rFonts w:hint="eastAsia" w:ascii="宋体" w:hAnsi="宋体" w:cs="宋体"/>
                <w:b w:val="0"/>
                <w:bCs/>
                <w:highlight w:val="none"/>
              </w:rPr>
              <w:t>应负责赔偿，并建立损坏、丢失记录本，相关部门定期统计。对使用1个月内的洗涤（含消毒等）医用织物，</w:t>
            </w:r>
            <w:r>
              <w:rPr>
                <w:rFonts w:hint="eastAsia" w:ascii="宋体" w:hAnsi="宋体" w:cs="宋体"/>
                <w:b w:val="0"/>
                <w:bCs/>
                <w:highlight w:val="none"/>
                <w:lang w:eastAsia="zh-CN"/>
              </w:rPr>
              <w:t>成交人</w:t>
            </w:r>
            <w:r>
              <w:rPr>
                <w:rFonts w:hint="eastAsia" w:ascii="宋体" w:hAnsi="宋体" w:cs="宋体"/>
                <w:b w:val="0"/>
                <w:bCs/>
                <w:highlight w:val="none"/>
              </w:rPr>
              <w:t>按该物品的100%赔偿；对使用1个月以上至半年（含半年）的洗涤（含消毒等）医用织物，</w:t>
            </w:r>
            <w:r>
              <w:rPr>
                <w:rFonts w:hint="eastAsia" w:ascii="宋体" w:hAnsi="宋体" w:cs="宋体"/>
                <w:b w:val="0"/>
                <w:bCs/>
                <w:highlight w:val="none"/>
                <w:lang w:eastAsia="zh-CN"/>
              </w:rPr>
              <w:t>成交人</w:t>
            </w:r>
            <w:r>
              <w:rPr>
                <w:rFonts w:hint="eastAsia" w:ascii="宋体" w:hAnsi="宋体" w:cs="宋体"/>
                <w:b w:val="0"/>
                <w:bCs/>
                <w:highlight w:val="none"/>
              </w:rPr>
              <w:t>按该物品的80%赔偿；对使用半年以上1年以内的洗涤（含消毒等）医用织物，</w:t>
            </w:r>
            <w:r>
              <w:rPr>
                <w:rFonts w:hint="eastAsia" w:ascii="宋体" w:hAnsi="宋体" w:cs="宋体"/>
                <w:b w:val="0"/>
                <w:bCs/>
                <w:highlight w:val="none"/>
                <w:lang w:eastAsia="zh-CN"/>
              </w:rPr>
              <w:t>成交人</w:t>
            </w:r>
            <w:r>
              <w:rPr>
                <w:rFonts w:hint="eastAsia" w:ascii="宋体" w:hAnsi="宋体" w:cs="宋体"/>
                <w:b w:val="0"/>
                <w:bCs/>
                <w:highlight w:val="none"/>
              </w:rPr>
              <w:t>按该物品的60%赔偿；对使用1年以上2年以内的洗涤（含消毒等）医用织物，</w:t>
            </w:r>
            <w:r>
              <w:rPr>
                <w:rFonts w:hint="eastAsia" w:ascii="宋体" w:hAnsi="宋体" w:cs="宋体"/>
                <w:b w:val="0"/>
                <w:bCs/>
                <w:highlight w:val="none"/>
                <w:lang w:eastAsia="zh-CN"/>
              </w:rPr>
              <w:t>成交人</w:t>
            </w:r>
            <w:r>
              <w:rPr>
                <w:rFonts w:hint="eastAsia" w:ascii="宋体" w:hAnsi="宋体" w:cs="宋体"/>
                <w:b w:val="0"/>
                <w:bCs/>
                <w:highlight w:val="none"/>
              </w:rPr>
              <w:t>按该物品的50%赔偿；超过使用周期继续洗涤（含消毒等）的医用织物，如丢失则按原价的40%赔偿；如过使用年限，则按自然耗损报废。</w:t>
            </w:r>
          </w:p>
          <w:p w14:paraId="21DBFD0B">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（16）因收送不及时，严重影响</w:t>
            </w:r>
            <w:r>
              <w:rPr>
                <w:rFonts w:hint="eastAsia" w:ascii="宋体" w:hAnsi="宋体" w:cs="宋体"/>
                <w:b w:val="0"/>
                <w:bCs/>
                <w:highlight w:val="none"/>
                <w:lang w:eastAsia="zh-CN"/>
              </w:rPr>
              <w:t>采购人</w:t>
            </w:r>
            <w:r>
              <w:rPr>
                <w:rFonts w:hint="eastAsia" w:ascii="宋体" w:hAnsi="宋体" w:cs="宋体"/>
                <w:b w:val="0"/>
                <w:bCs/>
                <w:highlight w:val="none"/>
              </w:rPr>
              <w:t>诊疗工作及医疗秩序，出现第一次罚款人民币1000元，出现第二次罚款人民币5000元，出现第三次罚款人民币10000元，并解除合同。因被服收、送、洗涤（含消毒等）等原因造成的医疗纠纷（经济、民事等）均由</w:t>
            </w:r>
            <w:r>
              <w:rPr>
                <w:rFonts w:hint="eastAsia" w:ascii="宋体" w:hAnsi="宋体" w:cs="宋体"/>
                <w:b w:val="0"/>
                <w:bCs/>
                <w:highlight w:val="none"/>
                <w:lang w:eastAsia="zh-CN"/>
              </w:rPr>
              <w:t>成交人</w:t>
            </w:r>
            <w:r>
              <w:rPr>
                <w:rFonts w:hint="eastAsia" w:ascii="宋体" w:hAnsi="宋体" w:cs="宋体"/>
                <w:b w:val="0"/>
                <w:bCs/>
                <w:highlight w:val="none"/>
              </w:rPr>
              <w:t>承担。</w:t>
            </w:r>
          </w:p>
          <w:p w14:paraId="51EED857">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（17）</w:t>
            </w:r>
            <w:r>
              <w:rPr>
                <w:rFonts w:hint="eastAsia" w:ascii="宋体" w:hAnsi="宋体" w:cs="宋体"/>
                <w:b w:val="0"/>
                <w:bCs/>
                <w:highlight w:val="none"/>
                <w:lang w:eastAsia="zh-CN"/>
              </w:rPr>
              <w:t>成交人</w:t>
            </w:r>
            <w:r>
              <w:rPr>
                <w:rFonts w:hint="eastAsia" w:ascii="宋体" w:hAnsi="宋体" w:cs="宋体"/>
                <w:b w:val="0"/>
                <w:bCs/>
                <w:highlight w:val="none"/>
              </w:rPr>
              <w:t>按规定时间及时以书面或电子版形式上交</w:t>
            </w:r>
            <w:r>
              <w:rPr>
                <w:rFonts w:hint="eastAsia" w:ascii="宋体" w:hAnsi="宋体" w:cs="宋体"/>
                <w:b w:val="0"/>
                <w:bCs/>
                <w:highlight w:val="none"/>
                <w:lang w:eastAsia="zh-CN"/>
              </w:rPr>
              <w:t>采购人</w:t>
            </w:r>
            <w:r>
              <w:rPr>
                <w:rFonts w:hint="eastAsia" w:ascii="宋体" w:hAnsi="宋体" w:cs="宋体"/>
                <w:b w:val="0"/>
                <w:bCs/>
                <w:highlight w:val="none"/>
              </w:rPr>
              <w:t>有关资料（质量控制资料、工作计划及工作完成情况或总结等）。</w:t>
            </w:r>
          </w:p>
          <w:p w14:paraId="22F307C7">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（18）</w:t>
            </w:r>
            <w:r>
              <w:rPr>
                <w:rFonts w:hint="eastAsia" w:ascii="宋体" w:hAnsi="宋体" w:cs="宋体"/>
                <w:b w:val="0"/>
                <w:bCs/>
                <w:highlight w:val="none"/>
                <w:lang w:eastAsia="zh-CN"/>
              </w:rPr>
              <w:t>成交人</w:t>
            </w:r>
            <w:r>
              <w:rPr>
                <w:rFonts w:hint="eastAsia" w:ascii="宋体" w:hAnsi="宋体" w:cs="宋体"/>
                <w:b w:val="0"/>
                <w:bCs/>
                <w:highlight w:val="none"/>
              </w:rPr>
              <w:t>向</w:t>
            </w:r>
            <w:r>
              <w:rPr>
                <w:rFonts w:hint="eastAsia" w:ascii="宋体" w:hAnsi="宋体" w:cs="宋体"/>
                <w:b w:val="0"/>
                <w:bCs/>
                <w:highlight w:val="none"/>
                <w:lang w:eastAsia="zh-CN"/>
              </w:rPr>
              <w:t>采购人</w:t>
            </w:r>
            <w:r>
              <w:rPr>
                <w:rFonts w:hint="eastAsia" w:ascii="宋体" w:hAnsi="宋体" w:cs="宋体"/>
                <w:b w:val="0"/>
                <w:bCs/>
                <w:highlight w:val="none"/>
              </w:rPr>
              <w:t>提供疾病控制中心对医用织物洗涤（含消毒等）抽查报告，抽检报告符合要求。</w:t>
            </w:r>
          </w:p>
          <w:p w14:paraId="4A2A6E95">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（19）在各上级部门检查中，因</w:t>
            </w:r>
            <w:r>
              <w:rPr>
                <w:rFonts w:hint="eastAsia" w:ascii="宋体" w:hAnsi="宋体" w:cs="宋体"/>
                <w:b w:val="0"/>
                <w:bCs/>
                <w:highlight w:val="none"/>
                <w:lang w:eastAsia="zh-CN"/>
              </w:rPr>
              <w:t>成交人</w:t>
            </w:r>
            <w:r>
              <w:rPr>
                <w:rFonts w:hint="eastAsia" w:ascii="宋体" w:hAnsi="宋体" w:cs="宋体"/>
                <w:b w:val="0"/>
                <w:bCs/>
                <w:highlight w:val="none"/>
              </w:rPr>
              <w:t>原因，导致媒体曝光或点名批评，</w:t>
            </w:r>
            <w:r>
              <w:rPr>
                <w:rFonts w:hint="eastAsia" w:ascii="宋体" w:hAnsi="宋体" w:cs="宋体"/>
                <w:b w:val="0"/>
                <w:bCs/>
                <w:highlight w:val="none"/>
                <w:lang w:eastAsia="zh-CN"/>
              </w:rPr>
              <w:t>采购人</w:t>
            </w:r>
            <w:r>
              <w:rPr>
                <w:rFonts w:hint="eastAsia" w:ascii="宋体" w:hAnsi="宋体" w:cs="宋体"/>
                <w:b w:val="0"/>
                <w:bCs/>
                <w:highlight w:val="none"/>
              </w:rPr>
              <w:t>根据情节轻重予以</w:t>
            </w:r>
            <w:r>
              <w:rPr>
                <w:rFonts w:hint="eastAsia" w:ascii="宋体" w:hAnsi="宋体" w:cs="宋体"/>
                <w:b w:val="0"/>
                <w:bCs/>
                <w:highlight w:val="none"/>
                <w:lang w:eastAsia="zh-CN"/>
              </w:rPr>
              <w:t>成交人</w:t>
            </w:r>
            <w:r>
              <w:rPr>
                <w:rFonts w:hint="eastAsia" w:ascii="宋体" w:hAnsi="宋体" w:cs="宋体"/>
                <w:b w:val="0"/>
                <w:bCs/>
                <w:highlight w:val="none"/>
              </w:rPr>
              <w:t>人民币500元至5000元的处罚，并负责挽回不良影响。</w:t>
            </w:r>
          </w:p>
          <w:p w14:paraId="066C1AFC">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（20）</w:t>
            </w:r>
            <w:r>
              <w:rPr>
                <w:rFonts w:hint="eastAsia" w:ascii="宋体" w:hAnsi="宋体" w:cs="宋体"/>
                <w:b w:val="0"/>
                <w:bCs/>
                <w:highlight w:val="none"/>
                <w:lang w:eastAsia="zh-CN"/>
              </w:rPr>
              <w:t>成交人</w:t>
            </w:r>
            <w:r>
              <w:rPr>
                <w:rFonts w:hint="eastAsia" w:ascii="宋体" w:hAnsi="宋体" w:cs="宋体"/>
                <w:b w:val="0"/>
                <w:bCs/>
                <w:highlight w:val="none"/>
              </w:rPr>
              <w:t>不许在</w:t>
            </w:r>
            <w:r>
              <w:rPr>
                <w:rFonts w:hint="eastAsia" w:ascii="宋体" w:hAnsi="宋体" w:cs="宋体"/>
                <w:b w:val="0"/>
                <w:bCs/>
                <w:highlight w:val="none"/>
                <w:lang w:eastAsia="zh-CN"/>
              </w:rPr>
              <w:t>采购人</w:t>
            </w:r>
            <w:r>
              <w:rPr>
                <w:rFonts w:hint="eastAsia" w:ascii="宋体" w:hAnsi="宋体" w:cs="宋体"/>
                <w:b w:val="0"/>
                <w:bCs/>
                <w:highlight w:val="none"/>
              </w:rPr>
              <w:t>场地内聚集闹事，如因聚集闹事影响工作，出现第一次，视情节轻重罚款人民币500元至1000元，出现第二次罚款人民币5000元，出现第三次罚款人民币10000元，并解除合同。</w:t>
            </w:r>
          </w:p>
          <w:p w14:paraId="47A6FA1F">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（21）</w:t>
            </w:r>
            <w:r>
              <w:rPr>
                <w:rFonts w:hint="eastAsia" w:ascii="宋体" w:hAnsi="宋体" w:cs="宋体"/>
                <w:b w:val="0"/>
                <w:bCs/>
                <w:highlight w:val="none"/>
                <w:lang w:eastAsia="zh-CN"/>
              </w:rPr>
              <w:t>成交人</w:t>
            </w:r>
            <w:r>
              <w:rPr>
                <w:rFonts w:hint="eastAsia" w:ascii="宋体" w:hAnsi="宋体" w:cs="宋体"/>
                <w:b w:val="0"/>
                <w:bCs/>
                <w:highlight w:val="none"/>
              </w:rPr>
              <w:t>要维护</w:t>
            </w:r>
            <w:r>
              <w:rPr>
                <w:rFonts w:hint="eastAsia" w:ascii="宋体" w:hAnsi="宋体" w:cs="宋体"/>
                <w:b w:val="0"/>
                <w:bCs/>
                <w:highlight w:val="none"/>
                <w:lang w:eastAsia="zh-CN"/>
              </w:rPr>
              <w:t>采购人</w:t>
            </w:r>
            <w:r>
              <w:rPr>
                <w:rFonts w:hint="eastAsia" w:ascii="宋体" w:hAnsi="宋体" w:cs="宋体"/>
                <w:b w:val="0"/>
                <w:bCs/>
                <w:highlight w:val="none"/>
              </w:rPr>
              <w:t>一切公共设施，如有挪用、失窃、人为损坏则照价赔偿，行为严重者移交司法机关处理；注意节约水、电、气，</w:t>
            </w:r>
            <w:r>
              <w:rPr>
                <w:rFonts w:hint="eastAsia" w:ascii="宋体" w:hAnsi="宋体" w:cs="宋体"/>
                <w:b w:val="0"/>
                <w:bCs/>
                <w:highlight w:val="none"/>
                <w:lang w:eastAsia="zh-CN"/>
              </w:rPr>
              <w:t>成交人</w:t>
            </w:r>
            <w:r>
              <w:rPr>
                <w:rFonts w:hint="eastAsia" w:ascii="宋体" w:hAnsi="宋体" w:cs="宋体"/>
                <w:b w:val="0"/>
                <w:bCs/>
                <w:highlight w:val="none"/>
              </w:rPr>
              <w:t>员工不许在更衣室、休息室等非允许的范围内，使用电炉、热得快等电器及煮饭等，发现一次视情节轻重，罚款人民币200至500元。</w:t>
            </w:r>
          </w:p>
          <w:p w14:paraId="5E2A692B">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（22）在服务期内，</w:t>
            </w:r>
            <w:r>
              <w:rPr>
                <w:rFonts w:hint="eastAsia" w:ascii="宋体" w:hAnsi="宋体" w:cs="宋体"/>
                <w:b w:val="0"/>
                <w:bCs/>
                <w:highlight w:val="none"/>
                <w:lang w:eastAsia="zh-CN"/>
              </w:rPr>
              <w:t>成交人</w:t>
            </w:r>
            <w:r>
              <w:rPr>
                <w:rFonts w:hint="eastAsia" w:ascii="宋体" w:hAnsi="宋体" w:cs="宋体"/>
                <w:b w:val="0"/>
                <w:bCs/>
                <w:highlight w:val="none"/>
              </w:rPr>
              <w:t>不得以任何理由追加费用。</w:t>
            </w:r>
          </w:p>
          <w:p w14:paraId="7973E780">
            <w:pPr>
              <w:spacing w:line="400" w:lineRule="exact"/>
              <w:ind w:firstLine="420" w:firstLineChars="200"/>
              <w:jc w:val="left"/>
              <w:rPr>
                <w:rFonts w:ascii="宋体" w:hAnsi="宋体" w:cs="宋体"/>
                <w:b w:val="0"/>
                <w:bCs/>
                <w:highlight w:val="none"/>
              </w:rPr>
            </w:pPr>
            <w:r>
              <w:rPr>
                <w:rFonts w:hint="eastAsia" w:ascii="宋体" w:hAnsi="宋体" w:cs="宋体"/>
                <w:b w:val="0"/>
                <w:bCs/>
                <w:highlight w:val="none"/>
              </w:rPr>
              <w:t>（23）</w:t>
            </w:r>
            <w:r>
              <w:rPr>
                <w:rFonts w:hint="eastAsia" w:ascii="宋体" w:hAnsi="宋体" w:cs="宋体"/>
                <w:b w:val="0"/>
                <w:bCs/>
                <w:highlight w:val="none"/>
                <w:lang w:eastAsia="zh-CN"/>
              </w:rPr>
              <w:t>成交人</w:t>
            </w:r>
            <w:r>
              <w:rPr>
                <w:rFonts w:hint="eastAsia" w:ascii="宋体" w:hAnsi="宋体" w:cs="宋体"/>
                <w:b w:val="0"/>
                <w:bCs/>
                <w:highlight w:val="none"/>
              </w:rPr>
              <w:t>必须按国家法律法规开展各项服务及经营，并按时足额发放员工工资、福利、缴纳社保。</w:t>
            </w:r>
          </w:p>
          <w:p w14:paraId="5C757693">
            <w:pPr>
              <w:spacing w:line="400" w:lineRule="exact"/>
              <w:ind w:firstLine="422" w:firstLineChars="200"/>
              <w:jc w:val="left"/>
              <w:rPr>
                <w:rFonts w:ascii="宋体" w:hAnsi="宋体" w:cs="宋体"/>
                <w:b/>
                <w:highlight w:val="none"/>
              </w:rPr>
            </w:pPr>
            <w:r>
              <w:rPr>
                <w:rFonts w:hint="eastAsia" w:ascii="宋体" w:hAnsi="宋体" w:cs="宋体"/>
                <w:b/>
                <w:highlight w:val="none"/>
              </w:rPr>
              <w:t>（四）医用织物收发工人岗位职责要求：详见“附件四《医用织物收发工人岗位职责》”。</w:t>
            </w:r>
          </w:p>
          <w:p w14:paraId="1D5728E3">
            <w:pPr>
              <w:spacing w:line="400" w:lineRule="exact"/>
              <w:ind w:firstLine="422" w:firstLineChars="200"/>
              <w:jc w:val="left"/>
              <w:rPr>
                <w:rFonts w:ascii="宋体" w:hAnsi="宋体" w:cs="宋体"/>
                <w:b/>
                <w:highlight w:val="none"/>
              </w:rPr>
            </w:pPr>
            <w:r>
              <w:rPr>
                <w:rFonts w:hint="eastAsia" w:ascii="宋体" w:hAnsi="宋体" w:cs="宋体"/>
                <w:b/>
                <w:highlight w:val="none"/>
              </w:rPr>
              <w:t>（五）发送清洁医用织物工作流程要求：详见“附件五《发送清洁医用织物工作流程》”</w:t>
            </w:r>
          </w:p>
          <w:p w14:paraId="03241910">
            <w:pPr>
              <w:widowControl/>
              <w:spacing w:line="40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cs="宋体"/>
                <w:b/>
                <w:highlight w:val="none"/>
              </w:rPr>
              <w:t>（六）回收脏污医用织物工作流程要求：详见“附件六《回收脏污医用织物工作流程》”。</w:t>
            </w:r>
          </w:p>
        </w:tc>
      </w:tr>
      <w:tr w14:paraId="69998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60" w:type="dxa"/>
            <w:gridSpan w:val="4"/>
            <w:tcBorders>
              <w:top w:val="single" w:color="auto" w:sz="4" w:space="0"/>
              <w:left w:val="single" w:color="auto" w:sz="4" w:space="0"/>
              <w:bottom w:val="single" w:color="auto" w:sz="4" w:space="0"/>
              <w:right w:val="single" w:color="auto" w:sz="4" w:space="0"/>
            </w:tcBorders>
          </w:tcPr>
          <w:p w14:paraId="3925FFA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二、</w:t>
            </w:r>
            <w:r>
              <w:rPr>
                <w:rFonts w:hint="eastAsia" w:ascii="宋体" w:hAnsi="宋体" w:eastAsia="宋体" w:cs="宋体"/>
                <w:b/>
                <w:sz w:val="21"/>
                <w:szCs w:val="21"/>
                <w:highlight w:val="none"/>
              </w:rPr>
              <w:t>商务要求</w:t>
            </w:r>
          </w:p>
        </w:tc>
      </w:tr>
      <w:tr w14:paraId="36DCC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6332BD5B">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合同签订时间</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4BC770E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自成交通知书发出之日起8个工作日内；</w:t>
            </w:r>
          </w:p>
        </w:tc>
      </w:tr>
      <w:tr w14:paraId="11084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7424D8A8">
            <w:pPr>
              <w:spacing w:line="360" w:lineRule="auto"/>
              <w:jc w:val="center"/>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时间及地点</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456DD4B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时间：自签订合同之日起2年。</w:t>
            </w:r>
          </w:p>
          <w:p w14:paraId="4CB64FC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地点：广西桂林市内桂林市中西医结合医院指定地点。</w:t>
            </w:r>
          </w:p>
        </w:tc>
      </w:tr>
      <w:tr w14:paraId="1DC16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54EEF90D">
            <w:pPr>
              <w:pStyle w:val="74"/>
              <w:spacing w:line="360" w:lineRule="auto"/>
              <w:ind w:firstLine="0" w:firstLineChars="0"/>
              <w:jc w:val="center"/>
              <w:rPr>
                <w:rFonts w:hint="eastAsia" w:ascii="宋体" w:hAnsi="宋体" w:eastAsia="宋体" w:cs="宋体"/>
                <w:b/>
                <w:sz w:val="21"/>
                <w:szCs w:val="21"/>
                <w:highlight w:val="none"/>
              </w:rPr>
            </w:pPr>
            <w:r>
              <w:rPr>
                <w:rFonts w:hint="eastAsia" w:ascii="宋体" w:hAnsi="宋体" w:eastAsia="宋体" w:cs="宋体"/>
                <w:sz w:val="21"/>
                <w:szCs w:val="21"/>
                <w:highlight w:val="none"/>
              </w:rPr>
              <w:t>付款方式</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3CBAA37A">
            <w:pPr>
              <w:spacing w:line="400" w:lineRule="exact"/>
              <w:ind w:firstLine="0" w:firstLineChars="0"/>
              <w:jc w:val="left"/>
              <w:rPr>
                <w:rFonts w:ascii="宋体" w:hAnsi="宋体" w:cs="宋体"/>
                <w:b/>
                <w:highlight w:val="none"/>
              </w:rPr>
            </w:pPr>
            <w:r>
              <w:rPr>
                <w:rFonts w:hint="eastAsia" w:ascii="宋体" w:hAnsi="宋体" w:cs="宋体"/>
                <w:b/>
                <w:highlight w:val="none"/>
              </w:rPr>
              <w:t>1.服务费用实行按月支付（服务期满前2个月的</w:t>
            </w:r>
            <w:r>
              <w:rPr>
                <w:rFonts w:hint="eastAsia" w:hAnsi="宋体" w:cs="宋体"/>
                <w:b/>
                <w:szCs w:val="21"/>
                <w:highlight w:val="none"/>
              </w:rPr>
              <w:t>服务费用除外</w:t>
            </w:r>
            <w:r>
              <w:rPr>
                <w:rFonts w:hint="eastAsia" w:ascii="宋体" w:hAnsi="宋体" w:cs="宋体"/>
                <w:b/>
                <w:highlight w:val="none"/>
              </w:rPr>
              <w:t>），即：每月</w:t>
            </w:r>
            <w:r>
              <w:rPr>
                <w:rFonts w:hint="eastAsia" w:ascii="宋体" w:hAnsi="宋体" w:cs="宋体"/>
                <w:b/>
                <w:highlight w:val="none"/>
                <w:lang w:eastAsia="zh-CN"/>
              </w:rPr>
              <w:t>3</w:t>
            </w:r>
            <w:r>
              <w:rPr>
                <w:rFonts w:hint="eastAsia" w:ascii="宋体" w:hAnsi="宋体" w:cs="宋体"/>
                <w:b/>
                <w:highlight w:val="none"/>
              </w:rPr>
              <w:t>0日以前（遇休息日或法定节假日则顺延）</w:t>
            </w:r>
            <w:r>
              <w:rPr>
                <w:rFonts w:hint="eastAsia" w:ascii="宋体" w:hAnsi="宋体" w:cs="宋体"/>
                <w:b/>
                <w:highlight w:val="none"/>
                <w:lang w:val="en-US" w:eastAsia="zh-CN"/>
              </w:rPr>
              <w:t>采购</w:t>
            </w:r>
            <w:r>
              <w:rPr>
                <w:rFonts w:hint="eastAsia" w:ascii="宋体" w:hAnsi="宋体" w:cs="宋体"/>
                <w:b/>
                <w:highlight w:val="none"/>
              </w:rPr>
              <w:t>人以转账方式将上月的</w:t>
            </w:r>
            <w:r>
              <w:rPr>
                <w:rFonts w:hint="eastAsia" w:ascii="宋体" w:hAnsi="宋体" w:cs="宋体"/>
                <w:b/>
                <w:szCs w:val="21"/>
                <w:highlight w:val="none"/>
              </w:rPr>
              <w:t>医用织物洗涤（含消毒等）</w:t>
            </w:r>
            <w:r>
              <w:rPr>
                <w:rFonts w:hint="eastAsia" w:hAnsi="宋体" w:cs="宋体"/>
                <w:b/>
                <w:szCs w:val="21"/>
                <w:highlight w:val="none"/>
              </w:rPr>
              <w:t>费用</w:t>
            </w:r>
            <w:r>
              <w:rPr>
                <w:rFonts w:hint="eastAsia" w:ascii="宋体" w:hAnsi="宋体" w:cs="宋体"/>
                <w:b/>
                <w:highlight w:val="none"/>
              </w:rPr>
              <w:t>【按上月实际送交的洗涤</w:t>
            </w:r>
            <w:r>
              <w:rPr>
                <w:rFonts w:hint="eastAsia" w:ascii="宋体" w:hAnsi="宋体" w:cs="宋体"/>
                <w:b/>
                <w:szCs w:val="21"/>
                <w:highlight w:val="none"/>
              </w:rPr>
              <w:t>（含消毒等）</w:t>
            </w:r>
            <w:r>
              <w:rPr>
                <w:rFonts w:hint="eastAsia" w:ascii="宋体" w:hAnsi="宋体" w:cs="宋体"/>
                <w:b/>
                <w:highlight w:val="none"/>
              </w:rPr>
              <w:t>物品品种、数量、价格及</w:t>
            </w:r>
            <w:r>
              <w:rPr>
                <w:rFonts w:hint="eastAsia" w:ascii="宋体" w:hAnsi="宋体" w:cs="宋体"/>
                <w:b/>
                <w:highlight w:val="none"/>
                <w:lang w:val="en-US" w:eastAsia="zh-CN"/>
              </w:rPr>
              <w:t>采购</w:t>
            </w:r>
            <w:r>
              <w:rPr>
                <w:rFonts w:hint="eastAsia" w:ascii="宋体" w:hAnsi="宋体" w:cs="宋体"/>
                <w:b/>
                <w:highlight w:val="none"/>
              </w:rPr>
              <w:t>人与</w:t>
            </w:r>
            <w:r>
              <w:rPr>
                <w:rFonts w:hint="eastAsia" w:ascii="宋体" w:hAnsi="宋体" w:cs="宋体"/>
                <w:b/>
                <w:highlight w:val="none"/>
                <w:lang w:val="en-US" w:eastAsia="zh-CN"/>
              </w:rPr>
              <w:t>成交</w:t>
            </w:r>
            <w:r>
              <w:rPr>
                <w:rFonts w:hint="eastAsia" w:ascii="宋体" w:hAnsi="宋体" w:cs="宋体"/>
                <w:b/>
                <w:highlight w:val="none"/>
              </w:rPr>
              <w:t>人双方签单为结算凭证】和3名工人人工费用转至</w:t>
            </w:r>
            <w:r>
              <w:rPr>
                <w:rFonts w:hint="eastAsia" w:ascii="宋体" w:hAnsi="宋体" w:cs="宋体"/>
                <w:b/>
                <w:highlight w:val="none"/>
                <w:lang w:val="en-US" w:eastAsia="zh-CN"/>
              </w:rPr>
              <w:t>成交</w:t>
            </w:r>
            <w:r>
              <w:rPr>
                <w:rFonts w:hint="eastAsia" w:ascii="宋体" w:hAnsi="宋体" w:cs="宋体"/>
                <w:b/>
                <w:highlight w:val="none"/>
              </w:rPr>
              <w:t>人指定账户，转账前</w:t>
            </w:r>
            <w:r>
              <w:rPr>
                <w:rFonts w:hint="eastAsia" w:ascii="宋体" w:hAnsi="宋体" w:cs="宋体"/>
                <w:b/>
                <w:highlight w:val="none"/>
                <w:lang w:val="en-US" w:eastAsia="zh-CN"/>
              </w:rPr>
              <w:t>成交</w:t>
            </w:r>
            <w:r>
              <w:rPr>
                <w:rFonts w:hint="eastAsia" w:ascii="宋体" w:hAnsi="宋体" w:cs="宋体"/>
                <w:b/>
                <w:highlight w:val="none"/>
              </w:rPr>
              <w:t>人将</w:t>
            </w:r>
            <w:r>
              <w:rPr>
                <w:rFonts w:hint="eastAsia" w:ascii="宋体" w:hAnsi="宋体" w:cs="宋体"/>
                <w:b/>
                <w:highlight w:val="none"/>
                <w:lang w:val="en-US" w:eastAsia="zh-CN"/>
              </w:rPr>
              <w:t>采购</w:t>
            </w:r>
            <w:r>
              <w:rPr>
                <w:rFonts w:hint="eastAsia" w:ascii="宋体" w:hAnsi="宋体" w:cs="宋体"/>
                <w:b/>
                <w:highlight w:val="none"/>
              </w:rPr>
              <w:t>人考核后产生的实际的洗涤（含消毒等）费发票交给</w:t>
            </w:r>
            <w:r>
              <w:rPr>
                <w:rFonts w:hint="eastAsia" w:ascii="宋体" w:hAnsi="宋体" w:cs="宋体"/>
                <w:b/>
                <w:highlight w:val="none"/>
                <w:lang w:val="en-US" w:eastAsia="zh-CN"/>
              </w:rPr>
              <w:t>采购</w:t>
            </w:r>
            <w:r>
              <w:rPr>
                <w:rFonts w:hint="eastAsia" w:ascii="宋体" w:hAnsi="宋体" w:cs="宋体"/>
                <w:b/>
                <w:highlight w:val="none"/>
              </w:rPr>
              <w:t>人，否则，</w:t>
            </w:r>
            <w:r>
              <w:rPr>
                <w:rFonts w:hint="eastAsia" w:ascii="宋体" w:hAnsi="宋体" w:cs="宋体"/>
                <w:b/>
                <w:highlight w:val="none"/>
                <w:lang w:val="en-US" w:eastAsia="zh-CN"/>
              </w:rPr>
              <w:t>采购</w:t>
            </w:r>
            <w:r>
              <w:rPr>
                <w:rFonts w:hint="eastAsia" w:ascii="宋体" w:hAnsi="宋体" w:cs="宋体"/>
                <w:b/>
                <w:highlight w:val="none"/>
              </w:rPr>
              <w:t>人有权拒绝付费且不承担任何责任。</w:t>
            </w:r>
          </w:p>
          <w:p w14:paraId="0EFC8AF6">
            <w:pPr>
              <w:spacing w:line="400" w:lineRule="exact"/>
              <w:ind w:firstLine="0" w:firstLineChars="0"/>
              <w:jc w:val="left"/>
              <w:rPr>
                <w:rFonts w:hint="eastAsia" w:ascii="宋体" w:hAnsi="宋体" w:eastAsia="宋体" w:cs="宋体"/>
                <w:sz w:val="21"/>
                <w:szCs w:val="21"/>
                <w:highlight w:val="none"/>
              </w:rPr>
            </w:pPr>
            <w:r>
              <w:rPr>
                <w:rFonts w:hint="eastAsia" w:ascii="宋体" w:hAnsi="宋体" w:cs="宋体"/>
                <w:b/>
                <w:highlight w:val="none"/>
              </w:rPr>
              <w:t>2.服务期满前2个月的</w:t>
            </w:r>
            <w:r>
              <w:rPr>
                <w:rFonts w:hint="eastAsia" w:hAnsi="宋体" w:cs="宋体"/>
                <w:b/>
                <w:szCs w:val="21"/>
                <w:highlight w:val="none"/>
              </w:rPr>
              <w:t>服务费用</w:t>
            </w:r>
            <w:r>
              <w:rPr>
                <w:rFonts w:hint="eastAsia" w:ascii="宋体" w:hAnsi="宋体" w:cs="宋体"/>
                <w:b/>
                <w:highlight w:val="none"/>
              </w:rPr>
              <w:t>，待</w:t>
            </w:r>
            <w:r>
              <w:rPr>
                <w:rFonts w:hint="eastAsia" w:ascii="宋体" w:hAnsi="宋体" w:cs="宋体"/>
                <w:b/>
                <w:highlight w:val="none"/>
                <w:lang w:val="en-US" w:eastAsia="zh-CN"/>
              </w:rPr>
              <w:t>采购</w:t>
            </w:r>
            <w:r>
              <w:rPr>
                <w:rFonts w:hint="eastAsia" w:ascii="宋体" w:hAnsi="宋体" w:cs="宋体"/>
                <w:b/>
                <w:highlight w:val="none"/>
              </w:rPr>
              <w:t>人确定</w:t>
            </w:r>
            <w:r>
              <w:rPr>
                <w:rFonts w:hint="eastAsia" w:ascii="宋体" w:hAnsi="宋体" w:cs="宋体"/>
                <w:b/>
                <w:highlight w:val="none"/>
                <w:lang w:val="en-US" w:eastAsia="zh-CN"/>
              </w:rPr>
              <w:t>成交</w:t>
            </w:r>
            <w:r>
              <w:rPr>
                <w:rFonts w:hint="eastAsia" w:ascii="宋体" w:hAnsi="宋体" w:cs="宋体"/>
                <w:b/>
                <w:highlight w:val="none"/>
              </w:rPr>
              <w:t>人按约定的服务标</w:t>
            </w:r>
            <w:r>
              <w:rPr>
                <w:rFonts w:hint="eastAsia"/>
                <w:b/>
                <w:szCs w:val="21"/>
                <w:highlight w:val="none"/>
              </w:rPr>
              <w:t>准及合同规定履约完毕并</w:t>
            </w:r>
            <w:r>
              <w:rPr>
                <w:rFonts w:hint="eastAsia" w:ascii="宋体" w:hAnsi="宋体" w:cs="宋体"/>
                <w:b/>
                <w:highlight w:val="none"/>
              </w:rPr>
              <w:t>无其他违约情况后，</w:t>
            </w:r>
            <w:r>
              <w:rPr>
                <w:rFonts w:hint="eastAsia" w:ascii="宋体" w:hAnsi="宋体" w:cs="宋体"/>
                <w:b/>
                <w:highlight w:val="none"/>
                <w:lang w:val="en-US" w:eastAsia="zh-CN"/>
              </w:rPr>
              <w:t>采购</w:t>
            </w:r>
            <w:r>
              <w:rPr>
                <w:rFonts w:hint="eastAsia" w:ascii="宋体" w:hAnsi="宋体" w:cs="宋体"/>
                <w:b/>
                <w:highlight w:val="none"/>
              </w:rPr>
              <w:t>人于服务期满后的1个月内支付相应的服务费用。</w:t>
            </w:r>
          </w:p>
        </w:tc>
      </w:tr>
      <w:tr w14:paraId="6554D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4671B9DF">
            <w:pPr>
              <w:pStyle w:val="74"/>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质量标准及验收要求</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30F63AF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1.</w:t>
            </w:r>
            <w:r>
              <w:rPr>
                <w:rStyle w:val="33"/>
                <w:rFonts w:ascii="宋体" w:hAnsi="宋体" w:eastAsia="宋体" w:cs="宋体"/>
                <w:b/>
                <w:bCs/>
                <w:color w:val="1F2329"/>
                <w:kern w:val="0"/>
                <w:sz w:val="21"/>
                <w:szCs w:val="21"/>
                <w:highlight w:val="none"/>
                <w:lang w:val="en-US" w:eastAsia="zh-CN" w:bidi="ar"/>
              </w:rPr>
              <w:t>质量执行标准</w:t>
            </w:r>
          </w:p>
          <w:p w14:paraId="144A774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hint="eastAsia" w:ascii="宋体" w:hAnsi="宋体" w:eastAsia="宋体" w:cs="宋体"/>
                <w:color w:val="1F2329"/>
                <w:kern w:val="0"/>
                <w:sz w:val="21"/>
                <w:szCs w:val="21"/>
                <w:highlight w:val="none"/>
                <w:lang w:val="en-US" w:eastAsia="zh-CN" w:bidi="ar"/>
              </w:rPr>
              <w:t>（1）</w:t>
            </w:r>
            <w:r>
              <w:rPr>
                <w:rFonts w:ascii="宋体" w:hAnsi="宋体" w:eastAsia="宋体" w:cs="宋体"/>
                <w:color w:val="1F2329"/>
                <w:kern w:val="0"/>
                <w:sz w:val="21"/>
                <w:szCs w:val="21"/>
                <w:highlight w:val="none"/>
                <w:lang w:val="en-US" w:eastAsia="zh-CN" w:bidi="ar"/>
              </w:rPr>
              <w:t>服务全程严格遵循</w:t>
            </w:r>
            <w:r>
              <w:rPr>
                <w:rStyle w:val="33"/>
                <w:rFonts w:ascii="宋体" w:hAnsi="宋体" w:eastAsia="宋体" w:cs="宋体"/>
                <w:b/>
                <w:bCs/>
                <w:color w:val="1F2329"/>
                <w:kern w:val="0"/>
                <w:sz w:val="21"/>
                <w:szCs w:val="21"/>
                <w:highlight w:val="none"/>
                <w:lang w:val="en-US" w:eastAsia="zh-CN" w:bidi="ar"/>
              </w:rPr>
              <w:t>WS/T 508-2016《医院医用织物洗涤消毒技术规范》</w:t>
            </w:r>
            <w:r>
              <w:rPr>
                <w:rFonts w:ascii="宋体" w:hAnsi="宋体" w:eastAsia="宋体" w:cs="宋体"/>
                <w:color w:val="1F2329"/>
                <w:kern w:val="0"/>
                <w:sz w:val="21"/>
                <w:szCs w:val="21"/>
                <w:highlight w:val="none"/>
                <w:lang w:val="en-US" w:eastAsia="zh-CN" w:bidi="ar"/>
              </w:rPr>
              <w:t>、WS/T 367-2012《医疗机构消毒技术规范》要求。</w:t>
            </w:r>
          </w:p>
          <w:p w14:paraId="18F6A52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（2）</w:t>
            </w:r>
            <w:r>
              <w:rPr>
                <w:rStyle w:val="33"/>
                <w:rFonts w:ascii="宋体" w:hAnsi="宋体" w:eastAsia="宋体" w:cs="宋体"/>
                <w:b/>
                <w:bCs/>
                <w:color w:val="1F2329"/>
                <w:kern w:val="0"/>
                <w:sz w:val="21"/>
                <w:szCs w:val="21"/>
                <w:highlight w:val="none"/>
                <w:lang w:val="en-US" w:eastAsia="zh-CN" w:bidi="ar"/>
              </w:rPr>
              <w:t>感官指标</w:t>
            </w:r>
            <w:r>
              <w:rPr>
                <w:rFonts w:ascii="宋体" w:hAnsi="宋体" w:eastAsia="宋体" w:cs="宋体"/>
                <w:color w:val="1F2329"/>
                <w:kern w:val="0"/>
                <w:sz w:val="21"/>
                <w:szCs w:val="21"/>
                <w:highlight w:val="none"/>
                <w:lang w:val="en-US" w:eastAsia="zh-CN" w:bidi="ar"/>
              </w:rPr>
              <w:t>：洗涤后医用织物无污渍、无异味、无串色、无破损、干燥平整、折叠规范，缝补规整可用。</w:t>
            </w:r>
          </w:p>
          <w:p w14:paraId="37E73D5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（3）</w:t>
            </w:r>
            <w:r>
              <w:rPr>
                <w:rStyle w:val="33"/>
                <w:rFonts w:ascii="宋体" w:hAnsi="宋体" w:eastAsia="宋体" w:cs="宋体"/>
                <w:b/>
                <w:bCs/>
                <w:color w:val="1F2329"/>
                <w:kern w:val="0"/>
                <w:sz w:val="21"/>
                <w:szCs w:val="21"/>
                <w:highlight w:val="none"/>
                <w:lang w:val="en-US" w:eastAsia="zh-CN" w:bidi="ar"/>
              </w:rPr>
              <w:t>理化指标</w:t>
            </w:r>
            <w:r>
              <w:rPr>
                <w:rFonts w:ascii="宋体" w:hAnsi="宋体" w:eastAsia="宋体" w:cs="宋体"/>
                <w:color w:val="1F2329"/>
                <w:kern w:val="0"/>
                <w:sz w:val="21"/>
                <w:szCs w:val="21"/>
                <w:highlight w:val="none"/>
                <w:lang w:val="en-US" w:eastAsia="zh-CN" w:bidi="ar"/>
              </w:rPr>
              <w:t>：清洁医用织物 pH 值</w:t>
            </w:r>
            <w:r>
              <w:rPr>
                <w:rStyle w:val="33"/>
                <w:rFonts w:ascii="宋体" w:hAnsi="宋体" w:eastAsia="宋体" w:cs="宋体"/>
                <w:b/>
                <w:bCs/>
                <w:color w:val="1F2329"/>
                <w:kern w:val="0"/>
                <w:sz w:val="21"/>
                <w:szCs w:val="21"/>
                <w:highlight w:val="none"/>
                <w:lang w:val="en-US" w:eastAsia="zh-CN" w:bidi="ar"/>
              </w:rPr>
              <w:t>6.5～7.5</w:t>
            </w:r>
            <w:r>
              <w:rPr>
                <w:rFonts w:ascii="宋体" w:hAnsi="宋体" w:eastAsia="宋体" w:cs="宋体"/>
                <w:color w:val="1F2329"/>
                <w:kern w:val="0"/>
                <w:sz w:val="21"/>
                <w:szCs w:val="21"/>
                <w:highlight w:val="none"/>
                <w:lang w:val="en-US" w:eastAsia="zh-CN" w:bidi="ar"/>
              </w:rPr>
              <w:t>。</w:t>
            </w:r>
          </w:p>
          <w:p w14:paraId="6A3B719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（4）</w:t>
            </w:r>
            <w:r>
              <w:rPr>
                <w:rStyle w:val="33"/>
                <w:rFonts w:ascii="宋体" w:hAnsi="宋体" w:eastAsia="宋体" w:cs="宋体"/>
                <w:b/>
                <w:bCs/>
                <w:color w:val="1F2329"/>
                <w:kern w:val="0"/>
                <w:sz w:val="21"/>
                <w:szCs w:val="21"/>
                <w:highlight w:val="none"/>
                <w:lang w:val="en-US" w:eastAsia="zh-CN" w:bidi="ar"/>
              </w:rPr>
              <w:t>微生物指标</w:t>
            </w:r>
            <w:r>
              <w:rPr>
                <w:rFonts w:ascii="宋体" w:hAnsi="宋体" w:eastAsia="宋体" w:cs="宋体"/>
                <w:color w:val="1F2329"/>
                <w:kern w:val="0"/>
                <w:sz w:val="21"/>
                <w:szCs w:val="21"/>
                <w:highlight w:val="none"/>
                <w:lang w:val="en-US" w:eastAsia="zh-CN" w:bidi="ar"/>
              </w:rPr>
              <w:t>：细菌菌落总数≤</w:t>
            </w:r>
            <w:r>
              <w:rPr>
                <w:rStyle w:val="33"/>
                <w:rFonts w:ascii="宋体" w:hAnsi="宋体" w:eastAsia="宋体" w:cs="宋体"/>
                <w:b/>
                <w:bCs/>
                <w:color w:val="1F2329"/>
                <w:kern w:val="0"/>
                <w:sz w:val="21"/>
                <w:szCs w:val="21"/>
                <w:highlight w:val="none"/>
                <w:lang w:val="en-US" w:eastAsia="zh-CN" w:bidi="ar"/>
              </w:rPr>
              <w:t>200cfu/100cm²</w:t>
            </w:r>
            <w:r>
              <w:rPr>
                <w:rFonts w:ascii="宋体" w:hAnsi="宋体" w:eastAsia="宋体" w:cs="宋体"/>
                <w:color w:val="1F2329"/>
                <w:kern w:val="0"/>
                <w:sz w:val="21"/>
                <w:szCs w:val="21"/>
                <w:highlight w:val="none"/>
                <w:lang w:val="en-US" w:eastAsia="zh-CN" w:bidi="ar"/>
              </w:rPr>
              <w:t>；不得检出大肠菌群、金黄色葡萄球菌、铜绿假单胞菌及其他致病性微生物。</w:t>
            </w:r>
          </w:p>
          <w:p w14:paraId="36424B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Fonts w:hint="eastAsia" w:ascii="宋体" w:hAnsi="宋体" w:eastAsia="宋体" w:cs="宋体"/>
                <w:b/>
                <w:bCs/>
                <w:sz w:val="21"/>
                <w:szCs w:val="21"/>
                <w:highlight w:val="none"/>
                <w:lang w:val="en-US" w:eastAsia="zh-CN"/>
              </w:rPr>
              <w:t>2.</w:t>
            </w:r>
            <w:r>
              <w:rPr>
                <w:rStyle w:val="33"/>
                <w:rFonts w:ascii="宋体" w:hAnsi="宋体" w:eastAsia="宋体" w:cs="宋体"/>
                <w:b/>
                <w:bCs/>
                <w:color w:val="1F2329"/>
                <w:kern w:val="0"/>
                <w:sz w:val="21"/>
                <w:szCs w:val="21"/>
                <w:highlight w:val="none"/>
                <w:lang w:val="en-US" w:eastAsia="zh-CN" w:bidi="ar"/>
              </w:rPr>
              <w:t>验收主体</w:t>
            </w:r>
          </w:p>
          <w:p w14:paraId="7768A6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成立</w:t>
            </w:r>
            <w:r>
              <w:rPr>
                <w:rStyle w:val="33"/>
                <w:rFonts w:ascii="宋体" w:hAnsi="宋体" w:eastAsia="宋体" w:cs="宋体"/>
                <w:b/>
                <w:bCs/>
                <w:color w:val="1F2329"/>
                <w:kern w:val="0"/>
                <w:sz w:val="21"/>
                <w:szCs w:val="21"/>
                <w:highlight w:val="none"/>
                <w:lang w:val="en-US" w:eastAsia="zh-CN" w:bidi="ar"/>
              </w:rPr>
              <w:t>医用织物洗涤服务验收小组</w:t>
            </w:r>
            <w:r>
              <w:rPr>
                <w:rFonts w:ascii="宋体" w:hAnsi="宋体" w:eastAsia="宋体" w:cs="宋体"/>
                <w:color w:val="1F2329"/>
                <w:kern w:val="0"/>
                <w:sz w:val="21"/>
                <w:szCs w:val="21"/>
                <w:highlight w:val="none"/>
                <w:lang w:val="en-US" w:eastAsia="zh-CN" w:bidi="ar"/>
              </w:rPr>
              <w:t>，由采购人</w:t>
            </w:r>
            <w:r>
              <w:rPr>
                <w:rStyle w:val="33"/>
                <w:rFonts w:ascii="宋体" w:hAnsi="宋体" w:eastAsia="宋体" w:cs="宋体"/>
                <w:b/>
                <w:bCs/>
                <w:color w:val="1F2329"/>
                <w:kern w:val="0"/>
                <w:sz w:val="21"/>
                <w:szCs w:val="21"/>
                <w:highlight w:val="none"/>
                <w:lang w:val="en-US" w:eastAsia="zh-CN" w:bidi="ar"/>
              </w:rPr>
              <w:t>总务科、院感管理科、护理部、使用科室代表</w:t>
            </w:r>
            <w:r>
              <w:rPr>
                <w:rFonts w:ascii="宋体" w:hAnsi="宋体" w:eastAsia="宋体" w:cs="宋体"/>
                <w:color w:val="1F2329"/>
                <w:kern w:val="0"/>
                <w:sz w:val="21"/>
                <w:szCs w:val="21"/>
                <w:highlight w:val="none"/>
                <w:lang w:val="en-US" w:eastAsia="zh-CN" w:bidi="ar"/>
              </w:rPr>
              <w:t>共同组成，</w:t>
            </w:r>
            <w:r>
              <w:rPr>
                <w:rStyle w:val="33"/>
                <w:rFonts w:ascii="宋体" w:hAnsi="宋体" w:eastAsia="宋体" w:cs="宋体"/>
                <w:b/>
                <w:bCs/>
                <w:color w:val="1F2329"/>
                <w:kern w:val="0"/>
                <w:sz w:val="21"/>
                <w:szCs w:val="21"/>
                <w:highlight w:val="none"/>
                <w:lang w:val="en-US" w:eastAsia="zh-CN" w:bidi="ar"/>
              </w:rPr>
              <w:t>院感管理科为质量核心判定主体</w:t>
            </w:r>
            <w:r>
              <w:rPr>
                <w:rFonts w:ascii="宋体" w:hAnsi="宋体" w:eastAsia="宋体" w:cs="宋体"/>
                <w:color w:val="1F2329"/>
                <w:kern w:val="0"/>
                <w:sz w:val="21"/>
                <w:szCs w:val="21"/>
                <w:highlight w:val="none"/>
                <w:lang w:val="en-US" w:eastAsia="zh-CN" w:bidi="ar"/>
              </w:rPr>
              <w:t>。</w:t>
            </w:r>
          </w:p>
          <w:p w14:paraId="56A4668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3.</w:t>
            </w:r>
            <w:r>
              <w:rPr>
                <w:rStyle w:val="33"/>
                <w:rFonts w:ascii="宋体" w:hAnsi="宋体" w:eastAsia="宋体" w:cs="宋体"/>
                <w:b/>
                <w:bCs/>
                <w:color w:val="1F2329"/>
                <w:kern w:val="0"/>
                <w:sz w:val="21"/>
                <w:szCs w:val="21"/>
                <w:highlight w:val="none"/>
                <w:lang w:val="en-US" w:eastAsia="zh-CN" w:bidi="ar"/>
              </w:rPr>
              <w:t>验收频次</w:t>
            </w:r>
          </w:p>
          <w:p w14:paraId="1032B6F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（1）</w:t>
            </w:r>
            <w:r>
              <w:rPr>
                <w:rStyle w:val="33"/>
                <w:rFonts w:ascii="宋体" w:hAnsi="宋体" w:eastAsia="宋体" w:cs="宋体"/>
                <w:b/>
                <w:bCs/>
                <w:color w:val="1F2329"/>
                <w:kern w:val="0"/>
                <w:sz w:val="21"/>
                <w:szCs w:val="21"/>
                <w:highlight w:val="none"/>
                <w:lang w:val="en-US" w:eastAsia="zh-CN" w:bidi="ar"/>
              </w:rPr>
              <w:t>批次验收</w:t>
            </w:r>
            <w:r>
              <w:rPr>
                <w:rFonts w:ascii="宋体" w:hAnsi="宋体" w:eastAsia="宋体" w:cs="宋体"/>
                <w:color w:val="1F2329"/>
                <w:kern w:val="0"/>
                <w:sz w:val="21"/>
                <w:szCs w:val="21"/>
                <w:highlight w:val="none"/>
                <w:lang w:val="en-US" w:eastAsia="zh-CN" w:bidi="ar"/>
              </w:rPr>
              <w:t>：每日清洁医用织物送达时，逐批次现场验收；</w:t>
            </w:r>
          </w:p>
          <w:p w14:paraId="6EDC4AF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（2）</w:t>
            </w:r>
            <w:r>
              <w:rPr>
                <w:rStyle w:val="33"/>
                <w:rFonts w:ascii="宋体" w:hAnsi="宋体" w:eastAsia="宋体" w:cs="宋体"/>
                <w:b/>
                <w:bCs/>
                <w:color w:val="1F2329"/>
                <w:kern w:val="0"/>
                <w:sz w:val="21"/>
                <w:szCs w:val="21"/>
                <w:highlight w:val="none"/>
                <w:lang w:val="en-US" w:eastAsia="zh-CN" w:bidi="ar"/>
              </w:rPr>
              <w:t>月度验收</w:t>
            </w:r>
            <w:r>
              <w:rPr>
                <w:rFonts w:ascii="宋体" w:hAnsi="宋体" w:eastAsia="宋体" w:cs="宋体"/>
                <w:color w:val="1F2329"/>
                <w:kern w:val="0"/>
                <w:sz w:val="21"/>
                <w:szCs w:val="21"/>
                <w:highlight w:val="none"/>
                <w:lang w:val="en-US" w:eastAsia="zh-CN" w:bidi="ar"/>
              </w:rPr>
              <w:t>：每月底组织 1 次全院全面质量验收与考核；</w:t>
            </w:r>
          </w:p>
          <w:p w14:paraId="54AC5A2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（3）</w:t>
            </w:r>
            <w:r>
              <w:rPr>
                <w:rStyle w:val="33"/>
                <w:rFonts w:hint="eastAsia" w:ascii="宋体" w:hAnsi="宋体" w:cs="宋体"/>
                <w:b/>
                <w:bCs/>
                <w:color w:val="1F2329"/>
                <w:kern w:val="0"/>
                <w:sz w:val="21"/>
                <w:szCs w:val="21"/>
                <w:highlight w:val="none"/>
                <w:lang w:val="en-US" w:eastAsia="zh-CN" w:bidi="ar"/>
              </w:rPr>
              <w:t>半年度</w:t>
            </w:r>
            <w:r>
              <w:rPr>
                <w:rStyle w:val="33"/>
                <w:rFonts w:ascii="宋体" w:hAnsi="宋体" w:eastAsia="宋体" w:cs="宋体"/>
                <w:b/>
                <w:bCs/>
                <w:color w:val="1F2329"/>
                <w:kern w:val="0"/>
                <w:sz w:val="21"/>
                <w:szCs w:val="21"/>
                <w:highlight w:val="none"/>
                <w:lang w:val="en-US" w:eastAsia="zh-CN" w:bidi="ar"/>
              </w:rPr>
              <w:t>检测</w:t>
            </w:r>
            <w:r>
              <w:rPr>
                <w:rFonts w:ascii="宋体" w:hAnsi="宋体" w:eastAsia="宋体" w:cs="宋体"/>
                <w:color w:val="1F2329"/>
                <w:kern w:val="0"/>
                <w:sz w:val="21"/>
                <w:szCs w:val="21"/>
                <w:highlight w:val="none"/>
                <w:lang w:val="en-US" w:eastAsia="zh-CN" w:bidi="ar"/>
              </w:rPr>
              <w:t>：每</w:t>
            </w:r>
            <w:r>
              <w:rPr>
                <w:rFonts w:hint="eastAsia" w:ascii="宋体" w:hAnsi="宋体" w:cs="宋体"/>
                <w:color w:val="1F2329"/>
                <w:kern w:val="0"/>
                <w:sz w:val="21"/>
                <w:szCs w:val="21"/>
                <w:highlight w:val="none"/>
                <w:lang w:val="en-US" w:eastAsia="zh-CN" w:bidi="ar"/>
              </w:rPr>
              <w:t>半年</w:t>
            </w:r>
            <w:r>
              <w:rPr>
                <w:rFonts w:ascii="宋体" w:hAnsi="宋体" w:eastAsia="宋体" w:cs="宋体"/>
                <w:color w:val="1F2329"/>
                <w:kern w:val="0"/>
                <w:sz w:val="21"/>
                <w:szCs w:val="21"/>
                <w:highlight w:val="none"/>
                <w:lang w:val="en-US" w:eastAsia="zh-CN" w:bidi="ar"/>
              </w:rPr>
              <w:t>由成交人委托疾病预防控制中心开展</w:t>
            </w:r>
            <w:r>
              <w:rPr>
                <w:rStyle w:val="33"/>
                <w:rFonts w:ascii="宋体" w:hAnsi="宋体" w:eastAsia="宋体" w:cs="宋体"/>
                <w:b/>
                <w:bCs/>
                <w:color w:val="1F2329"/>
                <w:kern w:val="0"/>
                <w:sz w:val="21"/>
                <w:szCs w:val="21"/>
                <w:highlight w:val="none"/>
                <w:lang w:val="en-US" w:eastAsia="zh-CN" w:bidi="ar"/>
              </w:rPr>
              <w:t>第三方专业检测</w:t>
            </w:r>
            <w:r>
              <w:rPr>
                <w:rFonts w:ascii="宋体" w:hAnsi="宋体" w:eastAsia="宋体" w:cs="宋体"/>
                <w:color w:val="1F2329"/>
                <w:kern w:val="0"/>
                <w:sz w:val="21"/>
                <w:szCs w:val="21"/>
                <w:highlight w:val="none"/>
                <w:lang w:val="en-US" w:eastAsia="zh-CN" w:bidi="ar"/>
              </w:rPr>
              <w:t>1 次；</w:t>
            </w:r>
          </w:p>
          <w:p w14:paraId="20D4244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（4）</w:t>
            </w:r>
            <w:r>
              <w:rPr>
                <w:rStyle w:val="33"/>
                <w:rFonts w:ascii="宋体" w:hAnsi="宋体" w:eastAsia="宋体" w:cs="宋体"/>
                <w:b/>
                <w:bCs/>
                <w:color w:val="1F2329"/>
                <w:kern w:val="0"/>
                <w:sz w:val="21"/>
                <w:szCs w:val="21"/>
                <w:highlight w:val="none"/>
                <w:lang w:val="en-US" w:eastAsia="zh-CN" w:bidi="ar"/>
              </w:rPr>
              <w:t>年度总验收</w:t>
            </w:r>
            <w:r>
              <w:rPr>
                <w:rFonts w:ascii="宋体" w:hAnsi="宋体" w:eastAsia="宋体" w:cs="宋体"/>
                <w:color w:val="1F2329"/>
                <w:kern w:val="0"/>
                <w:sz w:val="21"/>
                <w:szCs w:val="21"/>
                <w:highlight w:val="none"/>
                <w:lang w:val="en-US" w:eastAsia="zh-CN" w:bidi="ar"/>
              </w:rPr>
              <w:t>：合同履行期满，开展年度履约总验收。</w:t>
            </w:r>
          </w:p>
          <w:p w14:paraId="4A17A2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Fonts w:hint="eastAsia" w:ascii="宋体" w:hAnsi="宋体" w:eastAsia="宋体" w:cs="宋体"/>
                <w:sz w:val="21"/>
                <w:szCs w:val="21"/>
                <w:highlight w:val="none"/>
                <w:lang w:val="en-US" w:eastAsia="zh-CN"/>
              </w:rPr>
              <w:t>4.</w:t>
            </w:r>
            <w:r>
              <w:rPr>
                <w:rStyle w:val="33"/>
                <w:rFonts w:ascii="宋体" w:hAnsi="宋体" w:eastAsia="宋体" w:cs="宋体"/>
                <w:b/>
                <w:bCs/>
                <w:color w:val="1F2329"/>
                <w:kern w:val="0"/>
                <w:sz w:val="21"/>
                <w:szCs w:val="21"/>
                <w:highlight w:val="none"/>
                <w:lang w:val="en-US" w:eastAsia="zh-CN" w:bidi="ar"/>
              </w:rPr>
              <w:t>抽样规则</w:t>
            </w:r>
          </w:p>
          <w:p w14:paraId="1EF67F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（1）批次验收：每批次随机抽样≥</w:t>
            </w:r>
            <w:r>
              <w:rPr>
                <w:rStyle w:val="33"/>
                <w:rFonts w:ascii="宋体" w:hAnsi="宋体" w:eastAsia="宋体" w:cs="宋体"/>
                <w:b/>
                <w:bCs/>
                <w:color w:val="1F2329"/>
                <w:kern w:val="0"/>
                <w:sz w:val="21"/>
                <w:szCs w:val="21"/>
                <w:highlight w:val="none"/>
                <w:lang w:val="en-US" w:eastAsia="zh-CN" w:bidi="ar"/>
              </w:rPr>
              <w:t>10%</w:t>
            </w:r>
            <w:r>
              <w:rPr>
                <w:rFonts w:ascii="宋体" w:hAnsi="宋体" w:eastAsia="宋体" w:cs="宋体"/>
                <w:color w:val="1F2329"/>
                <w:kern w:val="0"/>
                <w:sz w:val="21"/>
                <w:szCs w:val="21"/>
                <w:highlight w:val="none"/>
                <w:lang w:val="en-US" w:eastAsia="zh-CN" w:bidi="ar"/>
              </w:rPr>
              <w:t>，且最低抽样≥</w:t>
            </w:r>
            <w:r>
              <w:rPr>
                <w:rStyle w:val="33"/>
                <w:rFonts w:ascii="宋体" w:hAnsi="宋体" w:eastAsia="宋体" w:cs="宋体"/>
                <w:b/>
                <w:bCs/>
                <w:color w:val="1F2329"/>
                <w:kern w:val="0"/>
                <w:sz w:val="21"/>
                <w:szCs w:val="21"/>
                <w:highlight w:val="none"/>
                <w:lang w:val="en-US" w:eastAsia="zh-CN" w:bidi="ar"/>
              </w:rPr>
              <w:t>5 件</w:t>
            </w:r>
            <w:r>
              <w:rPr>
                <w:rFonts w:ascii="宋体" w:hAnsi="宋体" w:eastAsia="宋体" w:cs="宋体"/>
                <w:color w:val="1F2329"/>
                <w:kern w:val="0"/>
                <w:sz w:val="21"/>
                <w:szCs w:val="21"/>
                <w:highlight w:val="none"/>
                <w:lang w:val="en-US" w:eastAsia="zh-CN" w:bidi="ar"/>
              </w:rPr>
              <w:t>；</w:t>
            </w:r>
          </w:p>
          <w:p w14:paraId="418A96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（2）月度验收：覆盖所有使用科室，随机抽样≥</w:t>
            </w:r>
            <w:r>
              <w:rPr>
                <w:rStyle w:val="33"/>
                <w:rFonts w:ascii="宋体" w:hAnsi="宋体" w:eastAsia="宋体" w:cs="宋体"/>
                <w:b/>
                <w:bCs/>
                <w:color w:val="1F2329"/>
                <w:kern w:val="0"/>
                <w:sz w:val="21"/>
                <w:szCs w:val="21"/>
                <w:highlight w:val="none"/>
                <w:lang w:val="en-US" w:eastAsia="zh-CN" w:bidi="ar"/>
              </w:rPr>
              <w:t>20%</w:t>
            </w:r>
            <w:r>
              <w:rPr>
                <w:rFonts w:ascii="宋体" w:hAnsi="宋体" w:eastAsia="宋体" w:cs="宋体"/>
                <w:color w:val="1F2329"/>
                <w:kern w:val="0"/>
                <w:sz w:val="21"/>
                <w:szCs w:val="21"/>
                <w:highlight w:val="none"/>
                <w:lang w:val="en-US" w:eastAsia="zh-CN" w:bidi="ar"/>
              </w:rPr>
              <w:t>，且最低抽样≥</w:t>
            </w:r>
            <w:r>
              <w:rPr>
                <w:rStyle w:val="33"/>
                <w:rFonts w:ascii="宋体" w:hAnsi="宋体" w:eastAsia="宋体" w:cs="宋体"/>
                <w:b/>
                <w:bCs/>
                <w:color w:val="1F2329"/>
                <w:kern w:val="0"/>
                <w:sz w:val="21"/>
                <w:szCs w:val="21"/>
                <w:highlight w:val="none"/>
                <w:lang w:val="en-US" w:eastAsia="zh-CN" w:bidi="ar"/>
              </w:rPr>
              <w:t>20 件</w:t>
            </w:r>
            <w:r>
              <w:rPr>
                <w:rFonts w:ascii="宋体" w:hAnsi="宋体" w:eastAsia="宋体" w:cs="宋体"/>
                <w:color w:val="1F2329"/>
                <w:kern w:val="0"/>
                <w:sz w:val="21"/>
                <w:szCs w:val="21"/>
                <w:highlight w:val="none"/>
                <w:lang w:val="en-US" w:eastAsia="zh-CN" w:bidi="ar"/>
              </w:rPr>
              <w:t>；</w:t>
            </w:r>
          </w:p>
          <w:p w14:paraId="120D76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（3）</w:t>
            </w:r>
            <w:r>
              <w:rPr>
                <w:rFonts w:hint="eastAsia" w:ascii="宋体" w:hAnsi="宋体" w:cs="宋体"/>
                <w:color w:val="1F2329"/>
                <w:kern w:val="0"/>
                <w:sz w:val="21"/>
                <w:szCs w:val="21"/>
                <w:highlight w:val="none"/>
                <w:lang w:val="en-US" w:eastAsia="zh-CN" w:bidi="ar"/>
              </w:rPr>
              <w:t>半年度</w:t>
            </w:r>
            <w:r>
              <w:rPr>
                <w:rFonts w:ascii="宋体" w:hAnsi="宋体" w:eastAsia="宋体" w:cs="宋体"/>
                <w:color w:val="1F2329"/>
                <w:kern w:val="0"/>
                <w:sz w:val="21"/>
                <w:szCs w:val="21"/>
                <w:highlight w:val="none"/>
                <w:lang w:val="en-US" w:eastAsia="zh-CN" w:bidi="ar"/>
              </w:rPr>
              <w:t>第三方检测：严格按照 WS/T 508-2016 规范抽样，出具正式检测报告。</w:t>
            </w:r>
          </w:p>
          <w:p w14:paraId="42ECCC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w:t>
            </w:r>
            <w:r>
              <w:rPr>
                <w:rStyle w:val="33"/>
                <w:rFonts w:ascii="宋体" w:hAnsi="宋体" w:eastAsia="宋体" w:cs="宋体"/>
                <w:b/>
                <w:bCs/>
                <w:color w:val="1F2329"/>
                <w:kern w:val="0"/>
                <w:sz w:val="21"/>
                <w:szCs w:val="21"/>
                <w:highlight w:val="none"/>
                <w:lang w:val="en-US" w:eastAsia="zh-CN" w:bidi="ar"/>
              </w:rPr>
              <w:t>验收判定</w:t>
            </w:r>
          </w:p>
          <w:p w14:paraId="0C41BC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cs="宋体"/>
                <w:color w:val="1F2329"/>
                <w:sz w:val="21"/>
                <w:szCs w:val="21"/>
                <w:highlight w:val="none"/>
              </w:rPr>
            </w:pPr>
            <w:r>
              <w:rPr>
                <w:rFonts w:ascii="宋体" w:hAnsi="宋体" w:eastAsia="宋体" w:cs="宋体"/>
                <w:color w:val="1F2329"/>
                <w:kern w:val="0"/>
                <w:sz w:val="21"/>
                <w:szCs w:val="21"/>
                <w:highlight w:val="none"/>
                <w:lang w:val="en-US" w:eastAsia="zh-CN" w:bidi="ar"/>
              </w:rPr>
              <w:t>同时满足</w:t>
            </w:r>
            <w:r>
              <w:rPr>
                <w:rStyle w:val="33"/>
                <w:rFonts w:ascii="宋体" w:hAnsi="宋体" w:eastAsia="宋体" w:cs="宋体"/>
                <w:b/>
                <w:bCs/>
                <w:color w:val="1F2329"/>
                <w:kern w:val="0"/>
                <w:sz w:val="21"/>
                <w:szCs w:val="21"/>
                <w:highlight w:val="none"/>
                <w:lang w:val="en-US" w:eastAsia="zh-CN" w:bidi="ar"/>
              </w:rPr>
              <w:t>感官指标、pH 值、微生物指标</w:t>
            </w:r>
            <w:r>
              <w:rPr>
                <w:rFonts w:ascii="宋体" w:hAnsi="宋体" w:eastAsia="宋体" w:cs="宋体"/>
                <w:color w:val="1F2329"/>
                <w:kern w:val="0"/>
                <w:sz w:val="21"/>
                <w:szCs w:val="21"/>
                <w:highlight w:val="none"/>
                <w:lang w:val="en-US" w:eastAsia="zh-CN" w:bidi="ar"/>
              </w:rPr>
              <w:t>三项要求为合格；任一项不达标，判定该批次</w:t>
            </w:r>
            <w:r>
              <w:rPr>
                <w:rStyle w:val="33"/>
                <w:rFonts w:ascii="宋体" w:hAnsi="宋体" w:eastAsia="宋体" w:cs="宋体"/>
                <w:b/>
                <w:bCs/>
                <w:color w:val="1F2329"/>
                <w:kern w:val="0"/>
                <w:sz w:val="21"/>
                <w:szCs w:val="21"/>
                <w:highlight w:val="none"/>
                <w:lang w:val="en-US" w:eastAsia="zh-CN" w:bidi="ar"/>
              </w:rPr>
              <w:t>验收不合格</w:t>
            </w:r>
            <w:r>
              <w:rPr>
                <w:rFonts w:ascii="宋体" w:hAnsi="宋体" w:eastAsia="宋体" w:cs="宋体"/>
                <w:color w:val="1F2329"/>
                <w:kern w:val="0"/>
                <w:sz w:val="21"/>
                <w:szCs w:val="21"/>
                <w:highlight w:val="none"/>
                <w:lang w:val="en-US" w:eastAsia="zh-CN" w:bidi="ar"/>
              </w:rPr>
              <w:t>。</w:t>
            </w:r>
          </w:p>
          <w:p w14:paraId="72CD484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33"/>
                <w:rFonts w:ascii="宋体" w:hAnsi="宋体" w:eastAsia="宋体" w:cs="宋体"/>
                <w:b/>
                <w:bCs/>
                <w:color w:val="1F2329"/>
                <w:kern w:val="0"/>
                <w:sz w:val="21"/>
                <w:szCs w:val="21"/>
                <w:highlight w:val="none"/>
                <w:lang w:val="en-US" w:eastAsia="zh-CN" w:bidi="ar"/>
              </w:rPr>
            </w:pPr>
            <w:r>
              <w:rPr>
                <w:rStyle w:val="33"/>
                <w:rFonts w:hint="eastAsia" w:ascii="宋体" w:hAnsi="宋体" w:eastAsia="宋体" w:cs="宋体"/>
                <w:b/>
                <w:bCs/>
                <w:color w:val="1F2329"/>
                <w:kern w:val="0"/>
                <w:sz w:val="21"/>
                <w:szCs w:val="21"/>
                <w:highlight w:val="none"/>
                <w:lang w:val="en-US" w:eastAsia="zh-CN" w:bidi="ar"/>
              </w:rPr>
              <w:t>6.</w:t>
            </w:r>
            <w:r>
              <w:rPr>
                <w:rStyle w:val="33"/>
                <w:rFonts w:ascii="宋体" w:hAnsi="宋体" w:eastAsia="宋体" w:cs="宋体"/>
                <w:b/>
                <w:bCs/>
                <w:color w:val="1F2329"/>
                <w:kern w:val="0"/>
                <w:sz w:val="21"/>
                <w:szCs w:val="21"/>
                <w:highlight w:val="none"/>
                <w:lang w:val="en-US" w:eastAsia="zh-CN" w:bidi="ar"/>
              </w:rPr>
              <w:t>不合格处置（阶梯式处置）</w:t>
            </w:r>
          </w:p>
          <w:p w14:paraId="7343718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（1）首次不合格：成交人</w:t>
            </w:r>
            <w:r>
              <w:rPr>
                <w:rStyle w:val="33"/>
                <w:rFonts w:ascii="宋体" w:hAnsi="宋体" w:eastAsia="宋体" w:cs="宋体"/>
                <w:b/>
                <w:bCs/>
                <w:color w:val="1F2329"/>
                <w:kern w:val="0"/>
                <w:sz w:val="21"/>
                <w:szCs w:val="21"/>
                <w:highlight w:val="none"/>
                <w:lang w:val="en-US" w:eastAsia="zh-CN" w:bidi="ar"/>
              </w:rPr>
              <w:t>24 小时内免费返工重洗</w:t>
            </w:r>
            <w:r>
              <w:rPr>
                <w:rFonts w:ascii="宋体" w:hAnsi="宋体" w:eastAsia="宋体" w:cs="宋体"/>
                <w:color w:val="1F2329"/>
                <w:kern w:val="0"/>
                <w:sz w:val="21"/>
                <w:szCs w:val="21"/>
                <w:highlight w:val="none"/>
                <w:lang w:val="en-US" w:eastAsia="zh-CN" w:bidi="ar"/>
              </w:rPr>
              <w:t>，返工后重新验收；</w:t>
            </w:r>
          </w:p>
          <w:p w14:paraId="38F4989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（2）返工仍不合格：扣罚该批次对应服务费，暂停该批次费用支付；</w:t>
            </w:r>
          </w:p>
          <w:p w14:paraId="6E7219F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（3）月度累计 3 批次不合格：扣罚当月服务费</w:t>
            </w:r>
            <w:r>
              <w:rPr>
                <w:rStyle w:val="33"/>
                <w:rFonts w:ascii="宋体" w:hAnsi="宋体" w:eastAsia="宋体" w:cs="宋体"/>
                <w:b/>
                <w:bCs/>
                <w:color w:val="1F2329"/>
                <w:kern w:val="0"/>
                <w:sz w:val="21"/>
                <w:szCs w:val="21"/>
                <w:highlight w:val="none"/>
                <w:lang w:val="en-US" w:eastAsia="zh-CN" w:bidi="ar"/>
              </w:rPr>
              <w:t>10%</w:t>
            </w:r>
            <w:r>
              <w:rPr>
                <w:rFonts w:ascii="宋体" w:hAnsi="宋体" w:eastAsia="宋体" w:cs="宋体"/>
                <w:color w:val="1F2329"/>
                <w:kern w:val="0"/>
                <w:sz w:val="21"/>
                <w:szCs w:val="21"/>
                <w:highlight w:val="none"/>
                <w:lang w:val="en-US" w:eastAsia="zh-CN" w:bidi="ar"/>
              </w:rPr>
              <w:t>，限期 7 天完成整改；</w:t>
            </w:r>
          </w:p>
          <w:p w14:paraId="5FD355E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ascii="宋体" w:hAnsi="宋体" w:eastAsia="宋体" w:cs="宋体"/>
                <w:color w:val="1F2329"/>
                <w:kern w:val="0"/>
                <w:sz w:val="21"/>
                <w:szCs w:val="21"/>
                <w:highlight w:val="none"/>
                <w:lang w:val="en-US" w:eastAsia="zh-CN" w:bidi="ar"/>
              </w:rPr>
            </w:pPr>
            <w:r>
              <w:rPr>
                <w:rFonts w:ascii="宋体" w:hAnsi="宋体" w:eastAsia="宋体" w:cs="宋体"/>
                <w:color w:val="1F2329"/>
                <w:kern w:val="0"/>
                <w:sz w:val="21"/>
                <w:szCs w:val="21"/>
                <w:highlight w:val="none"/>
                <w:lang w:val="en-US" w:eastAsia="zh-CN" w:bidi="ar"/>
              </w:rPr>
              <w:t>（4）</w:t>
            </w:r>
            <w:r>
              <w:rPr>
                <w:rFonts w:hint="eastAsia" w:ascii="宋体" w:hAnsi="宋体" w:cs="宋体"/>
                <w:color w:val="1F2329"/>
                <w:kern w:val="0"/>
                <w:sz w:val="21"/>
                <w:szCs w:val="21"/>
                <w:highlight w:val="none"/>
                <w:lang w:val="en-US" w:eastAsia="zh-CN" w:bidi="ar"/>
              </w:rPr>
              <w:t>半年</w:t>
            </w:r>
            <w:r>
              <w:rPr>
                <w:rFonts w:ascii="宋体" w:hAnsi="宋体" w:eastAsia="宋体" w:cs="宋体"/>
                <w:color w:val="1F2329"/>
                <w:kern w:val="0"/>
                <w:sz w:val="21"/>
                <w:szCs w:val="21"/>
                <w:highlight w:val="none"/>
                <w:lang w:val="en-US" w:eastAsia="zh-CN" w:bidi="ar"/>
              </w:rPr>
              <w:t>第三方检测不合格：扣罚当季服务费</w:t>
            </w:r>
            <w:r>
              <w:rPr>
                <w:rStyle w:val="33"/>
                <w:rFonts w:ascii="宋体" w:hAnsi="宋体" w:eastAsia="宋体" w:cs="宋体"/>
                <w:b/>
                <w:bCs/>
                <w:color w:val="1F2329"/>
                <w:kern w:val="0"/>
                <w:sz w:val="21"/>
                <w:szCs w:val="21"/>
                <w:highlight w:val="none"/>
                <w:lang w:val="en-US" w:eastAsia="zh-CN" w:bidi="ar"/>
              </w:rPr>
              <w:t>20%</w:t>
            </w:r>
            <w:r>
              <w:rPr>
                <w:rFonts w:ascii="宋体" w:hAnsi="宋体" w:eastAsia="宋体" w:cs="宋体"/>
                <w:color w:val="1F2329"/>
                <w:kern w:val="0"/>
                <w:sz w:val="21"/>
                <w:szCs w:val="21"/>
                <w:highlight w:val="none"/>
                <w:lang w:val="en-US" w:eastAsia="zh-CN" w:bidi="ar"/>
              </w:rPr>
              <w:t>，暂停全部费用支付，限期 15 天整改；</w:t>
            </w:r>
          </w:p>
          <w:p w14:paraId="28B6F00F">
            <w:pPr>
              <w:widowControl/>
              <w:numPr>
                <w:ilvl w:val="0"/>
                <w:numId w:val="0"/>
              </w:numPr>
              <w:pBdr>
                <w:top w:val="none" w:color="auto" w:sz="0" w:space="0"/>
                <w:left w:val="none" w:color="auto" w:sz="0" w:space="0"/>
                <w:bottom w:val="none" w:color="auto" w:sz="0" w:space="0"/>
                <w:right w:val="none" w:color="auto" w:sz="0" w:space="0"/>
              </w:pBdr>
              <w:spacing w:line="360" w:lineRule="auto"/>
              <w:jc w:val="left"/>
              <w:rPr>
                <w:rFonts w:hint="eastAsia" w:ascii="宋体" w:hAnsi="宋体" w:eastAsia="宋体" w:cs="宋体"/>
                <w:sz w:val="21"/>
                <w:szCs w:val="21"/>
                <w:highlight w:val="none"/>
              </w:rPr>
            </w:pPr>
            <w:r>
              <w:rPr>
                <w:rFonts w:ascii="宋体" w:hAnsi="宋体" w:eastAsia="宋体" w:cs="宋体"/>
                <w:color w:val="1F2329"/>
                <w:kern w:val="0"/>
                <w:sz w:val="21"/>
                <w:szCs w:val="21"/>
                <w:highlight w:val="none"/>
                <w:lang w:val="en-US" w:eastAsia="zh-CN" w:bidi="ar"/>
              </w:rPr>
              <w:t>（5）整改后仍不达标或连续2次第三方检测不合格：采购人有权</w:t>
            </w:r>
            <w:r>
              <w:rPr>
                <w:rStyle w:val="33"/>
                <w:rFonts w:ascii="宋体" w:hAnsi="宋体" w:eastAsia="宋体" w:cs="宋体"/>
                <w:b/>
                <w:bCs/>
                <w:color w:val="1F2329"/>
                <w:kern w:val="0"/>
                <w:sz w:val="21"/>
                <w:szCs w:val="21"/>
                <w:highlight w:val="none"/>
                <w:lang w:val="en-US" w:eastAsia="zh-CN" w:bidi="ar"/>
              </w:rPr>
              <w:t>单方解除合同</w:t>
            </w:r>
            <w:r>
              <w:rPr>
                <w:rFonts w:ascii="宋体" w:hAnsi="宋体" w:eastAsia="宋体" w:cs="宋体"/>
                <w:color w:val="1F2329"/>
                <w:kern w:val="0"/>
                <w:sz w:val="21"/>
                <w:szCs w:val="21"/>
                <w:highlight w:val="none"/>
                <w:lang w:val="en-US" w:eastAsia="zh-CN" w:bidi="ar"/>
              </w:rPr>
              <w:t>，成交人承担全部违约责任及损失。</w:t>
            </w:r>
          </w:p>
        </w:tc>
      </w:tr>
      <w:tr w14:paraId="6948C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194B17FD">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知识产权要求</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07E4BAD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应保证</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人在使用本项目合同项下的标的时免受第三方侵犯其知识产权、商标权的起诉。</w:t>
            </w:r>
          </w:p>
          <w:p w14:paraId="0EF7585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人不对</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提供的标的内容是否侵犯他人的权利负责，如因</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提供的内容引发争议或违法导致</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人受损的，</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应赔偿。</w:t>
            </w:r>
          </w:p>
        </w:tc>
      </w:tr>
      <w:tr w14:paraId="6E552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658FECFA">
            <w:pPr>
              <w:pStyle w:val="74"/>
              <w:spacing w:line="36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报价要求</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43DF2988">
            <w:pPr>
              <w:pStyle w:val="17"/>
              <w:numPr>
                <w:ilvl w:val="0"/>
                <w:numId w:val="0"/>
              </w:numPr>
              <w:adjustRightInd w:val="0"/>
              <w:snapToGrid w:val="0"/>
              <w:spacing w:line="380" w:lineRule="exact"/>
              <w:ind w:firstLine="0" w:firstLineChars="0"/>
              <w:rPr>
                <w:rFonts w:hAnsi="宋体" w:cs="宋体"/>
                <w:b w:val="0"/>
                <w:bCs/>
                <w:sz w:val="21"/>
                <w:highlight w:val="none"/>
              </w:rPr>
            </w:pPr>
            <w:r>
              <w:rPr>
                <w:rFonts w:hint="eastAsia" w:hAnsi="宋体" w:cs="宋体"/>
                <w:b w:val="0"/>
                <w:bCs/>
                <w:sz w:val="21"/>
                <w:highlight w:val="none"/>
                <w:lang w:eastAsia="zh-CN"/>
              </w:rPr>
              <w:t>1</w:t>
            </w:r>
            <w:r>
              <w:rPr>
                <w:rFonts w:hint="eastAsia" w:hAnsi="宋体" w:cs="宋体"/>
                <w:b w:val="0"/>
                <w:bCs/>
                <w:sz w:val="21"/>
                <w:highlight w:val="none"/>
                <w:lang w:val="en-US" w:eastAsia="zh-CN"/>
              </w:rPr>
              <w:t>.</w:t>
            </w:r>
            <w:r>
              <w:rPr>
                <w:rFonts w:hint="eastAsia" w:hAnsi="宋体" w:cs="宋体"/>
                <w:b w:val="0"/>
                <w:bCs/>
                <w:sz w:val="21"/>
                <w:highlight w:val="none"/>
              </w:rPr>
              <w:t>本项目</w:t>
            </w:r>
            <w:r>
              <w:rPr>
                <w:rFonts w:hint="eastAsia" w:hAnsi="宋体" w:cs="宋体"/>
                <w:b w:val="0"/>
                <w:bCs/>
                <w:sz w:val="21"/>
                <w:highlight w:val="none"/>
                <w:lang w:val="en-US" w:eastAsia="zh-CN"/>
              </w:rPr>
              <w:t>磋商</w:t>
            </w:r>
            <w:r>
              <w:rPr>
                <w:rFonts w:hint="eastAsia" w:hAnsi="宋体" w:cs="宋体"/>
                <w:b w:val="0"/>
                <w:bCs/>
                <w:sz w:val="21"/>
                <w:highlight w:val="none"/>
              </w:rPr>
              <w:t>报价采用综合折扣率报价（以%表示，最多精确到小数点后两位）方式。</w:t>
            </w:r>
            <w:r>
              <w:rPr>
                <w:rFonts w:hint="eastAsia" w:hAnsi="宋体" w:cs="宋体"/>
                <w:b w:val="0"/>
                <w:bCs/>
                <w:sz w:val="21"/>
                <w:highlight w:val="none"/>
                <w:lang w:val="en-US" w:eastAsia="zh-CN"/>
              </w:rPr>
              <w:t>供应商</w:t>
            </w:r>
            <w:r>
              <w:rPr>
                <w:rFonts w:hint="eastAsia" w:hAnsi="宋体" w:cs="宋体"/>
                <w:b w:val="0"/>
                <w:bCs/>
                <w:sz w:val="21"/>
                <w:highlight w:val="none"/>
              </w:rPr>
              <w:t>须以第三章“</w:t>
            </w:r>
            <w:r>
              <w:rPr>
                <w:rFonts w:hint="eastAsia" w:hAnsi="宋体" w:cs="宋体"/>
                <w:b w:val="0"/>
                <w:bCs/>
                <w:sz w:val="21"/>
                <w:highlight w:val="none"/>
                <w:lang w:val="en-US" w:eastAsia="zh-CN"/>
              </w:rPr>
              <w:t>采购</w:t>
            </w:r>
            <w:r>
              <w:rPr>
                <w:rFonts w:hint="eastAsia" w:hAnsi="宋体" w:cs="宋体"/>
                <w:b w:val="0"/>
                <w:bCs/>
                <w:sz w:val="21"/>
                <w:highlight w:val="none"/>
              </w:rPr>
              <w:t>需求”附件一“各类医用织物洗涤（含消毒等）单价最高限价明细表”中列明的“单价最高限价”为基数，作相应完整唯一综合折扣率（%）报价。综合折扣率报价最高限价为100%，</w:t>
            </w:r>
            <w:r>
              <w:rPr>
                <w:rFonts w:hint="eastAsia" w:hAnsi="宋体" w:cs="宋体"/>
                <w:b w:val="0"/>
                <w:bCs/>
                <w:sz w:val="21"/>
                <w:highlight w:val="none"/>
                <w:lang w:val="en-US" w:eastAsia="zh-CN"/>
              </w:rPr>
              <w:t>供应商</w:t>
            </w:r>
            <w:r>
              <w:rPr>
                <w:rFonts w:hint="eastAsia" w:hAnsi="宋体" w:cs="宋体"/>
                <w:b w:val="0"/>
                <w:bCs/>
                <w:sz w:val="21"/>
                <w:highlight w:val="none"/>
              </w:rPr>
              <w:t>的综合折扣率报价必须≤综合折扣率最高限价；否则，按竞争性磋商无效处理。</w:t>
            </w:r>
          </w:p>
          <w:p w14:paraId="7A176DF2">
            <w:pPr>
              <w:pStyle w:val="17"/>
              <w:numPr>
                <w:ilvl w:val="0"/>
                <w:numId w:val="0"/>
              </w:numPr>
              <w:adjustRightInd w:val="0"/>
              <w:snapToGrid w:val="0"/>
              <w:spacing w:line="380" w:lineRule="exact"/>
              <w:ind w:firstLine="0" w:firstLineChars="0"/>
              <w:rPr>
                <w:rFonts w:hAnsi="宋体" w:cs="宋体"/>
                <w:b w:val="0"/>
                <w:bCs/>
                <w:sz w:val="21"/>
                <w:highlight w:val="none"/>
              </w:rPr>
            </w:pPr>
            <w:r>
              <w:rPr>
                <w:rFonts w:hint="eastAsia" w:hAnsi="宋体" w:cs="宋体"/>
                <w:b w:val="0"/>
                <w:bCs/>
                <w:sz w:val="21"/>
                <w:highlight w:val="none"/>
              </w:rPr>
              <w:t>说明：“综合折扣率”是指各类医用织物洗涤（含消毒等）服务单价最高限价的百分比。</w:t>
            </w:r>
          </w:p>
          <w:p w14:paraId="45290D46">
            <w:pPr>
              <w:pStyle w:val="17"/>
              <w:numPr>
                <w:ilvl w:val="-1"/>
                <w:numId w:val="0"/>
              </w:numPr>
              <w:adjustRightInd w:val="0"/>
              <w:snapToGrid w:val="0"/>
              <w:spacing w:line="380" w:lineRule="exact"/>
              <w:ind w:firstLine="0" w:firstLineChars="0"/>
              <w:rPr>
                <w:rFonts w:hint="eastAsia" w:hAnsi="宋体" w:cs="宋体"/>
                <w:b w:val="0"/>
                <w:bCs/>
                <w:sz w:val="21"/>
                <w:highlight w:val="none"/>
                <w:lang w:eastAsia="zh-CN"/>
              </w:rPr>
            </w:pPr>
            <w:r>
              <w:rPr>
                <w:rFonts w:hint="eastAsia"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供应商</w:t>
            </w:r>
            <w:r>
              <w:rPr>
                <w:rFonts w:hint="eastAsia" w:ascii="宋体" w:hAnsi="宋体" w:eastAsia="宋体" w:cs="宋体"/>
                <w:b w:val="0"/>
                <w:bCs/>
                <w:sz w:val="21"/>
                <w:szCs w:val="21"/>
                <w:highlight w:val="none"/>
                <w:lang w:eastAsia="zh-CN"/>
              </w:rPr>
              <w:t>所报</w:t>
            </w:r>
            <w:r>
              <w:rPr>
                <w:rFonts w:hint="eastAsia" w:ascii="宋体" w:hAnsi="宋体" w:eastAsia="宋体" w:cs="宋体"/>
                <w:sz w:val="21"/>
                <w:szCs w:val="21"/>
                <w:highlight w:val="none"/>
              </w:rPr>
              <w:t>竞争性</w:t>
            </w:r>
            <w:r>
              <w:rPr>
                <w:rFonts w:hint="eastAsia" w:ascii="宋体" w:hAnsi="宋体" w:eastAsia="宋体" w:cs="宋体"/>
                <w:b w:val="0"/>
                <w:bCs/>
                <w:sz w:val="21"/>
                <w:szCs w:val="21"/>
                <w:highlight w:val="none"/>
                <w:lang w:val="en-US" w:eastAsia="zh-CN"/>
              </w:rPr>
              <w:t>磋商</w:t>
            </w:r>
            <w:r>
              <w:rPr>
                <w:rFonts w:hint="eastAsia" w:ascii="宋体" w:hAnsi="宋体" w:eastAsia="宋体" w:cs="宋体"/>
                <w:b w:val="0"/>
                <w:bCs/>
                <w:sz w:val="21"/>
                <w:szCs w:val="21"/>
                <w:highlight w:val="none"/>
                <w:lang w:eastAsia="zh-CN"/>
              </w:rPr>
              <w:t>报价（综合折扣率）包含</w:t>
            </w:r>
            <w:r>
              <w:rPr>
                <w:rFonts w:hint="eastAsia" w:ascii="宋体" w:hAnsi="宋体" w:eastAsia="宋体" w:cs="宋体"/>
                <w:b w:val="0"/>
                <w:bCs/>
                <w:sz w:val="21"/>
                <w:highlight w:val="none"/>
              </w:rPr>
              <w:t>本次服务范围的所有收集费、运送费、清洗费、消毒费、缝补费、熨烫费、折叠费、保管费、管理费、</w:t>
            </w:r>
            <w:r>
              <w:rPr>
                <w:rFonts w:hint="eastAsia" w:ascii="宋体" w:hAnsi="宋体" w:eastAsia="宋体" w:cs="宋体"/>
                <w:b w:val="0"/>
                <w:bCs/>
                <w:sz w:val="21"/>
                <w:highlight w:val="none"/>
              </w:rPr>
              <w:t>人工费用</w:t>
            </w:r>
            <w:r>
              <w:rPr>
                <w:rFonts w:hint="eastAsia" w:ascii="宋体" w:hAnsi="宋体" w:eastAsia="宋体" w:cs="宋体"/>
                <w:b w:val="0"/>
                <w:bCs/>
                <w:sz w:val="21"/>
                <w:highlight w:val="none"/>
              </w:rPr>
              <w:t>、差旅费、交通费、税金、利润等所有成本费用。合同实施时，</w:t>
            </w:r>
            <w:r>
              <w:rPr>
                <w:rFonts w:hint="eastAsia" w:ascii="宋体" w:hAnsi="宋体" w:eastAsia="宋体" w:cs="宋体"/>
                <w:b w:val="0"/>
                <w:bCs/>
                <w:sz w:val="21"/>
                <w:highlight w:val="none"/>
                <w:lang w:eastAsia="zh-CN"/>
              </w:rPr>
              <w:t>采购人</w:t>
            </w:r>
            <w:r>
              <w:rPr>
                <w:rFonts w:hint="eastAsia" w:ascii="宋体" w:hAnsi="宋体" w:eastAsia="宋体" w:cs="宋体"/>
                <w:b w:val="0"/>
                <w:bCs/>
                <w:sz w:val="21"/>
                <w:highlight w:val="none"/>
              </w:rPr>
              <w:t>将不予支付完成本项目必须的但</w:t>
            </w:r>
            <w:r>
              <w:rPr>
                <w:rFonts w:hint="eastAsia" w:ascii="宋体" w:hAnsi="宋体" w:eastAsia="宋体" w:cs="宋体"/>
                <w:b w:val="0"/>
                <w:bCs/>
                <w:sz w:val="21"/>
                <w:highlight w:val="none"/>
                <w:lang w:eastAsia="zh-CN"/>
              </w:rPr>
              <w:t>成交人</w:t>
            </w:r>
            <w:r>
              <w:rPr>
                <w:rFonts w:hint="eastAsia" w:ascii="宋体" w:hAnsi="宋体" w:eastAsia="宋体" w:cs="宋体"/>
                <w:b w:val="0"/>
                <w:bCs/>
                <w:sz w:val="21"/>
                <w:highlight w:val="none"/>
              </w:rPr>
              <w:t>没有列入</w:t>
            </w:r>
            <w:r>
              <w:rPr>
                <w:rFonts w:hint="eastAsia" w:ascii="宋体" w:hAnsi="宋体" w:eastAsia="宋体" w:cs="宋体"/>
                <w:b w:val="0"/>
                <w:bCs/>
                <w:sz w:val="21"/>
                <w:highlight w:val="none"/>
                <w:lang w:val="en-US" w:eastAsia="zh-CN"/>
              </w:rPr>
              <w:t>竞争性磋商</w:t>
            </w:r>
            <w:r>
              <w:rPr>
                <w:rFonts w:hint="eastAsia" w:ascii="宋体" w:hAnsi="宋体" w:eastAsia="宋体" w:cs="宋体"/>
                <w:b w:val="0"/>
                <w:bCs/>
                <w:sz w:val="21"/>
                <w:highlight w:val="none"/>
              </w:rPr>
              <w:t>报价（综合折扣率）的费用，并认为此费用已包括在投标报价（综合折扣率）中</w:t>
            </w:r>
            <w:r>
              <w:rPr>
                <w:rFonts w:hint="eastAsia" w:hAnsi="宋体" w:cs="宋体"/>
                <w:b w:val="0"/>
                <w:bCs/>
                <w:sz w:val="21"/>
                <w:highlight w:val="none"/>
                <w:lang w:eastAsia="zh-CN"/>
              </w:rPr>
              <w:t>。</w:t>
            </w:r>
          </w:p>
        </w:tc>
      </w:tr>
      <w:tr w14:paraId="1EEEA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left w:val="single" w:color="auto" w:sz="4" w:space="0"/>
              <w:bottom w:val="single" w:color="auto" w:sz="4" w:space="0"/>
              <w:right w:val="single" w:color="auto" w:sz="4" w:space="0"/>
            </w:tcBorders>
            <w:vAlign w:val="center"/>
          </w:tcPr>
          <w:p w14:paraId="59F3EF33">
            <w:pPr>
              <w:pStyle w:val="74"/>
              <w:spacing w:line="360" w:lineRule="auto"/>
              <w:ind w:firstLine="0" w:firstLineChars="0"/>
              <w:jc w:val="center"/>
              <w:rPr>
                <w:rFonts w:hint="eastAsia" w:ascii="宋体" w:hAnsi="宋体" w:eastAsia="宋体" w:cs="宋体"/>
                <w:sz w:val="21"/>
                <w:szCs w:val="21"/>
                <w:highlight w:val="none"/>
              </w:rPr>
            </w:pPr>
            <w:r>
              <w:rPr>
                <w:rFonts w:hint="eastAsia" w:hAnsi="宋体" w:cs="宋体"/>
                <w:b/>
                <w:sz w:val="21"/>
                <w:highlight w:val="none"/>
              </w:rPr>
              <w:t>结算</w:t>
            </w:r>
            <w:r>
              <w:rPr>
                <w:rFonts w:hint="eastAsia" w:hAnsi="宋体" w:cs="宋体"/>
                <w:b/>
                <w:sz w:val="21"/>
                <w:highlight w:val="none"/>
                <w:lang w:val="en-US" w:eastAsia="zh-CN"/>
              </w:rPr>
              <w:t>方法</w:t>
            </w:r>
          </w:p>
        </w:tc>
        <w:tc>
          <w:tcPr>
            <w:tcW w:w="7071" w:type="dxa"/>
            <w:gridSpan w:val="2"/>
            <w:tcBorders>
              <w:top w:val="single" w:color="auto" w:sz="4" w:space="0"/>
              <w:left w:val="single" w:color="auto" w:sz="4" w:space="0"/>
              <w:bottom w:val="single" w:color="auto" w:sz="4" w:space="0"/>
              <w:right w:val="single" w:color="auto" w:sz="4" w:space="0"/>
            </w:tcBorders>
            <w:vAlign w:val="center"/>
          </w:tcPr>
          <w:p w14:paraId="72735FD6">
            <w:pPr>
              <w:pStyle w:val="17"/>
              <w:adjustRightInd w:val="0"/>
              <w:snapToGrid w:val="0"/>
              <w:spacing w:line="380" w:lineRule="exact"/>
              <w:ind w:firstLine="422" w:firstLineChars="200"/>
              <w:rPr>
                <w:rFonts w:hAnsi="宋体" w:cs="宋体"/>
                <w:b/>
                <w:sz w:val="21"/>
                <w:szCs w:val="21"/>
                <w:highlight w:val="none"/>
              </w:rPr>
            </w:pPr>
            <w:r>
              <w:rPr>
                <w:rFonts w:hint="eastAsia" w:hAnsi="宋体" w:cs="宋体"/>
                <w:b/>
                <w:sz w:val="21"/>
                <w:szCs w:val="21"/>
                <w:highlight w:val="none"/>
                <w:lang w:val="en-US" w:eastAsia="zh-CN"/>
              </w:rPr>
              <w:t>采购</w:t>
            </w:r>
            <w:r>
              <w:rPr>
                <w:rFonts w:hint="eastAsia" w:hAnsi="宋体" w:cs="宋体"/>
                <w:b/>
                <w:sz w:val="21"/>
                <w:szCs w:val="21"/>
                <w:highlight w:val="none"/>
              </w:rPr>
              <w:t>人按月结算支付</w:t>
            </w:r>
            <w:r>
              <w:rPr>
                <w:rFonts w:hint="eastAsia" w:hAnsi="宋体" w:cs="宋体"/>
                <w:b/>
                <w:sz w:val="21"/>
                <w:szCs w:val="21"/>
                <w:highlight w:val="none"/>
                <w:lang w:val="en-US" w:eastAsia="zh-CN"/>
              </w:rPr>
              <w:t>成交</w:t>
            </w:r>
            <w:r>
              <w:rPr>
                <w:rFonts w:hint="eastAsia" w:hAnsi="宋体" w:cs="宋体"/>
                <w:b/>
                <w:sz w:val="21"/>
                <w:szCs w:val="21"/>
                <w:highlight w:val="none"/>
              </w:rPr>
              <w:t>人的每月服务费用，包含以下两部分费用【即：每月服务费用</w:t>
            </w:r>
            <w:r>
              <w:rPr>
                <w:rFonts w:hAnsi="宋体" w:cs="宋体"/>
                <w:b/>
                <w:sz w:val="21"/>
                <w:szCs w:val="21"/>
                <w:highlight w:val="none"/>
              </w:rPr>
              <w:t>=</w:t>
            </w:r>
            <w:r>
              <w:rPr>
                <w:rFonts w:hint="eastAsia" w:hAnsi="宋体" w:cs="宋体"/>
                <w:b/>
                <w:sz w:val="21"/>
                <w:szCs w:val="21"/>
                <w:highlight w:val="none"/>
              </w:rPr>
              <w:t>每月医用织物洗涤（含消毒等）费用</w:t>
            </w:r>
            <w:r>
              <w:rPr>
                <w:rFonts w:hAnsi="宋体" w:cs="宋体"/>
                <w:b/>
                <w:sz w:val="21"/>
                <w:szCs w:val="21"/>
                <w:highlight w:val="none"/>
              </w:rPr>
              <w:t>+</w:t>
            </w:r>
            <w:r>
              <w:rPr>
                <w:rFonts w:hint="eastAsia" w:hAnsi="宋体" w:cs="宋体"/>
                <w:b/>
                <w:sz w:val="21"/>
                <w:szCs w:val="21"/>
                <w:highlight w:val="none"/>
              </w:rPr>
              <w:t>每月工人人工费用】：</w:t>
            </w:r>
          </w:p>
          <w:p w14:paraId="51CF2F6B">
            <w:pPr>
              <w:pStyle w:val="17"/>
              <w:adjustRightInd w:val="0"/>
              <w:snapToGrid w:val="0"/>
              <w:spacing w:line="380" w:lineRule="exact"/>
              <w:ind w:firstLine="422" w:firstLineChars="200"/>
              <w:rPr>
                <w:rFonts w:hAnsi="宋体" w:cs="宋体"/>
                <w:b/>
                <w:sz w:val="21"/>
                <w:szCs w:val="21"/>
                <w:highlight w:val="none"/>
              </w:rPr>
            </w:pPr>
            <w:r>
              <w:rPr>
                <w:rFonts w:hint="eastAsia" w:hAnsi="宋体" w:cs="宋体"/>
                <w:b/>
                <w:sz w:val="21"/>
                <w:szCs w:val="21"/>
                <w:highlight w:val="none"/>
              </w:rPr>
              <w:t>（1）每月医用织物洗涤（含消毒等）费用：</w:t>
            </w:r>
            <w:r>
              <w:rPr>
                <w:rFonts w:hint="eastAsia" w:hAnsi="宋体" w:cs="宋体"/>
                <w:b/>
                <w:sz w:val="21"/>
                <w:szCs w:val="21"/>
                <w:highlight w:val="none"/>
                <w:lang w:val="en-US" w:eastAsia="zh-CN"/>
              </w:rPr>
              <w:t>采购</w:t>
            </w:r>
            <w:r>
              <w:rPr>
                <w:rFonts w:hint="eastAsia" w:hAnsi="宋体" w:cs="宋体"/>
                <w:b/>
                <w:sz w:val="21"/>
                <w:szCs w:val="21"/>
                <w:highlight w:val="none"/>
              </w:rPr>
              <w:t>人将根据每月实际发生的医用织物洗涤（含消毒等）量进行结算，即：每月医用织物洗涤（含消毒等）费用=∑【各类医用织物每月实际发生的洗涤（含消毒等）量×</w:t>
            </w:r>
            <w:r>
              <w:rPr>
                <w:rFonts w:hint="eastAsia" w:hAnsi="宋体" w:cs="宋体"/>
                <w:b/>
                <w:sz w:val="21"/>
                <w:szCs w:val="21"/>
                <w:highlight w:val="none"/>
                <w:lang w:val="en-US" w:eastAsia="zh-CN"/>
              </w:rPr>
              <w:t>采购</w:t>
            </w:r>
            <w:r>
              <w:rPr>
                <w:rFonts w:hint="eastAsia" w:hAnsi="宋体" w:cs="宋体"/>
                <w:b/>
                <w:sz w:val="21"/>
                <w:szCs w:val="21"/>
                <w:highlight w:val="none"/>
              </w:rPr>
              <w:t>文件“</w:t>
            </w:r>
            <w:r>
              <w:rPr>
                <w:rFonts w:hint="eastAsia" w:hAnsi="宋体" w:cs="宋体"/>
                <w:b/>
                <w:sz w:val="21"/>
                <w:szCs w:val="21"/>
                <w:highlight w:val="none"/>
                <w:lang w:val="en-US" w:eastAsia="zh-CN"/>
              </w:rPr>
              <w:t>采购</w:t>
            </w:r>
            <w:r>
              <w:rPr>
                <w:rFonts w:hint="eastAsia" w:hAnsi="宋体" w:cs="宋体"/>
                <w:b/>
                <w:sz w:val="21"/>
                <w:szCs w:val="21"/>
                <w:highlight w:val="none"/>
              </w:rPr>
              <w:t>需求”中“各类医用织物洗涤（含消毒等）单价最高限价明细表”中相应的单价最高限价×</w:t>
            </w:r>
            <w:r>
              <w:rPr>
                <w:rFonts w:hint="eastAsia" w:hAnsi="宋体" w:cs="宋体"/>
                <w:b/>
                <w:sz w:val="21"/>
                <w:szCs w:val="21"/>
                <w:highlight w:val="none"/>
                <w:lang w:val="en-US" w:eastAsia="zh-CN"/>
              </w:rPr>
              <w:t>成交</w:t>
            </w:r>
            <w:r>
              <w:rPr>
                <w:rFonts w:hint="eastAsia" w:hAnsi="宋体" w:cs="宋体"/>
                <w:b/>
                <w:sz w:val="21"/>
                <w:szCs w:val="21"/>
                <w:highlight w:val="none"/>
              </w:rPr>
              <w:t>综合折扣率】；</w:t>
            </w:r>
          </w:p>
          <w:p w14:paraId="3BD93A2E">
            <w:pPr>
              <w:pStyle w:val="17"/>
              <w:adjustRightInd w:val="0"/>
              <w:snapToGrid w:val="0"/>
              <w:spacing w:line="380" w:lineRule="exact"/>
              <w:ind w:firstLine="422" w:firstLineChars="200"/>
              <w:rPr>
                <w:rFonts w:hAnsi="宋体" w:cs="宋体"/>
                <w:b/>
                <w:sz w:val="21"/>
                <w:szCs w:val="21"/>
                <w:highlight w:val="none"/>
              </w:rPr>
            </w:pPr>
            <w:r>
              <w:rPr>
                <w:rFonts w:hint="eastAsia" w:hAnsi="宋体" w:cs="宋体"/>
                <w:b/>
                <w:sz w:val="21"/>
                <w:szCs w:val="21"/>
                <w:highlight w:val="none"/>
              </w:rPr>
              <w:t>注：其中∑表示将各相应医用织物实际发生的洗涤（含消毒等）量结算后的金额进行相加汇总。</w:t>
            </w:r>
          </w:p>
          <w:p w14:paraId="2930950B">
            <w:pPr>
              <w:pStyle w:val="17"/>
              <w:adjustRightInd w:val="0"/>
              <w:snapToGrid w:val="0"/>
              <w:spacing w:line="380" w:lineRule="exact"/>
              <w:ind w:firstLine="422" w:firstLineChars="200"/>
              <w:rPr>
                <w:rFonts w:hint="eastAsia" w:ascii="宋体" w:hAnsi="宋体" w:eastAsia="宋体" w:cs="宋体"/>
                <w:sz w:val="21"/>
                <w:szCs w:val="21"/>
                <w:highlight w:val="none"/>
              </w:rPr>
            </w:pPr>
            <w:r>
              <w:rPr>
                <w:rFonts w:hint="eastAsia" w:hAnsi="宋体" w:cs="宋体"/>
                <w:b/>
                <w:sz w:val="21"/>
                <w:szCs w:val="21"/>
                <w:highlight w:val="none"/>
              </w:rPr>
              <w:t>（2）每月工人人工费用：3名工人每月人工费为固定金额人民币柒仟贰佰元整（¥7200.00）。</w:t>
            </w:r>
          </w:p>
        </w:tc>
      </w:tr>
      <w:tr w14:paraId="6F87A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9" w:type="dxa"/>
            <w:gridSpan w:val="2"/>
            <w:tcBorders>
              <w:top w:val="single" w:color="auto" w:sz="4" w:space="0"/>
              <w:bottom w:val="single" w:color="auto" w:sz="4" w:space="0"/>
              <w:right w:val="single" w:color="auto" w:sz="4" w:space="0"/>
            </w:tcBorders>
            <w:vAlign w:val="center"/>
          </w:tcPr>
          <w:p w14:paraId="51E94137">
            <w:pPr>
              <w:pStyle w:val="74"/>
              <w:spacing w:line="36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其他要求</w:t>
            </w:r>
          </w:p>
        </w:tc>
        <w:tc>
          <w:tcPr>
            <w:tcW w:w="7071" w:type="dxa"/>
            <w:gridSpan w:val="2"/>
            <w:tcBorders>
              <w:top w:val="single" w:color="auto" w:sz="4" w:space="0"/>
              <w:left w:val="single" w:color="auto" w:sz="4" w:space="0"/>
              <w:bottom w:val="single" w:color="auto" w:sz="4" w:space="0"/>
            </w:tcBorders>
            <w:vAlign w:val="center"/>
          </w:tcPr>
          <w:p w14:paraId="09760EF4">
            <w:pPr>
              <w:autoSpaceDE w:val="0"/>
              <w:autoSpaceDN w:val="0"/>
              <w:adjustRightInd w:val="0"/>
              <w:snapToGrid w:val="0"/>
              <w:spacing w:line="400" w:lineRule="exact"/>
              <w:ind w:firstLine="422" w:firstLineChars="200"/>
              <w:jc w:val="left"/>
              <w:rPr>
                <w:rFonts w:ascii="宋体" w:hAnsi="宋体"/>
                <w:b/>
                <w:szCs w:val="21"/>
                <w:highlight w:val="none"/>
              </w:rPr>
            </w:pPr>
            <w:r>
              <w:rPr>
                <w:rFonts w:hint="eastAsia" w:ascii="宋体" w:hAnsi="宋体"/>
                <w:b/>
                <w:szCs w:val="21"/>
                <w:highlight w:val="none"/>
              </w:rPr>
              <w:t>（一）</w:t>
            </w:r>
            <w:r>
              <w:rPr>
                <w:rFonts w:hint="eastAsia" w:ascii="宋体" w:hAnsi="宋体"/>
                <w:b/>
                <w:szCs w:val="21"/>
                <w:highlight w:val="none"/>
                <w:lang w:val="en-US" w:eastAsia="zh-CN"/>
              </w:rPr>
              <w:t>供应商</w:t>
            </w:r>
            <w:r>
              <w:rPr>
                <w:rFonts w:hint="eastAsia" w:ascii="宋体" w:hAnsi="宋体"/>
                <w:b/>
                <w:szCs w:val="21"/>
                <w:highlight w:val="none"/>
              </w:rPr>
              <w:t>人根据文件要求于</w:t>
            </w:r>
            <w:r>
              <w:rPr>
                <w:rFonts w:hint="eastAsia" w:ascii="宋体" w:hAnsi="宋体"/>
                <w:b/>
                <w:szCs w:val="21"/>
                <w:highlight w:val="none"/>
                <w:lang w:val="en-US" w:eastAsia="zh-CN"/>
              </w:rPr>
              <w:t>响应</w:t>
            </w:r>
            <w:r>
              <w:rPr>
                <w:rFonts w:hint="eastAsia" w:ascii="宋体" w:hAnsi="宋体"/>
                <w:b/>
                <w:szCs w:val="21"/>
                <w:highlight w:val="none"/>
              </w:rPr>
              <w:t>文件中提供针对本项目的项目实施方案及服务方案：</w:t>
            </w:r>
          </w:p>
          <w:p w14:paraId="3B99AEC9">
            <w:pPr>
              <w:autoSpaceDE w:val="0"/>
              <w:autoSpaceDN w:val="0"/>
              <w:adjustRightInd w:val="0"/>
              <w:snapToGrid w:val="0"/>
              <w:spacing w:line="400" w:lineRule="exact"/>
              <w:ind w:firstLine="422" w:firstLineChars="200"/>
              <w:jc w:val="left"/>
              <w:rPr>
                <w:rFonts w:ascii="宋体" w:hAnsi="宋体"/>
                <w:b/>
                <w:szCs w:val="21"/>
                <w:highlight w:val="none"/>
              </w:rPr>
            </w:pPr>
            <w:r>
              <w:rPr>
                <w:rFonts w:hint="eastAsia" w:ascii="宋体" w:hAnsi="宋体"/>
                <w:b/>
                <w:szCs w:val="21"/>
                <w:highlight w:val="none"/>
              </w:rPr>
              <w:t>1.项目实施方案，包括但不限于以下内容：</w:t>
            </w:r>
          </w:p>
          <w:p w14:paraId="237E060C">
            <w:pPr>
              <w:autoSpaceDE w:val="0"/>
              <w:autoSpaceDN w:val="0"/>
              <w:adjustRightInd w:val="0"/>
              <w:snapToGrid w:val="0"/>
              <w:spacing w:line="400" w:lineRule="exact"/>
              <w:ind w:firstLine="420" w:firstLineChars="200"/>
              <w:rPr>
                <w:rFonts w:ascii="宋体" w:hAnsi="宋体"/>
                <w:highlight w:val="none"/>
              </w:rPr>
            </w:pPr>
            <w:r>
              <w:rPr>
                <w:rFonts w:hint="eastAsia" w:ascii="宋体" w:hAnsi="宋体"/>
                <w:highlight w:val="none"/>
              </w:rPr>
              <w:t>1.1拟投入服务的洗涤厂配备方案；</w:t>
            </w:r>
          </w:p>
          <w:p w14:paraId="1DEF57EA">
            <w:pPr>
              <w:autoSpaceDE w:val="0"/>
              <w:autoSpaceDN w:val="0"/>
              <w:adjustRightInd w:val="0"/>
              <w:snapToGrid w:val="0"/>
              <w:spacing w:line="400" w:lineRule="exact"/>
              <w:ind w:firstLine="420" w:firstLineChars="200"/>
              <w:rPr>
                <w:rFonts w:ascii="宋体" w:hAnsi="宋体"/>
                <w:highlight w:val="none"/>
              </w:rPr>
            </w:pPr>
            <w:r>
              <w:rPr>
                <w:rFonts w:hint="eastAsia" w:ascii="宋体" w:hAnsi="宋体"/>
                <w:highlight w:val="none"/>
              </w:rPr>
              <w:t>1.2拟投入的设备配备方案；</w:t>
            </w:r>
          </w:p>
          <w:p w14:paraId="3AC83A31">
            <w:pPr>
              <w:autoSpaceDE w:val="0"/>
              <w:autoSpaceDN w:val="0"/>
              <w:adjustRightInd w:val="0"/>
              <w:snapToGrid w:val="0"/>
              <w:spacing w:line="400" w:lineRule="exact"/>
              <w:ind w:firstLine="420" w:firstLineChars="200"/>
              <w:rPr>
                <w:rFonts w:ascii="宋体" w:hAnsi="宋体"/>
                <w:highlight w:val="none"/>
              </w:rPr>
            </w:pPr>
            <w:r>
              <w:rPr>
                <w:rFonts w:hint="eastAsia" w:ascii="宋体" w:hAnsi="宋体"/>
                <w:highlight w:val="none"/>
              </w:rPr>
              <w:t>1.3项目管理方案</w:t>
            </w:r>
          </w:p>
          <w:p w14:paraId="11C6C258">
            <w:pPr>
              <w:autoSpaceDE w:val="0"/>
              <w:autoSpaceDN w:val="0"/>
              <w:adjustRightInd w:val="0"/>
              <w:snapToGrid w:val="0"/>
              <w:spacing w:line="400" w:lineRule="exact"/>
              <w:ind w:firstLine="420" w:firstLineChars="200"/>
              <w:rPr>
                <w:rFonts w:ascii="宋体" w:hAnsi="宋体"/>
                <w:highlight w:val="none"/>
              </w:rPr>
            </w:pPr>
            <w:r>
              <w:rPr>
                <w:rFonts w:hint="eastAsia" w:ascii="宋体" w:hAnsi="宋体"/>
                <w:highlight w:val="none"/>
              </w:rPr>
              <w:t>1.4人员管理及配备方案</w:t>
            </w:r>
          </w:p>
          <w:p w14:paraId="09523F8A">
            <w:pPr>
              <w:autoSpaceDE w:val="0"/>
              <w:autoSpaceDN w:val="0"/>
              <w:adjustRightInd w:val="0"/>
              <w:snapToGrid w:val="0"/>
              <w:spacing w:line="400" w:lineRule="exact"/>
              <w:ind w:firstLine="420" w:firstLineChars="200"/>
              <w:rPr>
                <w:rFonts w:ascii="宋体" w:hAnsi="宋体"/>
                <w:highlight w:val="none"/>
              </w:rPr>
            </w:pPr>
            <w:r>
              <w:rPr>
                <w:rFonts w:hint="eastAsia" w:ascii="宋体" w:hAnsi="宋体"/>
                <w:highlight w:val="none"/>
              </w:rPr>
              <w:t>（1）人员管理方案；</w:t>
            </w:r>
          </w:p>
          <w:p w14:paraId="61734940">
            <w:pPr>
              <w:autoSpaceDE w:val="0"/>
              <w:autoSpaceDN w:val="0"/>
              <w:adjustRightInd w:val="0"/>
              <w:snapToGrid w:val="0"/>
              <w:spacing w:line="400" w:lineRule="exact"/>
              <w:ind w:firstLine="420" w:firstLineChars="200"/>
              <w:jc w:val="left"/>
              <w:rPr>
                <w:rFonts w:hAnsi="宋体" w:cs="宋体"/>
                <w:b/>
                <w:bCs/>
                <w:szCs w:val="21"/>
                <w:highlight w:val="none"/>
              </w:rPr>
            </w:pPr>
            <w:r>
              <w:rPr>
                <w:rFonts w:hint="eastAsia" w:ascii="宋体" w:hAnsi="宋体"/>
                <w:highlight w:val="none"/>
              </w:rPr>
              <w:t>（2）人员配备方案</w:t>
            </w:r>
            <w:r>
              <w:rPr>
                <w:rFonts w:hint="eastAsia" w:hAnsi="宋体" w:cs="宋体"/>
                <w:b/>
                <w:bCs/>
                <w:szCs w:val="21"/>
                <w:highlight w:val="none"/>
              </w:rPr>
              <w:t>。</w:t>
            </w:r>
          </w:p>
          <w:p w14:paraId="6095BE60">
            <w:pPr>
              <w:autoSpaceDE w:val="0"/>
              <w:autoSpaceDN w:val="0"/>
              <w:adjustRightInd w:val="0"/>
              <w:snapToGrid w:val="0"/>
              <w:spacing w:line="400" w:lineRule="exact"/>
              <w:ind w:firstLine="420" w:firstLineChars="200"/>
              <w:jc w:val="left"/>
              <w:rPr>
                <w:rFonts w:hAnsi="宋体" w:cs="宋体"/>
                <w:b/>
                <w:bCs/>
                <w:szCs w:val="21"/>
                <w:highlight w:val="none"/>
              </w:rPr>
            </w:pPr>
            <w:r>
              <w:rPr>
                <w:rFonts w:hint="eastAsia"/>
                <w:bCs/>
                <w:szCs w:val="21"/>
                <w:highlight w:val="none"/>
              </w:rPr>
              <w:t>2.服务方案</w:t>
            </w:r>
          </w:p>
          <w:p w14:paraId="3BE144DE">
            <w:pPr>
              <w:autoSpaceDE w:val="0"/>
              <w:autoSpaceDN w:val="0"/>
              <w:adjustRightInd w:val="0"/>
              <w:snapToGrid w:val="0"/>
              <w:spacing w:line="400" w:lineRule="exact"/>
              <w:ind w:firstLine="422" w:firstLineChars="200"/>
              <w:jc w:val="left"/>
              <w:rPr>
                <w:rFonts w:ascii="宋体" w:hAnsi="宋体"/>
                <w:b/>
                <w:szCs w:val="21"/>
                <w:highlight w:val="none"/>
              </w:rPr>
            </w:pPr>
            <w:r>
              <w:rPr>
                <w:rFonts w:hint="eastAsia" w:ascii="宋体" w:hAnsi="宋体"/>
                <w:b/>
                <w:szCs w:val="21"/>
                <w:highlight w:val="none"/>
              </w:rPr>
              <w:t>注：上述项目实施方案及服务方案加分详见“第四章</w:t>
            </w:r>
            <w:r>
              <w:rPr>
                <w:rFonts w:hint="eastAsia" w:ascii="宋体" w:hAnsi="宋体"/>
                <w:b/>
                <w:szCs w:val="21"/>
                <w:highlight w:val="none"/>
                <w:lang w:val="en-US" w:eastAsia="zh-CN"/>
              </w:rPr>
              <w:t xml:space="preserve"> </w:t>
            </w:r>
            <w:r>
              <w:rPr>
                <w:rFonts w:hint="eastAsia" w:ascii="宋体" w:hAnsi="宋体"/>
                <w:b/>
                <w:szCs w:val="21"/>
                <w:highlight w:val="none"/>
              </w:rPr>
              <w:t>评审程序、评审方法和评审标准”。</w:t>
            </w:r>
          </w:p>
          <w:p w14:paraId="3BE92C3F">
            <w:pPr>
              <w:autoSpaceDE w:val="0"/>
              <w:autoSpaceDN w:val="0"/>
              <w:adjustRightInd w:val="0"/>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（二）履约能力要求</w:t>
            </w:r>
          </w:p>
          <w:p w14:paraId="5BCB1883">
            <w:pPr>
              <w:autoSpaceDE w:val="0"/>
              <w:autoSpaceDN w:val="0"/>
              <w:adjustRightInd w:val="0"/>
              <w:snapToGrid w:val="0"/>
              <w:spacing w:line="400" w:lineRule="exact"/>
              <w:ind w:firstLine="420" w:firstLineChars="200"/>
              <w:rPr>
                <w:rFonts w:hint="eastAsia"/>
                <w:bCs/>
                <w:szCs w:val="21"/>
                <w:highlight w:val="none"/>
                <w:lang w:eastAsia="zh-CN"/>
              </w:rPr>
            </w:pPr>
            <w:r>
              <w:rPr>
                <w:rFonts w:hint="eastAsia" w:ascii="宋体" w:hAnsi="宋体" w:cs="宋体"/>
                <w:szCs w:val="21"/>
                <w:highlight w:val="none"/>
                <w:lang w:val="en-US" w:eastAsia="zh-CN"/>
              </w:rPr>
              <w:t>供应商</w:t>
            </w:r>
            <w:r>
              <w:rPr>
                <w:rFonts w:hint="eastAsia" w:ascii="宋体" w:hAnsi="宋体" w:cs="宋体"/>
                <w:szCs w:val="21"/>
                <w:highlight w:val="none"/>
              </w:rPr>
              <w:t>根据自身情况，于</w:t>
            </w:r>
            <w:r>
              <w:rPr>
                <w:rFonts w:hint="eastAsia" w:ascii="宋体" w:hAnsi="宋体" w:cs="宋体"/>
                <w:szCs w:val="21"/>
                <w:highlight w:val="none"/>
                <w:lang w:val="en-US" w:eastAsia="zh-CN"/>
              </w:rPr>
              <w:t>响应</w:t>
            </w:r>
            <w:r>
              <w:rPr>
                <w:rFonts w:hint="eastAsia" w:ascii="宋体" w:hAnsi="宋体" w:cs="宋体"/>
                <w:szCs w:val="21"/>
                <w:highlight w:val="none"/>
              </w:rPr>
              <w:t>文件中提供</w:t>
            </w:r>
            <w:r>
              <w:rPr>
                <w:rFonts w:hint="eastAsia" w:ascii="宋体" w:hAnsi="宋体" w:eastAsia="宋体" w:cs="宋体"/>
                <w:bCs/>
                <w:szCs w:val="21"/>
                <w:highlight w:val="none"/>
              </w:rPr>
              <w:t>20</w:t>
            </w:r>
            <w:r>
              <w:rPr>
                <w:rFonts w:hint="eastAsia" w:ascii="宋体" w:hAnsi="宋体" w:eastAsia="宋体" w:cs="宋体"/>
                <w:bCs/>
                <w:szCs w:val="21"/>
                <w:highlight w:val="none"/>
                <w:lang w:val="en-US" w:eastAsia="zh-CN"/>
              </w:rPr>
              <w:t>22</w:t>
            </w:r>
            <w:r>
              <w:rPr>
                <w:rFonts w:hint="eastAsia"/>
                <w:bCs/>
                <w:szCs w:val="21"/>
                <w:highlight w:val="none"/>
              </w:rPr>
              <w:t>年以来同类服务项目业绩</w:t>
            </w:r>
            <w:r>
              <w:rPr>
                <w:rFonts w:hint="eastAsia"/>
                <w:bCs/>
                <w:szCs w:val="21"/>
                <w:highlight w:val="none"/>
                <w:lang w:eastAsia="zh-CN"/>
              </w:rPr>
              <w:t>。</w:t>
            </w:r>
          </w:p>
          <w:p w14:paraId="370E10BB">
            <w:pPr>
              <w:autoSpaceDE w:val="0"/>
              <w:autoSpaceDN w:val="0"/>
              <w:adjustRightInd w:val="0"/>
              <w:snapToGrid w:val="0"/>
              <w:spacing w:line="400" w:lineRule="exact"/>
              <w:ind w:firstLine="422" w:firstLineChars="200"/>
              <w:rPr>
                <w:rFonts w:hint="eastAsia" w:ascii="宋体" w:hAnsi="宋体" w:eastAsia="宋体" w:cs="宋体"/>
                <w:sz w:val="21"/>
                <w:szCs w:val="21"/>
                <w:highlight w:val="none"/>
              </w:rPr>
            </w:pPr>
            <w:r>
              <w:rPr>
                <w:rFonts w:hint="eastAsia" w:ascii="宋体" w:hAnsi="宋体" w:cs="宋体"/>
                <w:b/>
                <w:szCs w:val="21"/>
                <w:highlight w:val="none"/>
              </w:rPr>
              <w:t xml:space="preserve">注：上述履约能力具体评分要求详见“第四章 </w:t>
            </w:r>
            <w:r>
              <w:rPr>
                <w:rFonts w:hint="eastAsia" w:ascii="宋体" w:hAnsi="宋体"/>
                <w:b/>
                <w:szCs w:val="21"/>
                <w:highlight w:val="none"/>
              </w:rPr>
              <w:t>评审程序、评审方法和评审标准</w:t>
            </w:r>
            <w:r>
              <w:rPr>
                <w:rFonts w:hint="eastAsia" w:ascii="宋体" w:hAnsi="宋体" w:cs="宋体"/>
                <w:b/>
                <w:szCs w:val="21"/>
                <w:highlight w:val="none"/>
              </w:rPr>
              <w:t>”</w:t>
            </w:r>
            <w:r>
              <w:rPr>
                <w:rFonts w:hint="eastAsia" w:ascii="宋体" w:hAnsi="宋体" w:cs="宋体"/>
                <w:szCs w:val="21"/>
                <w:highlight w:val="none"/>
              </w:rPr>
              <w:t>。</w:t>
            </w:r>
          </w:p>
        </w:tc>
      </w:tr>
    </w:tbl>
    <w:p w14:paraId="4B21662F">
      <w:pPr>
        <w:rPr>
          <w:rFonts w:hint="eastAsia" w:ascii="宋体" w:hAnsi="宋体" w:eastAsia="宋体" w:cs="宋体"/>
          <w:bCs/>
          <w:sz w:val="21"/>
          <w:highlight w:val="none"/>
          <w:u w:val="single"/>
        </w:rPr>
      </w:pPr>
      <w:r>
        <w:rPr>
          <w:rFonts w:hint="eastAsia" w:ascii="宋体" w:hAnsi="宋体" w:eastAsia="宋体" w:cs="宋体"/>
          <w:bCs/>
          <w:sz w:val="21"/>
          <w:highlight w:val="none"/>
          <w:u w:val="single"/>
        </w:rPr>
        <w:br w:type="page"/>
      </w:r>
    </w:p>
    <w:p w14:paraId="6580DA06">
      <w:pPr>
        <w:spacing w:line="0" w:lineRule="atLeast"/>
        <w:jc w:val="left"/>
        <w:rPr>
          <w:b/>
          <w:sz w:val="24"/>
          <w:highlight w:val="none"/>
        </w:rPr>
      </w:pPr>
      <w:r>
        <w:rPr>
          <w:rFonts w:hint="eastAsia"/>
          <w:b/>
          <w:sz w:val="24"/>
          <w:highlight w:val="none"/>
        </w:rPr>
        <w:t>附件一：</w:t>
      </w:r>
    </w:p>
    <w:p w14:paraId="734849AD">
      <w:pPr>
        <w:spacing w:line="0" w:lineRule="atLeast"/>
        <w:jc w:val="center"/>
        <w:rPr>
          <w:rFonts w:ascii="宋体" w:hAnsi="宋体" w:cs="宋体"/>
          <w:kern w:val="0"/>
          <w:sz w:val="24"/>
          <w:highlight w:val="none"/>
        </w:rPr>
      </w:pPr>
      <w:r>
        <w:rPr>
          <w:rFonts w:hint="eastAsia" w:ascii="宋体" w:hAnsi="宋体" w:cs="宋体"/>
          <w:kern w:val="0"/>
          <w:sz w:val="24"/>
          <w:highlight w:val="none"/>
        </w:rPr>
        <w:t>各类医用织物洗涤（含消毒等）单价最高限价明细表</w:t>
      </w:r>
    </w:p>
    <w:tbl>
      <w:tblPr>
        <w:tblStyle w:val="30"/>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1"/>
        <w:gridCol w:w="4085"/>
        <w:gridCol w:w="3542"/>
      </w:tblGrid>
      <w:tr w14:paraId="461F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94C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FF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医用织物名称</w:t>
            </w:r>
          </w:p>
        </w:tc>
        <w:tc>
          <w:tcPr>
            <w:tcW w:w="3542" w:type="dxa"/>
            <w:tcBorders>
              <w:top w:val="single" w:color="000000" w:sz="4" w:space="0"/>
              <w:left w:val="single" w:color="000000" w:sz="4" w:space="0"/>
              <w:bottom w:val="nil"/>
              <w:right w:val="single" w:color="000000" w:sz="4" w:space="0"/>
            </w:tcBorders>
            <w:shd w:val="clear" w:color="auto" w:fill="auto"/>
            <w:vAlign w:val="center"/>
          </w:tcPr>
          <w:p w14:paraId="471FD5E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rPr>
              <w:t>最高限价</w:t>
            </w:r>
          </w:p>
        </w:tc>
      </w:tr>
      <w:tr w14:paraId="0FCB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AD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F5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被套</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8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w:t>
            </w:r>
          </w:p>
        </w:tc>
      </w:tr>
      <w:tr w14:paraId="4DE8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9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55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床单</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D0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3C63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09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DE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枕套、枕巾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6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0.65</w:t>
            </w:r>
          </w:p>
        </w:tc>
      </w:tr>
      <w:tr w14:paraId="100B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79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病衣</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D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344F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6D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5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病裤</w:t>
            </w:r>
          </w:p>
        </w:tc>
        <w:tc>
          <w:tcPr>
            <w:tcW w:w="3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62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2861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C4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手术衣</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3B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r>
      <w:tr w14:paraId="0E98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63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D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洗手衣</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3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7AD2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8E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61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洗手裤</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86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05AD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FA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D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大中孔</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11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w:t>
            </w:r>
          </w:p>
        </w:tc>
      </w:tr>
      <w:tr w14:paraId="5855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24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3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小孔</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C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0.9</w:t>
            </w:r>
          </w:p>
        </w:tc>
      </w:tr>
      <w:tr w14:paraId="52F6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9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E4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中单</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9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1618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D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7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胶单</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9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w:t>
            </w:r>
          </w:p>
        </w:tc>
      </w:tr>
      <w:tr w14:paraId="2B81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6B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5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裤套</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80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58F5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E1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7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连衣裙</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1B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r>
      <w:tr w14:paraId="6190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F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04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04C0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8C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1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三角巾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2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435D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80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F9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大包布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8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0358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1D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小包布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C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7D07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4D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B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围帘、床帘</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0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w:t>
            </w:r>
          </w:p>
        </w:tc>
      </w:tr>
      <w:tr w14:paraId="3943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A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0F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4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5A7B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BA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6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毛毛衣</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8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24F9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46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7C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毛毛被</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1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449F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21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F9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小毛巾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3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w:t>
            </w:r>
          </w:p>
        </w:tc>
      </w:tr>
      <w:tr w14:paraId="2760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CA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27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牵引带腹带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20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56F7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9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E3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大窗帘</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10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2.7</w:t>
            </w:r>
          </w:p>
        </w:tc>
      </w:tr>
      <w:tr w14:paraId="1B44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A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DF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小窗帘</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32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519F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2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9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席子</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9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31C8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F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蚊帐</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25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048D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E8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6A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机罩</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9D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0.8</w:t>
            </w:r>
          </w:p>
        </w:tc>
      </w:tr>
      <w:tr w14:paraId="10E7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A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FE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工衣</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C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2.1</w:t>
            </w:r>
          </w:p>
        </w:tc>
      </w:tr>
      <w:tr w14:paraId="48A7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4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A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工裤</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F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4186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22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4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毛巾被</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B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2.6</w:t>
            </w:r>
          </w:p>
        </w:tc>
      </w:tr>
      <w:tr w14:paraId="22A3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5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B6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毛毯</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5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6.8</w:t>
            </w:r>
          </w:p>
        </w:tc>
      </w:tr>
      <w:tr w14:paraId="5C12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26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拖把头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C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3CAC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1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84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绑、腹带</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DC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12BF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C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帽子</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0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36B2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7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05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枕芯</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28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5514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06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F7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5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0.67</w:t>
            </w:r>
          </w:p>
        </w:tc>
      </w:tr>
      <w:tr w14:paraId="5CF4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E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4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6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浴巾</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49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0.8</w:t>
            </w:r>
          </w:p>
        </w:tc>
      </w:tr>
    </w:tbl>
    <w:p w14:paraId="2E05DCBD">
      <w:pPr>
        <w:adjustRightInd w:val="0"/>
        <w:snapToGrid w:val="0"/>
        <w:spacing w:line="360" w:lineRule="auto"/>
        <w:jc w:val="left"/>
        <w:rPr>
          <w:b/>
          <w:sz w:val="28"/>
          <w:szCs w:val="28"/>
          <w:highlight w:val="none"/>
        </w:rPr>
      </w:pPr>
      <w:r>
        <w:rPr>
          <w:rFonts w:hint="eastAsia" w:ascii="宋体" w:hAnsi="宋体" w:eastAsia="宋体" w:cs="宋体"/>
          <w:bCs/>
          <w:sz w:val="21"/>
          <w:highlight w:val="none"/>
          <w:u w:val="single"/>
        </w:rPr>
        <w:br w:type="page"/>
      </w:r>
      <w:r>
        <w:rPr>
          <w:rFonts w:hint="eastAsia"/>
          <w:b/>
          <w:sz w:val="28"/>
          <w:szCs w:val="28"/>
          <w:highlight w:val="none"/>
        </w:rPr>
        <w:t>附件二</w:t>
      </w:r>
    </w:p>
    <w:p w14:paraId="7C1A4F5A">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医用织物洗涤管理规定</w:t>
      </w:r>
    </w:p>
    <w:p w14:paraId="0AC8537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为了加强医院医用织物洗涤管理，维护医院的良好形象，提高临床及患者满意度，有效预防医院感染的发生，结合医院实际情况，特制定本医用织物洗涤管理规定。</w:t>
      </w:r>
    </w:p>
    <w:p w14:paraId="1854BA9A">
      <w:pPr>
        <w:pStyle w:val="26"/>
        <w:shd w:val="clear" w:color="auto" w:fill="FFFFFF"/>
        <w:adjustRightInd w:val="0"/>
        <w:snapToGrid w:val="0"/>
        <w:spacing w:before="0" w:beforeAutospacing="0" w:after="0" w:afterAutospacing="0" w:line="380" w:lineRule="exact"/>
        <w:rPr>
          <w:b/>
          <w:sz w:val="21"/>
          <w:szCs w:val="21"/>
          <w:highlight w:val="none"/>
        </w:rPr>
      </w:pPr>
      <w:r>
        <w:rPr>
          <w:rFonts w:hint="eastAsia"/>
          <w:b/>
          <w:sz w:val="21"/>
          <w:szCs w:val="21"/>
          <w:highlight w:val="none"/>
        </w:rPr>
        <w:t>说明：</w:t>
      </w:r>
    </w:p>
    <w:p w14:paraId="50405CC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本规定所指医用织物又称医院布草，是指医院内洗涤（消毒）后可重复使用的所有纺织品，包括手术铺单和患者使用的衣物、床单、被套、枕套等，工作人员使用工作服、帽、手术衣、值班用床单元等及布巾、地巾等。</w:t>
      </w:r>
    </w:p>
    <w:p w14:paraId="3929AD2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2.感染性医用织物：医院内感染性疾病（包括传染性、多重耐药性感染）患者使用后，或者被患者血液、体液、分泌物（不包括汗液）和排泄物等污染，具有潜在生物污染风险的可重复使用的医用织物。</w:t>
      </w:r>
    </w:p>
    <w:p w14:paraId="6901C24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3.脏污医用织物：医院内除感染性医用织物以外的其他所有使用后的可重复使用的医用织物。</w:t>
      </w:r>
    </w:p>
    <w:p w14:paraId="1FC43F3E">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4.本规定没有的内容或与《医疗机构消毒技术规范》（</w:t>
      </w:r>
      <w:r>
        <w:rPr>
          <w:rFonts w:ascii="宋体" w:hAnsi="宋体" w:cs="宋体"/>
          <w:szCs w:val="21"/>
          <w:highlight w:val="none"/>
        </w:rPr>
        <w:t>WS/T 367-2012</w:t>
      </w:r>
      <w:r>
        <w:rPr>
          <w:rFonts w:hint="eastAsia" w:ascii="宋体" w:hAnsi="宋体" w:cs="宋体"/>
          <w:szCs w:val="21"/>
          <w:highlight w:val="none"/>
        </w:rPr>
        <w:t>）》有出入的，应按照最新《医疗机构消毒技术规范》（</w:t>
      </w:r>
      <w:r>
        <w:rPr>
          <w:rFonts w:ascii="宋体" w:hAnsi="宋体" w:cs="宋体"/>
          <w:szCs w:val="21"/>
          <w:highlight w:val="none"/>
        </w:rPr>
        <w:t>WS/T 367-2012</w:t>
      </w:r>
      <w:r>
        <w:rPr>
          <w:rFonts w:hint="eastAsia" w:ascii="宋体" w:hAnsi="宋体" w:cs="宋体"/>
          <w:szCs w:val="21"/>
          <w:highlight w:val="none"/>
        </w:rPr>
        <w:t>）》执行。</w:t>
      </w:r>
    </w:p>
    <w:p w14:paraId="2BBAFE1F">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一、医用织物收集、储存、运送规定</w:t>
      </w:r>
    </w:p>
    <w:p w14:paraId="324684F8">
      <w:pPr>
        <w:pStyle w:val="26"/>
        <w:shd w:val="clear" w:color="auto" w:fill="FFFFFF"/>
        <w:adjustRightInd w:val="0"/>
        <w:snapToGrid w:val="0"/>
        <w:spacing w:before="0" w:beforeAutospacing="0" w:after="0" w:afterAutospacing="0" w:line="380" w:lineRule="exact"/>
        <w:ind w:firstLine="422" w:firstLineChars="200"/>
        <w:rPr>
          <w:b/>
          <w:sz w:val="21"/>
          <w:szCs w:val="21"/>
          <w:highlight w:val="none"/>
        </w:rPr>
      </w:pPr>
      <w:r>
        <w:rPr>
          <w:rFonts w:hint="eastAsia"/>
          <w:b/>
          <w:sz w:val="21"/>
          <w:szCs w:val="21"/>
          <w:highlight w:val="none"/>
        </w:rPr>
        <w:t>1.分类收集及包装</w:t>
      </w:r>
    </w:p>
    <w:p w14:paraId="0C734CA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（1）按脏污医用织物和感染性医用织物进行分类，收集时应减少抖动。</w:t>
      </w:r>
    </w:p>
    <w:p w14:paraId="3726251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（2）感染性医用织物收集及包装</w:t>
      </w:r>
    </w:p>
    <w:p w14:paraId="446DEF1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1）确认的感染性医用织物应在患者床边收集（金属等利器另行包装）。</w:t>
      </w:r>
    </w:p>
    <w:p w14:paraId="2C6111EA">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2）使用双层黄色医疗废物袋收集，黏贴红色 “感染性医用织物”标识，收集后洗涤（消毒）前持续保持密封状态。</w:t>
      </w:r>
    </w:p>
    <w:p w14:paraId="517E677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3）包装袋的装载量不应超过包装袋的2/3。 </w:t>
      </w:r>
    </w:p>
    <w:p w14:paraId="1434987F">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（3）脏污医用织物收集及包装</w:t>
      </w:r>
    </w:p>
    <w:p w14:paraId="07038EDF">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1）脏污医用织物宜采用重复使用的专用布袋或包装箱（桶）分类收集。</w:t>
      </w:r>
    </w:p>
    <w:p w14:paraId="4A209449">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①工作人员使用后的医用织物用蓝色包装袋或包装箱（桶）收集包装并文字标识。</w:t>
      </w:r>
    </w:p>
    <w:p w14:paraId="6C9C63D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②患者使用后医用织物用黄色包装袋或包装箱（桶）收集包装并文字标识。</w:t>
      </w:r>
    </w:p>
    <w:p w14:paraId="62D17EB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③使用后的医用手术敷料用具有防水阻菌功能的绿色包装袋或包装箱（桶）收集包装并文字标识。</w:t>
      </w:r>
    </w:p>
    <w:p w14:paraId="06881686">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2）盛装使用后的医用织物的包装袋应封口，包装箱（桶）应加盖密封。</w:t>
      </w:r>
    </w:p>
    <w:p w14:paraId="0E398D05">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（4）盛装使用后医用织物的专用污衣袋或包装箱（桶）应一用一清洗消毒；使用的一次性医疗废物袋应按医疗废物处理。</w:t>
      </w:r>
    </w:p>
    <w:p w14:paraId="3F0875D9">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（5）洗涤后的清洁医用织物应使用可重复使用的蓝色专用袋（箱）包装，专用袋（箱）应定期清洗消毒。</w:t>
      </w:r>
    </w:p>
    <w:p w14:paraId="11D9EA6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2.贮存</w:t>
      </w:r>
    </w:p>
    <w:p w14:paraId="314DD44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使用后的脏污医用织物分类存放在科室或医院医用织物周转库房指定的专用容器（容器应定期清洁消毒处理，如遇污染应随时进行消毒处理）内，暂存时间应不超过48小时，禁止堆放在病房、走廊的地面上；使用后的医用织物每次移交后，应对环境物表、空气进行消毒处理，消毒方法参照《医疗机构消毒技术规范》（</w:t>
      </w:r>
      <w:r>
        <w:rPr>
          <w:rFonts w:ascii="宋体" w:hAnsi="宋体" w:cs="宋体"/>
          <w:szCs w:val="21"/>
          <w:highlight w:val="none"/>
        </w:rPr>
        <w:t>WS/T 367-2012</w:t>
      </w:r>
      <w:r>
        <w:rPr>
          <w:rFonts w:hint="eastAsia" w:ascii="宋体" w:hAnsi="宋体" w:cs="宋体"/>
          <w:szCs w:val="21"/>
          <w:highlight w:val="none"/>
        </w:rPr>
        <w:t>）执行。</w:t>
      </w:r>
    </w:p>
    <w:p w14:paraId="66BFF0D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洗涤后的清洁医用织物暂存在医院医用织物周转库房清洁医用织物存放区柜架上，存放时间宜为14天（最长不超过30天），分类放置有序，严禁堆放在地面，储存过程中应防止二次污染，如被污染应重新洗涤。清洁医用织物存放区每日开窗通风换气1-2次；湿式清扫，每日用清水拖地1次，每周用含有效氯500mg/L的消毒液擦拭1-2次；柜架每周用清水或用含有效氯500mg/L的消毒液擦拭1次；任何人不得坐躺柜架上，任何闲杂人员不得随意进入清洁医用织物存放区。</w:t>
      </w:r>
    </w:p>
    <w:p w14:paraId="5D67B2D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（3）科室应备足清洁的病人用医用织物库存量（按床物比1:2.5-3，即1张病床配置2.5-3套病床用品），以满足科室需求。</w:t>
      </w:r>
    </w:p>
    <w:p w14:paraId="17A4EA85">
      <w:pPr>
        <w:pStyle w:val="26"/>
        <w:shd w:val="clear" w:color="auto" w:fill="FFFFFF"/>
        <w:adjustRightInd w:val="0"/>
        <w:snapToGrid w:val="0"/>
        <w:spacing w:before="0" w:beforeAutospacing="0" w:after="0" w:afterAutospacing="0" w:line="380" w:lineRule="exact"/>
        <w:ind w:firstLine="422" w:firstLineChars="200"/>
        <w:rPr>
          <w:b/>
          <w:sz w:val="21"/>
          <w:szCs w:val="21"/>
          <w:highlight w:val="none"/>
        </w:rPr>
      </w:pPr>
      <w:r>
        <w:rPr>
          <w:rFonts w:hint="eastAsia"/>
          <w:b/>
          <w:sz w:val="21"/>
          <w:szCs w:val="21"/>
          <w:highlight w:val="none"/>
        </w:rPr>
        <w:t>3.运送</w:t>
      </w:r>
    </w:p>
    <w:p w14:paraId="1ED054C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（1）使用后的医用织物按规定时间及时运走，避免影响正常诊疗工作。</w:t>
      </w:r>
    </w:p>
    <w:p w14:paraId="41CD56D6">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使用后的脏污医用织物与洗涤后的清洁医用织物应有专用运输车辆/工具和容器，不宜交叉混用，采取封闭方式运送；运送脏污医用织物与洗涤后清洁医用织物的专用车辆/工具和容器应有独立固定的存放区域，并有明显标识，专用车辆/工具和容器应定期清洗消毒；运送感染性医用织物后的运输工具应一用一清洗消毒，消毒方法参照《医疗机构消毒技术规范》（</w:t>
      </w:r>
      <w:r>
        <w:rPr>
          <w:rFonts w:ascii="宋体" w:hAnsi="宋体" w:cs="宋体"/>
          <w:szCs w:val="21"/>
          <w:highlight w:val="none"/>
        </w:rPr>
        <w:t>WS/T 367-2012</w:t>
      </w:r>
      <w:r>
        <w:rPr>
          <w:rFonts w:hint="eastAsia" w:ascii="宋体" w:hAnsi="宋体" w:cs="宋体"/>
          <w:szCs w:val="21"/>
          <w:highlight w:val="none"/>
        </w:rPr>
        <w:t>）执行。</w:t>
      </w:r>
    </w:p>
    <w:p w14:paraId="6DF96E52">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二、医用织物收送规定</w:t>
      </w:r>
    </w:p>
    <w:p w14:paraId="51B09F37">
      <w:pPr>
        <w:adjustRightInd w:val="0"/>
        <w:snapToGrid w:val="0"/>
        <w:spacing w:line="380" w:lineRule="exact"/>
        <w:ind w:firstLine="625" w:firstLineChars="298"/>
        <w:rPr>
          <w:rFonts w:ascii="宋体" w:hAnsi="宋体" w:cs="宋体"/>
          <w:szCs w:val="21"/>
          <w:highlight w:val="none"/>
        </w:rPr>
      </w:pPr>
      <w:r>
        <w:rPr>
          <w:rFonts w:hint="eastAsia" w:ascii="宋体" w:hAnsi="宋体" w:cs="宋体"/>
          <w:szCs w:val="21"/>
          <w:highlight w:val="none"/>
        </w:rPr>
        <w:t>1.收送医用织物时间和频次</w:t>
      </w:r>
    </w:p>
    <w:p w14:paraId="2FEFB338">
      <w:pPr>
        <w:adjustRightInd w:val="0"/>
        <w:snapToGrid w:val="0"/>
        <w:spacing w:line="380" w:lineRule="exact"/>
        <w:ind w:firstLine="420" w:firstLineChars="200"/>
        <w:rPr>
          <w:rFonts w:ascii="宋体" w:hAnsi="宋体" w:cs="宋体"/>
          <w:snapToGrid w:val="0"/>
          <w:kern w:val="0"/>
          <w:szCs w:val="21"/>
          <w:highlight w:val="none"/>
        </w:rPr>
      </w:pPr>
      <w:r>
        <w:rPr>
          <w:rFonts w:hint="eastAsia" w:ascii="宋体" w:hAnsi="宋体" w:cs="宋体"/>
          <w:szCs w:val="21"/>
          <w:highlight w:val="none"/>
        </w:rPr>
        <w:t>（1）病人医用织物类：正常情况下，每天到科室收、送医用织物1-2次，</w:t>
      </w:r>
      <w:r>
        <w:rPr>
          <w:rFonts w:hint="eastAsia" w:ascii="宋体" w:hAnsi="宋体" w:cs="宋体"/>
          <w:snapToGrid w:val="0"/>
          <w:kern w:val="0"/>
          <w:szCs w:val="21"/>
          <w:highlight w:val="none"/>
        </w:rPr>
        <w:t>手术布类收送3-4次</w:t>
      </w:r>
      <w:r>
        <w:rPr>
          <w:rFonts w:hint="eastAsia" w:ascii="宋体" w:hAnsi="宋体" w:cs="宋体"/>
          <w:szCs w:val="21"/>
          <w:highlight w:val="none"/>
        </w:rPr>
        <w:t>（法定节假日、医院大</w:t>
      </w:r>
      <w:r>
        <w:rPr>
          <w:rFonts w:hint="eastAsia" w:ascii="宋体" w:hAnsi="宋体" w:cs="宋体"/>
          <w:snapToGrid w:val="0"/>
          <w:kern w:val="0"/>
          <w:szCs w:val="21"/>
          <w:highlight w:val="none"/>
        </w:rPr>
        <w:t>型</w:t>
      </w:r>
      <w:r>
        <w:rPr>
          <w:rFonts w:hint="eastAsia" w:ascii="宋体" w:hAnsi="宋体" w:cs="宋体"/>
          <w:szCs w:val="21"/>
          <w:highlight w:val="none"/>
        </w:rPr>
        <w:t>检查等特殊情况另行安排），</w:t>
      </w:r>
      <w:r>
        <w:rPr>
          <w:rFonts w:hint="eastAsia" w:ascii="宋体" w:hAnsi="宋体" w:cs="宋体"/>
          <w:snapToGrid w:val="0"/>
          <w:kern w:val="0"/>
          <w:szCs w:val="21"/>
          <w:highlight w:val="none"/>
        </w:rPr>
        <w:t>上午9:00时前完成脏污医用织物的回收工作；上午12:00时前将清洁医用织物送到科室。</w:t>
      </w:r>
    </w:p>
    <w:p w14:paraId="1D260BC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（2）工作服：每星期一早上（逢长假上班第一天），5—9月每周更换2次（星期一、四早上。换洗前一工作日的5：30pm前发送上一次送洗的工作服。</w:t>
      </w:r>
    </w:p>
    <w:p w14:paraId="30CC8D3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（3）值班室医用织物：每周收送2次。</w:t>
      </w:r>
    </w:p>
    <w:p w14:paraId="24642E8C">
      <w:pPr>
        <w:adjustRightInd w:val="0"/>
        <w:snapToGrid w:val="0"/>
        <w:spacing w:line="380" w:lineRule="exact"/>
        <w:ind w:firstLine="630" w:firstLineChars="300"/>
        <w:rPr>
          <w:rFonts w:ascii="宋体" w:hAnsi="宋体" w:cs="宋体"/>
          <w:szCs w:val="21"/>
          <w:highlight w:val="none"/>
        </w:rPr>
      </w:pPr>
      <w:r>
        <w:rPr>
          <w:rFonts w:hint="eastAsia" w:ascii="宋体" w:hAnsi="宋体" w:cs="宋体"/>
          <w:szCs w:val="21"/>
          <w:highlight w:val="none"/>
        </w:rPr>
        <w:t>2.使用后的脏污医用织物回收规定</w:t>
      </w:r>
    </w:p>
    <w:p w14:paraId="17CD6977">
      <w:pPr>
        <w:adjustRightInd w:val="0"/>
        <w:snapToGrid w:val="0"/>
        <w:spacing w:line="380" w:lineRule="exact"/>
        <w:ind w:firstLine="412" w:firstLineChars="200"/>
        <w:rPr>
          <w:rFonts w:ascii="宋体" w:hAnsi="宋体" w:cs="宋体"/>
          <w:spacing w:val="-2"/>
          <w:szCs w:val="21"/>
          <w:highlight w:val="none"/>
        </w:rPr>
      </w:pPr>
      <w:r>
        <w:rPr>
          <w:rFonts w:hint="eastAsia" w:ascii="宋体" w:hAnsi="宋体" w:cs="宋体"/>
          <w:spacing w:val="-2"/>
          <w:szCs w:val="21"/>
          <w:highlight w:val="none"/>
        </w:rPr>
        <w:t>（1）送洗工作服前，医务人员须将工作服之外的所有物件（工作牌、K盘、银行卡、笔、首饰等）彻底清理、摘取，并将袖子扣子解开；有脱线、掉扣等特殊情况，在工作服清点交接本上注明。</w:t>
      </w:r>
    </w:p>
    <w:p w14:paraId="4622BF3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（2）收发工作人员必须着工作服、戴口罩和帽子、穿工作鞋，每次接触脏被服后要进行手卫生。</w:t>
      </w:r>
    </w:p>
    <w:p w14:paraId="150B30E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病区及各部门安排人员与收发工作人员在指定地点清点（严禁在治疗区域对脏污医用织物进行清点，应在足够的保护措施下密闭的污物间内进行）使用后的脏污医用织物，认真核对数量及有无脱线、掉扣等特殊情况，并做好记录，共同确认双签名。</w:t>
      </w:r>
    </w:p>
    <w:p w14:paraId="06B842CB">
      <w:pPr>
        <w:adjustRightInd w:val="0"/>
        <w:snapToGrid w:val="0"/>
        <w:spacing w:line="380" w:lineRule="exact"/>
        <w:ind w:firstLine="630" w:firstLineChars="300"/>
        <w:rPr>
          <w:rFonts w:ascii="宋体" w:hAnsi="宋体" w:cs="宋体"/>
          <w:szCs w:val="21"/>
          <w:highlight w:val="none"/>
        </w:rPr>
      </w:pPr>
      <w:r>
        <w:rPr>
          <w:rFonts w:hint="eastAsia" w:ascii="宋体" w:hAnsi="宋体" w:cs="宋体"/>
          <w:szCs w:val="21"/>
          <w:highlight w:val="none"/>
        </w:rPr>
        <w:t>3.清洁医用织物发送规定</w:t>
      </w:r>
    </w:p>
    <w:p w14:paraId="5E75363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（1）按前一次回收的数量、品种发送清洁医用织物，科室如有特殊需要，随时补充，发送的清洁医用织物必须有科室接收人确认并双签名。</w:t>
      </w:r>
    </w:p>
    <w:p w14:paraId="1F84C33A">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严禁向科室发放破损及未清洗干净的医用织物；科室如发现洗涤后的医用织物有污渍、破损、掉扣（掉带）、超过一个以上补丁等，应通知收发人员或在第二天洗涤公司上门回收医用织物时退换，以便重洗。</w:t>
      </w:r>
    </w:p>
    <w:p w14:paraId="0165FAB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（3）根据医院的突发事件、应急抢救等工作需要，设立24小时电话值班制，保持通讯畅通，随时做好医院医用织物的应急保障工作。</w:t>
      </w:r>
    </w:p>
    <w:p w14:paraId="7B6DAD17">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三、洗涤（消毒）布局要求及环境消毒</w:t>
      </w:r>
    </w:p>
    <w:p w14:paraId="43B4E8B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1.布局要求：</w:t>
      </w:r>
    </w:p>
    <w:p w14:paraId="57A3C8E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应远离垃圾处理站或有明显的污染场所，附近无有害气体、烟雾、灰尘和其他有毒有害物品。周围环境无蚊蝇等害虫孳生地；工作区内门窗应安装纱网，明地沟应加盖或加装金属网，防蚊、蝇、鼠等有害生物。</w:t>
      </w:r>
    </w:p>
    <w:p w14:paraId="1DB89B3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（2）有脏污医用织物接收通道和运送清洁医用织物的通道，通道间不应有交叉。</w:t>
      </w:r>
    </w:p>
    <w:p w14:paraId="25FFF4B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（3）工作区域设置污染区和清洁区，两区之间应有完全物理隔离屏障，其中在清洁区内可设置部分隔离屏障。</w:t>
      </w:r>
    </w:p>
    <w:p w14:paraId="0136B10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（4）污染区应设医用织物接收/分拣间、洗涤/消毒间、污车存放间和更衣（缓冲）间等；清洁区应设烘干间、熨烫间、修补/折叠间、储存/发放间、洁车存放间、更衣（缓冲）间及质检室等。 </w:t>
      </w:r>
    </w:p>
    <w:p w14:paraId="21BB9902">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（5）工作区内应保持良好空气流通，至少应在收集分拣和清洁医用织物储存区域安装空气消毒设施。</w:t>
      </w:r>
    </w:p>
    <w:p w14:paraId="44369F2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（6）污染区和清洁区宜分别设置洁具间。</w:t>
      </w:r>
    </w:p>
    <w:p w14:paraId="14AAFE25">
      <w:pPr>
        <w:pStyle w:val="26"/>
        <w:shd w:val="clear" w:color="auto" w:fill="FFFFFF"/>
        <w:adjustRightInd w:val="0"/>
        <w:snapToGrid w:val="0"/>
        <w:spacing w:before="0" w:beforeAutospacing="0" w:after="0" w:afterAutospacing="0" w:line="380" w:lineRule="exact"/>
        <w:ind w:firstLine="420" w:firstLineChars="200"/>
        <w:rPr>
          <w:sz w:val="21"/>
          <w:szCs w:val="21"/>
          <w:highlight w:val="none"/>
        </w:rPr>
      </w:pPr>
      <w:r>
        <w:rPr>
          <w:rFonts w:hint="eastAsia"/>
          <w:sz w:val="21"/>
          <w:szCs w:val="21"/>
          <w:highlight w:val="none"/>
        </w:rPr>
        <w:t xml:space="preserve">2.环境的消毒 </w:t>
      </w:r>
    </w:p>
    <w:p w14:paraId="5CE1889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（1）每天工作结束后应对污染区的地面与台面采用含氯消毒剂进行拖洗/擦拭，清洁区的地面、台面、墙面应随时保洁，消毒方法参照《医疗机构消毒技术规范》（</w:t>
      </w:r>
      <w:r>
        <w:rPr>
          <w:rFonts w:ascii="宋体" w:hAnsi="宋体" w:cs="宋体"/>
          <w:szCs w:val="21"/>
          <w:highlight w:val="none"/>
        </w:rPr>
        <w:t>WS/T 367-2012</w:t>
      </w:r>
      <w:r>
        <w:rPr>
          <w:rFonts w:hint="eastAsia" w:ascii="宋体" w:hAnsi="宋体" w:cs="宋体"/>
          <w:szCs w:val="21"/>
          <w:highlight w:val="none"/>
        </w:rPr>
        <w:t>）执行。</w:t>
      </w:r>
    </w:p>
    <w:p w14:paraId="3E2C7AF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（2）污染区可根据工作需要每天空气消毒1～2次，每次30min。 </w:t>
      </w:r>
    </w:p>
    <w:p w14:paraId="2C293225">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（3）工作区域的物体表面和地面有明显血液、体液或分泌物等污染时，应及时先用吸湿材料去除可见的污染物，再进行清洁和消毒（用1000 mg/L～2000 mg/L 的含氯消毒剂等擦拭或喷雾消毒），消毒方法可参照《医疗机构消毒技术规范》（</w:t>
      </w:r>
      <w:r>
        <w:rPr>
          <w:rFonts w:ascii="宋体" w:hAnsi="宋体" w:cs="宋体"/>
          <w:szCs w:val="21"/>
          <w:highlight w:val="none"/>
        </w:rPr>
        <w:t>WS/T 367-2012</w:t>
      </w:r>
      <w:r>
        <w:rPr>
          <w:rFonts w:hint="eastAsia" w:ascii="宋体" w:hAnsi="宋体" w:cs="宋体"/>
          <w:szCs w:val="21"/>
          <w:highlight w:val="none"/>
        </w:rPr>
        <w:t>）执行。</w:t>
      </w:r>
    </w:p>
    <w:p w14:paraId="6BC6061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（4）对于有明确传染病病原体污染的相关环境空气和物体表面应进行终末消毒处理，应选用有效消毒剂进行擦拭或喷雾、熏蒸消毒。 </w:t>
      </w:r>
    </w:p>
    <w:p w14:paraId="6BC36DF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（5）工作人员手、物体表面、空气卫生质量应每半年抽检1次，符合Ⅲ类环境规定。</w:t>
      </w:r>
    </w:p>
    <w:p w14:paraId="75AE91C9">
      <w:pPr>
        <w:pStyle w:val="26"/>
        <w:shd w:val="clear" w:color="auto" w:fill="FFFFFF"/>
        <w:adjustRightInd w:val="0"/>
        <w:snapToGrid w:val="0"/>
        <w:spacing w:before="0" w:beforeAutospacing="0" w:after="0" w:afterAutospacing="0" w:line="380" w:lineRule="exact"/>
        <w:ind w:firstLine="422" w:firstLineChars="200"/>
        <w:rPr>
          <w:b/>
          <w:sz w:val="21"/>
          <w:szCs w:val="21"/>
          <w:highlight w:val="none"/>
        </w:rPr>
      </w:pPr>
      <w:r>
        <w:rPr>
          <w:rFonts w:hint="eastAsia"/>
          <w:b/>
          <w:sz w:val="21"/>
          <w:szCs w:val="21"/>
          <w:highlight w:val="none"/>
        </w:rPr>
        <w:t>四、洗涤设备及用品要求与消毒</w:t>
      </w:r>
    </w:p>
    <w:p w14:paraId="65A4523A">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1.洗涤设备及用品要求</w:t>
      </w:r>
    </w:p>
    <w:p w14:paraId="33C527D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（1）医用织物相关专用洗涤、消毒、烘干、熨烫等用品与设备应满足工作需要。</w:t>
      </w:r>
    </w:p>
    <w:p w14:paraId="461882A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（2）洗涤和烘干设备应选用经国家检测合格、有加热功能的专用洗涤和烘干设备。</w:t>
      </w:r>
    </w:p>
    <w:p w14:paraId="39EC62F2">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（3）洗涤剂、消毒剂及消毒器械应合法、有效，禁止使用非正规厂家生产的洗涤消毒产品，洗涤所用的洗涤消毒产品须在医院后勤科备案。</w:t>
      </w:r>
    </w:p>
    <w:p w14:paraId="0DDF2845">
      <w:pPr>
        <w:pStyle w:val="17"/>
        <w:adjustRightInd w:val="0"/>
        <w:snapToGrid w:val="0"/>
        <w:spacing w:line="380" w:lineRule="exact"/>
        <w:ind w:firstLine="420" w:firstLineChars="200"/>
        <w:rPr>
          <w:rFonts w:hAnsi="宋体" w:cs="宋体"/>
          <w:sz w:val="21"/>
          <w:szCs w:val="21"/>
          <w:highlight w:val="none"/>
        </w:rPr>
      </w:pPr>
      <w:r>
        <w:rPr>
          <w:rFonts w:hint="eastAsia" w:hAnsi="宋体" w:cs="宋体"/>
          <w:sz w:val="21"/>
          <w:highlight w:val="none"/>
        </w:rPr>
        <w:t>2.洗涤设备消毒</w:t>
      </w:r>
    </w:p>
    <w:p w14:paraId="3148E0A0">
      <w:pPr>
        <w:pStyle w:val="17"/>
        <w:adjustRightInd w:val="0"/>
        <w:snapToGrid w:val="0"/>
        <w:spacing w:line="380" w:lineRule="exact"/>
        <w:ind w:firstLine="420" w:firstLineChars="200"/>
        <w:rPr>
          <w:rFonts w:hAnsi="宋体" w:cs="宋体"/>
          <w:sz w:val="21"/>
          <w:highlight w:val="none"/>
        </w:rPr>
      </w:pPr>
      <w:r>
        <w:rPr>
          <w:rFonts w:hint="eastAsia" w:hAnsi="宋体" w:cs="宋体"/>
          <w:sz w:val="21"/>
          <w:highlight w:val="none"/>
        </w:rPr>
        <w:t xml:space="preserve">（1）感染性医用织物要求专机洗涤，每次投放洗涤设备后，应立即用1000 mg/L～2000 mg/L含氯消毒剂对其设备舱口门及附近区域进行擦拭消毒。 </w:t>
      </w:r>
    </w:p>
    <w:p w14:paraId="56E4B5AA">
      <w:pPr>
        <w:pStyle w:val="17"/>
        <w:adjustRightInd w:val="0"/>
        <w:snapToGrid w:val="0"/>
        <w:spacing w:line="380" w:lineRule="exact"/>
        <w:ind w:firstLine="420" w:firstLineChars="200"/>
        <w:rPr>
          <w:rFonts w:hAnsi="宋体" w:cs="宋体"/>
          <w:sz w:val="21"/>
          <w:highlight w:val="none"/>
        </w:rPr>
      </w:pPr>
      <w:r>
        <w:rPr>
          <w:rFonts w:hint="eastAsia" w:hAnsi="宋体" w:cs="宋体"/>
          <w:sz w:val="21"/>
          <w:highlight w:val="none"/>
        </w:rPr>
        <w:t>（2）洗涤感染性医用织物，要求水温必须提高到 80℃≥10min或 A0值≥600，并使洗涤设备内的所有表面均能与高温液体接触。</w:t>
      </w:r>
    </w:p>
    <w:p w14:paraId="58FECCA4">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五、医用织物洗涤（消毒）工作流程及洗涤、消毒、整理过程要求</w:t>
      </w:r>
    </w:p>
    <w:p w14:paraId="295767D8">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1.对使用后医用织物实施收集、分拣、洗涤（消毒）、整理、储存时，应遵循由污到洁的工作流程，顺行通过，不应逆流。</w:t>
      </w:r>
    </w:p>
    <w:p w14:paraId="2097F28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2.洗涤（消毒）过程 </w:t>
      </w:r>
    </w:p>
    <w:p w14:paraId="29545E2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(1)洗涤周期与消毒过程的选择 </w:t>
      </w:r>
    </w:p>
    <w:p w14:paraId="02876E7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1）采用预洗、主洗、漂洗、中和等四个步骤对医用织物进行洗涤。</w:t>
      </w:r>
    </w:p>
    <w:p w14:paraId="5B7D905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2）对需实施消毒预处理的医用织物宜选择在预洗环节完成，或在其之前选择物理/化学消毒方法进行预处理。</w:t>
      </w:r>
    </w:p>
    <w:p w14:paraId="59413DDE">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3）对耐热的感染性医用织物，应首选热洗涤消毒方法，并根据需要设定适宜的温度和时间。</w:t>
      </w:r>
    </w:p>
    <w:p w14:paraId="60EC374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(2)装载量:医用织物洗涤时的装载量不应超过洗涤设备最大洗涤量的90%，即每100kg洗涤设备的洗涤量不超过90kg医用织物。 </w:t>
      </w:r>
    </w:p>
    <w:p w14:paraId="5A6B94BF">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(3)预洗 </w:t>
      </w:r>
    </w:p>
    <w:p w14:paraId="383ACC5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1)用温度不超过40℃的水进行预洗；可根据冲洗污垢需要加入适量的洗涤剂。 </w:t>
      </w:r>
    </w:p>
    <w:p w14:paraId="34F7330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2)脏污医用织物的预洗：应采用低温、高水位方式，一般洗涤时间为3min～5min。 </w:t>
      </w:r>
    </w:p>
    <w:p w14:paraId="58539ED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3)感染性医用织物的预洗与消毒 </w:t>
      </w:r>
    </w:p>
    <w:p w14:paraId="51D3E4F5">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a对不耐热感染性医用织物宜选择在预洗环节同时作消毒处理，或在其之前选择物理/化学消毒方法进行消毒（灭菌）预处理,消毒方法参照《医疗机构消毒技术规范》（</w:t>
      </w:r>
      <w:r>
        <w:rPr>
          <w:rFonts w:ascii="宋体" w:hAnsi="宋体" w:cs="宋体"/>
          <w:szCs w:val="21"/>
          <w:highlight w:val="none"/>
        </w:rPr>
        <w:t>WS/T 367-2012</w:t>
      </w:r>
      <w:r>
        <w:rPr>
          <w:rFonts w:hint="eastAsia" w:ascii="宋体" w:hAnsi="宋体" w:cs="宋体"/>
          <w:szCs w:val="21"/>
          <w:highlight w:val="none"/>
        </w:rPr>
        <w:t>）执行。</w:t>
      </w:r>
    </w:p>
    <w:p w14:paraId="69CC8F7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b应根据感染性医用织物使用对象和污渍性质、程度不同，参照《医疗机构消毒技术规范》（</w:t>
      </w:r>
      <w:r>
        <w:rPr>
          <w:rFonts w:ascii="宋体" w:hAnsi="宋体" w:cs="宋体"/>
          <w:szCs w:val="21"/>
          <w:highlight w:val="none"/>
        </w:rPr>
        <w:t>WS/T 367-2012</w:t>
      </w:r>
      <w:r>
        <w:rPr>
          <w:rFonts w:hint="eastAsia" w:ascii="宋体" w:hAnsi="宋体" w:cs="宋体"/>
          <w:szCs w:val="21"/>
          <w:highlight w:val="none"/>
        </w:rPr>
        <w:t xml:space="preserve">）规定选择适宜的消毒（灭菌）方法进行处理。 </w:t>
      </w:r>
    </w:p>
    <w:p w14:paraId="2328ECFE">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a) 对于被细菌繁殖体污染的感染性医用织物，可使用250 mg/L～500mg/L的含氯消毒剂,洗涤消毒应不少于10min；也可选用煮沸消毒（100℃，≥15min）和蒸汽消毒（100℃，15min～30min）等物理方法。 </w:t>
      </w:r>
    </w:p>
    <w:p w14:paraId="621985C8">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b)对已明确被气性坏疽、经血传播病原体、突发不明原因传染病的病原体或分枝杆菌、细菌芽孢引起的其他传染病污染的感染性医用织物，可使用2000mg/L～5000mg/L的含氯消毒剂洗涤消毒应不少于30min。需灭菌的应按《医疗机构消毒技术规范》（</w:t>
      </w:r>
      <w:r>
        <w:rPr>
          <w:rFonts w:ascii="宋体" w:hAnsi="宋体" w:cs="宋体"/>
          <w:szCs w:val="21"/>
          <w:highlight w:val="none"/>
        </w:rPr>
        <w:t>WS/T 367-2012</w:t>
      </w:r>
      <w:r>
        <w:rPr>
          <w:rFonts w:hint="eastAsia" w:ascii="宋体" w:hAnsi="宋体" w:cs="宋体"/>
          <w:szCs w:val="21"/>
          <w:highlight w:val="none"/>
        </w:rPr>
        <w:t xml:space="preserve">）要求，首选压力蒸汽灭菌后再进行预洗。 </w:t>
      </w:r>
    </w:p>
    <w:p w14:paraId="3CA482E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c)被朊病毒污染的需重复使用的感染性医用织物,采用1mol/L氢氧化钠溶液浸泡消毒，至少作用60min，并确保所有污染表面均接触到消毒剂或压力蒸汽灭菌（134℃～138 ℃，18 min，或132 ℃，30min，或121℃ ，60min ）后再清洗。</w:t>
      </w:r>
    </w:p>
    <w:p w14:paraId="49AE4A2E">
      <w:pPr>
        <w:adjustRightInd w:val="0"/>
        <w:snapToGrid w:val="0"/>
        <w:spacing w:line="380" w:lineRule="exact"/>
        <w:ind w:firstLine="210" w:firstLineChars="100"/>
        <w:rPr>
          <w:rFonts w:ascii="宋体" w:hAnsi="宋体" w:cs="宋体"/>
          <w:szCs w:val="21"/>
          <w:highlight w:val="none"/>
        </w:rPr>
      </w:pPr>
      <w:r>
        <w:rPr>
          <w:rFonts w:hint="eastAsia" w:ascii="宋体" w:hAnsi="宋体" w:cs="宋体"/>
          <w:szCs w:val="21"/>
          <w:highlight w:val="none"/>
        </w:rPr>
        <w:t xml:space="preserve">d)对外观有明显血液、体液、分泌物、排泄物等污渍的感染性医用织物，宜首选本规定a)、b)的方法。 </w:t>
      </w:r>
    </w:p>
    <w:p w14:paraId="1D58ED7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c可重复使用医用布巾、地巾（包括可拆卸拖把布/拖把头），要求专机洗涤，宜选择先消毒再进行清洗的方式。消毒方法参照《医疗机构消毒技术规范》（</w:t>
      </w:r>
      <w:r>
        <w:rPr>
          <w:rFonts w:ascii="宋体" w:hAnsi="宋体" w:cs="宋体"/>
          <w:szCs w:val="21"/>
          <w:highlight w:val="none"/>
        </w:rPr>
        <w:t>WS/T 367-2012</w:t>
      </w:r>
      <w:r>
        <w:rPr>
          <w:rFonts w:hint="eastAsia" w:ascii="宋体" w:hAnsi="宋体" w:cs="宋体"/>
          <w:szCs w:val="21"/>
          <w:highlight w:val="none"/>
        </w:rPr>
        <w:t xml:space="preserve">）规定，可使用500mg/L的含氯消毒剂，消毒浸泡30min后再清洗。 </w:t>
      </w:r>
    </w:p>
    <w:p w14:paraId="35071512">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(4)主洗：可分为热洗涤和冷洗涤两种洗涤方法。</w:t>
      </w:r>
    </w:p>
    <w:p w14:paraId="1A64DB3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热洗涤方法：应采用高温（70℃～90℃）、低水位方式，一般洗涤时间为8min～20min。对耐热的医用织物首选该洗涤方法。消毒温度75℃，时间≥30min或消毒温度80℃，时间≥10min；洗涤时间可在消毒时间基础上，根据医用织物的脏污程度作适当的延长。 </w:t>
      </w:r>
    </w:p>
    <w:p w14:paraId="0609634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2)冷洗涤方法：对不耐热的医用织物如受热易变形的特殊医用织物（化纤、羊毛类医用织物），应选用水温40℃～60℃、低水位的冷洗涤方法处理。</w:t>
      </w:r>
    </w:p>
    <w:p w14:paraId="4AE88562">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(5)去污渍、漂洗和中和：参照《可重复使用的医用织物洗涤消毒技术规范》执行。</w:t>
      </w:r>
    </w:p>
    <w:p w14:paraId="1EFB9B4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3.洗涤、消毒原则与方法</w:t>
      </w:r>
    </w:p>
    <w:p w14:paraId="2DC8AB4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（1）脏污医用织物 </w:t>
      </w:r>
    </w:p>
    <w:p w14:paraId="4A1D7ED8">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1）根据医用织物使用对象和污渍性质、程度不同，应分机或分批进行洗涤（消毒）。 </w:t>
      </w:r>
    </w:p>
    <w:p w14:paraId="01A731B9">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2）患者与医务人员使用后的医用织物应分机洗涤（消毒）。</w:t>
      </w:r>
    </w:p>
    <w:p w14:paraId="509D384A">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3）产婴区、新生儿室等婴幼儿使用后的医用织物应专机洗涤（消毒），不应与成人患者用后的医用织物混洗。 </w:t>
      </w:r>
    </w:p>
    <w:p w14:paraId="311F22F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4)手术室专用的医用织物（如手术衣、手术铺单等）宜单独洗涤。 </w:t>
      </w:r>
    </w:p>
    <w:p w14:paraId="0DD72468">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5)布巾、地巾宜按照感染性医用织物的要求，遵循先消毒再清洗的原则进行单独清洗、消毒。 </w:t>
      </w:r>
    </w:p>
    <w:p w14:paraId="18047036">
      <w:pPr>
        <w:adjustRightInd w:val="0"/>
        <w:snapToGrid w:val="0"/>
        <w:spacing w:line="380" w:lineRule="exact"/>
        <w:ind w:firstLine="210" w:firstLineChars="100"/>
        <w:rPr>
          <w:rFonts w:ascii="宋体" w:hAnsi="宋体" w:cs="宋体"/>
          <w:szCs w:val="21"/>
          <w:highlight w:val="none"/>
        </w:rPr>
      </w:pPr>
      <w:r>
        <w:rPr>
          <w:rFonts w:hint="eastAsia" w:ascii="宋体" w:hAnsi="宋体" w:cs="宋体"/>
          <w:szCs w:val="21"/>
          <w:highlight w:val="none"/>
        </w:rPr>
        <w:t xml:space="preserve">6)宜选择热洗涤方法，若选择热洗涤方法的可在其之前不作消毒预处理。 </w:t>
      </w:r>
    </w:p>
    <w:p w14:paraId="4830D3B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7）专机洗涤设备应有相应标识。</w:t>
      </w:r>
    </w:p>
    <w:p w14:paraId="76FA7406">
      <w:pPr>
        <w:adjustRightInd w:val="0"/>
        <w:snapToGrid w:val="0"/>
        <w:spacing w:line="380" w:lineRule="exact"/>
        <w:ind w:firstLine="210" w:firstLineChars="100"/>
        <w:rPr>
          <w:rFonts w:ascii="宋体" w:hAnsi="宋体" w:cs="宋体"/>
          <w:szCs w:val="21"/>
          <w:highlight w:val="none"/>
        </w:rPr>
      </w:pPr>
      <w:r>
        <w:rPr>
          <w:rFonts w:hint="eastAsia" w:ascii="宋体" w:hAnsi="宋体" w:cs="宋体"/>
          <w:szCs w:val="21"/>
          <w:highlight w:val="none"/>
        </w:rPr>
        <w:t>（2）感染性医用织物</w:t>
      </w:r>
    </w:p>
    <w:p w14:paraId="4D5712B5">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1）按脏污医用织物</w:t>
      </w:r>
    </w:p>
    <w:p w14:paraId="0D917AE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2）应遵循先消毒后洗涤的原则，或选择洗涤与消毒同时进行的方式。</w:t>
      </w:r>
    </w:p>
    <w:p w14:paraId="4D0C314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3）不应手工洗涤。 </w:t>
      </w:r>
    </w:p>
    <w:p w14:paraId="7266A7C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4）宜采用专机洗涤、消毒，首选热洗涤方法。 </w:t>
      </w:r>
    </w:p>
    <w:p w14:paraId="151C012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5）盛装感染性医用织物的水溶性一次性医疗废物包装袋不应开包，应在密闭状态下直接投入洗涤设备中。 </w:t>
      </w:r>
    </w:p>
    <w:p w14:paraId="4DA92966">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6）对不耐热的感染性医用织物宜在预洗环节同时进行消毒预处理，或在其之前选择物理/化学消毒方法进行消毒预处理。</w:t>
      </w:r>
    </w:p>
    <w:p w14:paraId="15737CD5">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7）被朊病毒污染以及气性坏疽、突发不明原因传染病的病原体污染或其他传染病有明确规定的感染性医用织物，若需重复使用的应先作消毒或灭菌处理后再进行洗涤。</w:t>
      </w:r>
    </w:p>
    <w:p w14:paraId="02C392D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4.烘干与整理过程 </w:t>
      </w:r>
    </w:p>
    <w:p w14:paraId="62E9DBC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（1）医用织物洗涤后宜按医用织物种类选择进行熨烫或烘干，烘干温度应不低于60℃。 </w:t>
      </w:r>
    </w:p>
    <w:p w14:paraId="01E8ADCF">
      <w:pPr>
        <w:adjustRightInd w:val="0"/>
        <w:snapToGrid w:val="0"/>
        <w:spacing w:line="380" w:lineRule="exact"/>
        <w:ind w:firstLine="412" w:firstLineChars="200"/>
        <w:rPr>
          <w:rFonts w:ascii="宋体" w:hAnsi="宋体" w:cs="宋体"/>
          <w:spacing w:val="-2"/>
          <w:szCs w:val="21"/>
          <w:highlight w:val="none"/>
        </w:rPr>
      </w:pPr>
      <w:r>
        <w:rPr>
          <w:rFonts w:hint="eastAsia" w:ascii="宋体" w:hAnsi="宋体" w:cs="宋体"/>
          <w:spacing w:val="-2"/>
          <w:szCs w:val="21"/>
          <w:highlight w:val="none"/>
        </w:rPr>
        <w:t xml:space="preserve">（2）洗涤后清洁医用织物整理主要包括熨烫、修补、折叠过程，其过程应严防洗涤后清洁医用织物的二次污染。为避免医用织物损伤和过度缩水，清洁医用织物熨烫时的平烫机底面温度不宜超过180℃。 </w:t>
      </w:r>
    </w:p>
    <w:p w14:paraId="357A76B7">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（3）烘干及其整理过程中应进行质量控制，如烘干前应检查洗涤后的清洁医用织物是否干净，发现仍有污渍的医用织物需重新进行洗涤等。</w:t>
      </w:r>
    </w:p>
    <w:p w14:paraId="35F0AB4F">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六、清洁医用织物洗涤（消毒）卫生质量要求</w:t>
      </w:r>
    </w:p>
    <w:p w14:paraId="73A53E4F">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1.指标要求 </w:t>
      </w:r>
    </w:p>
    <w:p w14:paraId="445CBBE6">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1）洗涤后的医用织物外观整洁，干燥，无污渍，无异味，无异物，无破损，无串色。</w:t>
      </w:r>
    </w:p>
    <w:p w14:paraId="2FF3EBB2">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2）具有缝补价值的布类，使用合适的缝布、缝针、缝线、钮扣及缝补方式给予缝补，缝补后的布类实用、美观、保持原用途。</w:t>
      </w:r>
    </w:p>
    <w:p w14:paraId="5226EE1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3）按布类不同的折叠方法进行折叠，折叠后按型号分类捆扎或打包放置（衣裤类、被套、大单类、中单类10件/捆；枕头套类、布巾类20件/捆）</w:t>
      </w:r>
    </w:p>
    <w:p w14:paraId="41023081">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4）产科、妇科、新生儿科独立包装。</w:t>
      </w:r>
    </w:p>
    <w:p w14:paraId="7E734E9A">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5）清洁医用织物表面的pH值应达到 6.5～7.5。</w:t>
      </w:r>
    </w:p>
    <w:p w14:paraId="66FA404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6）洗涤、消毒后的医用织物微生物指标应符合检测要求。</w:t>
      </w:r>
    </w:p>
    <w:p w14:paraId="3358E76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2.检测要求 </w:t>
      </w:r>
    </w:p>
    <w:p w14:paraId="3BF97CC0">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1）清洁医用织物洗涤质量的感观指标应每批次进行检查。</w:t>
      </w:r>
    </w:p>
    <w:p w14:paraId="3885EF9E">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 pH值指标应根据工作需要进行测定。</w:t>
      </w:r>
    </w:p>
    <w:p w14:paraId="3C7CF19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 xml:space="preserve">3）微生物指标每年抽检应不少于2次。 </w:t>
      </w:r>
    </w:p>
    <w:p w14:paraId="6DE16271">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 xml:space="preserve">七、医用织物洗涤量核算规定  </w:t>
      </w:r>
    </w:p>
    <w:p w14:paraId="06CAE004">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医院医用织物管理人员与洗涤公司必须真实客观按月统计洗涤数量、金额后交后勤科审核，再依次交财务科、分管领导审核签字。乙方在提交洗涤数量单据时，如发现虚报、重复计费、擅自提高单价等弄虚作假行为，首次罚款1000元，第二次翻2倍，第三次翻4倍，以此类推。</w:t>
      </w:r>
    </w:p>
    <w:p w14:paraId="1DE4A16E">
      <w:pPr>
        <w:adjustRightInd w:val="0"/>
        <w:snapToGri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八、医用织物洗涤质量控质规定</w:t>
      </w:r>
    </w:p>
    <w:p w14:paraId="4F23A03C">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1.多部门定期对科室进行督查，发现科室对使用后医用织物未按医用织物储存、收集规定执行；送洗、接收医用织物未与公司工人清点核对数量；送洗工作服前，未将工作服之外的物件清理干净，造成医用织物污染或损坏的，反馈到护理部及相关部门进行质控。</w:t>
      </w:r>
    </w:p>
    <w:p w14:paraId="00316EB3">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2.任何部门将医用织物丢失或作他用（非临床诊疗使用）后造成医用织物脏、破损等由当事人、当事部门负责领取新的赔付。</w:t>
      </w:r>
    </w:p>
    <w:p w14:paraId="2E9DB4CD">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3.医院主管部门每月，多部门定期对公司的医用织物洗涤、消毒等服务质量进行考核（见《医用织物洗涤质量考核标准》）。每月至少抽查清洁医用织物100床（件）；特殊情况根据某时段反映突出的问题重点抽查，直到问题得到彻底整改为止。所有抽查分累加，计入当月洗涤质量控制考核，付费时扣除。</w:t>
      </w:r>
    </w:p>
    <w:p w14:paraId="2A90F8BE">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4.定期对公司的医用织物洗涤、消毒等服务进行满意度调查，主管部门、护理部、各病区、各部门的医、技、护人员、住院患者对医用织物洗涤、收送服务质量满意度≥90%。</w:t>
      </w:r>
    </w:p>
    <w:p w14:paraId="0D67B01B">
      <w:pPr>
        <w:adjustRightInd w:val="0"/>
        <w:snapToGrid w:val="0"/>
        <w:spacing w:line="380" w:lineRule="exact"/>
        <w:ind w:firstLine="420" w:firstLineChars="200"/>
        <w:rPr>
          <w:rFonts w:ascii="宋体" w:hAnsi="宋体" w:cs="宋体"/>
          <w:szCs w:val="21"/>
          <w:highlight w:val="none"/>
        </w:rPr>
      </w:pPr>
      <w:r>
        <w:rPr>
          <w:rFonts w:hint="eastAsia" w:ascii="宋体" w:hAnsi="宋体" w:cs="宋体"/>
          <w:szCs w:val="21"/>
          <w:highlight w:val="none"/>
        </w:rPr>
        <w:t>以上规定请各科室、各工作人员监督、执行，并配合洗涤公司做好换洗工作。</w:t>
      </w:r>
    </w:p>
    <w:p w14:paraId="6C6CD8B8">
      <w:pPr>
        <w:widowControl/>
        <w:adjustRightInd w:val="0"/>
        <w:snapToGrid w:val="0"/>
        <w:spacing w:line="300" w:lineRule="exact"/>
        <w:rPr>
          <w:rFonts w:ascii="宋体" w:hAnsi="宋体" w:cs="宋体"/>
          <w:b/>
          <w:kern w:val="0"/>
          <w:sz w:val="28"/>
          <w:szCs w:val="28"/>
          <w:highlight w:val="none"/>
        </w:rPr>
      </w:pPr>
    </w:p>
    <w:p w14:paraId="05B9A934">
      <w:pPr>
        <w:rPr>
          <w:rFonts w:hint="eastAsia" w:ascii="宋体" w:hAnsi="宋体" w:eastAsia="宋体" w:cs="宋体"/>
          <w:bCs/>
          <w:sz w:val="21"/>
          <w:highlight w:val="none"/>
          <w:u w:val="single"/>
        </w:rPr>
      </w:pPr>
      <w:r>
        <w:rPr>
          <w:rFonts w:hint="eastAsia" w:ascii="宋体" w:hAnsi="宋体" w:eastAsia="宋体" w:cs="宋体"/>
          <w:bCs/>
          <w:sz w:val="21"/>
          <w:highlight w:val="none"/>
          <w:u w:val="single"/>
        </w:rPr>
        <w:br w:type="page"/>
      </w:r>
    </w:p>
    <w:p w14:paraId="13FCCB03">
      <w:pPr>
        <w:widowControl/>
        <w:adjustRightInd w:val="0"/>
        <w:snapToGrid w:val="0"/>
        <w:spacing w:line="300" w:lineRule="exact"/>
        <w:rPr>
          <w:rFonts w:ascii="宋体" w:hAnsi="宋体" w:cs="宋体"/>
          <w:b/>
          <w:kern w:val="0"/>
          <w:sz w:val="28"/>
          <w:szCs w:val="28"/>
          <w:highlight w:val="none"/>
        </w:rPr>
      </w:pPr>
      <w:r>
        <w:rPr>
          <w:rFonts w:hint="eastAsia" w:ascii="宋体" w:hAnsi="宋体" w:cs="宋体"/>
          <w:b/>
          <w:kern w:val="0"/>
          <w:sz w:val="28"/>
          <w:szCs w:val="28"/>
          <w:highlight w:val="none"/>
        </w:rPr>
        <w:t xml:space="preserve">附件三                 </w:t>
      </w:r>
    </w:p>
    <w:p w14:paraId="536CB8D0">
      <w:pPr>
        <w:widowControl/>
        <w:adjustRightInd w:val="0"/>
        <w:snapToGrid w:val="0"/>
        <w:spacing w:line="300" w:lineRule="exact"/>
        <w:ind w:firstLine="275" w:firstLineChars="98"/>
        <w:jc w:val="center"/>
        <w:rPr>
          <w:rFonts w:ascii="宋体" w:hAnsi="宋体" w:cs="宋体"/>
          <w:b/>
          <w:kern w:val="0"/>
          <w:sz w:val="28"/>
          <w:szCs w:val="28"/>
          <w:highlight w:val="none"/>
        </w:rPr>
      </w:pPr>
      <w:r>
        <w:rPr>
          <w:rFonts w:hint="eastAsia" w:ascii="宋体" w:hAnsi="宋体" w:cs="宋体"/>
          <w:b/>
          <w:kern w:val="0"/>
          <w:sz w:val="28"/>
          <w:szCs w:val="28"/>
          <w:highlight w:val="none"/>
        </w:rPr>
        <w:t>医用织物洗涤质量考核标准</w:t>
      </w:r>
    </w:p>
    <w:p w14:paraId="3E36B720">
      <w:pPr>
        <w:widowControl/>
        <w:adjustRightInd w:val="0"/>
        <w:snapToGrid w:val="0"/>
        <w:spacing w:line="300" w:lineRule="exact"/>
        <w:ind w:firstLine="723" w:firstLineChars="300"/>
        <w:rPr>
          <w:rFonts w:ascii="宋体" w:hAnsi="宋体" w:cs="宋体"/>
          <w:b/>
          <w:kern w:val="0"/>
          <w:sz w:val="28"/>
          <w:szCs w:val="28"/>
          <w:highlight w:val="none"/>
        </w:rPr>
      </w:pPr>
      <w:r>
        <w:rPr>
          <w:rFonts w:hint="eastAsia" w:ascii="宋体" w:hAnsi="宋体" w:cs="宋体"/>
          <w:b/>
          <w:kern w:val="0"/>
          <w:sz w:val="24"/>
          <w:highlight w:val="none"/>
        </w:rPr>
        <w:t>日期：                                                   考核者：</w:t>
      </w:r>
    </w:p>
    <w:tbl>
      <w:tblPr>
        <w:tblStyle w:val="30"/>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4020"/>
        <w:gridCol w:w="3385"/>
        <w:gridCol w:w="785"/>
        <w:gridCol w:w="881"/>
      </w:tblGrid>
      <w:tr w14:paraId="1F43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09" w:type="dxa"/>
            <w:tcBorders>
              <w:top w:val="single" w:color="auto" w:sz="4" w:space="0"/>
              <w:left w:val="single" w:color="auto" w:sz="4" w:space="0"/>
              <w:bottom w:val="single" w:color="auto" w:sz="4" w:space="0"/>
              <w:right w:val="single" w:color="auto" w:sz="4" w:space="0"/>
            </w:tcBorders>
            <w:vAlign w:val="center"/>
          </w:tcPr>
          <w:p w14:paraId="6A96A180">
            <w:pPr>
              <w:widowControl/>
              <w:adjustRightInd w:val="0"/>
              <w:snapToGrid w:val="0"/>
              <w:spacing w:line="260" w:lineRule="exact"/>
              <w:ind w:right="-107" w:rightChars="-51"/>
              <w:jc w:val="center"/>
              <w:rPr>
                <w:rFonts w:ascii="宋体" w:hAnsi="宋体" w:cs="宋体"/>
                <w:b/>
                <w:kern w:val="0"/>
                <w:szCs w:val="21"/>
                <w:highlight w:val="none"/>
              </w:rPr>
            </w:pPr>
            <w:r>
              <w:rPr>
                <w:rFonts w:hint="eastAsia" w:ascii="宋体" w:hAnsi="宋体" w:cs="宋体"/>
                <w:b/>
                <w:kern w:val="0"/>
                <w:szCs w:val="21"/>
                <w:highlight w:val="none"/>
              </w:rPr>
              <w:t>项目</w:t>
            </w:r>
          </w:p>
        </w:tc>
        <w:tc>
          <w:tcPr>
            <w:tcW w:w="4020" w:type="dxa"/>
            <w:tcBorders>
              <w:top w:val="single" w:color="auto" w:sz="4" w:space="0"/>
              <w:left w:val="single" w:color="auto" w:sz="4" w:space="0"/>
              <w:bottom w:val="single" w:color="auto" w:sz="4" w:space="0"/>
              <w:right w:val="single" w:color="auto" w:sz="4" w:space="0"/>
            </w:tcBorders>
            <w:vAlign w:val="center"/>
          </w:tcPr>
          <w:p w14:paraId="0A8595C6">
            <w:pPr>
              <w:widowControl/>
              <w:adjustRightInd w:val="0"/>
              <w:snapToGrid w:val="0"/>
              <w:spacing w:line="260" w:lineRule="exact"/>
              <w:jc w:val="center"/>
              <w:rPr>
                <w:rFonts w:ascii="宋体" w:hAnsi="宋体" w:cs="宋体"/>
                <w:b/>
                <w:kern w:val="0"/>
                <w:szCs w:val="21"/>
                <w:highlight w:val="none"/>
              </w:rPr>
            </w:pPr>
            <w:r>
              <w:rPr>
                <w:rFonts w:hint="eastAsia" w:ascii="宋体" w:hAnsi="宋体" w:cs="宋体"/>
                <w:b/>
                <w:kern w:val="0"/>
                <w:szCs w:val="21"/>
                <w:highlight w:val="none"/>
              </w:rPr>
              <w:t>考核项目</w:t>
            </w:r>
          </w:p>
        </w:tc>
        <w:tc>
          <w:tcPr>
            <w:tcW w:w="3385" w:type="dxa"/>
            <w:tcBorders>
              <w:top w:val="single" w:color="auto" w:sz="4" w:space="0"/>
              <w:left w:val="single" w:color="auto" w:sz="4" w:space="0"/>
              <w:bottom w:val="single" w:color="auto" w:sz="4" w:space="0"/>
              <w:right w:val="single" w:color="auto" w:sz="4" w:space="0"/>
            </w:tcBorders>
            <w:vAlign w:val="center"/>
          </w:tcPr>
          <w:p w14:paraId="18FDC60C">
            <w:pPr>
              <w:widowControl/>
              <w:adjustRightInd w:val="0"/>
              <w:snapToGrid w:val="0"/>
              <w:spacing w:line="260" w:lineRule="exact"/>
              <w:jc w:val="center"/>
              <w:rPr>
                <w:rFonts w:ascii="宋体" w:hAnsi="宋体" w:cs="宋体"/>
                <w:b/>
                <w:kern w:val="0"/>
                <w:szCs w:val="21"/>
                <w:highlight w:val="none"/>
              </w:rPr>
            </w:pPr>
            <w:r>
              <w:rPr>
                <w:rFonts w:hint="eastAsia" w:ascii="宋体" w:hAnsi="宋体" w:cs="宋体"/>
                <w:b/>
                <w:kern w:val="0"/>
                <w:szCs w:val="21"/>
                <w:highlight w:val="none"/>
              </w:rPr>
              <w:t>检查考核标准</w:t>
            </w:r>
          </w:p>
        </w:tc>
        <w:tc>
          <w:tcPr>
            <w:tcW w:w="785" w:type="dxa"/>
            <w:tcBorders>
              <w:top w:val="single" w:color="auto" w:sz="4" w:space="0"/>
              <w:left w:val="single" w:color="auto" w:sz="4" w:space="0"/>
              <w:bottom w:val="single" w:color="auto" w:sz="4" w:space="0"/>
              <w:right w:val="single" w:color="auto" w:sz="4" w:space="0"/>
            </w:tcBorders>
            <w:vAlign w:val="center"/>
          </w:tcPr>
          <w:p w14:paraId="4F0897AB">
            <w:pPr>
              <w:widowControl/>
              <w:adjustRightInd w:val="0"/>
              <w:snapToGrid w:val="0"/>
              <w:spacing w:line="260" w:lineRule="exact"/>
              <w:jc w:val="center"/>
              <w:rPr>
                <w:rFonts w:ascii="宋体" w:hAnsi="宋体" w:cs="宋体"/>
                <w:b/>
                <w:kern w:val="0"/>
                <w:szCs w:val="21"/>
                <w:highlight w:val="none"/>
              </w:rPr>
            </w:pPr>
            <w:r>
              <w:rPr>
                <w:rFonts w:hint="eastAsia" w:ascii="宋体" w:hAnsi="宋体" w:cs="宋体"/>
                <w:b/>
                <w:kern w:val="0"/>
                <w:szCs w:val="21"/>
                <w:highlight w:val="none"/>
              </w:rPr>
              <w:t>扣分说明</w:t>
            </w:r>
          </w:p>
        </w:tc>
        <w:tc>
          <w:tcPr>
            <w:tcW w:w="881" w:type="dxa"/>
            <w:tcBorders>
              <w:top w:val="single" w:color="auto" w:sz="4" w:space="0"/>
              <w:left w:val="single" w:color="auto" w:sz="4" w:space="0"/>
              <w:bottom w:val="single" w:color="auto" w:sz="4" w:space="0"/>
              <w:right w:val="single" w:color="auto" w:sz="4" w:space="0"/>
            </w:tcBorders>
            <w:vAlign w:val="center"/>
          </w:tcPr>
          <w:p w14:paraId="54F629B8">
            <w:pPr>
              <w:widowControl/>
              <w:adjustRightInd w:val="0"/>
              <w:snapToGrid w:val="0"/>
              <w:spacing w:line="260" w:lineRule="exact"/>
              <w:jc w:val="left"/>
              <w:rPr>
                <w:rFonts w:ascii="宋体" w:hAnsi="宋体" w:cs="宋体"/>
                <w:b/>
                <w:kern w:val="0"/>
                <w:szCs w:val="21"/>
                <w:highlight w:val="none"/>
              </w:rPr>
            </w:pPr>
            <w:r>
              <w:rPr>
                <w:rFonts w:hint="eastAsia" w:ascii="宋体" w:hAnsi="宋体" w:cs="宋体"/>
                <w:b/>
                <w:kern w:val="0"/>
                <w:szCs w:val="21"/>
                <w:highlight w:val="none"/>
              </w:rPr>
              <w:t>扣分</w:t>
            </w:r>
          </w:p>
        </w:tc>
      </w:tr>
      <w:tr w14:paraId="6180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03B270F9">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w:t>
            </w:r>
          </w:p>
        </w:tc>
        <w:tc>
          <w:tcPr>
            <w:tcW w:w="4020" w:type="dxa"/>
            <w:tcBorders>
              <w:top w:val="single" w:color="auto" w:sz="4" w:space="0"/>
              <w:left w:val="single" w:color="auto" w:sz="4" w:space="0"/>
              <w:bottom w:val="single" w:color="auto" w:sz="4" w:space="0"/>
              <w:right w:val="single" w:color="auto" w:sz="4" w:space="0"/>
            </w:tcBorders>
            <w:vAlign w:val="center"/>
          </w:tcPr>
          <w:p w14:paraId="1E0BF1A5">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spacing w:val="-11"/>
                <w:kern w:val="0"/>
                <w:szCs w:val="21"/>
                <w:highlight w:val="none"/>
              </w:rPr>
              <w:t>统一着装，</w:t>
            </w:r>
            <w:r>
              <w:rPr>
                <w:rFonts w:hint="eastAsia" w:cs="宋体" w:asciiTheme="majorEastAsia" w:hAnsiTheme="majorEastAsia" w:eastAsiaTheme="majorEastAsia"/>
                <w:kern w:val="0"/>
                <w:szCs w:val="21"/>
                <w:highlight w:val="none"/>
              </w:rPr>
              <w:t>整洁，挂牌上岗，</w:t>
            </w:r>
            <w:r>
              <w:rPr>
                <w:rFonts w:hint="eastAsia" w:cs="宋体" w:asciiTheme="majorEastAsia" w:hAnsiTheme="majorEastAsia" w:eastAsiaTheme="majorEastAsia"/>
                <w:szCs w:val="21"/>
                <w:highlight w:val="none"/>
              </w:rPr>
              <w:t>不穿工作服到院外，</w:t>
            </w:r>
            <w:r>
              <w:rPr>
                <w:rFonts w:hint="eastAsia" w:cs="宋体" w:asciiTheme="majorEastAsia" w:hAnsiTheme="majorEastAsia" w:eastAsiaTheme="majorEastAsia"/>
                <w:kern w:val="0"/>
                <w:szCs w:val="21"/>
                <w:highlight w:val="none"/>
              </w:rPr>
              <w:t>礼貌待人，服务热情，不与医护人员及病人发生争执</w:t>
            </w:r>
          </w:p>
        </w:tc>
        <w:tc>
          <w:tcPr>
            <w:tcW w:w="3385" w:type="dxa"/>
            <w:tcBorders>
              <w:top w:val="single" w:color="auto" w:sz="4" w:space="0"/>
              <w:left w:val="single" w:color="auto" w:sz="4" w:space="0"/>
              <w:bottom w:val="single" w:color="auto" w:sz="4" w:space="0"/>
              <w:right w:val="single" w:color="auto" w:sz="4" w:space="0"/>
            </w:tcBorders>
            <w:vAlign w:val="center"/>
          </w:tcPr>
          <w:p w14:paraId="44A4817E">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每项每次不合要求扣0.1分，穿工作服到院外每次扣0.6分；发生争执扣1分。</w:t>
            </w:r>
          </w:p>
        </w:tc>
        <w:tc>
          <w:tcPr>
            <w:tcW w:w="785" w:type="dxa"/>
            <w:tcBorders>
              <w:top w:val="single" w:color="auto" w:sz="4" w:space="0"/>
              <w:left w:val="single" w:color="auto" w:sz="4" w:space="0"/>
              <w:bottom w:val="single" w:color="auto" w:sz="4" w:space="0"/>
              <w:right w:val="single" w:color="auto" w:sz="4" w:space="0"/>
            </w:tcBorders>
          </w:tcPr>
          <w:p w14:paraId="59C7D7CD">
            <w:pPr>
              <w:widowControl/>
              <w:adjustRightInd w:val="0"/>
              <w:snapToGrid w:val="0"/>
              <w:spacing w:line="260" w:lineRule="exact"/>
              <w:rPr>
                <w:rFonts w:ascii="宋体" w:hAnsi="宋体" w:cs="宋体"/>
                <w:snapToGrid w:val="0"/>
                <w:spacing w:val="-1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6C78BAAB">
            <w:pPr>
              <w:widowControl/>
              <w:adjustRightInd w:val="0"/>
              <w:snapToGrid w:val="0"/>
              <w:spacing w:line="260" w:lineRule="exact"/>
              <w:rPr>
                <w:rFonts w:ascii="宋体" w:hAnsi="宋体" w:cs="宋体"/>
                <w:snapToGrid w:val="0"/>
                <w:kern w:val="0"/>
                <w:szCs w:val="21"/>
                <w:highlight w:val="none"/>
              </w:rPr>
            </w:pPr>
          </w:p>
        </w:tc>
      </w:tr>
      <w:tr w14:paraId="703F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609" w:type="dxa"/>
            <w:tcBorders>
              <w:top w:val="single" w:color="auto" w:sz="4" w:space="0"/>
              <w:left w:val="single" w:color="auto" w:sz="4" w:space="0"/>
              <w:bottom w:val="single" w:color="auto" w:sz="4" w:space="0"/>
              <w:right w:val="single" w:color="auto" w:sz="4" w:space="0"/>
            </w:tcBorders>
            <w:vAlign w:val="center"/>
          </w:tcPr>
          <w:p w14:paraId="02898512">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2</w:t>
            </w:r>
          </w:p>
        </w:tc>
        <w:tc>
          <w:tcPr>
            <w:tcW w:w="4020" w:type="dxa"/>
            <w:tcBorders>
              <w:top w:val="single" w:color="auto" w:sz="4" w:space="0"/>
              <w:left w:val="single" w:color="auto" w:sz="4" w:space="0"/>
              <w:bottom w:val="single" w:color="auto" w:sz="4" w:space="0"/>
              <w:right w:val="single" w:color="auto" w:sz="4" w:space="0"/>
            </w:tcBorders>
            <w:vAlign w:val="center"/>
          </w:tcPr>
          <w:p w14:paraId="4A088738">
            <w:pPr>
              <w:widowControl/>
              <w:adjustRightInd w:val="0"/>
              <w:snapToGrid w:val="0"/>
              <w:spacing w:line="260" w:lineRule="exact"/>
              <w:jc w:val="center"/>
              <w:rPr>
                <w:rFonts w:cs="宋体" w:asciiTheme="majorEastAsia" w:hAnsiTheme="majorEastAsia" w:eastAsiaTheme="majorEastAsia"/>
                <w:snapToGrid w:val="0"/>
                <w:spacing w:val="-6"/>
                <w:kern w:val="0"/>
                <w:szCs w:val="21"/>
                <w:highlight w:val="none"/>
              </w:rPr>
            </w:pPr>
            <w:r>
              <w:rPr>
                <w:rFonts w:hint="eastAsia" w:cs="宋体" w:asciiTheme="majorEastAsia" w:hAnsiTheme="majorEastAsia" w:eastAsiaTheme="majorEastAsia"/>
                <w:spacing w:val="-6"/>
                <w:kern w:val="0"/>
                <w:szCs w:val="21"/>
                <w:highlight w:val="none"/>
              </w:rPr>
              <w:t>具有完善的规章制度（包括</w:t>
            </w:r>
            <w:r>
              <w:rPr>
                <w:rFonts w:hint="eastAsia" w:cs="宋体" w:asciiTheme="majorEastAsia" w:hAnsiTheme="majorEastAsia" w:eastAsiaTheme="majorEastAsia"/>
                <w:szCs w:val="21"/>
                <w:highlight w:val="none"/>
              </w:rPr>
              <w:t>各岗位职责及工作</w:t>
            </w:r>
            <w:r>
              <w:rPr>
                <w:rFonts w:hint="eastAsia" w:cs="宋体" w:asciiTheme="majorEastAsia" w:hAnsiTheme="majorEastAsia" w:eastAsiaTheme="majorEastAsia"/>
                <w:kern w:val="0"/>
                <w:szCs w:val="21"/>
                <w:highlight w:val="none"/>
              </w:rPr>
              <w:t>流程，</w:t>
            </w:r>
            <w:r>
              <w:rPr>
                <w:rFonts w:hint="eastAsia" w:cs="宋体" w:asciiTheme="majorEastAsia" w:hAnsiTheme="majorEastAsia" w:eastAsiaTheme="majorEastAsia"/>
                <w:szCs w:val="21"/>
                <w:highlight w:val="none"/>
              </w:rPr>
              <w:t>洗涤规程，洗衣房管理制度，被服洗涤消毒隔离和质量监管制度，</w:t>
            </w:r>
            <w:r>
              <w:rPr>
                <w:rFonts w:hint="eastAsia" w:cs="宋体" w:asciiTheme="majorEastAsia" w:hAnsiTheme="majorEastAsia" w:eastAsiaTheme="majorEastAsia"/>
                <w:kern w:val="0"/>
                <w:szCs w:val="21"/>
                <w:highlight w:val="none"/>
              </w:rPr>
              <w:t>对员工的考核、奖惩制度，</w:t>
            </w:r>
            <w:r>
              <w:rPr>
                <w:rFonts w:hint="eastAsia" w:cs="宋体" w:asciiTheme="majorEastAsia" w:hAnsiTheme="majorEastAsia" w:eastAsiaTheme="majorEastAsia"/>
                <w:szCs w:val="21"/>
                <w:highlight w:val="none"/>
              </w:rPr>
              <w:t>信息反馈处理制度，</w:t>
            </w:r>
            <w:r>
              <w:rPr>
                <w:rFonts w:hint="eastAsia" w:cs="宋体" w:asciiTheme="majorEastAsia" w:hAnsiTheme="majorEastAsia" w:eastAsiaTheme="majorEastAsia"/>
                <w:kern w:val="0"/>
                <w:szCs w:val="21"/>
                <w:highlight w:val="none"/>
              </w:rPr>
              <w:t>培训方案</w:t>
            </w:r>
            <w:r>
              <w:rPr>
                <w:rFonts w:hint="eastAsia" w:cs="宋体" w:asciiTheme="majorEastAsia" w:hAnsiTheme="majorEastAsia" w:eastAsiaTheme="majorEastAsia"/>
                <w:szCs w:val="21"/>
                <w:highlight w:val="none"/>
              </w:rPr>
              <w:t>等各项规章制度）；</w:t>
            </w:r>
            <w:r>
              <w:rPr>
                <w:rFonts w:hint="eastAsia" w:cs="宋体" w:asciiTheme="majorEastAsia" w:hAnsiTheme="majorEastAsia" w:eastAsiaTheme="majorEastAsia"/>
                <w:spacing w:val="-6"/>
                <w:kern w:val="0"/>
                <w:szCs w:val="21"/>
                <w:highlight w:val="none"/>
                <w:shd w:val="clear" w:color="auto" w:fill="FFFFFF"/>
              </w:rPr>
              <w:t>严格遵守法律法规、医院及公司制度</w:t>
            </w:r>
            <w:r>
              <w:rPr>
                <w:rFonts w:hint="eastAsia" w:cs="宋体" w:asciiTheme="majorEastAsia" w:hAnsiTheme="majorEastAsia" w:eastAsiaTheme="majorEastAsia"/>
                <w:spacing w:val="-6"/>
                <w:szCs w:val="21"/>
                <w:highlight w:val="none"/>
                <w:shd w:val="clear" w:color="auto" w:fill="FFFFFF"/>
              </w:rPr>
              <w:t>、操作规程、工作流程等</w:t>
            </w:r>
            <w:r>
              <w:rPr>
                <w:rFonts w:hint="eastAsia" w:cs="宋体" w:asciiTheme="majorEastAsia" w:hAnsiTheme="majorEastAsia" w:eastAsiaTheme="majorEastAsia"/>
                <w:spacing w:val="-6"/>
                <w:kern w:val="0"/>
                <w:szCs w:val="21"/>
                <w:highlight w:val="none"/>
                <w:shd w:val="clear" w:color="auto" w:fill="FFFFFF"/>
              </w:rPr>
              <w:t>。</w:t>
            </w:r>
          </w:p>
        </w:tc>
        <w:tc>
          <w:tcPr>
            <w:tcW w:w="3385" w:type="dxa"/>
            <w:tcBorders>
              <w:top w:val="single" w:color="auto" w:sz="4" w:space="0"/>
              <w:left w:val="single" w:color="auto" w:sz="4" w:space="0"/>
              <w:bottom w:val="single" w:color="auto" w:sz="4" w:space="0"/>
              <w:right w:val="single" w:color="auto" w:sz="4" w:space="0"/>
            </w:tcBorders>
            <w:vAlign w:val="center"/>
          </w:tcPr>
          <w:p w14:paraId="087FDDD7">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spacing w:val="-6"/>
                <w:kern w:val="0"/>
                <w:szCs w:val="21"/>
                <w:highlight w:val="none"/>
              </w:rPr>
              <w:t>每缺1项扣1分；每违反1次，视情节轻重扣1-2分；给医院造成不良影响视情节轻重扣10-20分。</w:t>
            </w:r>
          </w:p>
        </w:tc>
        <w:tc>
          <w:tcPr>
            <w:tcW w:w="785" w:type="dxa"/>
            <w:tcBorders>
              <w:top w:val="single" w:color="auto" w:sz="4" w:space="0"/>
              <w:left w:val="single" w:color="auto" w:sz="4" w:space="0"/>
              <w:bottom w:val="single" w:color="auto" w:sz="4" w:space="0"/>
              <w:right w:val="single" w:color="auto" w:sz="4" w:space="0"/>
            </w:tcBorders>
          </w:tcPr>
          <w:p w14:paraId="69F40E72">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129B8A52">
            <w:pPr>
              <w:widowControl/>
              <w:adjustRightInd w:val="0"/>
              <w:snapToGrid w:val="0"/>
              <w:spacing w:line="260" w:lineRule="exact"/>
              <w:rPr>
                <w:rFonts w:ascii="宋体" w:hAnsi="宋体" w:cs="宋体"/>
                <w:snapToGrid w:val="0"/>
                <w:kern w:val="0"/>
                <w:szCs w:val="21"/>
                <w:highlight w:val="none"/>
              </w:rPr>
            </w:pPr>
          </w:p>
        </w:tc>
      </w:tr>
      <w:tr w14:paraId="0666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643F8730">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3</w:t>
            </w:r>
          </w:p>
        </w:tc>
        <w:tc>
          <w:tcPr>
            <w:tcW w:w="4020" w:type="dxa"/>
            <w:tcBorders>
              <w:top w:val="single" w:color="auto" w:sz="4" w:space="0"/>
              <w:left w:val="single" w:color="auto" w:sz="4" w:space="0"/>
              <w:bottom w:val="single" w:color="auto" w:sz="4" w:space="0"/>
              <w:right w:val="single" w:color="auto" w:sz="4" w:space="0"/>
            </w:tcBorders>
            <w:vAlign w:val="center"/>
          </w:tcPr>
          <w:p w14:paraId="4A55F826">
            <w:pPr>
              <w:widowControl/>
              <w:adjustRightInd w:val="0"/>
              <w:snapToGrid w:val="0"/>
              <w:spacing w:line="260" w:lineRule="exact"/>
              <w:jc w:val="center"/>
              <w:rPr>
                <w:rFonts w:cs="宋体" w:asciiTheme="majorEastAsia" w:hAnsiTheme="majorEastAsia" w:eastAsiaTheme="majorEastAsia"/>
                <w:spacing w:val="-6"/>
                <w:kern w:val="0"/>
                <w:szCs w:val="21"/>
                <w:highlight w:val="none"/>
              </w:rPr>
            </w:pPr>
            <w:r>
              <w:rPr>
                <w:rFonts w:hint="eastAsia" w:cs="宋体" w:asciiTheme="majorEastAsia" w:hAnsiTheme="majorEastAsia" w:eastAsiaTheme="majorEastAsia"/>
                <w:snapToGrid w:val="0"/>
                <w:kern w:val="0"/>
                <w:szCs w:val="21"/>
                <w:highlight w:val="none"/>
              </w:rPr>
              <w:t>制定相应的应急预案，保障突发事件、应急抢救时清洁医用织物的供应，保持电话</w:t>
            </w:r>
            <w:r>
              <w:rPr>
                <w:rFonts w:hint="eastAsia" w:cs="宋体" w:asciiTheme="majorEastAsia" w:hAnsiTheme="majorEastAsia" w:eastAsiaTheme="majorEastAsia"/>
                <w:szCs w:val="21"/>
                <w:highlight w:val="none"/>
              </w:rPr>
              <w:t>24小时</w:t>
            </w:r>
            <w:r>
              <w:rPr>
                <w:rFonts w:hint="eastAsia" w:cs="宋体" w:asciiTheme="majorEastAsia" w:hAnsiTheme="majorEastAsia" w:eastAsiaTheme="majorEastAsia"/>
                <w:snapToGrid w:val="0"/>
                <w:kern w:val="0"/>
                <w:szCs w:val="21"/>
                <w:highlight w:val="none"/>
              </w:rPr>
              <w:t>畅通</w:t>
            </w:r>
          </w:p>
        </w:tc>
        <w:tc>
          <w:tcPr>
            <w:tcW w:w="3385" w:type="dxa"/>
            <w:tcBorders>
              <w:top w:val="single" w:color="auto" w:sz="4" w:space="0"/>
              <w:left w:val="single" w:color="auto" w:sz="4" w:space="0"/>
              <w:bottom w:val="single" w:color="auto" w:sz="4" w:space="0"/>
              <w:right w:val="single" w:color="auto" w:sz="4" w:space="0"/>
            </w:tcBorders>
            <w:vAlign w:val="center"/>
          </w:tcPr>
          <w:p w14:paraId="7C6A036A">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spacing w:val="-4"/>
                <w:kern w:val="0"/>
                <w:szCs w:val="21"/>
                <w:highlight w:val="none"/>
              </w:rPr>
              <w:t>无应急预案扣5分；</w:t>
            </w:r>
            <w:r>
              <w:rPr>
                <w:rFonts w:hint="eastAsia" w:cs="宋体" w:asciiTheme="majorEastAsia" w:hAnsiTheme="majorEastAsia" w:eastAsiaTheme="majorEastAsia"/>
                <w:spacing w:val="-6"/>
                <w:kern w:val="0"/>
                <w:szCs w:val="21"/>
                <w:highlight w:val="none"/>
              </w:rPr>
              <w:t>电话不畅通，</w:t>
            </w:r>
            <w:r>
              <w:rPr>
                <w:rFonts w:hint="eastAsia" w:cs="宋体" w:asciiTheme="majorEastAsia" w:hAnsiTheme="majorEastAsia" w:eastAsiaTheme="majorEastAsia"/>
                <w:snapToGrid w:val="0"/>
                <w:spacing w:val="-6"/>
                <w:kern w:val="0"/>
                <w:szCs w:val="21"/>
                <w:highlight w:val="none"/>
              </w:rPr>
              <w:t>视情节轻重</w:t>
            </w:r>
            <w:r>
              <w:rPr>
                <w:rFonts w:hint="eastAsia" w:cs="宋体" w:asciiTheme="majorEastAsia" w:hAnsiTheme="majorEastAsia" w:eastAsiaTheme="majorEastAsia"/>
                <w:spacing w:val="-6"/>
                <w:kern w:val="0"/>
                <w:szCs w:val="21"/>
                <w:highlight w:val="none"/>
              </w:rPr>
              <w:t>每次</w:t>
            </w:r>
            <w:r>
              <w:rPr>
                <w:rFonts w:hint="eastAsia" w:cs="宋体" w:asciiTheme="majorEastAsia" w:hAnsiTheme="majorEastAsia" w:eastAsiaTheme="majorEastAsia"/>
                <w:snapToGrid w:val="0"/>
                <w:spacing w:val="-6"/>
                <w:kern w:val="0"/>
                <w:szCs w:val="21"/>
                <w:highlight w:val="none"/>
              </w:rPr>
              <w:t>扣1-3分</w:t>
            </w:r>
            <w:r>
              <w:rPr>
                <w:rFonts w:hint="eastAsia" w:cs="宋体" w:asciiTheme="majorEastAsia" w:hAnsiTheme="majorEastAsia" w:eastAsiaTheme="majorEastAsia"/>
                <w:snapToGrid w:val="0"/>
                <w:spacing w:val="-4"/>
                <w:kern w:val="0"/>
                <w:szCs w:val="21"/>
                <w:highlight w:val="none"/>
              </w:rPr>
              <w:t>；严重影响医院诊疗工作，</w:t>
            </w:r>
            <w:r>
              <w:rPr>
                <w:rFonts w:hint="eastAsia" w:cs="宋体" w:asciiTheme="majorEastAsia" w:hAnsiTheme="majorEastAsia" w:eastAsiaTheme="majorEastAsia"/>
                <w:snapToGrid w:val="0"/>
                <w:kern w:val="0"/>
                <w:szCs w:val="21"/>
                <w:highlight w:val="none"/>
              </w:rPr>
              <w:t>按合同相关条款扣款。</w:t>
            </w:r>
          </w:p>
        </w:tc>
        <w:tc>
          <w:tcPr>
            <w:tcW w:w="785" w:type="dxa"/>
            <w:tcBorders>
              <w:top w:val="single" w:color="auto" w:sz="4" w:space="0"/>
              <w:left w:val="single" w:color="auto" w:sz="4" w:space="0"/>
              <w:bottom w:val="single" w:color="auto" w:sz="4" w:space="0"/>
              <w:right w:val="single" w:color="auto" w:sz="4" w:space="0"/>
            </w:tcBorders>
          </w:tcPr>
          <w:p w14:paraId="4876C5F9">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202B2906">
            <w:pPr>
              <w:widowControl/>
              <w:adjustRightInd w:val="0"/>
              <w:snapToGrid w:val="0"/>
              <w:spacing w:line="260" w:lineRule="exact"/>
              <w:rPr>
                <w:rFonts w:ascii="宋体" w:hAnsi="宋体" w:cs="宋体"/>
                <w:snapToGrid w:val="0"/>
                <w:kern w:val="0"/>
                <w:szCs w:val="21"/>
                <w:highlight w:val="none"/>
              </w:rPr>
            </w:pPr>
          </w:p>
        </w:tc>
      </w:tr>
      <w:tr w14:paraId="24EF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23CE94C0">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4</w:t>
            </w:r>
          </w:p>
        </w:tc>
        <w:tc>
          <w:tcPr>
            <w:tcW w:w="4020" w:type="dxa"/>
            <w:tcBorders>
              <w:top w:val="single" w:color="auto" w:sz="4" w:space="0"/>
              <w:left w:val="single" w:color="auto" w:sz="4" w:space="0"/>
              <w:bottom w:val="single" w:color="auto" w:sz="4" w:space="0"/>
              <w:right w:val="single" w:color="auto" w:sz="4" w:space="0"/>
            </w:tcBorders>
            <w:vAlign w:val="center"/>
          </w:tcPr>
          <w:p w14:paraId="10DC68A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使用的洗涤消毒产品符合规定标准</w:t>
            </w:r>
          </w:p>
        </w:tc>
        <w:tc>
          <w:tcPr>
            <w:tcW w:w="3385" w:type="dxa"/>
            <w:tcBorders>
              <w:top w:val="single" w:color="auto" w:sz="4" w:space="0"/>
              <w:left w:val="single" w:color="auto" w:sz="4" w:space="0"/>
              <w:bottom w:val="single" w:color="auto" w:sz="4" w:space="0"/>
              <w:right w:val="single" w:color="auto" w:sz="4" w:space="0"/>
            </w:tcBorders>
            <w:vAlign w:val="center"/>
          </w:tcPr>
          <w:p w14:paraId="23F2C2D8">
            <w:pPr>
              <w:widowControl/>
              <w:tabs>
                <w:tab w:val="left" w:pos="3920"/>
              </w:tabs>
              <w:adjustRightInd w:val="0"/>
              <w:snapToGrid w:val="0"/>
              <w:spacing w:line="260" w:lineRule="exact"/>
              <w:ind w:right="72"/>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不符合规定标准，扣10分。</w:t>
            </w:r>
          </w:p>
        </w:tc>
        <w:tc>
          <w:tcPr>
            <w:tcW w:w="785" w:type="dxa"/>
            <w:tcBorders>
              <w:top w:val="single" w:color="auto" w:sz="4" w:space="0"/>
              <w:left w:val="single" w:color="auto" w:sz="4" w:space="0"/>
              <w:bottom w:val="single" w:color="auto" w:sz="4" w:space="0"/>
              <w:right w:val="single" w:color="auto" w:sz="4" w:space="0"/>
            </w:tcBorders>
            <w:vAlign w:val="center"/>
          </w:tcPr>
          <w:p w14:paraId="7E6891DC">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484B8AB0">
            <w:pPr>
              <w:widowControl/>
              <w:adjustRightInd w:val="0"/>
              <w:snapToGrid w:val="0"/>
              <w:spacing w:line="260" w:lineRule="exact"/>
              <w:ind w:right="-99"/>
              <w:rPr>
                <w:rFonts w:ascii="宋体" w:hAnsi="宋体" w:cs="宋体"/>
                <w:snapToGrid w:val="0"/>
                <w:kern w:val="0"/>
                <w:szCs w:val="21"/>
                <w:highlight w:val="none"/>
              </w:rPr>
            </w:pPr>
          </w:p>
        </w:tc>
      </w:tr>
      <w:tr w14:paraId="2E2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09" w:type="dxa"/>
            <w:tcBorders>
              <w:top w:val="single" w:color="auto" w:sz="4" w:space="0"/>
              <w:left w:val="single" w:color="auto" w:sz="4" w:space="0"/>
              <w:bottom w:val="single" w:color="auto" w:sz="4" w:space="0"/>
              <w:right w:val="single" w:color="auto" w:sz="4" w:space="0"/>
            </w:tcBorders>
            <w:vAlign w:val="center"/>
          </w:tcPr>
          <w:p w14:paraId="66722509">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5</w:t>
            </w:r>
          </w:p>
        </w:tc>
        <w:tc>
          <w:tcPr>
            <w:tcW w:w="4020" w:type="dxa"/>
            <w:tcBorders>
              <w:top w:val="single" w:color="auto" w:sz="4" w:space="0"/>
              <w:left w:val="single" w:color="auto" w:sz="4" w:space="0"/>
              <w:bottom w:val="single" w:color="auto" w:sz="4" w:space="0"/>
              <w:right w:val="single" w:color="auto" w:sz="4" w:space="0"/>
            </w:tcBorders>
            <w:vAlign w:val="center"/>
          </w:tcPr>
          <w:p w14:paraId="020EDB4A">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运输、收送及时，保障医院正常诊疗工作和秩序，运输过程规范，运输工具清洁消毒、摆放整齐。</w:t>
            </w:r>
          </w:p>
        </w:tc>
        <w:tc>
          <w:tcPr>
            <w:tcW w:w="3385" w:type="dxa"/>
            <w:tcBorders>
              <w:top w:val="single" w:color="auto" w:sz="4" w:space="0"/>
              <w:left w:val="single" w:color="auto" w:sz="4" w:space="0"/>
              <w:bottom w:val="single" w:color="auto" w:sz="4" w:space="0"/>
              <w:right w:val="single" w:color="auto" w:sz="4" w:space="0"/>
            </w:tcBorders>
            <w:vAlign w:val="center"/>
          </w:tcPr>
          <w:p w14:paraId="64FCF471">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运输、收送不及时，视情节轻重扣1-3分；不规范、运输工具未按要求清洁消毒及摆放，视情节轻重每次扣0.2-1分；严重影响医院诊疗工作，按合同相关条款扣款。</w:t>
            </w:r>
          </w:p>
        </w:tc>
        <w:tc>
          <w:tcPr>
            <w:tcW w:w="785" w:type="dxa"/>
            <w:tcBorders>
              <w:top w:val="single" w:color="auto" w:sz="4" w:space="0"/>
              <w:left w:val="single" w:color="auto" w:sz="4" w:space="0"/>
              <w:bottom w:val="single" w:color="auto" w:sz="4" w:space="0"/>
              <w:right w:val="single" w:color="auto" w:sz="4" w:space="0"/>
            </w:tcBorders>
          </w:tcPr>
          <w:p w14:paraId="30F9BA29">
            <w:pPr>
              <w:widowControl/>
              <w:adjustRightInd w:val="0"/>
              <w:snapToGrid w:val="0"/>
              <w:spacing w:line="260" w:lineRule="exact"/>
              <w:rPr>
                <w:rFonts w:ascii="宋体" w:hAnsi="宋体" w:cs="宋体"/>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49BD4B64">
            <w:pPr>
              <w:widowControl/>
              <w:adjustRightInd w:val="0"/>
              <w:snapToGrid w:val="0"/>
              <w:spacing w:line="260" w:lineRule="exact"/>
              <w:rPr>
                <w:rFonts w:ascii="宋体" w:hAnsi="宋体" w:cs="宋体"/>
                <w:snapToGrid w:val="0"/>
                <w:kern w:val="0"/>
                <w:szCs w:val="21"/>
                <w:highlight w:val="none"/>
              </w:rPr>
            </w:pPr>
          </w:p>
        </w:tc>
      </w:tr>
      <w:tr w14:paraId="6D91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71EFD248">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6</w:t>
            </w:r>
          </w:p>
        </w:tc>
        <w:tc>
          <w:tcPr>
            <w:tcW w:w="4020" w:type="dxa"/>
            <w:tcBorders>
              <w:top w:val="single" w:color="auto" w:sz="4" w:space="0"/>
              <w:left w:val="single" w:color="auto" w:sz="4" w:space="0"/>
              <w:bottom w:val="single" w:color="auto" w:sz="4" w:space="0"/>
              <w:right w:val="single" w:color="auto" w:sz="4" w:space="0"/>
            </w:tcBorders>
            <w:vAlign w:val="center"/>
          </w:tcPr>
          <w:p w14:paraId="3938E206">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按姓名清点工作服；漏发、错发医用织物后及时处理</w:t>
            </w:r>
          </w:p>
        </w:tc>
        <w:tc>
          <w:tcPr>
            <w:tcW w:w="3385" w:type="dxa"/>
            <w:tcBorders>
              <w:top w:val="single" w:color="auto" w:sz="4" w:space="0"/>
              <w:left w:val="single" w:color="auto" w:sz="4" w:space="0"/>
              <w:bottom w:val="single" w:color="auto" w:sz="4" w:space="0"/>
              <w:right w:val="single" w:color="auto" w:sz="4" w:space="0"/>
            </w:tcBorders>
            <w:vAlign w:val="center"/>
          </w:tcPr>
          <w:p w14:paraId="6C2BB1F5">
            <w:pPr>
              <w:widowControl/>
              <w:adjustRightInd w:val="0"/>
              <w:snapToGrid w:val="0"/>
              <w:spacing w:line="260" w:lineRule="exact"/>
              <w:ind w:right="72"/>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未按姓名清点，每次扣1分；未及时处理，每延长半天扣0.5分，延长一天扣1分，造成丢失，按合同相关条款扣款。</w:t>
            </w:r>
          </w:p>
        </w:tc>
        <w:tc>
          <w:tcPr>
            <w:tcW w:w="785" w:type="dxa"/>
            <w:tcBorders>
              <w:top w:val="single" w:color="auto" w:sz="4" w:space="0"/>
              <w:left w:val="single" w:color="auto" w:sz="4" w:space="0"/>
              <w:bottom w:val="single" w:color="auto" w:sz="4" w:space="0"/>
              <w:right w:val="single" w:color="auto" w:sz="4" w:space="0"/>
            </w:tcBorders>
          </w:tcPr>
          <w:p w14:paraId="5CC0718C">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27324590">
            <w:pPr>
              <w:widowControl/>
              <w:adjustRightInd w:val="0"/>
              <w:snapToGrid w:val="0"/>
              <w:spacing w:line="260" w:lineRule="exact"/>
              <w:rPr>
                <w:rFonts w:ascii="宋体" w:hAnsi="宋体" w:cs="宋体"/>
                <w:snapToGrid w:val="0"/>
                <w:kern w:val="0"/>
                <w:szCs w:val="21"/>
                <w:highlight w:val="none"/>
              </w:rPr>
            </w:pPr>
          </w:p>
        </w:tc>
      </w:tr>
      <w:tr w14:paraId="1ED0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670836C3">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7</w:t>
            </w:r>
          </w:p>
        </w:tc>
        <w:tc>
          <w:tcPr>
            <w:tcW w:w="4020" w:type="dxa"/>
            <w:tcBorders>
              <w:top w:val="single" w:color="auto" w:sz="4" w:space="0"/>
              <w:left w:val="single" w:color="auto" w:sz="4" w:space="0"/>
              <w:bottom w:val="single" w:color="auto" w:sz="4" w:space="0"/>
              <w:right w:val="single" w:color="auto" w:sz="4" w:space="0"/>
            </w:tcBorders>
            <w:vAlign w:val="center"/>
          </w:tcPr>
          <w:p w14:paraId="0D5038A0">
            <w:pPr>
              <w:widowControl/>
              <w:adjustRightInd w:val="0"/>
              <w:snapToGrid w:val="0"/>
              <w:spacing w:line="260" w:lineRule="exact"/>
              <w:ind w:right="480"/>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其他医院医用织物不能发到招标人医用织物不允许私自外借</w:t>
            </w:r>
          </w:p>
        </w:tc>
        <w:tc>
          <w:tcPr>
            <w:tcW w:w="3385" w:type="dxa"/>
            <w:tcBorders>
              <w:top w:val="single" w:color="auto" w:sz="4" w:space="0"/>
              <w:left w:val="single" w:color="auto" w:sz="4" w:space="0"/>
              <w:bottom w:val="single" w:color="auto" w:sz="4" w:space="0"/>
              <w:right w:val="single" w:color="auto" w:sz="4" w:space="0"/>
            </w:tcBorders>
            <w:vAlign w:val="center"/>
          </w:tcPr>
          <w:p w14:paraId="190CD6C6">
            <w:pPr>
              <w:widowControl/>
              <w:adjustRightInd w:val="0"/>
              <w:snapToGrid w:val="0"/>
              <w:spacing w:line="260" w:lineRule="exact"/>
              <w:ind w:right="480"/>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每错一件扣2分；私自外借，每次扣2分，导致无法收回的，按被服价值1.5倍罚款。</w:t>
            </w:r>
          </w:p>
        </w:tc>
        <w:tc>
          <w:tcPr>
            <w:tcW w:w="785" w:type="dxa"/>
            <w:tcBorders>
              <w:top w:val="single" w:color="auto" w:sz="4" w:space="0"/>
              <w:left w:val="single" w:color="auto" w:sz="4" w:space="0"/>
              <w:bottom w:val="single" w:color="auto" w:sz="4" w:space="0"/>
              <w:right w:val="single" w:color="auto" w:sz="4" w:space="0"/>
            </w:tcBorders>
          </w:tcPr>
          <w:p w14:paraId="1BC8D7FE">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01BCB928">
            <w:pPr>
              <w:widowControl/>
              <w:adjustRightInd w:val="0"/>
              <w:snapToGrid w:val="0"/>
              <w:spacing w:line="260" w:lineRule="exact"/>
              <w:rPr>
                <w:rFonts w:ascii="宋体" w:hAnsi="宋体" w:cs="宋体"/>
                <w:snapToGrid w:val="0"/>
                <w:kern w:val="0"/>
                <w:szCs w:val="21"/>
                <w:highlight w:val="none"/>
              </w:rPr>
            </w:pPr>
          </w:p>
        </w:tc>
      </w:tr>
      <w:tr w14:paraId="2DA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11162B68">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8</w:t>
            </w:r>
          </w:p>
        </w:tc>
        <w:tc>
          <w:tcPr>
            <w:tcW w:w="4020" w:type="dxa"/>
            <w:tcBorders>
              <w:top w:val="single" w:color="auto" w:sz="4" w:space="0"/>
              <w:left w:val="single" w:color="auto" w:sz="4" w:space="0"/>
              <w:bottom w:val="single" w:color="auto" w:sz="4" w:space="0"/>
              <w:right w:val="single" w:color="auto" w:sz="4" w:space="0"/>
            </w:tcBorders>
            <w:vAlign w:val="center"/>
          </w:tcPr>
          <w:p w14:paraId="2D274F3B">
            <w:pPr>
              <w:widowControl/>
              <w:adjustRightInd w:val="0"/>
              <w:snapToGrid w:val="0"/>
              <w:spacing w:line="260" w:lineRule="exact"/>
              <w:ind w:right="480"/>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医用织物存放室管理规范</w:t>
            </w:r>
          </w:p>
        </w:tc>
        <w:tc>
          <w:tcPr>
            <w:tcW w:w="3385" w:type="dxa"/>
            <w:tcBorders>
              <w:top w:val="single" w:color="auto" w:sz="4" w:space="0"/>
              <w:left w:val="single" w:color="auto" w:sz="4" w:space="0"/>
              <w:bottom w:val="single" w:color="auto" w:sz="4" w:space="0"/>
              <w:right w:val="single" w:color="auto" w:sz="4" w:space="0"/>
            </w:tcBorders>
            <w:vAlign w:val="center"/>
          </w:tcPr>
          <w:p w14:paraId="02CA39D9">
            <w:pPr>
              <w:widowControl/>
              <w:adjustRightInd w:val="0"/>
              <w:snapToGrid w:val="0"/>
              <w:spacing w:line="260" w:lineRule="exact"/>
              <w:ind w:right="81"/>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发现1次不规范扣0.5分。</w:t>
            </w:r>
          </w:p>
        </w:tc>
        <w:tc>
          <w:tcPr>
            <w:tcW w:w="785" w:type="dxa"/>
            <w:tcBorders>
              <w:top w:val="single" w:color="auto" w:sz="4" w:space="0"/>
              <w:left w:val="single" w:color="auto" w:sz="4" w:space="0"/>
              <w:bottom w:val="single" w:color="auto" w:sz="4" w:space="0"/>
              <w:right w:val="single" w:color="auto" w:sz="4" w:space="0"/>
            </w:tcBorders>
          </w:tcPr>
          <w:p w14:paraId="0D3B0419">
            <w:pPr>
              <w:widowControl/>
              <w:tabs>
                <w:tab w:val="left" w:pos="3672"/>
              </w:tabs>
              <w:adjustRightInd w:val="0"/>
              <w:snapToGrid w:val="0"/>
              <w:spacing w:line="260" w:lineRule="exact"/>
              <w:ind w:right="117"/>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16F7571D">
            <w:pPr>
              <w:widowControl/>
              <w:adjustRightInd w:val="0"/>
              <w:snapToGrid w:val="0"/>
              <w:spacing w:line="260" w:lineRule="exact"/>
              <w:rPr>
                <w:rFonts w:ascii="宋体" w:hAnsi="宋体" w:cs="宋体"/>
                <w:snapToGrid w:val="0"/>
                <w:spacing w:val="-10"/>
                <w:kern w:val="0"/>
                <w:szCs w:val="21"/>
                <w:highlight w:val="none"/>
              </w:rPr>
            </w:pPr>
          </w:p>
        </w:tc>
      </w:tr>
      <w:tr w14:paraId="1C9F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69AAD0F1">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9</w:t>
            </w:r>
          </w:p>
        </w:tc>
        <w:tc>
          <w:tcPr>
            <w:tcW w:w="4020" w:type="dxa"/>
            <w:tcBorders>
              <w:top w:val="single" w:color="auto" w:sz="4" w:space="0"/>
              <w:left w:val="single" w:color="auto" w:sz="4" w:space="0"/>
              <w:bottom w:val="single" w:color="auto" w:sz="4" w:space="0"/>
              <w:right w:val="single" w:color="auto" w:sz="4" w:space="0"/>
            </w:tcBorders>
            <w:vAlign w:val="center"/>
          </w:tcPr>
          <w:p w14:paraId="07AA9C82">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发放的医用织物无污渍、无异味、无串色、无变色</w:t>
            </w:r>
          </w:p>
        </w:tc>
        <w:tc>
          <w:tcPr>
            <w:tcW w:w="3385" w:type="dxa"/>
            <w:tcBorders>
              <w:top w:val="single" w:color="auto" w:sz="4" w:space="0"/>
              <w:left w:val="single" w:color="auto" w:sz="4" w:space="0"/>
              <w:bottom w:val="single" w:color="auto" w:sz="4" w:space="0"/>
              <w:right w:val="single" w:color="auto" w:sz="4" w:space="0"/>
            </w:tcBorders>
            <w:vAlign w:val="center"/>
          </w:tcPr>
          <w:p w14:paraId="358DF15A">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每发现有一件扣0.1分，每月10件以上的扣1分。年度100件以上扣10分。</w:t>
            </w:r>
          </w:p>
        </w:tc>
        <w:tc>
          <w:tcPr>
            <w:tcW w:w="785" w:type="dxa"/>
            <w:tcBorders>
              <w:top w:val="single" w:color="auto" w:sz="4" w:space="0"/>
              <w:left w:val="single" w:color="auto" w:sz="4" w:space="0"/>
              <w:bottom w:val="single" w:color="auto" w:sz="4" w:space="0"/>
              <w:right w:val="single" w:color="auto" w:sz="4" w:space="0"/>
            </w:tcBorders>
          </w:tcPr>
          <w:p w14:paraId="4C8BF1FE">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3D72ED90">
            <w:pPr>
              <w:widowControl/>
              <w:adjustRightInd w:val="0"/>
              <w:snapToGrid w:val="0"/>
              <w:spacing w:line="260" w:lineRule="exact"/>
              <w:ind w:right="-99"/>
              <w:rPr>
                <w:rFonts w:ascii="宋体" w:hAnsi="宋体" w:cs="宋体"/>
                <w:snapToGrid w:val="0"/>
                <w:kern w:val="0"/>
                <w:szCs w:val="21"/>
                <w:highlight w:val="none"/>
              </w:rPr>
            </w:pPr>
          </w:p>
        </w:tc>
      </w:tr>
      <w:tr w14:paraId="01F8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231EA58F">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10</w:t>
            </w:r>
          </w:p>
        </w:tc>
        <w:tc>
          <w:tcPr>
            <w:tcW w:w="4020" w:type="dxa"/>
            <w:tcBorders>
              <w:top w:val="single" w:color="auto" w:sz="4" w:space="0"/>
              <w:left w:val="single" w:color="auto" w:sz="4" w:space="0"/>
              <w:bottom w:val="single" w:color="auto" w:sz="4" w:space="0"/>
              <w:right w:val="single" w:color="auto" w:sz="4" w:space="0"/>
            </w:tcBorders>
            <w:vAlign w:val="center"/>
          </w:tcPr>
          <w:p w14:paraId="56C83F78">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发放的医用织物干燥、平整，按规范叠放</w:t>
            </w:r>
          </w:p>
        </w:tc>
        <w:tc>
          <w:tcPr>
            <w:tcW w:w="3385" w:type="dxa"/>
            <w:tcBorders>
              <w:top w:val="single" w:color="auto" w:sz="4" w:space="0"/>
              <w:left w:val="single" w:color="auto" w:sz="4" w:space="0"/>
              <w:bottom w:val="single" w:color="auto" w:sz="4" w:space="0"/>
              <w:right w:val="single" w:color="auto" w:sz="4" w:space="0"/>
            </w:tcBorders>
            <w:vAlign w:val="center"/>
          </w:tcPr>
          <w:p w14:paraId="385BBC0E">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每发现一件不合要求扣0.1分。</w:t>
            </w:r>
          </w:p>
        </w:tc>
        <w:tc>
          <w:tcPr>
            <w:tcW w:w="785" w:type="dxa"/>
            <w:tcBorders>
              <w:top w:val="single" w:color="auto" w:sz="4" w:space="0"/>
              <w:left w:val="single" w:color="auto" w:sz="4" w:space="0"/>
              <w:bottom w:val="single" w:color="auto" w:sz="4" w:space="0"/>
              <w:right w:val="single" w:color="auto" w:sz="4" w:space="0"/>
            </w:tcBorders>
          </w:tcPr>
          <w:p w14:paraId="4B7A9BAA">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703214B0">
            <w:pPr>
              <w:widowControl/>
              <w:adjustRightInd w:val="0"/>
              <w:snapToGrid w:val="0"/>
              <w:spacing w:line="260" w:lineRule="exact"/>
              <w:ind w:right="-99"/>
              <w:rPr>
                <w:rFonts w:ascii="宋体" w:hAnsi="宋体" w:cs="宋体"/>
                <w:snapToGrid w:val="0"/>
                <w:kern w:val="0"/>
                <w:szCs w:val="21"/>
                <w:highlight w:val="none"/>
              </w:rPr>
            </w:pPr>
          </w:p>
        </w:tc>
      </w:tr>
      <w:tr w14:paraId="6B92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3FB103F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11</w:t>
            </w:r>
          </w:p>
        </w:tc>
        <w:tc>
          <w:tcPr>
            <w:tcW w:w="4020" w:type="dxa"/>
            <w:tcBorders>
              <w:top w:val="single" w:color="auto" w:sz="4" w:space="0"/>
              <w:left w:val="single" w:color="auto" w:sz="4" w:space="0"/>
              <w:bottom w:val="single" w:color="auto" w:sz="4" w:space="0"/>
              <w:right w:val="single" w:color="auto" w:sz="4" w:space="0"/>
            </w:tcBorders>
            <w:vAlign w:val="center"/>
          </w:tcPr>
          <w:p w14:paraId="450C0B13">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发放的医用织物无破损、掉扣、脱线等现象，</w:t>
            </w:r>
          </w:p>
        </w:tc>
        <w:tc>
          <w:tcPr>
            <w:tcW w:w="3385" w:type="dxa"/>
            <w:tcBorders>
              <w:top w:val="single" w:color="auto" w:sz="4" w:space="0"/>
              <w:left w:val="single" w:color="auto" w:sz="4" w:space="0"/>
              <w:bottom w:val="single" w:color="auto" w:sz="4" w:space="0"/>
              <w:right w:val="single" w:color="auto" w:sz="4" w:space="0"/>
            </w:tcBorders>
            <w:vAlign w:val="center"/>
          </w:tcPr>
          <w:p w14:paraId="2038ECF8">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每发现一件未缝补扣0.1分，每月10件以上的扣1分。年度100件以上扣10分。</w:t>
            </w:r>
          </w:p>
        </w:tc>
        <w:tc>
          <w:tcPr>
            <w:tcW w:w="785" w:type="dxa"/>
            <w:tcBorders>
              <w:top w:val="single" w:color="auto" w:sz="4" w:space="0"/>
              <w:left w:val="single" w:color="auto" w:sz="4" w:space="0"/>
              <w:bottom w:val="single" w:color="auto" w:sz="4" w:space="0"/>
              <w:right w:val="single" w:color="auto" w:sz="4" w:space="0"/>
            </w:tcBorders>
          </w:tcPr>
          <w:p w14:paraId="643E0678">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19F56200">
            <w:pPr>
              <w:widowControl/>
              <w:adjustRightInd w:val="0"/>
              <w:snapToGrid w:val="0"/>
              <w:spacing w:line="260" w:lineRule="exact"/>
              <w:rPr>
                <w:rFonts w:ascii="宋体" w:hAnsi="宋体" w:cs="宋体"/>
                <w:snapToGrid w:val="0"/>
                <w:kern w:val="0"/>
                <w:szCs w:val="21"/>
                <w:highlight w:val="none"/>
              </w:rPr>
            </w:pPr>
          </w:p>
        </w:tc>
      </w:tr>
      <w:tr w14:paraId="4BED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187F18F8">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12</w:t>
            </w:r>
          </w:p>
        </w:tc>
        <w:tc>
          <w:tcPr>
            <w:tcW w:w="4020" w:type="dxa"/>
            <w:tcBorders>
              <w:top w:val="single" w:color="auto" w:sz="4" w:space="0"/>
              <w:left w:val="single" w:color="auto" w:sz="4" w:space="0"/>
              <w:bottom w:val="single" w:color="auto" w:sz="4" w:space="0"/>
              <w:right w:val="single" w:color="auto" w:sz="4" w:space="0"/>
            </w:tcBorders>
            <w:vAlign w:val="center"/>
          </w:tcPr>
          <w:p w14:paraId="74174C24">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医用织物其他破损情形</w:t>
            </w:r>
          </w:p>
        </w:tc>
        <w:tc>
          <w:tcPr>
            <w:tcW w:w="3385" w:type="dxa"/>
            <w:tcBorders>
              <w:top w:val="single" w:color="auto" w:sz="4" w:space="0"/>
              <w:left w:val="single" w:color="auto" w:sz="4" w:space="0"/>
              <w:bottom w:val="single" w:color="auto" w:sz="4" w:space="0"/>
              <w:right w:val="single" w:color="auto" w:sz="4" w:space="0"/>
            </w:tcBorders>
            <w:vAlign w:val="center"/>
          </w:tcPr>
          <w:p w14:paraId="3651880C">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按合同相关条款扣款</w:t>
            </w:r>
          </w:p>
        </w:tc>
        <w:tc>
          <w:tcPr>
            <w:tcW w:w="785" w:type="dxa"/>
            <w:tcBorders>
              <w:top w:val="single" w:color="auto" w:sz="4" w:space="0"/>
              <w:left w:val="single" w:color="auto" w:sz="4" w:space="0"/>
              <w:bottom w:val="single" w:color="auto" w:sz="4" w:space="0"/>
              <w:right w:val="single" w:color="auto" w:sz="4" w:space="0"/>
            </w:tcBorders>
          </w:tcPr>
          <w:p w14:paraId="6B2E6582">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46DCE849">
            <w:pPr>
              <w:widowControl/>
              <w:adjustRightInd w:val="0"/>
              <w:snapToGrid w:val="0"/>
              <w:spacing w:line="260" w:lineRule="exact"/>
              <w:rPr>
                <w:rFonts w:ascii="宋体" w:hAnsi="宋体" w:cs="宋体"/>
                <w:snapToGrid w:val="0"/>
                <w:kern w:val="0"/>
                <w:szCs w:val="21"/>
                <w:highlight w:val="none"/>
              </w:rPr>
            </w:pPr>
          </w:p>
        </w:tc>
      </w:tr>
      <w:tr w14:paraId="318D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4CF8B87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13</w:t>
            </w:r>
          </w:p>
        </w:tc>
        <w:tc>
          <w:tcPr>
            <w:tcW w:w="4020" w:type="dxa"/>
            <w:tcBorders>
              <w:top w:val="single" w:color="auto" w:sz="4" w:space="0"/>
              <w:left w:val="single" w:color="auto" w:sz="4" w:space="0"/>
              <w:bottom w:val="single" w:color="auto" w:sz="4" w:space="0"/>
              <w:right w:val="single" w:color="auto" w:sz="4" w:space="0"/>
            </w:tcBorders>
            <w:vAlign w:val="center"/>
          </w:tcPr>
          <w:p w14:paraId="36AD48D0">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抽查清洁医用织物合格率达99%以上</w:t>
            </w:r>
          </w:p>
        </w:tc>
        <w:tc>
          <w:tcPr>
            <w:tcW w:w="3385" w:type="dxa"/>
            <w:tcBorders>
              <w:top w:val="single" w:color="auto" w:sz="4" w:space="0"/>
              <w:left w:val="single" w:color="auto" w:sz="4" w:space="0"/>
              <w:bottom w:val="single" w:color="auto" w:sz="4" w:space="0"/>
              <w:right w:val="single" w:color="auto" w:sz="4" w:space="0"/>
            </w:tcBorders>
            <w:vAlign w:val="center"/>
          </w:tcPr>
          <w:p w14:paraId="6394069A">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每少1个百分点扣1分</w:t>
            </w:r>
          </w:p>
        </w:tc>
        <w:tc>
          <w:tcPr>
            <w:tcW w:w="785" w:type="dxa"/>
            <w:tcBorders>
              <w:top w:val="single" w:color="auto" w:sz="4" w:space="0"/>
              <w:left w:val="single" w:color="auto" w:sz="4" w:space="0"/>
              <w:bottom w:val="single" w:color="auto" w:sz="4" w:space="0"/>
              <w:right w:val="single" w:color="auto" w:sz="4" w:space="0"/>
            </w:tcBorders>
          </w:tcPr>
          <w:p w14:paraId="03B8647B">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06FFB78C">
            <w:pPr>
              <w:widowControl/>
              <w:adjustRightInd w:val="0"/>
              <w:snapToGrid w:val="0"/>
              <w:spacing w:line="260" w:lineRule="exact"/>
              <w:rPr>
                <w:rFonts w:ascii="宋体" w:hAnsi="宋体" w:cs="宋体"/>
                <w:snapToGrid w:val="0"/>
                <w:kern w:val="0"/>
                <w:szCs w:val="21"/>
                <w:highlight w:val="none"/>
              </w:rPr>
            </w:pPr>
          </w:p>
        </w:tc>
      </w:tr>
      <w:tr w14:paraId="48FB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0417D48F">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14</w:t>
            </w:r>
          </w:p>
        </w:tc>
        <w:tc>
          <w:tcPr>
            <w:tcW w:w="4020" w:type="dxa"/>
            <w:tcBorders>
              <w:top w:val="single" w:color="auto" w:sz="4" w:space="0"/>
              <w:left w:val="single" w:color="auto" w:sz="4" w:space="0"/>
              <w:bottom w:val="single" w:color="auto" w:sz="4" w:space="0"/>
              <w:right w:val="single" w:color="auto" w:sz="4" w:space="0"/>
            </w:tcBorders>
            <w:vAlign w:val="center"/>
          </w:tcPr>
          <w:p w14:paraId="7E1DE7D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每半年及时上交医用织物抽检报告，抽检报告符合要求</w:t>
            </w:r>
          </w:p>
        </w:tc>
        <w:tc>
          <w:tcPr>
            <w:tcW w:w="3385" w:type="dxa"/>
            <w:tcBorders>
              <w:top w:val="single" w:color="auto" w:sz="4" w:space="0"/>
              <w:left w:val="single" w:color="auto" w:sz="4" w:space="0"/>
              <w:bottom w:val="single" w:color="auto" w:sz="4" w:space="0"/>
              <w:right w:val="single" w:color="auto" w:sz="4" w:space="0"/>
            </w:tcBorders>
            <w:vAlign w:val="center"/>
          </w:tcPr>
          <w:p w14:paraId="6FE3B218">
            <w:pPr>
              <w:widowControl/>
              <w:adjustRightInd w:val="0"/>
              <w:snapToGrid w:val="0"/>
              <w:spacing w:line="260" w:lineRule="exact"/>
              <w:ind w:right="480"/>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不及时上交抽查报告扣0.5分，结果不合要求，每次扣20分。</w:t>
            </w:r>
          </w:p>
        </w:tc>
        <w:tc>
          <w:tcPr>
            <w:tcW w:w="785" w:type="dxa"/>
            <w:tcBorders>
              <w:top w:val="single" w:color="auto" w:sz="4" w:space="0"/>
              <w:left w:val="single" w:color="auto" w:sz="4" w:space="0"/>
              <w:bottom w:val="single" w:color="auto" w:sz="4" w:space="0"/>
              <w:right w:val="single" w:color="auto" w:sz="4" w:space="0"/>
            </w:tcBorders>
          </w:tcPr>
          <w:p w14:paraId="110A3C00">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1A95EB80">
            <w:pPr>
              <w:widowControl/>
              <w:adjustRightInd w:val="0"/>
              <w:snapToGrid w:val="0"/>
              <w:spacing w:line="260" w:lineRule="exact"/>
              <w:rPr>
                <w:rFonts w:ascii="宋体" w:hAnsi="宋体" w:cs="宋体"/>
                <w:snapToGrid w:val="0"/>
                <w:kern w:val="0"/>
                <w:szCs w:val="21"/>
                <w:highlight w:val="none"/>
              </w:rPr>
            </w:pPr>
          </w:p>
        </w:tc>
      </w:tr>
      <w:tr w14:paraId="42E7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69866F36">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15</w:t>
            </w:r>
          </w:p>
        </w:tc>
        <w:tc>
          <w:tcPr>
            <w:tcW w:w="4020" w:type="dxa"/>
            <w:tcBorders>
              <w:top w:val="single" w:color="auto" w:sz="4" w:space="0"/>
              <w:left w:val="single" w:color="auto" w:sz="4" w:space="0"/>
              <w:bottom w:val="single" w:color="auto" w:sz="4" w:space="0"/>
              <w:right w:val="single" w:color="auto" w:sz="4" w:space="0"/>
            </w:tcBorders>
            <w:vAlign w:val="center"/>
          </w:tcPr>
          <w:p w14:paraId="757060E5">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洗涤过程中发现招标人物件，应及时归还，不随意丢弃或损坏物件</w:t>
            </w:r>
          </w:p>
        </w:tc>
        <w:tc>
          <w:tcPr>
            <w:tcW w:w="3385" w:type="dxa"/>
            <w:tcBorders>
              <w:top w:val="single" w:color="auto" w:sz="4" w:space="0"/>
              <w:left w:val="single" w:color="auto" w:sz="4" w:space="0"/>
              <w:bottom w:val="single" w:color="auto" w:sz="4" w:space="0"/>
              <w:right w:val="single" w:color="auto" w:sz="4" w:space="0"/>
            </w:tcBorders>
            <w:vAlign w:val="center"/>
          </w:tcPr>
          <w:p w14:paraId="517CA5A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不及时归还，发生一次扣0.5分；随意丢弃或损坏视情节轻重扣1-3分。</w:t>
            </w:r>
          </w:p>
        </w:tc>
        <w:tc>
          <w:tcPr>
            <w:tcW w:w="785" w:type="dxa"/>
            <w:tcBorders>
              <w:top w:val="single" w:color="auto" w:sz="4" w:space="0"/>
              <w:left w:val="single" w:color="auto" w:sz="4" w:space="0"/>
              <w:bottom w:val="single" w:color="auto" w:sz="4" w:space="0"/>
              <w:right w:val="single" w:color="auto" w:sz="4" w:space="0"/>
            </w:tcBorders>
          </w:tcPr>
          <w:p w14:paraId="4588970A">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29B02AE2">
            <w:pPr>
              <w:widowControl/>
              <w:adjustRightInd w:val="0"/>
              <w:snapToGrid w:val="0"/>
              <w:spacing w:line="260" w:lineRule="exact"/>
              <w:rPr>
                <w:rFonts w:ascii="宋体" w:hAnsi="宋体" w:cs="宋体"/>
                <w:snapToGrid w:val="0"/>
                <w:kern w:val="0"/>
                <w:szCs w:val="21"/>
                <w:highlight w:val="none"/>
              </w:rPr>
            </w:pPr>
          </w:p>
        </w:tc>
      </w:tr>
      <w:tr w14:paraId="3DC3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75A2813E">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16</w:t>
            </w:r>
          </w:p>
        </w:tc>
        <w:tc>
          <w:tcPr>
            <w:tcW w:w="4020" w:type="dxa"/>
            <w:tcBorders>
              <w:top w:val="single" w:color="auto" w:sz="4" w:space="0"/>
              <w:left w:val="single" w:color="auto" w:sz="4" w:space="0"/>
              <w:bottom w:val="single" w:color="auto" w:sz="4" w:space="0"/>
              <w:right w:val="single" w:color="auto" w:sz="4" w:space="0"/>
            </w:tcBorders>
            <w:vAlign w:val="center"/>
          </w:tcPr>
          <w:p w14:paraId="286DF95E">
            <w:pPr>
              <w:widowControl/>
              <w:tabs>
                <w:tab w:val="left" w:pos="3672"/>
              </w:tabs>
              <w:adjustRightInd w:val="0"/>
              <w:snapToGrid w:val="0"/>
              <w:spacing w:line="260" w:lineRule="exact"/>
              <w:ind w:right="117"/>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无投诉、无纠纷；满意度调查达到90%，并逐季（年）递增。</w:t>
            </w:r>
          </w:p>
        </w:tc>
        <w:tc>
          <w:tcPr>
            <w:tcW w:w="3385" w:type="dxa"/>
            <w:tcBorders>
              <w:top w:val="single" w:color="auto" w:sz="4" w:space="0"/>
              <w:left w:val="single" w:color="auto" w:sz="4" w:space="0"/>
              <w:bottom w:val="single" w:color="auto" w:sz="4" w:space="0"/>
              <w:right w:val="single" w:color="auto" w:sz="4" w:space="0"/>
            </w:tcBorders>
            <w:vAlign w:val="center"/>
          </w:tcPr>
          <w:p w14:paraId="255C9DB6">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口头投诉每次扣1分，纸质投诉每次扣2分；每少1个百分点扣2分；较上季（年）每下降1个百分点扣2分。</w:t>
            </w:r>
          </w:p>
        </w:tc>
        <w:tc>
          <w:tcPr>
            <w:tcW w:w="785" w:type="dxa"/>
            <w:tcBorders>
              <w:top w:val="single" w:color="auto" w:sz="4" w:space="0"/>
              <w:left w:val="single" w:color="auto" w:sz="4" w:space="0"/>
              <w:bottom w:val="single" w:color="auto" w:sz="4" w:space="0"/>
              <w:right w:val="single" w:color="auto" w:sz="4" w:space="0"/>
            </w:tcBorders>
          </w:tcPr>
          <w:p w14:paraId="71505011">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0821B629">
            <w:pPr>
              <w:widowControl/>
              <w:tabs>
                <w:tab w:val="left" w:pos="3920"/>
              </w:tabs>
              <w:adjustRightInd w:val="0"/>
              <w:snapToGrid w:val="0"/>
              <w:spacing w:line="260" w:lineRule="exact"/>
              <w:ind w:right="72"/>
              <w:rPr>
                <w:rFonts w:ascii="宋体" w:hAnsi="宋体" w:cs="宋体"/>
                <w:snapToGrid w:val="0"/>
                <w:kern w:val="0"/>
                <w:szCs w:val="21"/>
                <w:highlight w:val="none"/>
              </w:rPr>
            </w:pPr>
          </w:p>
        </w:tc>
      </w:tr>
      <w:tr w14:paraId="24C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7700A287">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17</w:t>
            </w:r>
          </w:p>
        </w:tc>
        <w:tc>
          <w:tcPr>
            <w:tcW w:w="4020" w:type="dxa"/>
            <w:tcBorders>
              <w:top w:val="single" w:color="auto" w:sz="4" w:space="0"/>
              <w:left w:val="single" w:color="auto" w:sz="4" w:space="0"/>
              <w:bottom w:val="single" w:color="auto" w:sz="4" w:space="0"/>
              <w:right w:val="single" w:color="auto" w:sz="4" w:space="0"/>
            </w:tcBorders>
            <w:vAlign w:val="center"/>
          </w:tcPr>
          <w:p w14:paraId="6C9246E6">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积极</w:t>
            </w:r>
            <w:r>
              <w:rPr>
                <w:rFonts w:hint="eastAsia" w:cs="宋体" w:asciiTheme="majorEastAsia" w:hAnsiTheme="majorEastAsia" w:eastAsiaTheme="majorEastAsia"/>
                <w:kern w:val="0"/>
                <w:szCs w:val="21"/>
                <w:highlight w:val="none"/>
              </w:rPr>
              <w:t>配合医院做好各类检查的迎检工作</w:t>
            </w:r>
            <w:r>
              <w:rPr>
                <w:rFonts w:hint="eastAsia" w:cs="宋体" w:asciiTheme="majorEastAsia" w:hAnsiTheme="majorEastAsia" w:eastAsiaTheme="majorEastAsia"/>
                <w:snapToGrid w:val="0"/>
                <w:kern w:val="0"/>
                <w:szCs w:val="21"/>
                <w:highlight w:val="none"/>
              </w:rPr>
              <w:t>，无媒体曝光或点名批评</w:t>
            </w:r>
          </w:p>
        </w:tc>
        <w:tc>
          <w:tcPr>
            <w:tcW w:w="3385" w:type="dxa"/>
            <w:tcBorders>
              <w:top w:val="single" w:color="auto" w:sz="4" w:space="0"/>
              <w:left w:val="single" w:color="auto" w:sz="4" w:space="0"/>
              <w:bottom w:val="single" w:color="auto" w:sz="4" w:space="0"/>
              <w:right w:val="single" w:color="auto" w:sz="4" w:space="0"/>
            </w:tcBorders>
            <w:vAlign w:val="center"/>
          </w:tcPr>
          <w:p w14:paraId="6AA3B869">
            <w:pPr>
              <w:widowControl/>
              <w:adjustRightInd w:val="0"/>
              <w:snapToGrid w:val="0"/>
              <w:spacing w:line="260" w:lineRule="exact"/>
              <w:ind w:right="-99"/>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院级点名批评每次扣1-2分，</w:t>
            </w:r>
            <w:r>
              <w:rPr>
                <w:rFonts w:hint="eastAsia" w:cs="宋体" w:asciiTheme="majorEastAsia" w:hAnsiTheme="majorEastAsia" w:eastAsiaTheme="majorEastAsia"/>
                <w:snapToGrid w:val="0"/>
                <w:spacing w:val="-6"/>
                <w:kern w:val="0"/>
                <w:szCs w:val="21"/>
                <w:highlight w:val="none"/>
              </w:rPr>
              <w:t>院级以上扣10-20分，</w:t>
            </w:r>
            <w:r>
              <w:rPr>
                <w:rFonts w:hint="eastAsia" w:cs="宋体" w:asciiTheme="majorEastAsia" w:hAnsiTheme="majorEastAsia" w:eastAsiaTheme="majorEastAsia"/>
                <w:spacing w:val="-6"/>
                <w:kern w:val="0"/>
                <w:szCs w:val="21"/>
                <w:highlight w:val="none"/>
              </w:rPr>
              <w:t>屡</w:t>
            </w:r>
            <w:r>
              <w:rPr>
                <w:rFonts w:hint="eastAsia" w:cs="宋体" w:asciiTheme="majorEastAsia" w:hAnsiTheme="majorEastAsia" w:eastAsiaTheme="majorEastAsia"/>
                <w:snapToGrid w:val="0"/>
                <w:spacing w:val="-6"/>
                <w:kern w:val="0"/>
                <w:szCs w:val="21"/>
                <w:highlight w:val="none"/>
              </w:rPr>
              <w:t>教不改或媒体曝光按相关合同条款处理。</w:t>
            </w:r>
          </w:p>
        </w:tc>
        <w:tc>
          <w:tcPr>
            <w:tcW w:w="785" w:type="dxa"/>
            <w:tcBorders>
              <w:top w:val="single" w:color="auto" w:sz="4" w:space="0"/>
              <w:left w:val="single" w:color="auto" w:sz="4" w:space="0"/>
              <w:bottom w:val="single" w:color="auto" w:sz="4" w:space="0"/>
              <w:right w:val="single" w:color="auto" w:sz="4" w:space="0"/>
            </w:tcBorders>
          </w:tcPr>
          <w:p w14:paraId="546ED897">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7EEDD7D3">
            <w:pPr>
              <w:widowControl/>
              <w:adjustRightInd w:val="0"/>
              <w:snapToGrid w:val="0"/>
              <w:spacing w:line="260" w:lineRule="exact"/>
              <w:rPr>
                <w:rFonts w:ascii="宋体" w:hAnsi="宋体" w:cs="宋体"/>
                <w:snapToGrid w:val="0"/>
                <w:kern w:val="0"/>
                <w:szCs w:val="21"/>
                <w:highlight w:val="none"/>
              </w:rPr>
            </w:pPr>
          </w:p>
        </w:tc>
      </w:tr>
      <w:tr w14:paraId="2AAD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34997A0B">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18</w:t>
            </w:r>
          </w:p>
        </w:tc>
        <w:tc>
          <w:tcPr>
            <w:tcW w:w="4020" w:type="dxa"/>
            <w:tcBorders>
              <w:top w:val="single" w:color="auto" w:sz="4" w:space="0"/>
              <w:left w:val="single" w:color="auto" w:sz="4" w:space="0"/>
              <w:bottom w:val="single" w:color="auto" w:sz="4" w:space="0"/>
              <w:right w:val="single" w:color="auto" w:sz="4" w:space="0"/>
            </w:tcBorders>
            <w:vAlign w:val="center"/>
          </w:tcPr>
          <w:p w14:paraId="5B600099">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spacing w:val="-6"/>
                <w:kern w:val="0"/>
                <w:szCs w:val="21"/>
                <w:highlight w:val="none"/>
              </w:rPr>
              <w:t>按时上交资料(质控、计划、工作总结等资料），</w:t>
            </w:r>
            <w:r>
              <w:rPr>
                <w:rFonts w:hint="eastAsia" w:cs="宋体" w:asciiTheme="majorEastAsia" w:hAnsiTheme="majorEastAsia" w:eastAsiaTheme="majorEastAsia"/>
                <w:snapToGrid w:val="0"/>
                <w:kern w:val="0"/>
                <w:szCs w:val="21"/>
                <w:highlight w:val="none"/>
              </w:rPr>
              <w:t>收到电子版或书面意见5-10个工作日内，回复整改措施或结果，并及时整改</w:t>
            </w:r>
          </w:p>
        </w:tc>
        <w:tc>
          <w:tcPr>
            <w:tcW w:w="3385" w:type="dxa"/>
            <w:tcBorders>
              <w:top w:val="single" w:color="auto" w:sz="4" w:space="0"/>
              <w:left w:val="single" w:color="auto" w:sz="4" w:space="0"/>
              <w:bottom w:val="single" w:color="auto" w:sz="4" w:space="0"/>
              <w:right w:val="single" w:color="auto" w:sz="4" w:space="0"/>
            </w:tcBorders>
            <w:vAlign w:val="center"/>
          </w:tcPr>
          <w:p w14:paraId="24E980AC">
            <w:pPr>
              <w:widowControl/>
              <w:adjustRightInd w:val="0"/>
              <w:snapToGrid w:val="0"/>
              <w:spacing w:line="260" w:lineRule="exact"/>
              <w:ind w:right="-99"/>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未按时上交或回复，每超过5个工作日扣1分，未整改扣2分</w:t>
            </w:r>
          </w:p>
        </w:tc>
        <w:tc>
          <w:tcPr>
            <w:tcW w:w="785" w:type="dxa"/>
            <w:tcBorders>
              <w:top w:val="single" w:color="auto" w:sz="4" w:space="0"/>
              <w:left w:val="single" w:color="auto" w:sz="4" w:space="0"/>
              <w:bottom w:val="single" w:color="auto" w:sz="4" w:space="0"/>
              <w:right w:val="single" w:color="auto" w:sz="4" w:space="0"/>
            </w:tcBorders>
          </w:tcPr>
          <w:p w14:paraId="2C48757C">
            <w:pPr>
              <w:widowControl/>
              <w:tabs>
                <w:tab w:val="left" w:pos="3672"/>
              </w:tabs>
              <w:adjustRightInd w:val="0"/>
              <w:snapToGrid w:val="0"/>
              <w:spacing w:line="260" w:lineRule="exact"/>
              <w:ind w:right="117"/>
              <w:rPr>
                <w:rFonts w:ascii="宋体" w:hAnsi="宋体" w:cs="宋体"/>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194B0F7D">
            <w:pPr>
              <w:widowControl/>
              <w:adjustRightInd w:val="0"/>
              <w:snapToGrid w:val="0"/>
              <w:spacing w:line="260" w:lineRule="exact"/>
              <w:rPr>
                <w:rFonts w:ascii="宋体" w:hAnsi="宋体" w:cs="宋体"/>
                <w:snapToGrid w:val="0"/>
                <w:kern w:val="0"/>
                <w:szCs w:val="21"/>
                <w:highlight w:val="none"/>
              </w:rPr>
            </w:pPr>
          </w:p>
        </w:tc>
      </w:tr>
      <w:tr w14:paraId="5CD3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9" w:type="dxa"/>
            <w:tcBorders>
              <w:top w:val="single" w:color="auto" w:sz="4" w:space="0"/>
              <w:left w:val="single" w:color="auto" w:sz="4" w:space="0"/>
              <w:bottom w:val="single" w:color="auto" w:sz="4" w:space="0"/>
              <w:right w:val="single" w:color="auto" w:sz="4" w:space="0"/>
            </w:tcBorders>
            <w:vAlign w:val="center"/>
          </w:tcPr>
          <w:p w14:paraId="684949CD">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19</w:t>
            </w:r>
          </w:p>
        </w:tc>
        <w:tc>
          <w:tcPr>
            <w:tcW w:w="4020" w:type="dxa"/>
            <w:tcBorders>
              <w:top w:val="single" w:color="auto" w:sz="4" w:space="0"/>
              <w:left w:val="single" w:color="auto" w:sz="4" w:space="0"/>
              <w:bottom w:val="single" w:color="auto" w:sz="4" w:space="0"/>
              <w:right w:val="single" w:color="auto" w:sz="4" w:space="0"/>
            </w:tcBorders>
            <w:vAlign w:val="center"/>
          </w:tcPr>
          <w:p w14:paraId="56DCE061">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不允许在医院内聚集闹事</w:t>
            </w:r>
          </w:p>
        </w:tc>
        <w:tc>
          <w:tcPr>
            <w:tcW w:w="3385" w:type="dxa"/>
            <w:tcBorders>
              <w:top w:val="single" w:color="auto" w:sz="4" w:space="0"/>
              <w:left w:val="single" w:color="auto" w:sz="4" w:space="0"/>
              <w:bottom w:val="single" w:color="auto" w:sz="4" w:space="0"/>
              <w:right w:val="single" w:color="auto" w:sz="4" w:space="0"/>
            </w:tcBorders>
            <w:vAlign w:val="center"/>
          </w:tcPr>
          <w:p w14:paraId="6D9ABF60">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聚集闹事影响工作，发生一次，按合同条款处理</w:t>
            </w:r>
          </w:p>
        </w:tc>
        <w:tc>
          <w:tcPr>
            <w:tcW w:w="785" w:type="dxa"/>
            <w:tcBorders>
              <w:top w:val="single" w:color="auto" w:sz="4" w:space="0"/>
              <w:left w:val="single" w:color="auto" w:sz="4" w:space="0"/>
              <w:bottom w:val="single" w:color="auto" w:sz="4" w:space="0"/>
              <w:right w:val="single" w:color="auto" w:sz="4" w:space="0"/>
            </w:tcBorders>
          </w:tcPr>
          <w:p w14:paraId="42B61EA8">
            <w:pPr>
              <w:adjustRightInd w:val="0"/>
              <w:snapToGrid w:val="0"/>
              <w:spacing w:line="30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0642D033">
            <w:pPr>
              <w:adjustRightInd w:val="0"/>
              <w:snapToGrid w:val="0"/>
              <w:spacing w:line="300" w:lineRule="exact"/>
              <w:ind w:right="-99"/>
              <w:rPr>
                <w:rFonts w:ascii="宋体" w:hAnsi="宋体" w:cs="宋体"/>
                <w:snapToGrid w:val="0"/>
                <w:kern w:val="0"/>
                <w:szCs w:val="21"/>
                <w:highlight w:val="none"/>
              </w:rPr>
            </w:pPr>
          </w:p>
        </w:tc>
      </w:tr>
      <w:tr w14:paraId="7245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09" w:type="dxa"/>
            <w:tcBorders>
              <w:top w:val="single" w:color="auto" w:sz="4" w:space="0"/>
              <w:left w:val="single" w:color="auto" w:sz="4" w:space="0"/>
              <w:bottom w:val="single" w:color="auto" w:sz="4" w:space="0"/>
              <w:right w:val="single" w:color="auto" w:sz="4" w:space="0"/>
            </w:tcBorders>
            <w:vAlign w:val="center"/>
          </w:tcPr>
          <w:p w14:paraId="2390BB5E">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20</w:t>
            </w:r>
          </w:p>
        </w:tc>
        <w:tc>
          <w:tcPr>
            <w:tcW w:w="4020" w:type="dxa"/>
            <w:tcBorders>
              <w:top w:val="single" w:color="auto" w:sz="4" w:space="0"/>
              <w:left w:val="single" w:color="auto" w:sz="4" w:space="0"/>
              <w:bottom w:val="single" w:color="auto" w:sz="4" w:space="0"/>
              <w:right w:val="single" w:color="auto" w:sz="4" w:space="0"/>
            </w:tcBorders>
            <w:vAlign w:val="center"/>
          </w:tcPr>
          <w:p w14:paraId="18466DA5">
            <w:pPr>
              <w:widowControl/>
              <w:adjustRightInd w:val="0"/>
              <w:snapToGrid w:val="0"/>
              <w:spacing w:line="260" w:lineRule="exact"/>
              <w:ind w:right="-63" w:rightChars="-30"/>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spacing w:val="-2"/>
                <w:kern w:val="0"/>
                <w:szCs w:val="21"/>
                <w:highlight w:val="none"/>
              </w:rPr>
              <w:t>被服洗涤量核算按规定执行，无虚假账目</w:t>
            </w:r>
          </w:p>
        </w:tc>
        <w:tc>
          <w:tcPr>
            <w:tcW w:w="3385" w:type="dxa"/>
            <w:tcBorders>
              <w:top w:val="single" w:color="auto" w:sz="4" w:space="0"/>
              <w:left w:val="single" w:color="auto" w:sz="4" w:space="0"/>
              <w:bottom w:val="single" w:color="auto" w:sz="4" w:space="0"/>
              <w:right w:val="single" w:color="auto" w:sz="4" w:space="0"/>
            </w:tcBorders>
            <w:vAlign w:val="center"/>
          </w:tcPr>
          <w:p w14:paraId="3562DC6E">
            <w:pPr>
              <w:widowControl/>
              <w:adjustRightInd w:val="0"/>
              <w:snapToGrid w:val="0"/>
              <w:spacing w:line="260" w:lineRule="exact"/>
              <w:ind w:right="81"/>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发现虚假账目，给予违规金额2倍罚款</w:t>
            </w:r>
          </w:p>
        </w:tc>
        <w:tc>
          <w:tcPr>
            <w:tcW w:w="785" w:type="dxa"/>
            <w:tcBorders>
              <w:top w:val="single" w:color="auto" w:sz="4" w:space="0"/>
              <w:left w:val="single" w:color="auto" w:sz="4" w:space="0"/>
              <w:bottom w:val="single" w:color="auto" w:sz="4" w:space="0"/>
              <w:right w:val="single" w:color="auto" w:sz="4" w:space="0"/>
            </w:tcBorders>
          </w:tcPr>
          <w:p w14:paraId="40467325">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6913E23F">
            <w:pPr>
              <w:widowControl/>
              <w:adjustRightInd w:val="0"/>
              <w:snapToGrid w:val="0"/>
              <w:spacing w:line="260" w:lineRule="exact"/>
              <w:ind w:right="-99"/>
              <w:rPr>
                <w:rFonts w:ascii="宋体" w:hAnsi="宋体" w:cs="宋体"/>
                <w:snapToGrid w:val="0"/>
                <w:kern w:val="0"/>
                <w:szCs w:val="21"/>
                <w:highlight w:val="none"/>
              </w:rPr>
            </w:pPr>
          </w:p>
        </w:tc>
      </w:tr>
      <w:tr w14:paraId="33B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7D7F9987">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21</w:t>
            </w:r>
          </w:p>
        </w:tc>
        <w:tc>
          <w:tcPr>
            <w:tcW w:w="4020" w:type="dxa"/>
            <w:tcBorders>
              <w:top w:val="single" w:color="auto" w:sz="4" w:space="0"/>
              <w:left w:val="single" w:color="auto" w:sz="4" w:space="0"/>
              <w:bottom w:val="single" w:color="auto" w:sz="4" w:space="0"/>
              <w:right w:val="single" w:color="auto" w:sz="4" w:space="0"/>
            </w:tcBorders>
            <w:vAlign w:val="center"/>
          </w:tcPr>
          <w:p w14:paraId="710EBC2C">
            <w:pPr>
              <w:widowControl/>
              <w:adjustRightInd w:val="0"/>
              <w:snapToGrid w:val="0"/>
              <w:spacing w:line="260" w:lineRule="exact"/>
              <w:jc w:val="center"/>
              <w:rPr>
                <w:rFonts w:cs="宋体" w:asciiTheme="majorEastAsia" w:hAnsiTheme="majorEastAsia" w:eastAsiaTheme="majorEastAsia"/>
                <w:snapToGrid w:val="0"/>
                <w:spacing w:val="-2"/>
                <w:kern w:val="0"/>
                <w:szCs w:val="21"/>
                <w:highlight w:val="none"/>
              </w:rPr>
            </w:pPr>
            <w:r>
              <w:rPr>
                <w:rFonts w:hint="eastAsia" w:cs="宋体" w:asciiTheme="majorEastAsia" w:hAnsiTheme="majorEastAsia" w:eastAsiaTheme="majorEastAsia"/>
                <w:kern w:val="0"/>
                <w:szCs w:val="21"/>
                <w:highlight w:val="none"/>
                <w:shd w:val="clear" w:color="auto" w:fill="FFFFFF"/>
              </w:rPr>
              <w:t>爱护医院财物，</w:t>
            </w:r>
            <w:r>
              <w:rPr>
                <w:rFonts w:hint="eastAsia" w:cs="宋体" w:asciiTheme="majorEastAsia" w:hAnsiTheme="majorEastAsia" w:eastAsiaTheme="majorEastAsia"/>
                <w:kern w:val="0"/>
                <w:szCs w:val="21"/>
                <w:highlight w:val="none"/>
              </w:rPr>
              <w:t>注意节约水、电、气，</w:t>
            </w:r>
            <w:r>
              <w:rPr>
                <w:rFonts w:hint="eastAsia" w:cs="宋体" w:asciiTheme="majorEastAsia" w:hAnsiTheme="majorEastAsia" w:eastAsiaTheme="majorEastAsia"/>
                <w:snapToGrid w:val="0"/>
                <w:kern w:val="0"/>
                <w:szCs w:val="21"/>
                <w:highlight w:val="none"/>
              </w:rPr>
              <w:t>不许在</w:t>
            </w:r>
            <w:r>
              <w:rPr>
                <w:rFonts w:hint="eastAsia" w:cs="宋体" w:asciiTheme="majorEastAsia" w:hAnsiTheme="majorEastAsia" w:eastAsiaTheme="majorEastAsia"/>
                <w:kern w:val="0"/>
                <w:szCs w:val="21"/>
                <w:highlight w:val="none"/>
              </w:rPr>
              <w:t>非允许范围内的</w:t>
            </w:r>
            <w:r>
              <w:rPr>
                <w:rFonts w:hint="eastAsia" w:cs="宋体" w:asciiTheme="majorEastAsia" w:hAnsiTheme="majorEastAsia" w:eastAsiaTheme="majorEastAsia"/>
                <w:snapToGrid w:val="0"/>
                <w:kern w:val="0"/>
                <w:szCs w:val="21"/>
                <w:highlight w:val="none"/>
              </w:rPr>
              <w:t>使用</w:t>
            </w:r>
            <w:r>
              <w:rPr>
                <w:rFonts w:hint="eastAsia" w:cs="宋体" w:asciiTheme="majorEastAsia" w:hAnsiTheme="majorEastAsia" w:eastAsiaTheme="majorEastAsia"/>
                <w:kern w:val="0"/>
                <w:szCs w:val="21"/>
                <w:highlight w:val="none"/>
              </w:rPr>
              <w:t>电炉、热得快等大功率电器</w:t>
            </w:r>
            <w:r>
              <w:rPr>
                <w:rFonts w:hint="eastAsia" w:cs="宋体" w:asciiTheme="majorEastAsia" w:hAnsiTheme="majorEastAsia" w:eastAsiaTheme="majorEastAsia"/>
                <w:snapToGrid w:val="0"/>
                <w:kern w:val="0"/>
                <w:szCs w:val="21"/>
                <w:highlight w:val="none"/>
              </w:rPr>
              <w:t>及煮饭</w:t>
            </w:r>
          </w:p>
        </w:tc>
        <w:tc>
          <w:tcPr>
            <w:tcW w:w="3385" w:type="dxa"/>
            <w:tcBorders>
              <w:top w:val="single" w:color="auto" w:sz="4" w:space="0"/>
              <w:left w:val="single" w:color="auto" w:sz="4" w:space="0"/>
              <w:bottom w:val="single" w:color="auto" w:sz="4" w:space="0"/>
              <w:right w:val="single" w:color="auto" w:sz="4" w:space="0"/>
            </w:tcBorders>
            <w:vAlign w:val="center"/>
          </w:tcPr>
          <w:p w14:paraId="6A63297F">
            <w:pPr>
              <w:widowControl/>
              <w:adjustRightInd w:val="0"/>
              <w:snapToGrid w:val="0"/>
              <w:spacing w:line="260" w:lineRule="exact"/>
              <w:jc w:val="center"/>
              <w:rPr>
                <w:rFonts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损坏按规定赔偿，发现使用</w:t>
            </w:r>
            <w:r>
              <w:rPr>
                <w:rFonts w:hint="eastAsia" w:cs="宋体" w:asciiTheme="majorEastAsia" w:hAnsiTheme="majorEastAsia" w:eastAsiaTheme="majorEastAsia"/>
                <w:kern w:val="0"/>
                <w:szCs w:val="21"/>
                <w:highlight w:val="none"/>
              </w:rPr>
              <w:t>电器</w:t>
            </w:r>
            <w:r>
              <w:rPr>
                <w:rFonts w:hint="eastAsia" w:cs="宋体" w:asciiTheme="majorEastAsia" w:hAnsiTheme="majorEastAsia" w:eastAsiaTheme="majorEastAsia"/>
                <w:snapToGrid w:val="0"/>
                <w:kern w:val="0"/>
                <w:szCs w:val="21"/>
                <w:highlight w:val="none"/>
              </w:rPr>
              <w:t>，按合同条款处理</w:t>
            </w:r>
          </w:p>
        </w:tc>
        <w:tc>
          <w:tcPr>
            <w:tcW w:w="785" w:type="dxa"/>
            <w:tcBorders>
              <w:top w:val="single" w:color="auto" w:sz="4" w:space="0"/>
              <w:left w:val="single" w:color="auto" w:sz="4" w:space="0"/>
              <w:bottom w:val="single" w:color="auto" w:sz="4" w:space="0"/>
              <w:right w:val="single" w:color="auto" w:sz="4" w:space="0"/>
            </w:tcBorders>
          </w:tcPr>
          <w:p w14:paraId="619D9593">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582CE924">
            <w:pPr>
              <w:widowControl/>
              <w:adjustRightInd w:val="0"/>
              <w:snapToGrid w:val="0"/>
              <w:spacing w:line="260" w:lineRule="exact"/>
              <w:rPr>
                <w:rFonts w:ascii="宋体" w:hAnsi="宋体" w:cs="宋体"/>
                <w:snapToGrid w:val="0"/>
                <w:kern w:val="0"/>
                <w:szCs w:val="21"/>
                <w:highlight w:val="none"/>
              </w:rPr>
            </w:pPr>
          </w:p>
        </w:tc>
      </w:tr>
      <w:tr w14:paraId="701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28FCE9C8">
            <w:pPr>
              <w:widowControl/>
              <w:adjustRightInd w:val="0"/>
              <w:snapToGrid w:val="0"/>
              <w:spacing w:line="260" w:lineRule="exact"/>
              <w:jc w:val="center"/>
              <w:rPr>
                <w:rFonts w:hint="default" w:cs="宋体" w:asciiTheme="majorEastAsia" w:hAnsiTheme="majorEastAsia" w:eastAsiaTheme="majorEastAsia"/>
                <w:snapToGrid w:val="0"/>
                <w:kern w:val="0"/>
                <w:szCs w:val="21"/>
                <w:highlight w:val="none"/>
                <w:lang w:val="en-US" w:eastAsia="zh-CN"/>
              </w:rPr>
            </w:pPr>
            <w:r>
              <w:rPr>
                <w:rFonts w:hint="eastAsia" w:cs="宋体" w:asciiTheme="majorEastAsia" w:hAnsiTheme="majorEastAsia" w:eastAsiaTheme="majorEastAsia"/>
                <w:snapToGrid w:val="0"/>
                <w:kern w:val="0"/>
                <w:szCs w:val="21"/>
                <w:highlight w:val="none"/>
                <w:lang w:val="en-US" w:eastAsia="zh-CN"/>
              </w:rPr>
              <w:t>22</w:t>
            </w:r>
          </w:p>
        </w:tc>
        <w:tc>
          <w:tcPr>
            <w:tcW w:w="4020" w:type="dxa"/>
            <w:tcBorders>
              <w:top w:val="single" w:color="auto" w:sz="4" w:space="0"/>
              <w:left w:val="single" w:color="auto" w:sz="4" w:space="0"/>
              <w:bottom w:val="single" w:color="auto" w:sz="4" w:space="0"/>
              <w:right w:val="single" w:color="auto" w:sz="4" w:space="0"/>
            </w:tcBorders>
            <w:vAlign w:val="center"/>
          </w:tcPr>
          <w:p w14:paraId="35531163">
            <w:pPr>
              <w:widowControl/>
              <w:adjustRightInd w:val="0"/>
              <w:snapToGrid w:val="0"/>
              <w:spacing w:line="260" w:lineRule="exact"/>
              <w:jc w:val="center"/>
              <w:rPr>
                <w:rFonts w:hint="eastAsia" w:cs="宋体" w:asciiTheme="majorEastAsia" w:hAnsiTheme="majorEastAsia" w:eastAsiaTheme="majorEastAsia"/>
                <w:kern w:val="0"/>
                <w:szCs w:val="21"/>
                <w:highlight w:val="none"/>
                <w:shd w:val="clear" w:color="auto" w:fill="FFFFFF"/>
              </w:rPr>
            </w:pPr>
            <w:r>
              <w:rPr>
                <w:rFonts w:hint="eastAsia" w:cs="宋体" w:asciiTheme="majorEastAsia" w:hAnsiTheme="majorEastAsia" w:eastAsiaTheme="majorEastAsia"/>
                <w:kern w:val="0"/>
                <w:szCs w:val="21"/>
                <w:highlight w:val="none"/>
                <w:shd w:val="clear" w:color="auto" w:fill="FFFFFF"/>
              </w:rPr>
              <w:t>清洁医用织物 pH 值达标（6.5~7.5）</w:t>
            </w:r>
          </w:p>
        </w:tc>
        <w:tc>
          <w:tcPr>
            <w:tcW w:w="3385" w:type="dxa"/>
            <w:tcBorders>
              <w:top w:val="single" w:color="auto" w:sz="4" w:space="0"/>
              <w:left w:val="single" w:color="auto" w:sz="4" w:space="0"/>
              <w:bottom w:val="single" w:color="auto" w:sz="4" w:space="0"/>
              <w:right w:val="single" w:color="auto" w:sz="4" w:space="0"/>
            </w:tcBorders>
            <w:vAlign w:val="center"/>
          </w:tcPr>
          <w:p w14:paraId="4488469C">
            <w:pPr>
              <w:widowControl/>
              <w:adjustRightInd w:val="0"/>
              <w:snapToGrid w:val="0"/>
              <w:spacing w:line="260" w:lineRule="exact"/>
              <w:jc w:val="center"/>
              <w:rPr>
                <w:rFonts w:hint="eastAsia"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每发现1件不达标扣1分，月度累计≥3件不达标扣5分</w:t>
            </w:r>
          </w:p>
        </w:tc>
        <w:tc>
          <w:tcPr>
            <w:tcW w:w="785" w:type="dxa"/>
            <w:tcBorders>
              <w:top w:val="single" w:color="auto" w:sz="4" w:space="0"/>
              <w:left w:val="single" w:color="auto" w:sz="4" w:space="0"/>
              <w:bottom w:val="single" w:color="auto" w:sz="4" w:space="0"/>
              <w:right w:val="single" w:color="auto" w:sz="4" w:space="0"/>
            </w:tcBorders>
          </w:tcPr>
          <w:p w14:paraId="154AA88F">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21F2FFED">
            <w:pPr>
              <w:widowControl/>
              <w:adjustRightInd w:val="0"/>
              <w:snapToGrid w:val="0"/>
              <w:spacing w:line="260" w:lineRule="exact"/>
              <w:rPr>
                <w:rFonts w:ascii="宋体" w:hAnsi="宋体" w:cs="宋体"/>
                <w:snapToGrid w:val="0"/>
                <w:kern w:val="0"/>
                <w:szCs w:val="21"/>
                <w:highlight w:val="none"/>
              </w:rPr>
            </w:pPr>
          </w:p>
        </w:tc>
      </w:tr>
      <w:tr w14:paraId="0216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39D3ABA5">
            <w:pPr>
              <w:widowControl/>
              <w:adjustRightInd w:val="0"/>
              <w:snapToGrid w:val="0"/>
              <w:spacing w:line="260" w:lineRule="exact"/>
              <w:jc w:val="center"/>
              <w:rPr>
                <w:rFonts w:hint="default" w:cs="宋体" w:asciiTheme="majorEastAsia" w:hAnsiTheme="majorEastAsia" w:eastAsiaTheme="majorEastAsia"/>
                <w:snapToGrid w:val="0"/>
                <w:kern w:val="0"/>
                <w:szCs w:val="21"/>
                <w:highlight w:val="none"/>
                <w:lang w:val="en-US" w:eastAsia="zh-CN"/>
              </w:rPr>
            </w:pPr>
            <w:r>
              <w:rPr>
                <w:rFonts w:hint="eastAsia" w:cs="宋体" w:asciiTheme="majorEastAsia" w:hAnsiTheme="majorEastAsia" w:eastAsiaTheme="majorEastAsia"/>
                <w:snapToGrid w:val="0"/>
                <w:kern w:val="0"/>
                <w:szCs w:val="21"/>
                <w:highlight w:val="none"/>
                <w:lang w:val="en-US" w:eastAsia="zh-CN"/>
              </w:rPr>
              <w:t>23</w:t>
            </w:r>
          </w:p>
        </w:tc>
        <w:tc>
          <w:tcPr>
            <w:tcW w:w="4020" w:type="dxa"/>
            <w:tcBorders>
              <w:top w:val="single" w:color="auto" w:sz="4" w:space="0"/>
              <w:left w:val="single" w:color="auto" w:sz="4" w:space="0"/>
              <w:bottom w:val="single" w:color="auto" w:sz="4" w:space="0"/>
              <w:right w:val="single" w:color="auto" w:sz="4" w:space="0"/>
            </w:tcBorders>
            <w:vAlign w:val="center"/>
          </w:tcPr>
          <w:p w14:paraId="5A12F768">
            <w:pPr>
              <w:widowControl/>
              <w:adjustRightInd w:val="0"/>
              <w:snapToGrid w:val="0"/>
              <w:spacing w:line="260" w:lineRule="exact"/>
              <w:jc w:val="center"/>
              <w:rPr>
                <w:rFonts w:hint="eastAsia" w:cs="宋体" w:asciiTheme="majorEastAsia" w:hAnsiTheme="majorEastAsia" w:eastAsiaTheme="majorEastAsia"/>
                <w:kern w:val="0"/>
                <w:szCs w:val="21"/>
                <w:highlight w:val="none"/>
                <w:shd w:val="clear" w:color="auto" w:fill="FFFFFF"/>
              </w:rPr>
            </w:pPr>
            <w:r>
              <w:rPr>
                <w:rFonts w:hint="eastAsia" w:cs="宋体" w:asciiTheme="majorEastAsia" w:hAnsiTheme="majorEastAsia" w:eastAsiaTheme="majorEastAsia"/>
                <w:kern w:val="0"/>
                <w:szCs w:val="21"/>
                <w:highlight w:val="none"/>
                <w:shd w:val="clear" w:color="auto" w:fill="FFFFFF"/>
              </w:rPr>
              <w:t>微生物指标符合 WS/T 508-2016</w:t>
            </w:r>
          </w:p>
        </w:tc>
        <w:tc>
          <w:tcPr>
            <w:tcW w:w="3385" w:type="dxa"/>
            <w:tcBorders>
              <w:top w:val="single" w:color="auto" w:sz="4" w:space="0"/>
              <w:left w:val="single" w:color="auto" w:sz="4" w:space="0"/>
              <w:bottom w:val="single" w:color="auto" w:sz="4" w:space="0"/>
              <w:right w:val="single" w:color="auto" w:sz="4" w:space="0"/>
            </w:tcBorders>
            <w:vAlign w:val="center"/>
          </w:tcPr>
          <w:p w14:paraId="623F4A2C">
            <w:pPr>
              <w:widowControl/>
              <w:adjustRightInd w:val="0"/>
              <w:snapToGrid w:val="0"/>
              <w:spacing w:line="260" w:lineRule="exact"/>
              <w:jc w:val="center"/>
              <w:rPr>
                <w:rFonts w:hint="eastAsia"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季度第三方检测不合格扣20分，检出致病菌直接终止合同</w:t>
            </w:r>
          </w:p>
          <w:p w14:paraId="45FD9F91">
            <w:pPr>
              <w:rPr>
                <w:highlight w:val="none"/>
              </w:rPr>
            </w:pPr>
          </w:p>
        </w:tc>
        <w:tc>
          <w:tcPr>
            <w:tcW w:w="785" w:type="dxa"/>
            <w:tcBorders>
              <w:top w:val="single" w:color="auto" w:sz="4" w:space="0"/>
              <w:left w:val="single" w:color="auto" w:sz="4" w:space="0"/>
              <w:bottom w:val="single" w:color="auto" w:sz="4" w:space="0"/>
              <w:right w:val="single" w:color="auto" w:sz="4" w:space="0"/>
            </w:tcBorders>
          </w:tcPr>
          <w:p w14:paraId="35CB3023">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6D70019B">
            <w:pPr>
              <w:widowControl/>
              <w:adjustRightInd w:val="0"/>
              <w:snapToGrid w:val="0"/>
              <w:spacing w:line="260" w:lineRule="exact"/>
              <w:rPr>
                <w:rFonts w:ascii="宋体" w:hAnsi="宋体" w:cs="宋体"/>
                <w:snapToGrid w:val="0"/>
                <w:kern w:val="0"/>
                <w:szCs w:val="21"/>
                <w:highlight w:val="none"/>
              </w:rPr>
            </w:pPr>
          </w:p>
        </w:tc>
      </w:tr>
      <w:tr w14:paraId="361A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09" w:type="dxa"/>
            <w:tcBorders>
              <w:top w:val="single" w:color="auto" w:sz="4" w:space="0"/>
              <w:left w:val="single" w:color="auto" w:sz="4" w:space="0"/>
              <w:bottom w:val="single" w:color="auto" w:sz="4" w:space="0"/>
              <w:right w:val="single" w:color="auto" w:sz="4" w:space="0"/>
            </w:tcBorders>
            <w:vAlign w:val="center"/>
          </w:tcPr>
          <w:p w14:paraId="6F39D15E">
            <w:pPr>
              <w:widowControl/>
              <w:adjustRightInd w:val="0"/>
              <w:snapToGrid w:val="0"/>
              <w:spacing w:line="260" w:lineRule="exact"/>
              <w:jc w:val="center"/>
              <w:rPr>
                <w:rFonts w:hint="default" w:cs="宋体" w:asciiTheme="majorEastAsia" w:hAnsiTheme="majorEastAsia" w:eastAsiaTheme="majorEastAsia"/>
                <w:snapToGrid w:val="0"/>
                <w:kern w:val="0"/>
                <w:szCs w:val="21"/>
                <w:highlight w:val="none"/>
                <w:lang w:val="en-US" w:eastAsia="zh-CN"/>
              </w:rPr>
            </w:pPr>
            <w:r>
              <w:rPr>
                <w:rFonts w:hint="eastAsia" w:cs="宋体" w:asciiTheme="majorEastAsia" w:hAnsiTheme="majorEastAsia" w:eastAsiaTheme="majorEastAsia"/>
                <w:snapToGrid w:val="0"/>
                <w:kern w:val="0"/>
                <w:szCs w:val="21"/>
                <w:highlight w:val="none"/>
                <w:lang w:val="en-US" w:eastAsia="zh-CN"/>
              </w:rPr>
              <w:t>24</w:t>
            </w:r>
          </w:p>
        </w:tc>
        <w:tc>
          <w:tcPr>
            <w:tcW w:w="4020" w:type="dxa"/>
            <w:tcBorders>
              <w:top w:val="single" w:color="auto" w:sz="4" w:space="0"/>
              <w:left w:val="single" w:color="auto" w:sz="4" w:space="0"/>
              <w:bottom w:val="single" w:color="auto" w:sz="4" w:space="0"/>
              <w:right w:val="single" w:color="auto" w:sz="4" w:space="0"/>
            </w:tcBorders>
            <w:vAlign w:val="center"/>
          </w:tcPr>
          <w:p w14:paraId="2A7F3EAE">
            <w:pPr>
              <w:widowControl/>
              <w:adjustRightInd w:val="0"/>
              <w:snapToGrid w:val="0"/>
              <w:spacing w:line="260" w:lineRule="exact"/>
              <w:jc w:val="center"/>
              <w:rPr>
                <w:rFonts w:hint="eastAsia" w:cs="宋体" w:asciiTheme="majorEastAsia" w:hAnsiTheme="majorEastAsia" w:eastAsiaTheme="majorEastAsia"/>
                <w:kern w:val="0"/>
                <w:szCs w:val="21"/>
                <w:highlight w:val="none"/>
                <w:shd w:val="clear" w:color="auto" w:fill="FFFFFF"/>
              </w:rPr>
            </w:pPr>
            <w:r>
              <w:rPr>
                <w:rFonts w:hint="eastAsia" w:cs="宋体" w:asciiTheme="majorEastAsia" w:hAnsiTheme="majorEastAsia" w:eastAsiaTheme="majorEastAsia"/>
                <w:kern w:val="0"/>
                <w:szCs w:val="21"/>
                <w:highlight w:val="none"/>
                <w:shd w:val="clear" w:color="auto" w:fill="FFFFFF"/>
              </w:rPr>
              <w:t>按时提交第三方检测报告</w:t>
            </w:r>
          </w:p>
        </w:tc>
        <w:tc>
          <w:tcPr>
            <w:tcW w:w="3385" w:type="dxa"/>
            <w:tcBorders>
              <w:top w:val="single" w:color="auto" w:sz="4" w:space="0"/>
              <w:left w:val="single" w:color="auto" w:sz="4" w:space="0"/>
              <w:bottom w:val="single" w:color="auto" w:sz="4" w:space="0"/>
              <w:right w:val="single" w:color="auto" w:sz="4" w:space="0"/>
            </w:tcBorders>
            <w:vAlign w:val="center"/>
          </w:tcPr>
          <w:p w14:paraId="72D1130C">
            <w:pPr>
              <w:widowControl/>
              <w:adjustRightInd w:val="0"/>
              <w:snapToGrid w:val="0"/>
              <w:spacing w:line="260" w:lineRule="exact"/>
              <w:jc w:val="center"/>
              <w:rPr>
                <w:rFonts w:hint="eastAsia" w:cs="宋体" w:asciiTheme="majorEastAsia" w:hAnsiTheme="majorEastAsia" w:eastAsiaTheme="majorEastAsia"/>
                <w:snapToGrid w:val="0"/>
                <w:kern w:val="0"/>
                <w:szCs w:val="21"/>
                <w:highlight w:val="none"/>
              </w:rPr>
            </w:pPr>
            <w:r>
              <w:rPr>
                <w:rFonts w:hint="eastAsia" w:cs="宋体" w:asciiTheme="majorEastAsia" w:hAnsiTheme="majorEastAsia" w:eastAsiaTheme="majorEastAsia"/>
                <w:snapToGrid w:val="0"/>
                <w:kern w:val="0"/>
                <w:szCs w:val="21"/>
                <w:highlight w:val="none"/>
              </w:rPr>
              <w:t>未按时提交扣5分，检测报告不合格扣20分</w:t>
            </w:r>
          </w:p>
        </w:tc>
        <w:tc>
          <w:tcPr>
            <w:tcW w:w="785" w:type="dxa"/>
            <w:tcBorders>
              <w:top w:val="single" w:color="auto" w:sz="4" w:space="0"/>
              <w:left w:val="single" w:color="auto" w:sz="4" w:space="0"/>
              <w:bottom w:val="single" w:color="auto" w:sz="4" w:space="0"/>
              <w:right w:val="single" w:color="auto" w:sz="4" w:space="0"/>
            </w:tcBorders>
          </w:tcPr>
          <w:p w14:paraId="353C691C">
            <w:pPr>
              <w:widowControl/>
              <w:adjustRightInd w:val="0"/>
              <w:snapToGrid w:val="0"/>
              <w:spacing w:line="260" w:lineRule="exact"/>
              <w:rPr>
                <w:rFonts w:ascii="宋体" w:hAnsi="宋体" w:cs="宋体"/>
                <w:szCs w:val="21"/>
                <w:highlight w:val="none"/>
                <w:shd w:val="clear" w:color="auto" w:fill="FFFFFF"/>
              </w:rPr>
            </w:pPr>
          </w:p>
        </w:tc>
        <w:tc>
          <w:tcPr>
            <w:tcW w:w="881" w:type="dxa"/>
            <w:tcBorders>
              <w:top w:val="single" w:color="auto" w:sz="4" w:space="0"/>
              <w:left w:val="single" w:color="auto" w:sz="4" w:space="0"/>
              <w:bottom w:val="single" w:color="auto" w:sz="4" w:space="0"/>
              <w:right w:val="single" w:color="auto" w:sz="4" w:space="0"/>
            </w:tcBorders>
          </w:tcPr>
          <w:p w14:paraId="5315E280">
            <w:pPr>
              <w:widowControl/>
              <w:adjustRightInd w:val="0"/>
              <w:snapToGrid w:val="0"/>
              <w:spacing w:line="260" w:lineRule="exact"/>
              <w:rPr>
                <w:rFonts w:ascii="宋体" w:hAnsi="宋体" w:cs="宋体"/>
                <w:snapToGrid w:val="0"/>
                <w:kern w:val="0"/>
                <w:szCs w:val="21"/>
                <w:highlight w:val="none"/>
              </w:rPr>
            </w:pPr>
          </w:p>
        </w:tc>
      </w:tr>
      <w:tr w14:paraId="0634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09" w:type="dxa"/>
            <w:tcBorders>
              <w:top w:val="single" w:color="auto" w:sz="4" w:space="0"/>
              <w:left w:val="single" w:color="auto" w:sz="4" w:space="0"/>
              <w:bottom w:val="single" w:color="auto" w:sz="4" w:space="0"/>
              <w:right w:val="single" w:color="auto" w:sz="4" w:space="0"/>
            </w:tcBorders>
            <w:vAlign w:val="center"/>
          </w:tcPr>
          <w:p w14:paraId="173593DE">
            <w:pPr>
              <w:widowControl/>
              <w:adjustRightInd w:val="0"/>
              <w:snapToGrid w:val="0"/>
              <w:spacing w:line="260" w:lineRule="exact"/>
              <w:ind w:right="-288" w:rightChars="-137"/>
              <w:rPr>
                <w:rFonts w:ascii="宋体" w:hAnsi="宋体" w:cs="宋体"/>
                <w:snapToGrid w:val="0"/>
                <w:kern w:val="0"/>
                <w:szCs w:val="21"/>
                <w:highlight w:val="none"/>
              </w:rPr>
            </w:pPr>
            <w:r>
              <w:rPr>
                <w:rFonts w:hint="eastAsia" w:ascii="宋体" w:hAnsi="宋体" w:cs="宋体"/>
                <w:snapToGrid w:val="0"/>
                <w:kern w:val="0"/>
                <w:szCs w:val="21"/>
                <w:highlight w:val="none"/>
              </w:rPr>
              <w:t>合计</w:t>
            </w:r>
          </w:p>
        </w:tc>
        <w:tc>
          <w:tcPr>
            <w:tcW w:w="4020" w:type="dxa"/>
            <w:tcBorders>
              <w:top w:val="single" w:color="auto" w:sz="4" w:space="0"/>
              <w:left w:val="single" w:color="auto" w:sz="4" w:space="0"/>
              <w:bottom w:val="single" w:color="auto" w:sz="4" w:space="0"/>
              <w:right w:val="single" w:color="auto" w:sz="4" w:space="0"/>
            </w:tcBorders>
          </w:tcPr>
          <w:p w14:paraId="5D2E7FB0">
            <w:pPr>
              <w:widowControl/>
              <w:adjustRightInd w:val="0"/>
              <w:snapToGrid w:val="0"/>
              <w:spacing w:line="260" w:lineRule="exact"/>
              <w:rPr>
                <w:rFonts w:ascii="宋体" w:hAnsi="宋体" w:cs="宋体"/>
                <w:snapToGrid w:val="0"/>
                <w:kern w:val="0"/>
                <w:szCs w:val="21"/>
                <w:highlight w:val="none"/>
              </w:rPr>
            </w:pPr>
          </w:p>
        </w:tc>
        <w:tc>
          <w:tcPr>
            <w:tcW w:w="3385" w:type="dxa"/>
            <w:tcBorders>
              <w:top w:val="single" w:color="auto" w:sz="4" w:space="0"/>
              <w:left w:val="single" w:color="auto" w:sz="4" w:space="0"/>
              <w:bottom w:val="single" w:color="auto" w:sz="4" w:space="0"/>
              <w:right w:val="single" w:color="auto" w:sz="4" w:space="0"/>
            </w:tcBorders>
          </w:tcPr>
          <w:p w14:paraId="149F51BD">
            <w:pPr>
              <w:widowControl/>
              <w:adjustRightInd w:val="0"/>
              <w:snapToGrid w:val="0"/>
              <w:spacing w:line="260" w:lineRule="exact"/>
              <w:rPr>
                <w:rFonts w:ascii="宋体" w:hAnsi="宋体" w:cs="宋体"/>
                <w:snapToGrid w:val="0"/>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5BB35F59">
            <w:pPr>
              <w:widowControl/>
              <w:adjustRightInd w:val="0"/>
              <w:snapToGrid w:val="0"/>
              <w:spacing w:line="260" w:lineRule="exact"/>
              <w:rPr>
                <w:rFonts w:ascii="宋体" w:hAnsi="宋体" w:cs="宋体"/>
                <w:snapToGrid w:val="0"/>
                <w:kern w:val="0"/>
                <w:szCs w:val="21"/>
                <w:highlight w:val="none"/>
              </w:rPr>
            </w:pPr>
          </w:p>
        </w:tc>
        <w:tc>
          <w:tcPr>
            <w:tcW w:w="881" w:type="dxa"/>
            <w:tcBorders>
              <w:top w:val="single" w:color="auto" w:sz="4" w:space="0"/>
              <w:left w:val="single" w:color="auto" w:sz="4" w:space="0"/>
              <w:bottom w:val="single" w:color="auto" w:sz="4" w:space="0"/>
              <w:right w:val="single" w:color="auto" w:sz="4" w:space="0"/>
            </w:tcBorders>
          </w:tcPr>
          <w:p w14:paraId="00A81D32">
            <w:pPr>
              <w:widowControl/>
              <w:adjustRightInd w:val="0"/>
              <w:snapToGrid w:val="0"/>
              <w:spacing w:line="260" w:lineRule="exact"/>
              <w:rPr>
                <w:rFonts w:ascii="宋体" w:hAnsi="宋体" w:cs="宋体"/>
                <w:snapToGrid w:val="0"/>
                <w:kern w:val="0"/>
                <w:szCs w:val="21"/>
                <w:highlight w:val="none"/>
              </w:rPr>
            </w:pPr>
          </w:p>
        </w:tc>
      </w:tr>
    </w:tbl>
    <w:p w14:paraId="4542C418">
      <w:pPr>
        <w:adjustRightInd w:val="0"/>
        <w:snapToGrid w:val="0"/>
        <w:spacing w:line="300" w:lineRule="exact"/>
        <w:rPr>
          <w:rFonts w:ascii="宋体" w:hAnsi="宋体"/>
          <w:snapToGrid w:val="0"/>
          <w:kern w:val="0"/>
          <w:szCs w:val="21"/>
          <w:highlight w:val="none"/>
        </w:rPr>
      </w:pPr>
      <w:r>
        <w:rPr>
          <w:rFonts w:hint="eastAsia" w:ascii="宋体" w:hAnsi="宋体" w:cs="宋体"/>
          <w:snapToGrid w:val="0"/>
          <w:kern w:val="0"/>
          <w:szCs w:val="21"/>
          <w:highlight w:val="none"/>
        </w:rPr>
        <w:t>备注：每个项目不达标视为</w:t>
      </w:r>
      <w:r>
        <w:rPr>
          <w:rFonts w:hint="eastAsia" w:ascii="宋体" w:hAnsi="宋体" w:cs="宋体"/>
          <w:snapToGrid w:val="0"/>
          <w:kern w:val="0"/>
          <w:szCs w:val="21"/>
          <w:highlight w:val="none"/>
          <w:lang w:val="en-US" w:eastAsia="zh-CN"/>
        </w:rPr>
        <w:t>成交</w:t>
      </w:r>
      <w:r>
        <w:rPr>
          <w:rFonts w:hint="eastAsia" w:ascii="宋体" w:hAnsi="宋体" w:cs="宋体"/>
          <w:snapToGrid w:val="0"/>
          <w:kern w:val="0"/>
          <w:szCs w:val="21"/>
          <w:highlight w:val="none"/>
        </w:rPr>
        <w:t>人提供的洗涤服务质量不合格，每个质控分等值</w:t>
      </w: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 xml:space="preserve">0元。 </w:t>
      </w:r>
    </w:p>
    <w:p w14:paraId="45CAC22E">
      <w:pPr>
        <w:rPr>
          <w:rFonts w:hint="eastAsia" w:ascii="宋体" w:hAnsi="宋体" w:eastAsia="宋体" w:cs="宋体"/>
          <w:bCs/>
          <w:sz w:val="21"/>
          <w:highlight w:val="none"/>
          <w:u w:val="single"/>
        </w:rPr>
      </w:pPr>
      <w:r>
        <w:rPr>
          <w:rFonts w:hint="eastAsia" w:ascii="宋体" w:hAnsi="宋体" w:eastAsia="宋体" w:cs="宋体"/>
          <w:bCs/>
          <w:sz w:val="21"/>
          <w:highlight w:val="none"/>
          <w:u w:val="single"/>
        </w:rPr>
        <w:br w:type="page"/>
      </w:r>
    </w:p>
    <w:p w14:paraId="32BE9BEA">
      <w:pPr>
        <w:adjustRightInd w:val="0"/>
        <w:snapToGrid w:val="0"/>
        <w:spacing w:line="300" w:lineRule="exact"/>
        <w:rPr>
          <w:rFonts w:ascii="宋体" w:hAnsi="宋体" w:cs="宋体"/>
          <w:b/>
          <w:sz w:val="28"/>
          <w:szCs w:val="28"/>
          <w:highlight w:val="none"/>
        </w:rPr>
      </w:pPr>
      <w:r>
        <w:rPr>
          <w:rFonts w:hint="eastAsia" w:ascii="宋体" w:hAnsi="宋体" w:cs="宋体"/>
          <w:b/>
          <w:sz w:val="28"/>
          <w:szCs w:val="28"/>
          <w:highlight w:val="none"/>
        </w:rPr>
        <w:t xml:space="preserve">附件四                  </w:t>
      </w:r>
    </w:p>
    <w:p w14:paraId="53E93A26">
      <w:pPr>
        <w:spacing w:afterLines="100" w:line="480" w:lineRule="exact"/>
        <w:jc w:val="center"/>
        <w:rPr>
          <w:rFonts w:ascii="宋体" w:hAnsi="宋体" w:cs="宋体"/>
          <w:b/>
          <w:sz w:val="28"/>
          <w:szCs w:val="28"/>
          <w:highlight w:val="none"/>
        </w:rPr>
      </w:pPr>
      <w:r>
        <w:rPr>
          <w:rFonts w:hint="eastAsia" w:ascii="宋体" w:hAnsi="宋体" w:cs="宋体"/>
          <w:b/>
          <w:sz w:val="28"/>
          <w:szCs w:val="28"/>
          <w:highlight w:val="none"/>
        </w:rPr>
        <w:t>医用织物收发工人岗位职责</w:t>
      </w:r>
    </w:p>
    <w:p w14:paraId="5807F4E7">
      <w:pPr>
        <w:spacing w:line="360" w:lineRule="auto"/>
        <w:rPr>
          <w:rFonts w:ascii="宋体" w:hAnsi="宋体" w:cs="宋体"/>
          <w:szCs w:val="21"/>
          <w:highlight w:val="none"/>
        </w:rPr>
      </w:pPr>
      <w:r>
        <w:rPr>
          <w:rFonts w:hint="eastAsia" w:ascii="宋体" w:hAnsi="宋体" w:cs="宋体"/>
          <w:szCs w:val="21"/>
          <w:highlight w:val="none"/>
        </w:rPr>
        <w:t>1.按时完成全院各类医用织物收发工作，保障临床诊疗工作需求。</w:t>
      </w:r>
    </w:p>
    <w:p w14:paraId="25053307">
      <w:pPr>
        <w:spacing w:line="360" w:lineRule="auto"/>
        <w:rPr>
          <w:rFonts w:ascii="宋体" w:hAnsi="宋体" w:cs="宋体"/>
          <w:szCs w:val="21"/>
          <w:highlight w:val="none"/>
        </w:rPr>
      </w:pPr>
      <w:r>
        <w:rPr>
          <w:rFonts w:hint="eastAsia" w:ascii="宋体" w:hAnsi="宋体" w:cs="宋体"/>
          <w:szCs w:val="21"/>
          <w:highlight w:val="none"/>
        </w:rPr>
        <w:t>2.严格执行医用织物的收发规定，严格执行接/收人员双签名；收送医用织物及时、数量准确，防止错、漏、丢失。</w:t>
      </w:r>
    </w:p>
    <w:p w14:paraId="18BD0A5D">
      <w:pPr>
        <w:spacing w:line="360" w:lineRule="auto"/>
        <w:rPr>
          <w:rFonts w:ascii="宋体" w:hAnsi="宋体" w:cs="宋体"/>
          <w:szCs w:val="21"/>
          <w:highlight w:val="none"/>
        </w:rPr>
      </w:pPr>
      <w:r>
        <w:rPr>
          <w:rFonts w:hint="eastAsia" w:ascii="宋体" w:hAnsi="宋体" w:cs="宋体"/>
          <w:szCs w:val="21"/>
          <w:highlight w:val="none"/>
        </w:rPr>
        <w:t>3.禁止非本院医用织物流入科室。</w:t>
      </w:r>
    </w:p>
    <w:p w14:paraId="4E2C7BF9">
      <w:pPr>
        <w:spacing w:line="360" w:lineRule="auto"/>
        <w:rPr>
          <w:rFonts w:ascii="宋体" w:hAnsi="宋体" w:cs="宋体"/>
          <w:szCs w:val="21"/>
          <w:highlight w:val="none"/>
        </w:rPr>
      </w:pPr>
      <w:r>
        <w:rPr>
          <w:rFonts w:hint="eastAsia" w:ascii="宋体" w:hAnsi="宋体" w:cs="宋体"/>
          <w:szCs w:val="21"/>
          <w:highlight w:val="none"/>
        </w:rPr>
        <w:t>4.医用织物分类折叠、整齐存放，方便取用。</w:t>
      </w:r>
    </w:p>
    <w:p w14:paraId="5E21FE60">
      <w:pPr>
        <w:spacing w:line="360" w:lineRule="auto"/>
        <w:rPr>
          <w:rFonts w:ascii="宋体" w:hAnsi="宋体" w:cs="宋体"/>
          <w:szCs w:val="21"/>
          <w:highlight w:val="none"/>
        </w:rPr>
      </w:pPr>
      <w:r>
        <w:rPr>
          <w:rFonts w:hint="eastAsia" w:ascii="宋体" w:hAnsi="宋体" w:cs="宋体"/>
          <w:szCs w:val="21"/>
          <w:highlight w:val="none"/>
        </w:rPr>
        <w:t>5.回收医用织物应认真检查数量，特殊情况（破损严重、传染性医用织物或被血液、体液污染的医用织物）单独标记，用污物袋包装，用污转运车运送到指定点暂存。</w:t>
      </w:r>
    </w:p>
    <w:p w14:paraId="5CA9AB53">
      <w:pPr>
        <w:spacing w:line="360" w:lineRule="auto"/>
        <w:rPr>
          <w:rFonts w:ascii="宋体" w:hAnsi="宋体" w:cs="宋体"/>
          <w:szCs w:val="21"/>
          <w:highlight w:val="none"/>
        </w:rPr>
      </w:pPr>
      <w:r>
        <w:rPr>
          <w:rFonts w:hint="eastAsia" w:ascii="宋体" w:hAnsi="宋体" w:cs="宋体"/>
          <w:szCs w:val="21"/>
          <w:highlight w:val="none"/>
        </w:rPr>
        <w:t>6.下送清洁医用织物使用清洁运送车，并做好防尘、防雨；特殊科室（儿科、新生儿科、产科）的清洁医用织物独立包装运送，减少交叉感染。</w:t>
      </w:r>
    </w:p>
    <w:p w14:paraId="17B03B11">
      <w:pPr>
        <w:spacing w:line="360" w:lineRule="auto"/>
        <w:rPr>
          <w:rFonts w:ascii="宋体" w:hAnsi="宋体" w:cs="宋体"/>
          <w:szCs w:val="21"/>
          <w:highlight w:val="none"/>
        </w:rPr>
      </w:pPr>
      <w:r>
        <w:rPr>
          <w:rFonts w:hint="eastAsia" w:ascii="宋体" w:hAnsi="宋体" w:cs="宋体"/>
          <w:szCs w:val="21"/>
          <w:highlight w:val="none"/>
        </w:rPr>
        <w:t>7.严格执行各类医用织物的消毒、隔离制度，执行污、洁运送车辆分开使用原则；车辆定期清洗消毒。</w:t>
      </w:r>
    </w:p>
    <w:p w14:paraId="625D022D">
      <w:pPr>
        <w:spacing w:line="360" w:lineRule="auto"/>
        <w:rPr>
          <w:rFonts w:ascii="宋体" w:hAnsi="宋体" w:cs="宋体"/>
          <w:szCs w:val="21"/>
          <w:highlight w:val="none"/>
        </w:rPr>
      </w:pPr>
      <w:r>
        <w:rPr>
          <w:rFonts w:hint="eastAsia" w:ascii="宋体" w:hAnsi="宋体" w:cs="宋体"/>
          <w:szCs w:val="21"/>
          <w:highlight w:val="none"/>
        </w:rPr>
        <w:t>8.办公区域、存放清洁医用织物区域划分合理；保持房间整洁，干燥及周边环境干净；定期擦拭清洁医用织物存放柜架；每天拖擦房间并消毒（紫外线消毒）。</w:t>
      </w:r>
    </w:p>
    <w:p w14:paraId="662EC1AF">
      <w:pPr>
        <w:spacing w:line="360" w:lineRule="auto"/>
        <w:rPr>
          <w:rFonts w:ascii="宋体" w:hAnsi="宋体" w:cs="宋体"/>
          <w:szCs w:val="21"/>
          <w:highlight w:val="none"/>
        </w:rPr>
      </w:pPr>
      <w:r>
        <w:rPr>
          <w:rFonts w:hint="eastAsia" w:ascii="宋体" w:hAnsi="宋体" w:cs="宋体"/>
          <w:szCs w:val="21"/>
          <w:highlight w:val="none"/>
        </w:rPr>
        <w:t>9.做好消毒隔离、个人防护措施，工作时间要着工作服、工作帽、戴口罩、手套；每次接触污衣后进行手部清洗。</w:t>
      </w:r>
    </w:p>
    <w:p w14:paraId="792665C6">
      <w:pPr>
        <w:spacing w:line="360" w:lineRule="auto"/>
        <w:rPr>
          <w:rFonts w:ascii="宋体" w:hAnsi="宋体" w:cs="宋体"/>
          <w:szCs w:val="21"/>
          <w:highlight w:val="none"/>
        </w:rPr>
      </w:pPr>
      <w:r>
        <w:rPr>
          <w:rFonts w:hint="eastAsia" w:ascii="宋体" w:hAnsi="宋体" w:cs="宋体"/>
          <w:szCs w:val="21"/>
          <w:highlight w:val="none"/>
        </w:rPr>
        <w:t>10.收送医用织物服务规范，着装整齐，挂牌上岗、仪表仪容整洁大方，文明礼貌用语，与医院各科室人员友好相处合作，做好临床科室的医用织物保障。</w:t>
      </w:r>
    </w:p>
    <w:p w14:paraId="65A7F84E">
      <w:pPr>
        <w:spacing w:line="360" w:lineRule="auto"/>
        <w:rPr>
          <w:rFonts w:ascii="宋体" w:hAnsi="宋体" w:cs="宋体"/>
          <w:szCs w:val="21"/>
          <w:highlight w:val="none"/>
        </w:rPr>
      </w:pPr>
      <w:r>
        <w:rPr>
          <w:rFonts w:hint="eastAsia" w:ascii="宋体" w:hAnsi="宋体" w:cs="宋体"/>
          <w:szCs w:val="21"/>
          <w:highlight w:val="none"/>
        </w:rPr>
        <w:t>11.配合医院完成各项紧急、重大医疗救助工作，保障清洁医用织物及时供应。</w:t>
      </w:r>
    </w:p>
    <w:p w14:paraId="65058830">
      <w:pPr>
        <w:rPr>
          <w:rFonts w:hint="eastAsia" w:ascii="宋体" w:hAnsi="宋体" w:eastAsia="宋体" w:cs="宋体"/>
          <w:bCs/>
          <w:sz w:val="21"/>
          <w:highlight w:val="none"/>
          <w:u w:val="single"/>
        </w:rPr>
      </w:pPr>
      <w:r>
        <w:rPr>
          <w:rFonts w:hint="eastAsia" w:ascii="宋体" w:hAnsi="宋体" w:cs="宋体"/>
          <w:szCs w:val="21"/>
          <w:highlight w:val="none"/>
        </w:rPr>
        <w:t xml:space="preserve">12.完成领导安排的其他工作。 </w:t>
      </w:r>
    </w:p>
    <w:p w14:paraId="3CE989F5">
      <w:pPr>
        <w:rPr>
          <w:rFonts w:hint="eastAsia" w:hAnsi="宋体" w:cs="宋体"/>
          <w:sz w:val="32"/>
          <w:szCs w:val="32"/>
          <w:highlight w:val="none"/>
        </w:rPr>
      </w:pPr>
      <w:r>
        <w:rPr>
          <w:rFonts w:hint="eastAsia" w:hAnsi="宋体" w:cs="宋体"/>
          <w:sz w:val="32"/>
          <w:szCs w:val="32"/>
          <w:highlight w:val="none"/>
        </w:rPr>
        <w:br w:type="page"/>
      </w:r>
    </w:p>
    <w:p w14:paraId="1328BFAE">
      <w:pPr>
        <w:jc w:val="left"/>
        <w:rPr>
          <w:rFonts w:ascii="宋体" w:hAnsi="宋体" w:cs="宋体"/>
          <w:b/>
          <w:sz w:val="28"/>
          <w:szCs w:val="28"/>
          <w:highlight w:val="none"/>
        </w:rPr>
      </w:pPr>
      <w:r>
        <w:rPr>
          <w:rFonts w:hint="eastAsia" w:ascii="宋体" w:hAnsi="宋体" w:cs="宋体"/>
          <w:b/>
          <w:sz w:val="28"/>
          <w:szCs w:val="28"/>
          <w:highlight w:val="none"/>
        </w:rPr>
        <w:t xml:space="preserve">附件五   </w:t>
      </w:r>
    </w:p>
    <w:p w14:paraId="6A589E38">
      <w:pPr>
        <w:jc w:val="center"/>
        <w:rPr>
          <w:rFonts w:ascii="宋体" w:hAnsi="宋体" w:cs="宋体"/>
          <w:b/>
          <w:sz w:val="28"/>
          <w:szCs w:val="28"/>
          <w:highlight w:val="none"/>
        </w:rPr>
      </w:pPr>
      <w:r>
        <w:rPr>
          <w:rFonts w:hint="eastAsia" w:ascii="宋体" w:hAnsi="宋体" w:cs="宋体"/>
          <w:b/>
          <w:sz w:val="28"/>
          <w:szCs w:val="28"/>
          <w:highlight w:val="none"/>
        </w:rPr>
        <w:t>发送清洁医用织物工作流程</w:t>
      </w:r>
    </w:p>
    <w:p w14:paraId="0F062D2C">
      <w:pPr>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1873250</wp:posOffset>
                </wp:positionH>
                <wp:positionV relativeFrom="paragraph">
                  <wp:posOffset>476250</wp:posOffset>
                </wp:positionV>
                <wp:extent cx="1219200" cy="447675"/>
                <wp:effectExtent l="4445" t="4445" r="14605" b="5080"/>
                <wp:wrapNone/>
                <wp:docPr id="17" name="流程图: 过程 17"/>
                <wp:cNvGraphicFramePr/>
                <a:graphic xmlns:a="http://schemas.openxmlformats.org/drawingml/2006/main">
                  <a:graphicData uri="http://schemas.microsoft.com/office/word/2010/wordprocessingShape">
                    <wps:wsp>
                      <wps:cNvSpPr/>
                      <wps:spPr>
                        <a:xfrm>
                          <a:off x="0" y="0"/>
                          <a:ext cx="1219200" cy="4476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AAE733C">
                            <w:pPr>
                              <w:rPr>
                                <w:sz w:val="28"/>
                                <w:szCs w:val="28"/>
                              </w:rPr>
                            </w:pPr>
                            <w:r>
                              <w:rPr>
                                <w:rFonts w:hint="eastAsia"/>
                                <w:sz w:val="28"/>
                                <w:szCs w:val="28"/>
                              </w:rPr>
                              <w:t>按要求着装</w:t>
                            </w:r>
                          </w:p>
                        </w:txbxContent>
                      </wps:txbx>
                      <wps:bodyPr upright="1"/>
                    </wps:wsp>
                  </a:graphicData>
                </a:graphic>
              </wp:anchor>
            </w:drawing>
          </mc:Choice>
          <mc:Fallback>
            <w:pict>
              <v:shape id="_x0000_s1026" o:spid="_x0000_s1026" o:spt="109" type="#_x0000_t109" style="position:absolute;left:0pt;margin-left:147.5pt;margin-top:37.5pt;height:35.25pt;width:96pt;z-index:251659264;mso-width-relative:page;mso-height-relative:page;" fillcolor="#FFFFFF" filled="t" stroked="t" coordsize="21600,21600" o:gfxdata="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Ab6iNkA&#10;AAAKAQAADwAAAAAAAAABACAAAAAiAAAAZHJzL2Rvd25yZXYueG1sUEsBAhQAFAAAAAgAh07iQBhk&#10;YaEeAgAAUAQAAA4AAAAAAAAAAQAgAAAAKAEAAGRycy9lMm9Eb2MueG1sUEsFBgAAAAAGAAYAWQEA&#10;ALgFAAAAAA==&#10;">
                <v:fill on="t" focussize="0,0"/>
                <v:stroke color="#000000" joinstyle="miter"/>
                <v:imagedata o:title=""/>
                <o:lock v:ext="edit" aspectratio="f"/>
                <v:textbox>
                  <w:txbxContent>
                    <w:p w14:paraId="2AAE733C">
                      <w:pPr>
                        <w:rPr>
                          <w:sz w:val="28"/>
                          <w:szCs w:val="28"/>
                        </w:rPr>
                      </w:pPr>
                      <w:r>
                        <w:rPr>
                          <w:rFonts w:hint="eastAsia"/>
                          <w:sz w:val="28"/>
                          <w:szCs w:val="28"/>
                        </w:rPr>
                        <w:t>按要求着装</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1181100</wp:posOffset>
                </wp:positionV>
                <wp:extent cx="1809750" cy="505460"/>
                <wp:effectExtent l="4445" t="4445" r="14605" b="23495"/>
                <wp:wrapNone/>
                <wp:docPr id="18" name="流程图: 过程 18"/>
                <wp:cNvGraphicFramePr/>
                <a:graphic xmlns:a="http://schemas.openxmlformats.org/drawingml/2006/main">
                  <a:graphicData uri="http://schemas.microsoft.com/office/word/2010/wordprocessingShape">
                    <wps:wsp>
                      <wps:cNvSpPr/>
                      <wps:spPr>
                        <a:xfrm>
                          <a:off x="0" y="0"/>
                          <a:ext cx="1809750" cy="5054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1B70C844">
                            <w:pPr>
                              <w:ind w:left="480" w:hanging="480" w:hangingChars="200"/>
                              <w:jc w:val="center"/>
                              <w:rPr>
                                <w:sz w:val="24"/>
                              </w:rPr>
                            </w:pPr>
                            <w:r>
                              <w:rPr>
                                <w:rFonts w:hint="eastAsia"/>
                                <w:sz w:val="24"/>
                              </w:rPr>
                              <w:t>与送清洁医用织物司机</w:t>
                            </w:r>
                          </w:p>
                          <w:p w14:paraId="4292159A">
                            <w:pPr>
                              <w:ind w:left="480" w:hanging="480" w:hangingChars="200"/>
                              <w:jc w:val="center"/>
                            </w:pPr>
                            <w:r>
                              <w:rPr>
                                <w:rFonts w:hint="eastAsia"/>
                                <w:sz w:val="24"/>
                              </w:rPr>
                              <w:t>卸货，当面清点物品</w:t>
                            </w:r>
                          </w:p>
                        </w:txbxContent>
                      </wps:txbx>
                      <wps:bodyPr upright="1"/>
                    </wps:wsp>
                  </a:graphicData>
                </a:graphic>
              </wp:anchor>
            </w:drawing>
          </mc:Choice>
          <mc:Fallback>
            <w:pict>
              <v:shape id="_x0000_s1026" o:spid="_x0000_s1026" o:spt="109" type="#_x0000_t109" style="position:absolute;left:0pt;margin-left:127.25pt;margin-top:93pt;height:39.8pt;width:142.5pt;z-index:251660288;mso-width-relative:page;mso-height-relative:page;" fillcolor="#FFFFFF" filled="t" stroked="t" coordsize="21600,21600" o:gfxdata="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3V8CO&#10;2QAAAAsBAAAPAAAAAAAAAAEAIAAAACIAAABkcnMvZG93bnJldi54bWxQSwECFAAUAAAACACHTuJA&#10;+JC51yACAABQBAAADgAAAAAAAAABACAAAAAoAQAAZHJzL2Uyb0RvYy54bWxQSwUGAAAAAAYABgBZ&#10;AQAAugUAAAAA&#10;">
                <v:fill on="t" focussize="0,0"/>
                <v:stroke color="#000000" joinstyle="miter"/>
                <v:imagedata o:title=""/>
                <o:lock v:ext="edit" aspectratio="f"/>
                <v:textbox>
                  <w:txbxContent>
                    <w:p w14:paraId="1B70C844">
                      <w:pPr>
                        <w:ind w:left="480" w:hanging="480" w:hangingChars="200"/>
                        <w:jc w:val="center"/>
                        <w:rPr>
                          <w:sz w:val="24"/>
                        </w:rPr>
                      </w:pPr>
                      <w:r>
                        <w:rPr>
                          <w:rFonts w:hint="eastAsia"/>
                          <w:sz w:val="24"/>
                        </w:rPr>
                        <w:t>与送清洁医用织物司机</w:t>
                      </w:r>
                    </w:p>
                    <w:p w14:paraId="4292159A">
                      <w:pPr>
                        <w:ind w:left="480" w:hanging="480" w:hangingChars="200"/>
                        <w:jc w:val="center"/>
                      </w:pPr>
                      <w:r>
                        <w:rPr>
                          <w:rFonts w:hint="eastAsia"/>
                          <w:sz w:val="24"/>
                        </w:rPr>
                        <w:t>卸货，当面清点物品</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1435100</wp:posOffset>
                </wp:positionH>
                <wp:positionV relativeFrom="paragraph">
                  <wp:posOffset>1981200</wp:posOffset>
                </wp:positionV>
                <wp:extent cx="2133600" cy="476250"/>
                <wp:effectExtent l="4445" t="4445" r="14605" b="14605"/>
                <wp:wrapNone/>
                <wp:docPr id="22" name="流程图: 过程 22"/>
                <wp:cNvGraphicFramePr/>
                <a:graphic xmlns:a="http://schemas.openxmlformats.org/drawingml/2006/main">
                  <a:graphicData uri="http://schemas.microsoft.com/office/word/2010/wordprocessingShape">
                    <wps:wsp>
                      <wps:cNvSpPr/>
                      <wps:spPr>
                        <a:xfrm>
                          <a:off x="0" y="0"/>
                          <a:ext cx="2133600" cy="476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5630800">
                            <w:pPr>
                              <w:ind w:left="240" w:hanging="240" w:hangingChars="100"/>
                            </w:pPr>
                            <w:r>
                              <w:rPr>
                                <w:rFonts w:hint="eastAsia"/>
                                <w:sz w:val="24"/>
                              </w:rPr>
                              <w:t>按科室分类，整齐放置存放于清洁医用织物的货架上</w:t>
                            </w:r>
                          </w:p>
                        </w:txbxContent>
                      </wps:txbx>
                      <wps:bodyPr upright="1"/>
                    </wps:wsp>
                  </a:graphicData>
                </a:graphic>
              </wp:anchor>
            </w:drawing>
          </mc:Choice>
          <mc:Fallback>
            <w:pict>
              <v:shape id="_x0000_s1026" o:spid="_x0000_s1026" o:spt="109" type="#_x0000_t109" style="position:absolute;left:0pt;margin-left:113pt;margin-top:156pt;height:37.5pt;width:168pt;z-index:251661312;mso-width-relative:page;mso-height-relative:page;" fillcolor="#FFFFFF" filled="t" stroked="t" coordsize="21600,21600" o:gfxdata="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xagNs&#10;2QAAAAsBAAAPAAAAAAAAAAEAIAAAACIAAABkcnMvZG93bnJldi54bWxQSwECFAAUAAAACACHTuJA&#10;nJY+sSACAABQBAAADgAAAAAAAAABACAAAAAoAQAAZHJzL2Uyb0RvYy54bWxQSwUGAAAAAAYABgBZ&#10;AQAAugUAAAAA&#10;">
                <v:fill on="t" focussize="0,0"/>
                <v:stroke color="#000000" joinstyle="miter"/>
                <v:imagedata o:title=""/>
                <o:lock v:ext="edit" aspectratio="f"/>
                <v:textbox>
                  <w:txbxContent>
                    <w:p w14:paraId="75630800">
                      <w:pPr>
                        <w:ind w:left="240" w:hanging="240" w:hangingChars="100"/>
                      </w:pPr>
                      <w:r>
                        <w:rPr>
                          <w:rFonts w:hint="eastAsia"/>
                          <w:sz w:val="24"/>
                        </w:rPr>
                        <w:t>按科室分类，整齐放置存放于清洁医用织物的货架上</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1406525</wp:posOffset>
                </wp:positionH>
                <wp:positionV relativeFrom="paragraph">
                  <wp:posOffset>2733675</wp:posOffset>
                </wp:positionV>
                <wp:extent cx="2181860" cy="476250"/>
                <wp:effectExtent l="4445" t="4445" r="23495" b="14605"/>
                <wp:wrapNone/>
                <wp:docPr id="19" name="流程图: 过程 19"/>
                <wp:cNvGraphicFramePr/>
                <a:graphic xmlns:a="http://schemas.openxmlformats.org/drawingml/2006/main">
                  <a:graphicData uri="http://schemas.microsoft.com/office/word/2010/wordprocessingShape">
                    <wps:wsp>
                      <wps:cNvSpPr/>
                      <wps:spPr>
                        <a:xfrm>
                          <a:off x="0" y="0"/>
                          <a:ext cx="2181860" cy="4762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7B296FC">
                            <w:pPr>
                              <w:ind w:left="240" w:hanging="240" w:hangingChars="100"/>
                              <w:rPr>
                                <w:sz w:val="24"/>
                              </w:rPr>
                            </w:pPr>
                            <w:r>
                              <w:rPr>
                                <w:rFonts w:hint="eastAsia"/>
                                <w:sz w:val="24"/>
                              </w:rPr>
                              <w:t>根据各科室数量，用洁车运送，盖好防尘罩，下送至科室</w:t>
                            </w:r>
                          </w:p>
                        </w:txbxContent>
                      </wps:txbx>
                      <wps:bodyPr upright="1"/>
                    </wps:wsp>
                  </a:graphicData>
                </a:graphic>
              </wp:anchor>
            </w:drawing>
          </mc:Choice>
          <mc:Fallback>
            <w:pict>
              <v:shape id="_x0000_s1026" o:spid="_x0000_s1026" o:spt="109" type="#_x0000_t109" style="position:absolute;left:0pt;margin-left:110.75pt;margin-top:215.25pt;height:37.5pt;width:171.8pt;z-index:251662336;mso-width-relative:page;mso-height-relative:page;" fillcolor="#FFFFFF" filled="t" stroked="t" coordsize="21600,21600" o:gfxdata="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av7&#10;69kAAAALAQAADwAAAAAAAAABACAAAAAiAAAAZHJzL2Rvd25yZXYueG1sUEsBAhQAFAAAAAgAh07i&#10;QKfVFDghAgAAUAQAAA4AAAAAAAAAAQAgAAAAKAEAAGRycy9lMm9Eb2MueG1sUEsFBgAAAAAGAAYA&#10;WQEAALsFAAAAAA==&#10;">
                <v:fill on="t" focussize="0,0"/>
                <v:stroke color="#000000" joinstyle="miter"/>
                <v:imagedata o:title=""/>
                <o:lock v:ext="edit" aspectratio="f"/>
                <v:textbox>
                  <w:txbxContent>
                    <w:p w14:paraId="37B296FC">
                      <w:pPr>
                        <w:ind w:left="240" w:hanging="240" w:hangingChars="100"/>
                        <w:rPr>
                          <w:sz w:val="24"/>
                        </w:rPr>
                      </w:pPr>
                      <w:r>
                        <w:rPr>
                          <w:rFonts w:hint="eastAsia"/>
                          <w:sz w:val="24"/>
                        </w:rPr>
                        <w:t>根据各科室数量，用洁车运送，盖好防尘罩，下送至科室</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1520825</wp:posOffset>
                </wp:positionH>
                <wp:positionV relativeFrom="paragraph">
                  <wp:posOffset>3476625</wp:posOffset>
                </wp:positionV>
                <wp:extent cx="1849120" cy="533400"/>
                <wp:effectExtent l="4445" t="4445" r="13335" b="14605"/>
                <wp:wrapNone/>
                <wp:docPr id="24" name="流程图: 过程 24"/>
                <wp:cNvGraphicFramePr/>
                <a:graphic xmlns:a="http://schemas.openxmlformats.org/drawingml/2006/main">
                  <a:graphicData uri="http://schemas.microsoft.com/office/word/2010/wordprocessingShape">
                    <wps:wsp>
                      <wps:cNvSpPr/>
                      <wps:spPr>
                        <a:xfrm>
                          <a:off x="0" y="0"/>
                          <a:ext cx="1849120" cy="5334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7EA0DC6">
                            <w:pPr>
                              <w:ind w:left="720" w:hanging="720" w:hangingChars="300"/>
                              <w:rPr>
                                <w:sz w:val="24"/>
                              </w:rPr>
                            </w:pPr>
                            <w:r>
                              <w:rPr>
                                <w:rFonts w:hint="eastAsia"/>
                                <w:sz w:val="24"/>
                              </w:rPr>
                              <w:t>与科室护理员双人核对数量并签名</w:t>
                            </w:r>
                          </w:p>
                        </w:txbxContent>
                      </wps:txbx>
                      <wps:bodyPr upright="1"/>
                    </wps:wsp>
                  </a:graphicData>
                </a:graphic>
              </wp:anchor>
            </w:drawing>
          </mc:Choice>
          <mc:Fallback>
            <w:pict>
              <v:shape id="_x0000_s1026" o:spid="_x0000_s1026" o:spt="109" type="#_x0000_t109" style="position:absolute;left:0pt;margin-left:119.75pt;margin-top:273.75pt;height:42pt;width:145.6pt;z-index:251663360;mso-width-relative:page;mso-height-relative:page;" fillcolor="#FFFFFF" filled="t" stroked="t" coordsize="21600,21600" o:gfxdata="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1UPUNsAAAALAQAADwAAAAAAAAABACAAAAAiAAAAZHJzL2Rvd25yZXYueG1sUEsBAhQAFAAAAAgA&#10;h07iQHpl5WwiAgAAUAQAAA4AAAAAAAAAAQAgAAAAKgEAAGRycy9lMm9Eb2MueG1sUEsFBgAAAAAG&#10;AAYAWQEAAL4FAAAAAA==&#10;">
                <v:fill on="t" focussize="0,0"/>
                <v:stroke color="#000000" joinstyle="miter"/>
                <v:imagedata o:title=""/>
                <o:lock v:ext="edit" aspectratio="f"/>
                <v:textbox>
                  <w:txbxContent>
                    <w:p w14:paraId="77EA0DC6">
                      <w:pPr>
                        <w:ind w:left="720" w:hanging="720" w:hangingChars="300"/>
                        <w:rPr>
                          <w:sz w:val="24"/>
                        </w:rPr>
                      </w:pPr>
                      <w:r>
                        <w:rPr>
                          <w:rFonts w:hint="eastAsia"/>
                          <w:sz w:val="24"/>
                        </w:rPr>
                        <w:t>与科室护理员双人核对数量并签名</w:t>
                      </w:r>
                    </w:p>
                  </w:txbxContent>
                </v:textbox>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2397760</wp:posOffset>
                </wp:positionH>
                <wp:positionV relativeFrom="paragraph">
                  <wp:posOffset>933450</wp:posOffset>
                </wp:positionV>
                <wp:extent cx="104140" cy="266700"/>
                <wp:effectExtent l="9525" t="5080" r="19685" b="13970"/>
                <wp:wrapNone/>
                <wp:docPr id="21" name="下箭头 21"/>
                <wp:cNvGraphicFramePr/>
                <a:graphic xmlns:a="http://schemas.openxmlformats.org/drawingml/2006/main">
                  <a:graphicData uri="http://schemas.microsoft.com/office/word/2010/wordprocessingShape">
                    <wps:wsp>
                      <wps:cNvSpPr/>
                      <wps:spPr>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188.8pt;margin-top:73.5pt;height:21pt;width:8.2pt;z-index:251665408;mso-width-relative:page;mso-height-relative:page;" fillcolor="#FFFFFF" filled="t" stroked="t" coordsize="21600,21600" o:gfxdata="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ohDdwAAAALAQAADwAAAAAAAAABACAAAAAiAAAAZHJzL2Rvd25yZXYueG1s&#10;UEsBAhQAFAAAAAgAh07iQPsiLP8tAgAAhgQAAA4AAAAAAAAAAQAgAAAAKwEAAGRycy9lMm9Eb2Mu&#10;eG1sUEsFBgAAAAAGAAYAWQEAAMoFAAAAAA==&#10;" adj="16201,5400">
                <v:fill on="t" focussize="0,0"/>
                <v:stroke color="#000000" joinstyle="miter"/>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2416810</wp:posOffset>
                </wp:positionH>
                <wp:positionV relativeFrom="paragraph">
                  <wp:posOffset>1714500</wp:posOffset>
                </wp:positionV>
                <wp:extent cx="104140" cy="266700"/>
                <wp:effectExtent l="9525" t="5080" r="19685" b="13970"/>
                <wp:wrapNone/>
                <wp:docPr id="23" name="下箭头 23"/>
                <wp:cNvGraphicFramePr/>
                <a:graphic xmlns:a="http://schemas.openxmlformats.org/drawingml/2006/main">
                  <a:graphicData uri="http://schemas.microsoft.com/office/word/2010/wordprocessingShape">
                    <wps:wsp>
                      <wps:cNvSpPr/>
                      <wps:spPr>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190.3pt;margin-top:135pt;height:21pt;width:8.2pt;z-index:251666432;mso-width-relative:page;mso-height-relative:page;" fillcolor="#FFFFFF" filled="t" stroked="t" coordsize="21600,21600" o:gfxdata="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yKmi2wAAAAsBAAAPAAAAAAAAAAEAIAAAACIAAABkcnMvZG93bnJldi54bWxQ&#10;SwECFAAUAAAACACHTuJA3TjXhS0CAACGBAAADgAAAAAAAAABACAAAAAqAQAAZHJzL2Uyb0RvYy54&#10;bWxQSwUGAAAAAAYABgBZAQAAyQUAAAAA&#10;" adj="16201,5400">
                <v:fill on="t" focussize="0,0"/>
                <v:stroke color="#000000" joinstyle="miter"/>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2426335</wp:posOffset>
                </wp:positionH>
                <wp:positionV relativeFrom="paragraph">
                  <wp:posOffset>2466975</wp:posOffset>
                </wp:positionV>
                <wp:extent cx="104140" cy="266700"/>
                <wp:effectExtent l="9525" t="5080" r="19685" b="13970"/>
                <wp:wrapNone/>
                <wp:docPr id="13" name="下箭头 13"/>
                <wp:cNvGraphicFramePr/>
                <a:graphic xmlns:a="http://schemas.openxmlformats.org/drawingml/2006/main">
                  <a:graphicData uri="http://schemas.microsoft.com/office/word/2010/wordprocessingShape">
                    <wps:wsp>
                      <wps:cNvSpPr/>
                      <wps:spPr>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191.05pt;margin-top:194.25pt;height:21pt;width:8.2pt;z-index:251667456;mso-width-relative:page;mso-height-relative:page;" fillcolor="#FFFFFF" filled="t" stroked="t" coordsize="21600,21600" o:gfxdata="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UUQn2wAAAAsBAAAPAAAAAAAAAAEAIAAAACIAAABkcnMvZG93bnJldi54bWxQ&#10;SwECFAAUAAAACACHTuJAaXoj0y0CAACGBAAADgAAAAAAAAABACAAAAAqAQAAZHJzL2Uyb0RvYy54&#10;bWxQSwUGAAAAAAYABgBZAQAAyQUAAAAA&#10;" adj="16201,5400">
                <v:fill on="t" focussize="0,0"/>
                <v:stroke color="#000000" joinstyle="miter"/>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2416810</wp:posOffset>
                </wp:positionH>
                <wp:positionV relativeFrom="paragraph">
                  <wp:posOffset>3219450</wp:posOffset>
                </wp:positionV>
                <wp:extent cx="104140" cy="266700"/>
                <wp:effectExtent l="9525" t="5080" r="19685" b="13970"/>
                <wp:wrapNone/>
                <wp:docPr id="14" name="下箭头 14"/>
                <wp:cNvGraphicFramePr/>
                <a:graphic xmlns:a="http://schemas.openxmlformats.org/drawingml/2006/main">
                  <a:graphicData uri="http://schemas.microsoft.com/office/word/2010/wordprocessingShape">
                    <wps:wsp>
                      <wps:cNvSpPr/>
                      <wps:spPr>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190.3pt;margin-top:253.5pt;height:21pt;width:8.2pt;z-index:251668480;mso-width-relative:page;mso-height-relative:page;" fillcolor="#FFFFFF" filled="t" stroked="t" coordsize="21600,21600" o:gfxdata="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7tKKx3AAAAAsBAAAPAAAAAAAAAAEAIAAAACIAAABkcnMvZG93bnJldi54&#10;bWxQSwECFAAUAAAACACHTuJAENlTYS8CAACGBAAADgAAAAAAAAABACAAAAArAQAAZHJzL2Uyb0Rv&#10;Yy54bWxQSwUGAAAAAAYABgBZAQAAzAUAAAAA&#10;" adj="16201,5400">
                <v:fill on="t" focussize="0,0"/>
                <v:stroke color="#000000" joinstyle="miter"/>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2397760</wp:posOffset>
                </wp:positionH>
                <wp:positionV relativeFrom="paragraph">
                  <wp:posOffset>4010025</wp:posOffset>
                </wp:positionV>
                <wp:extent cx="104140" cy="266700"/>
                <wp:effectExtent l="9525" t="5080" r="19685" b="13970"/>
                <wp:wrapNone/>
                <wp:docPr id="15" name="下箭头 15"/>
                <wp:cNvGraphicFramePr/>
                <a:graphic xmlns:a="http://schemas.openxmlformats.org/drawingml/2006/main">
                  <a:graphicData uri="http://schemas.microsoft.com/office/word/2010/wordprocessingShape">
                    <wps:wsp>
                      <wps:cNvSpPr/>
                      <wps:spPr>
                        <a:xfrm>
                          <a:off x="0" y="0"/>
                          <a:ext cx="104140" cy="266700"/>
                        </a:xfrm>
                        <a:prstGeom prst="downArrow">
                          <a:avLst>
                            <a:gd name="adj1" fmla="val 50000"/>
                            <a:gd name="adj2" fmla="val 64024"/>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188.8pt;margin-top:315.75pt;height:21pt;width:8.2pt;z-index:251669504;mso-width-relative:page;mso-height-relative:page;" fillcolor="#FFFFFF" filled="t" stroked="t" coordsize="21600,21600" o:gfxdata="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uDy8NwAAAALAQAADwAAAAAAAAABACAAAAAiAAAAZHJzL2Rvd25yZXYueG1s&#10;UEsBAhQAFAAAAAgAh07iQANULlwtAgAAhgQAAA4AAAAAAAAAAQAgAAAAKwEAAGRycy9lMm9Eb2Mu&#10;eG1sUEsFBgAAAAAGAAYAWQEAAMoFAAAAAA==&#10;" adj="16201,5400">
                <v:fill on="t" focussize="0,0"/>
                <v:stroke color="#000000" joinstyle="miter"/>
                <v:imagedata o:title=""/>
                <o:lock v:ext="edit" aspectratio="f"/>
              </v:shape>
            </w:pict>
          </mc:Fallback>
        </mc:AlternateContent>
      </w:r>
    </w:p>
    <w:p w14:paraId="27E5C3C8">
      <w:pPr>
        <w:spacing w:line="440" w:lineRule="atLeast"/>
        <w:jc w:val="center"/>
        <w:rPr>
          <w:rFonts w:ascii="宋体" w:hAnsi="宋体"/>
          <w:b/>
          <w:sz w:val="32"/>
          <w:szCs w:val="32"/>
          <w:highlight w:val="none"/>
        </w:rPr>
      </w:pPr>
    </w:p>
    <w:p w14:paraId="3595BA88">
      <w:pPr>
        <w:spacing w:line="440" w:lineRule="atLeast"/>
        <w:jc w:val="center"/>
        <w:rPr>
          <w:rFonts w:ascii="宋体" w:hAnsi="宋体"/>
          <w:b/>
          <w:sz w:val="32"/>
          <w:szCs w:val="32"/>
          <w:highlight w:val="none"/>
        </w:rPr>
      </w:pPr>
    </w:p>
    <w:p w14:paraId="5FE46728">
      <w:pPr>
        <w:spacing w:line="440" w:lineRule="atLeast"/>
        <w:jc w:val="center"/>
        <w:rPr>
          <w:rFonts w:ascii="宋体" w:hAnsi="宋体"/>
          <w:b/>
          <w:sz w:val="32"/>
          <w:szCs w:val="32"/>
          <w:highlight w:val="none"/>
        </w:rPr>
      </w:pPr>
    </w:p>
    <w:p w14:paraId="0D342C04">
      <w:pPr>
        <w:spacing w:line="440" w:lineRule="atLeast"/>
        <w:jc w:val="center"/>
        <w:rPr>
          <w:rFonts w:ascii="宋体" w:hAnsi="宋体"/>
          <w:b/>
          <w:sz w:val="32"/>
          <w:szCs w:val="32"/>
          <w:highlight w:val="none"/>
        </w:rPr>
      </w:pPr>
    </w:p>
    <w:p w14:paraId="5A06CFE5">
      <w:pPr>
        <w:spacing w:line="440" w:lineRule="atLeast"/>
        <w:jc w:val="center"/>
        <w:rPr>
          <w:rFonts w:ascii="宋体" w:hAnsi="宋体"/>
          <w:b/>
          <w:sz w:val="32"/>
          <w:szCs w:val="32"/>
          <w:highlight w:val="none"/>
        </w:rPr>
      </w:pPr>
    </w:p>
    <w:p w14:paraId="3546D6D8">
      <w:pPr>
        <w:spacing w:line="440" w:lineRule="atLeast"/>
        <w:jc w:val="center"/>
        <w:rPr>
          <w:rFonts w:ascii="宋体" w:hAnsi="宋体"/>
          <w:b/>
          <w:sz w:val="32"/>
          <w:szCs w:val="32"/>
          <w:highlight w:val="none"/>
        </w:rPr>
      </w:pPr>
    </w:p>
    <w:p w14:paraId="28629680">
      <w:pPr>
        <w:spacing w:line="440" w:lineRule="atLeast"/>
        <w:jc w:val="center"/>
        <w:rPr>
          <w:rFonts w:ascii="宋体" w:hAnsi="宋体"/>
          <w:b/>
          <w:sz w:val="32"/>
          <w:szCs w:val="32"/>
          <w:highlight w:val="none"/>
        </w:rPr>
      </w:pPr>
    </w:p>
    <w:p w14:paraId="1B73CED5">
      <w:pPr>
        <w:spacing w:line="440" w:lineRule="atLeast"/>
        <w:jc w:val="center"/>
        <w:rPr>
          <w:rFonts w:ascii="宋体" w:hAnsi="宋体"/>
          <w:b/>
          <w:sz w:val="32"/>
          <w:szCs w:val="32"/>
          <w:highlight w:val="none"/>
        </w:rPr>
      </w:pPr>
    </w:p>
    <w:p w14:paraId="15AEAB33">
      <w:pPr>
        <w:spacing w:line="440" w:lineRule="atLeast"/>
        <w:jc w:val="center"/>
        <w:rPr>
          <w:rFonts w:ascii="宋体" w:hAnsi="宋体"/>
          <w:b/>
          <w:sz w:val="32"/>
          <w:szCs w:val="32"/>
          <w:highlight w:val="none"/>
        </w:rPr>
      </w:pPr>
    </w:p>
    <w:p w14:paraId="1CD2CBC7">
      <w:pPr>
        <w:spacing w:line="440" w:lineRule="atLeast"/>
        <w:jc w:val="center"/>
        <w:rPr>
          <w:rFonts w:ascii="宋体" w:hAnsi="宋体"/>
          <w:b/>
          <w:sz w:val="32"/>
          <w:szCs w:val="32"/>
          <w:highlight w:val="none"/>
        </w:rPr>
      </w:pPr>
    </w:p>
    <w:p w14:paraId="4975EA3E">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1873250</wp:posOffset>
                </wp:positionH>
                <wp:positionV relativeFrom="paragraph">
                  <wp:posOffset>175895</wp:posOffset>
                </wp:positionV>
                <wp:extent cx="1362075" cy="381000"/>
                <wp:effectExtent l="4445" t="4445" r="5080" b="14605"/>
                <wp:wrapNone/>
                <wp:docPr id="20" name="流程图: 过程 20"/>
                <wp:cNvGraphicFramePr/>
                <a:graphic xmlns:a="http://schemas.openxmlformats.org/drawingml/2006/main">
                  <a:graphicData uri="http://schemas.microsoft.com/office/word/2010/wordprocessingShape">
                    <wps:wsp>
                      <wps:cNvSpPr/>
                      <wps:spPr>
                        <a:xfrm>
                          <a:off x="0" y="0"/>
                          <a:ext cx="1362075" cy="3810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D349625">
                            <w:pPr>
                              <w:jc w:val="center"/>
                              <w:rPr>
                                <w:sz w:val="24"/>
                              </w:rPr>
                            </w:pPr>
                            <w:r>
                              <w:rPr>
                                <w:rFonts w:hint="eastAsia"/>
                                <w:sz w:val="24"/>
                              </w:rPr>
                              <w:t>工作结束</w:t>
                            </w:r>
                          </w:p>
                        </w:txbxContent>
                      </wps:txbx>
                      <wps:bodyPr upright="1"/>
                    </wps:wsp>
                  </a:graphicData>
                </a:graphic>
              </wp:anchor>
            </w:drawing>
          </mc:Choice>
          <mc:Fallback>
            <w:pict>
              <v:shape id="_x0000_s1026" o:spid="_x0000_s1026" o:spt="109" type="#_x0000_t109" style="position:absolute;left:0pt;margin-left:147.5pt;margin-top:13.85pt;height:30pt;width:107.25pt;z-index:251664384;mso-width-relative:page;mso-height-relative:page;" fillcolor="#FFFFFF" filled="t" stroked="t" coordsize="21600,21600" o:gfxdata="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cF1a&#10;2QAAAAkBAAAPAAAAAAAAAAEAIAAAACIAAABkcnMvZG93bnJldi54bWxQSwECFAAUAAAACACHTuJA&#10;ONwfEiACAABQBAAADgAAAAAAAAABACAAAAAoAQAAZHJzL2Uyb0RvYy54bWxQSwUGAAAAAAYABgBZ&#10;AQAAugUAAAAA&#10;">
                <v:fill on="t" focussize="0,0"/>
                <v:stroke color="#000000" joinstyle="miter"/>
                <v:imagedata o:title=""/>
                <o:lock v:ext="edit" aspectratio="f"/>
                <v:textbox>
                  <w:txbxContent>
                    <w:p w14:paraId="6D349625">
                      <w:pPr>
                        <w:jc w:val="center"/>
                        <w:rPr>
                          <w:sz w:val="24"/>
                        </w:rPr>
                      </w:pPr>
                      <w:r>
                        <w:rPr>
                          <w:rFonts w:hint="eastAsia"/>
                          <w:sz w:val="24"/>
                        </w:rPr>
                        <w:t>工作结束</w:t>
                      </w:r>
                    </w:p>
                  </w:txbxContent>
                </v:textbox>
              </v:shape>
            </w:pict>
          </mc:Fallback>
        </mc:AlternateContent>
      </w:r>
    </w:p>
    <w:p w14:paraId="5A21F6F2">
      <w:pPr>
        <w:jc w:val="left"/>
        <w:rPr>
          <w:rFonts w:ascii="宋体" w:hAnsi="宋体" w:cs="宋体"/>
          <w:b/>
          <w:bCs/>
          <w:sz w:val="28"/>
          <w:szCs w:val="28"/>
          <w:highlight w:val="none"/>
        </w:rPr>
      </w:pPr>
      <w:r>
        <w:rPr>
          <w:rFonts w:hint="eastAsia" w:hAnsi="宋体" w:cs="宋体"/>
          <w:sz w:val="32"/>
          <w:szCs w:val="32"/>
          <w:highlight w:val="none"/>
        </w:rPr>
        <w:br w:type="page"/>
      </w:r>
      <w:r>
        <w:rPr>
          <w:rFonts w:hint="eastAsia" w:ascii="宋体" w:hAnsi="宋体" w:cs="宋体"/>
          <w:b/>
          <w:bCs/>
          <w:sz w:val="28"/>
          <w:szCs w:val="28"/>
          <w:highlight w:val="none"/>
        </w:rPr>
        <w:t xml:space="preserve">附件六  </w:t>
      </w:r>
    </w:p>
    <w:p w14:paraId="42987344">
      <w:pPr>
        <w:jc w:val="center"/>
        <w:rPr>
          <w:rFonts w:ascii="宋体" w:hAnsi="宋体" w:cs="宋体"/>
          <w:b/>
          <w:bCs/>
          <w:sz w:val="28"/>
          <w:szCs w:val="28"/>
          <w:highlight w:val="none"/>
        </w:rPr>
      </w:pPr>
      <w:r>
        <w:rPr>
          <w:rFonts w:hint="eastAsia" w:ascii="宋体" w:hAnsi="宋体" w:cs="宋体"/>
          <w:b/>
          <w:bCs/>
          <w:sz w:val="28"/>
          <w:szCs w:val="28"/>
          <w:highlight w:val="none"/>
        </w:rPr>
        <w:t>回收脏污医用织物工作流程</w:t>
      </w:r>
    </w:p>
    <w:p w14:paraId="377A0D87">
      <w:pPr>
        <w:jc w:val="center"/>
        <w:rPr>
          <w:highlight w:val="none"/>
        </w:rPr>
      </w:pPr>
    </w:p>
    <w:p w14:paraId="67918067">
      <w:pPr>
        <w:spacing w:line="440" w:lineRule="atLeast"/>
        <w:jc w:val="center"/>
        <w:rPr>
          <w:rFonts w:ascii="宋体" w:hAnsi="宋体"/>
          <w:b/>
          <w:sz w:val="32"/>
          <w:szCs w:val="32"/>
          <w:highlight w:val="none"/>
        </w:rPr>
      </w:pPr>
    </w:p>
    <w:p w14:paraId="5D5269A5">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1596390</wp:posOffset>
                </wp:positionH>
                <wp:positionV relativeFrom="paragraph">
                  <wp:posOffset>69850</wp:posOffset>
                </wp:positionV>
                <wp:extent cx="2038350" cy="504825"/>
                <wp:effectExtent l="4445" t="5080" r="14605" b="4445"/>
                <wp:wrapNone/>
                <wp:docPr id="16" name="流程图: 过程 16"/>
                <wp:cNvGraphicFramePr/>
                <a:graphic xmlns:a="http://schemas.openxmlformats.org/drawingml/2006/main">
                  <a:graphicData uri="http://schemas.microsoft.com/office/word/2010/wordprocessingShape">
                    <wps:wsp>
                      <wps:cNvSpPr/>
                      <wps:spPr>
                        <a:xfrm>
                          <a:off x="0" y="0"/>
                          <a:ext cx="2038350" cy="5048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3F02F12">
                            <w:pPr>
                              <w:jc w:val="center"/>
                            </w:pPr>
                            <w:r>
                              <w:rPr>
                                <w:rFonts w:hint="eastAsia"/>
                                <w:sz w:val="24"/>
                              </w:rPr>
                              <w:t>按要求：穿戴工作服、工作帽、口罩、手套</w:t>
                            </w:r>
                          </w:p>
                        </w:txbxContent>
                      </wps:txbx>
                      <wps:bodyPr upright="1"/>
                    </wps:wsp>
                  </a:graphicData>
                </a:graphic>
              </wp:anchor>
            </w:drawing>
          </mc:Choice>
          <mc:Fallback>
            <w:pict>
              <v:shape id="_x0000_s1026" o:spid="_x0000_s1026" o:spt="109" type="#_x0000_t109" style="position:absolute;left:0pt;margin-left:125.7pt;margin-top:5.5pt;height:39.75pt;width:160.5pt;z-index:251670528;mso-width-relative:page;mso-height-relative:page;" fillcolor="#FFFFFF" filled="t" stroked="t" coordsize="21600,21600" o:gfxdata="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QHkQdgAAAAJ&#10;AQAADwAAAAAAAAABACAAAAAiAAAAZHJzL2Rvd25yZXYueG1sUEsBAhQAFAAAAAgAh07iQGFcf4Qc&#10;AgAAUAQAAA4AAAAAAAAAAQAgAAAAJwEAAGRycy9lMm9Eb2MueG1sUEsFBgAAAAAGAAYAWQEAALUF&#10;AAAAAA==&#10;">
                <v:fill on="t" focussize="0,0"/>
                <v:stroke color="#000000" joinstyle="miter"/>
                <v:imagedata o:title=""/>
                <o:lock v:ext="edit" aspectratio="f"/>
                <v:textbox>
                  <w:txbxContent>
                    <w:p w14:paraId="53F02F12">
                      <w:pPr>
                        <w:jc w:val="center"/>
                      </w:pPr>
                      <w:r>
                        <w:rPr>
                          <w:rFonts w:hint="eastAsia"/>
                          <w:sz w:val="24"/>
                        </w:rPr>
                        <w:t>按要求：穿戴工作服、工作帽、口罩、手套</w:t>
                      </w:r>
                    </w:p>
                  </w:txbxContent>
                </v:textbox>
              </v:shape>
            </w:pict>
          </mc:Fallback>
        </mc:AlternateContent>
      </w:r>
    </w:p>
    <w:p w14:paraId="3190935C">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2636520</wp:posOffset>
                </wp:positionH>
                <wp:positionV relativeFrom="paragraph">
                  <wp:posOffset>253365</wp:posOffset>
                </wp:positionV>
                <wp:extent cx="132715" cy="295275"/>
                <wp:effectExtent l="10795" t="4445" r="27940" b="24130"/>
                <wp:wrapNone/>
                <wp:docPr id="31" name="下箭头 31"/>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7.6pt;margin-top:19.95pt;height:23.25pt;width:10.45pt;z-index:251677696;mso-width-relative:page;mso-height-relative:page;" fillcolor="#FFFFFF" filled="t" stroked="t" coordsize="21600,21600" o:gfxdata="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0KOe3AAAAAkBAAAPAAAAAAAAAAEAIAAAACIAAABkcnMvZG93bnJldi54bWxQ&#10;SwECFAAUAAAACACHTuJAaaZPDCwCAACGBAAADgAAAAAAAAABACAAAAArAQAAZHJzL2Uyb0RvYy54&#10;bWxQSwUGAAAAAAYABgBZAQAAyQUAAAAA&#10;" adj="16201,5400">
                <v:fill on="t" focussize="0,0"/>
                <v:stroke color="#000000" joinstyle="miter"/>
                <v:imagedata o:title=""/>
                <o:lock v:ext="edit" aspectratio="f"/>
              </v:shape>
            </w:pict>
          </mc:Fallback>
        </mc:AlternateContent>
      </w:r>
    </w:p>
    <w:p w14:paraId="1C78C041">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1440180</wp:posOffset>
                </wp:positionH>
                <wp:positionV relativeFrom="paragraph">
                  <wp:posOffset>193675</wp:posOffset>
                </wp:positionV>
                <wp:extent cx="2936875" cy="470535"/>
                <wp:effectExtent l="4445" t="4445" r="11430" b="20320"/>
                <wp:wrapNone/>
                <wp:docPr id="25" name="流程图: 过程 25"/>
                <wp:cNvGraphicFramePr/>
                <a:graphic xmlns:a="http://schemas.openxmlformats.org/drawingml/2006/main">
                  <a:graphicData uri="http://schemas.microsoft.com/office/word/2010/wordprocessingShape">
                    <wps:wsp>
                      <wps:cNvSpPr/>
                      <wps:spPr>
                        <a:xfrm>
                          <a:off x="0" y="0"/>
                          <a:ext cx="2616835" cy="52387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57FA50E">
                            <w:pPr>
                              <w:jc w:val="center"/>
                            </w:pPr>
                            <w:r>
                              <w:rPr>
                                <w:rFonts w:hint="eastAsia"/>
                                <w:sz w:val="24"/>
                              </w:rPr>
                              <w:t>推回收车至科室，与科室人员清点交接脏污医用织物数量，按要求分类装袋</w:t>
                            </w:r>
                          </w:p>
                        </w:txbxContent>
                      </wps:txbx>
                      <wps:bodyPr upright="1"/>
                    </wps:wsp>
                  </a:graphicData>
                </a:graphic>
              </wp:anchor>
            </w:drawing>
          </mc:Choice>
          <mc:Fallback>
            <w:pict>
              <v:shape id="_x0000_s1026" o:spid="_x0000_s1026" o:spt="109" type="#_x0000_t109" style="position:absolute;left:0pt;margin-left:113.4pt;margin-top:15.25pt;height:37.05pt;width:231.25pt;z-index:251671552;mso-width-relative:page;mso-height-relative:page;" fillcolor="#FFFFFF" filled="t" stroked="t" coordsize="21600,21600" o:gfxdata="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miTX/Z&#10;AAAACgEAAA8AAAAAAAAAAQAgAAAAIgAAAGRycy9kb3ducmV2LnhtbFBLAQIUABQAAAAIAIdO4kB4&#10;QW6/HwIAAFAEAAAOAAAAAAAAAAEAIAAAACgBAABkcnMvZTJvRG9jLnhtbFBLBQYAAAAABgAGAFkB&#10;AAC5BQAAAAA=&#10;">
                <v:fill on="t" focussize="0,0"/>
                <v:stroke color="#000000" joinstyle="miter"/>
                <v:imagedata o:title=""/>
                <o:lock v:ext="edit" aspectratio="f"/>
                <v:textbox>
                  <w:txbxContent>
                    <w:p w14:paraId="357FA50E">
                      <w:pPr>
                        <w:jc w:val="center"/>
                      </w:pPr>
                      <w:r>
                        <w:rPr>
                          <w:rFonts w:hint="eastAsia"/>
                          <w:sz w:val="24"/>
                        </w:rPr>
                        <w:t>推回收车至科室，与科室人员清点交接脏污医用织物数量，按要求分类装袋</w:t>
                      </w:r>
                    </w:p>
                  </w:txbxContent>
                </v:textbox>
              </v:shape>
            </w:pict>
          </mc:Fallback>
        </mc:AlternateContent>
      </w:r>
    </w:p>
    <w:p w14:paraId="08F79664">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column">
                  <wp:posOffset>2636520</wp:posOffset>
                </wp:positionH>
                <wp:positionV relativeFrom="paragraph">
                  <wp:posOffset>360680</wp:posOffset>
                </wp:positionV>
                <wp:extent cx="132715" cy="295275"/>
                <wp:effectExtent l="10795" t="4445" r="27940" b="24130"/>
                <wp:wrapNone/>
                <wp:docPr id="32" name="下箭头 32"/>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7.6pt;margin-top:28.4pt;height:23.25pt;width:10.45pt;z-index:251678720;mso-width-relative:page;mso-height-relative:page;" fillcolor="#FFFFFF" filled="t" stroked="t" coordsize="21600,21600" o:gfxdata="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80DxvbAAAACgEAAA8AAAAAAAAAAQAgAAAAIgAAAGRycy9kb3ducmV2Lnht&#10;bFBLAQIUABQAAAAIAIdO4kBcMclLLwIAAIYEAAAOAAAAAAAAAAEAIAAAACoBAABkcnMvZTJvRG9j&#10;LnhtbFBLBQYAAAAABgAGAFkBAADLBQAAAAA=&#10;" adj="16201,5400">
                <v:fill on="t" focussize="0,0"/>
                <v:stroke color="#000000" joinstyle="miter"/>
                <v:imagedata o:title=""/>
                <o:lock v:ext="edit" aspectratio="f"/>
              </v:shape>
            </w:pict>
          </mc:Fallback>
        </mc:AlternateContent>
      </w:r>
    </w:p>
    <w:p w14:paraId="2971557A">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1297940</wp:posOffset>
                </wp:positionH>
                <wp:positionV relativeFrom="paragraph">
                  <wp:posOffset>296545</wp:posOffset>
                </wp:positionV>
                <wp:extent cx="3079115" cy="592455"/>
                <wp:effectExtent l="4445" t="4445" r="21590" b="12700"/>
                <wp:wrapNone/>
                <wp:docPr id="26" name="流程图: 过程 26"/>
                <wp:cNvGraphicFramePr/>
                <a:graphic xmlns:a="http://schemas.openxmlformats.org/drawingml/2006/main">
                  <a:graphicData uri="http://schemas.microsoft.com/office/word/2010/wordprocessingShape">
                    <wps:wsp>
                      <wps:cNvSpPr/>
                      <wps:spPr>
                        <a:xfrm>
                          <a:off x="0" y="0"/>
                          <a:ext cx="2822575" cy="58356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7D4C229">
                            <w:pPr>
                              <w:jc w:val="center"/>
                              <w:rPr>
                                <w:sz w:val="24"/>
                              </w:rPr>
                            </w:pPr>
                            <w:r>
                              <w:rPr>
                                <w:rFonts w:hint="eastAsia"/>
                                <w:sz w:val="24"/>
                              </w:rPr>
                              <w:t>与科室护理员双人核对数量，开具“医院被服清洗单”，不应涂改，确认并签名</w:t>
                            </w:r>
                          </w:p>
                        </w:txbxContent>
                      </wps:txbx>
                      <wps:bodyPr upright="1"/>
                    </wps:wsp>
                  </a:graphicData>
                </a:graphic>
              </wp:anchor>
            </w:drawing>
          </mc:Choice>
          <mc:Fallback>
            <w:pict>
              <v:shape id="_x0000_s1026" o:spid="_x0000_s1026" o:spt="109" type="#_x0000_t109" style="position:absolute;left:0pt;margin-left:102.2pt;margin-top:23.35pt;height:46.65pt;width:242.45pt;z-index:251672576;mso-width-relative:page;mso-height-relative:page;" fillcolor="#FFFFFF" filled="t" stroked="t" coordsize="21600,21600" o:gfxdata="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BRh/YAAAA&#10;CgEAAA8AAAAAAAAAAQAgAAAAIgAAAGRycy9kb3ducmV2LnhtbFBLAQIUABQAAAAIAIdO4kAAxnfr&#10;HQIAAFAEAAAOAAAAAAAAAAEAIAAAACcBAABkcnMvZTJvRG9jLnhtbFBLBQYAAAAABgAGAFkBAAC2&#10;BQAAAAA=&#10;">
                <v:fill on="t" focussize="0,0"/>
                <v:stroke color="#000000" joinstyle="miter"/>
                <v:imagedata o:title=""/>
                <o:lock v:ext="edit" aspectratio="f"/>
                <v:textbox>
                  <w:txbxContent>
                    <w:p w14:paraId="67D4C229">
                      <w:pPr>
                        <w:jc w:val="center"/>
                        <w:rPr>
                          <w:sz w:val="24"/>
                        </w:rPr>
                      </w:pPr>
                      <w:r>
                        <w:rPr>
                          <w:rFonts w:hint="eastAsia"/>
                          <w:sz w:val="24"/>
                        </w:rPr>
                        <w:t>与科室护理员双人核对数量，开具“医院被服清洗单”，不应涂改，确认并签名</w:t>
                      </w:r>
                    </w:p>
                  </w:txbxContent>
                </v:textbox>
              </v:shape>
            </w:pict>
          </mc:Fallback>
        </mc:AlternateContent>
      </w:r>
    </w:p>
    <w:p w14:paraId="2C65EF9D">
      <w:pPr>
        <w:spacing w:line="440" w:lineRule="atLeast"/>
        <w:jc w:val="center"/>
        <w:rPr>
          <w:rFonts w:ascii="宋体" w:hAnsi="宋体"/>
          <w:b/>
          <w:sz w:val="32"/>
          <w:szCs w:val="32"/>
          <w:highlight w:val="none"/>
        </w:rPr>
      </w:pPr>
    </w:p>
    <w:p w14:paraId="48445ECB">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column">
                  <wp:posOffset>2636520</wp:posOffset>
                </wp:positionH>
                <wp:positionV relativeFrom="paragraph">
                  <wp:posOffset>287020</wp:posOffset>
                </wp:positionV>
                <wp:extent cx="132715" cy="295275"/>
                <wp:effectExtent l="10795" t="4445" r="27940" b="24130"/>
                <wp:wrapNone/>
                <wp:docPr id="33" name="下箭头 33"/>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7.6pt;margin-top:22.6pt;height:23.25pt;width:10.45pt;z-index:251679744;mso-width-relative:page;mso-height-relative:page;" fillcolor="#FFFFFF" filled="t" stroked="t" coordsize="21600,21600" o:gfxdata="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1v4bz2gAAAAkBAAAPAAAAAAAAAAEAIAAAACIAAABkcnMvZG93bnJldi54bWxQ&#10;SwECFAAUAAAACACHTuJAT7y0di4CAACGBAAADgAAAAAAAAABACAAAAApAQAAZHJzL2Uyb0RvYy54&#10;bWxQSwUGAAAAAAYABgBZAQAAyQUAAAAA&#10;" adj="16201,5400">
                <v:fill on="t" focussize="0,0"/>
                <v:stroke color="#000000" joinstyle="miter"/>
                <v:imagedata o:title=""/>
                <o:lock v:ext="edit" aspectratio="f"/>
              </v:shape>
            </w:pict>
          </mc:Fallback>
        </mc:AlternateContent>
      </w:r>
    </w:p>
    <w:p w14:paraId="351D5A87">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1440180</wp:posOffset>
                </wp:positionH>
                <wp:positionV relativeFrom="paragraph">
                  <wp:posOffset>184785</wp:posOffset>
                </wp:positionV>
                <wp:extent cx="2581275" cy="495300"/>
                <wp:effectExtent l="5080" t="4445" r="4445" b="14605"/>
                <wp:wrapNone/>
                <wp:docPr id="27" name="流程图: 过程 27"/>
                <wp:cNvGraphicFramePr/>
                <a:graphic xmlns:a="http://schemas.openxmlformats.org/drawingml/2006/main">
                  <a:graphicData uri="http://schemas.microsoft.com/office/word/2010/wordprocessingShape">
                    <wps:wsp>
                      <wps:cNvSpPr/>
                      <wps:spPr>
                        <a:xfrm>
                          <a:off x="0" y="0"/>
                          <a:ext cx="2581275" cy="4953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C16A981">
                            <w:pPr>
                              <w:jc w:val="center"/>
                              <w:rPr>
                                <w:sz w:val="24"/>
                              </w:rPr>
                            </w:pPr>
                            <w:r>
                              <w:rPr>
                                <w:rFonts w:hint="eastAsia"/>
                                <w:sz w:val="24"/>
                              </w:rPr>
                              <w:t>将回收的脏污医用织物分类暂存于脏污医用织物存放架上</w:t>
                            </w:r>
                          </w:p>
                        </w:txbxContent>
                      </wps:txbx>
                      <wps:bodyPr upright="1"/>
                    </wps:wsp>
                  </a:graphicData>
                </a:graphic>
              </wp:anchor>
            </w:drawing>
          </mc:Choice>
          <mc:Fallback>
            <w:pict>
              <v:shape id="_x0000_s1026" o:spid="_x0000_s1026" o:spt="109" type="#_x0000_t109" style="position:absolute;left:0pt;margin-left:113.4pt;margin-top:14.55pt;height:39pt;width:203.25pt;z-index:251673600;mso-width-relative:page;mso-height-relative:page;" fillcolor="#FFFFFF" filled="t" stroked="t" coordsize="21600,21600" o:gfxdata="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XLt&#10;lNkAAAAKAQAADwAAAAAAAAABACAAAAAiAAAAZHJzL2Rvd25yZXYueG1sUEsBAhQAFAAAAAgAh07i&#10;QF9NyKghAgAAUAQAAA4AAAAAAAAAAQAgAAAAKAEAAGRycy9lMm9Eb2MueG1sUEsFBgAAAAAGAAYA&#10;WQEAALsFAAAAAA==&#10;">
                <v:fill on="t" focussize="0,0"/>
                <v:stroke color="#000000" joinstyle="miter"/>
                <v:imagedata o:title=""/>
                <o:lock v:ext="edit" aspectratio="f"/>
                <v:textbox>
                  <w:txbxContent>
                    <w:p w14:paraId="6C16A981">
                      <w:pPr>
                        <w:jc w:val="center"/>
                        <w:rPr>
                          <w:sz w:val="24"/>
                        </w:rPr>
                      </w:pPr>
                      <w:r>
                        <w:rPr>
                          <w:rFonts w:hint="eastAsia"/>
                          <w:sz w:val="24"/>
                        </w:rPr>
                        <w:t>将回收的脏污医用织物分类暂存于脏污医用织物存放架上</w:t>
                      </w:r>
                    </w:p>
                  </w:txbxContent>
                </v:textbox>
              </v:shape>
            </w:pict>
          </mc:Fallback>
        </mc:AlternateContent>
      </w:r>
    </w:p>
    <w:p w14:paraId="597FADB9">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column">
                  <wp:posOffset>2636520</wp:posOffset>
                </wp:positionH>
                <wp:positionV relativeFrom="paragraph">
                  <wp:posOffset>295910</wp:posOffset>
                </wp:positionV>
                <wp:extent cx="132715" cy="295275"/>
                <wp:effectExtent l="10795" t="4445" r="27940" b="24130"/>
                <wp:wrapNone/>
                <wp:docPr id="34" name="下箭头 34"/>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7.6pt;margin-top:23.3pt;height:23.25pt;width:10.45pt;z-index:251680768;mso-width-relative:page;mso-height-relative:page;" fillcolor="#FFFFFF" filled="t" stroked="t" coordsize="21600,21600" o:gfxdata="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aWlxtsAAAAJAQAADwAAAAAAAAABACAAAAAiAAAAZHJzL2Rvd25yZXYueG1s&#10;UEsBAhQAFAAAAAgAh07iQDYfxMQuAgAAhgQAAA4AAAAAAAAAAQAgAAAAKgEAAGRycy9lMm9Eb2Mu&#10;eG1sUEsFBgAAAAAGAAYAWQEAAMoFAAAAAA==&#10;" adj="16201,5400">
                <v:fill on="t" focussize="0,0"/>
                <v:stroke color="#000000" joinstyle="miter"/>
                <v:imagedata o:title=""/>
                <o:lock v:ext="edit" aspectratio="f"/>
              </v:shape>
            </w:pict>
          </mc:Fallback>
        </mc:AlternateContent>
      </w:r>
    </w:p>
    <w:p w14:paraId="0D22C752">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1381760</wp:posOffset>
                </wp:positionH>
                <wp:positionV relativeFrom="paragraph">
                  <wp:posOffset>194945</wp:posOffset>
                </wp:positionV>
                <wp:extent cx="2533650" cy="495300"/>
                <wp:effectExtent l="4445" t="4445" r="14605" b="14605"/>
                <wp:wrapNone/>
                <wp:docPr id="28" name="流程图: 过程 28"/>
                <wp:cNvGraphicFramePr/>
                <a:graphic xmlns:a="http://schemas.openxmlformats.org/drawingml/2006/main">
                  <a:graphicData uri="http://schemas.microsoft.com/office/word/2010/wordprocessingShape">
                    <wps:wsp>
                      <wps:cNvSpPr/>
                      <wps:spPr>
                        <a:xfrm>
                          <a:off x="0" y="0"/>
                          <a:ext cx="2533650" cy="4953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17C34B2C">
                            <w:pPr>
                              <w:jc w:val="center"/>
                              <w:rPr>
                                <w:sz w:val="24"/>
                              </w:rPr>
                            </w:pPr>
                            <w:r>
                              <w:rPr>
                                <w:rFonts w:hint="eastAsia"/>
                                <w:sz w:val="24"/>
                              </w:rPr>
                              <w:t>穿戴好防护用品，与司机共同装载脏污医用织物送至洗涤厂洗涤</w:t>
                            </w:r>
                          </w:p>
                        </w:txbxContent>
                      </wps:txbx>
                      <wps:bodyPr upright="1"/>
                    </wps:wsp>
                  </a:graphicData>
                </a:graphic>
              </wp:anchor>
            </w:drawing>
          </mc:Choice>
          <mc:Fallback>
            <w:pict>
              <v:shape id="_x0000_s1026" o:spid="_x0000_s1026" o:spt="109" type="#_x0000_t109" style="position:absolute;left:0pt;margin-left:108.8pt;margin-top:15.35pt;height:39pt;width:199.5pt;z-index:251674624;mso-width-relative:page;mso-height-relative:page;" fillcolor="#FFFFFF" filled="t" stroked="t" coordsize="21600,21600" o:gfxdata="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JfRZ&#10;2QAAAAoBAAAPAAAAAAAAAAEAIAAAACIAAABkcnMvZG93bnJldi54bWxQSwECFAAUAAAACACHTuJA&#10;Evli8iACAABQBAAADgAAAAAAAAABACAAAAAoAQAAZHJzL2Uyb0RvYy54bWxQSwUGAAAAAAYABgBZ&#10;AQAAugUAAAAA&#10;">
                <v:fill on="t" focussize="0,0"/>
                <v:stroke color="#000000" joinstyle="miter"/>
                <v:imagedata o:title=""/>
                <o:lock v:ext="edit" aspectratio="f"/>
                <v:textbox>
                  <w:txbxContent>
                    <w:p w14:paraId="17C34B2C">
                      <w:pPr>
                        <w:jc w:val="center"/>
                        <w:rPr>
                          <w:sz w:val="24"/>
                        </w:rPr>
                      </w:pPr>
                      <w:r>
                        <w:rPr>
                          <w:rFonts w:hint="eastAsia"/>
                          <w:sz w:val="24"/>
                        </w:rPr>
                        <w:t>穿戴好防护用品，与司机共同装载脏污医用织物送至洗涤厂洗涤</w:t>
                      </w:r>
                    </w:p>
                  </w:txbxContent>
                </v:textbox>
              </v:shape>
            </w:pict>
          </mc:Fallback>
        </mc:AlternateContent>
      </w:r>
    </w:p>
    <w:p w14:paraId="09880A2C">
      <w:pPr>
        <w:pStyle w:val="89"/>
        <w:rPr>
          <w:rFonts w:ascii="宋体" w:hAnsi="宋体"/>
          <w:b/>
          <w:sz w:val="32"/>
          <w:szCs w:val="32"/>
          <w:highlight w:val="none"/>
        </w:rPr>
      </w:pPr>
      <w:r>
        <w:rPr>
          <w:highlight w:val="none"/>
        </w:rPr>
        <mc:AlternateContent>
          <mc:Choice Requires="wps">
            <w:drawing>
              <wp:anchor distT="0" distB="0" distL="114300" distR="114300" simplePos="0" relativeHeight="251681792" behindDoc="0" locked="0" layoutInCell="1" allowOverlap="1">
                <wp:simplePos x="0" y="0"/>
                <wp:positionH relativeFrom="column">
                  <wp:posOffset>2664460</wp:posOffset>
                </wp:positionH>
                <wp:positionV relativeFrom="paragraph">
                  <wp:posOffset>329565</wp:posOffset>
                </wp:positionV>
                <wp:extent cx="132715" cy="295275"/>
                <wp:effectExtent l="10795" t="4445" r="27940" b="24130"/>
                <wp:wrapNone/>
                <wp:docPr id="35" name="下箭头 35"/>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9.8pt;margin-top:25.95pt;height:23.25pt;width:10.45pt;z-index:251681792;mso-width-relative:page;mso-height-relative:page;" fillcolor="#FFFFFF" filled="t" stroked="t" coordsize="21600,21600" o:gfxdata="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wuGe2wAAAAkBAAAPAAAAAAAAAAEAIAAAACIAAABkcnMvZG93bnJldi54bWxQ&#10;SwECFAAUAAAACACHTuJAJZK5+S0CAACGBAAADgAAAAAAAAABACAAAAAqAQAAZHJzL2Uyb0RvYy54&#10;bWxQSwUGAAAAAAYABgBZAQAAyQUAAAAA&#10;" adj="16201,5400">
                <v:fill on="t" focussize="0,0"/>
                <v:stroke color="#000000" joinstyle="miter"/>
                <v:imagedata o:title=""/>
                <o:lock v:ext="edit" aspectratio="f"/>
              </v:shape>
            </w:pict>
          </mc:Fallback>
        </mc:AlternateContent>
      </w:r>
    </w:p>
    <w:p w14:paraId="7FBC5E90">
      <w:pPr>
        <w:pStyle w:val="89"/>
        <w:rPr>
          <w:rFonts w:ascii="宋体" w:hAnsi="宋体"/>
          <w:b/>
          <w:sz w:val="32"/>
          <w:szCs w:val="32"/>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1778000</wp:posOffset>
                </wp:positionH>
                <wp:positionV relativeFrom="paragraph">
                  <wp:posOffset>260350</wp:posOffset>
                </wp:positionV>
                <wp:extent cx="1856740" cy="505460"/>
                <wp:effectExtent l="4445" t="4445" r="5715" b="23495"/>
                <wp:wrapNone/>
                <wp:docPr id="29" name="流程图: 过程 29"/>
                <wp:cNvGraphicFramePr/>
                <a:graphic xmlns:a="http://schemas.openxmlformats.org/drawingml/2006/main">
                  <a:graphicData uri="http://schemas.microsoft.com/office/word/2010/wordprocessingShape">
                    <wps:wsp>
                      <wps:cNvSpPr/>
                      <wps:spPr>
                        <a:xfrm>
                          <a:off x="0" y="0"/>
                          <a:ext cx="1856740" cy="5054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9820D1F">
                            <w:pPr>
                              <w:jc w:val="center"/>
                              <w:rPr>
                                <w:sz w:val="24"/>
                              </w:rPr>
                            </w:pPr>
                            <w:r>
                              <w:rPr>
                                <w:rFonts w:hint="eastAsia"/>
                                <w:sz w:val="24"/>
                              </w:rPr>
                              <w:t>清扫现场卫生，定期消毒处理</w:t>
                            </w:r>
                          </w:p>
                        </w:txbxContent>
                      </wps:txbx>
                      <wps:bodyPr upright="1"/>
                    </wps:wsp>
                  </a:graphicData>
                </a:graphic>
              </wp:anchor>
            </w:drawing>
          </mc:Choice>
          <mc:Fallback>
            <w:pict>
              <v:shape id="_x0000_s1026" o:spid="_x0000_s1026" o:spt="109" type="#_x0000_t109" style="position:absolute;left:0pt;margin-left:140pt;margin-top:20.5pt;height:39.8pt;width:146.2pt;z-index:251675648;mso-width-relative:page;mso-height-relative:page;" fillcolor="#FFFFFF" filled="t" stroked="t" coordsize="21600,21600" o:gfxdata="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pc&#10;2v3ZAAAACgEAAA8AAAAAAAAAAQAgAAAAIgAAAGRycy9kb3ducmV2LnhtbFBLAQIUABQAAAAIAIdO&#10;4kD3tILIIgIAAFAEAAAOAAAAAAAAAAEAIAAAACgBAABkcnMvZTJvRG9jLnhtbFBLBQYAAAAABgAG&#10;AFkBAAC8BQAAAAA=&#10;">
                <v:fill on="t" focussize="0,0"/>
                <v:stroke color="#000000" joinstyle="miter"/>
                <v:imagedata o:title=""/>
                <o:lock v:ext="edit" aspectratio="f"/>
                <v:textbox>
                  <w:txbxContent>
                    <w:p w14:paraId="09820D1F">
                      <w:pPr>
                        <w:jc w:val="center"/>
                        <w:rPr>
                          <w:sz w:val="24"/>
                        </w:rPr>
                      </w:pPr>
                      <w:r>
                        <w:rPr>
                          <w:rFonts w:hint="eastAsia"/>
                          <w:sz w:val="24"/>
                        </w:rPr>
                        <w:t>清扫现场卫生，定期消毒处理</w:t>
                      </w:r>
                    </w:p>
                  </w:txbxContent>
                </v:textbox>
              </v:shape>
            </w:pict>
          </mc:Fallback>
        </mc:AlternateContent>
      </w:r>
    </w:p>
    <w:p w14:paraId="27C114B9">
      <w:pPr>
        <w:spacing w:line="440" w:lineRule="atLeast"/>
        <w:jc w:val="center"/>
        <w:rPr>
          <w:rFonts w:ascii="宋体" w:hAnsi="宋体"/>
          <w:b/>
          <w:sz w:val="32"/>
          <w:szCs w:val="32"/>
          <w:highlight w:val="none"/>
        </w:rPr>
      </w:pPr>
    </w:p>
    <w:p w14:paraId="0BD44099">
      <w:pPr>
        <w:spacing w:line="440" w:lineRule="atLeast"/>
        <w:jc w:val="center"/>
        <w:rPr>
          <w:rFonts w:ascii="宋体" w:hAnsi="宋体"/>
          <w:b/>
          <w:sz w:val="32"/>
          <w:szCs w:val="32"/>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column">
                  <wp:posOffset>2664460</wp:posOffset>
                </wp:positionH>
                <wp:positionV relativeFrom="paragraph">
                  <wp:posOffset>3175</wp:posOffset>
                </wp:positionV>
                <wp:extent cx="132715" cy="295275"/>
                <wp:effectExtent l="10795" t="4445" r="27940" b="24130"/>
                <wp:wrapNone/>
                <wp:docPr id="36" name="下箭头 36"/>
                <wp:cNvGraphicFramePr/>
                <a:graphic xmlns:a="http://schemas.openxmlformats.org/drawingml/2006/main">
                  <a:graphicData uri="http://schemas.microsoft.com/office/word/2010/wordprocessingShape">
                    <wps:wsp>
                      <wps:cNvSpPr/>
                      <wps:spPr>
                        <a:xfrm>
                          <a:off x="0" y="0"/>
                          <a:ext cx="132715" cy="295275"/>
                        </a:xfrm>
                        <a:prstGeom prst="downArrow">
                          <a:avLst>
                            <a:gd name="adj1" fmla="val 50000"/>
                            <a:gd name="adj2" fmla="val 55622"/>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67" type="#_x0000_t67" style="position:absolute;left:0pt;margin-left:209.8pt;margin-top:0.25pt;height:23.25pt;width:10.45pt;z-index:251682816;mso-width-relative:page;mso-height-relative:page;" fillcolor="#FFFFFF" filled="t" stroked="t" coordsize="21600,21600" o:gfxdata="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kp0F1wAAAAcBAAAPAAAAAAAAAAEAIAAAACIAAABkcnMvZG93bnJldi54bWxQSwEC&#10;FAAUAAAACACHTuJAEAU/vi4CAACGBAAADgAAAAAAAAABACAAAAAmAQAAZHJzL2Uyb0RvYy54bWxQ&#10;SwUGAAAAAAYABgBZAQAAxgUAAAAA&#10;" adj="16201,5400">
                <v:fill on="t" focussize="0,0"/>
                <v:stroke color="#000000" joinstyle="miter"/>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2006600</wp:posOffset>
                </wp:positionH>
                <wp:positionV relativeFrom="paragraph">
                  <wp:posOffset>337820</wp:posOffset>
                </wp:positionV>
                <wp:extent cx="1409700" cy="361950"/>
                <wp:effectExtent l="4445" t="4445" r="14605" b="14605"/>
                <wp:wrapNone/>
                <wp:docPr id="30" name="流程图: 过程 30"/>
                <wp:cNvGraphicFramePr/>
                <a:graphic xmlns:a="http://schemas.openxmlformats.org/drawingml/2006/main">
                  <a:graphicData uri="http://schemas.microsoft.com/office/word/2010/wordprocessingShape">
                    <wps:wsp>
                      <wps:cNvSpPr/>
                      <wps:spPr>
                        <a:xfrm>
                          <a:off x="0" y="0"/>
                          <a:ext cx="1409700" cy="3619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B4755E0">
                            <w:pPr>
                              <w:jc w:val="center"/>
                              <w:rPr>
                                <w:sz w:val="24"/>
                              </w:rPr>
                            </w:pPr>
                            <w:r>
                              <w:rPr>
                                <w:rFonts w:hint="eastAsia"/>
                                <w:sz w:val="24"/>
                              </w:rPr>
                              <w:t>工作结束</w:t>
                            </w:r>
                          </w:p>
                        </w:txbxContent>
                      </wps:txbx>
                      <wps:bodyPr upright="1"/>
                    </wps:wsp>
                  </a:graphicData>
                </a:graphic>
              </wp:anchor>
            </w:drawing>
          </mc:Choice>
          <mc:Fallback>
            <w:pict>
              <v:shape id="_x0000_s1026" o:spid="_x0000_s1026" o:spt="109" type="#_x0000_t109" style="position:absolute;left:0pt;margin-left:158pt;margin-top:26.6pt;height:28.5pt;width:111pt;z-index:251676672;mso-width-relative:page;mso-height-relative:page;" fillcolor="#FFFFFF" filled="t" stroked="t" coordsize="21600,21600" o:gfxdata="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11&#10;1tkAAAAKAQAADwAAAAAAAAABACAAAAAiAAAAZHJzL2Rvd25yZXYueG1sUEsBAhQAFAAAAAgAh07i&#10;QCsRYXUhAgAAUAQAAA4AAAAAAAAAAQAgAAAAKAEAAGRycy9lMm9Eb2MueG1sUEsFBgAAAAAGAAYA&#10;WQEAALsFAAAAAA==&#10;">
                <v:fill on="t" focussize="0,0"/>
                <v:stroke color="#000000" joinstyle="miter"/>
                <v:imagedata o:title=""/>
                <o:lock v:ext="edit" aspectratio="f"/>
                <v:textbox>
                  <w:txbxContent>
                    <w:p w14:paraId="6B4755E0">
                      <w:pPr>
                        <w:jc w:val="center"/>
                        <w:rPr>
                          <w:sz w:val="24"/>
                        </w:rPr>
                      </w:pPr>
                      <w:r>
                        <w:rPr>
                          <w:rFonts w:hint="eastAsia"/>
                          <w:sz w:val="24"/>
                        </w:rPr>
                        <w:t>工作结束</w:t>
                      </w:r>
                    </w:p>
                  </w:txbxContent>
                </v:textbox>
              </v:shape>
            </w:pict>
          </mc:Fallback>
        </mc:AlternateContent>
      </w:r>
    </w:p>
    <w:p w14:paraId="18B53ED9">
      <w:pPr>
        <w:spacing w:line="440" w:lineRule="atLeast"/>
        <w:jc w:val="center"/>
        <w:rPr>
          <w:rFonts w:ascii="宋体" w:hAnsi="宋体"/>
          <w:b/>
          <w:sz w:val="32"/>
          <w:szCs w:val="32"/>
          <w:highlight w:val="none"/>
        </w:rPr>
      </w:pPr>
    </w:p>
    <w:p w14:paraId="29DC7DAF">
      <w:pPr>
        <w:spacing w:line="440" w:lineRule="atLeast"/>
        <w:jc w:val="center"/>
        <w:rPr>
          <w:rFonts w:ascii="宋体" w:hAnsi="宋体"/>
          <w:b/>
          <w:sz w:val="32"/>
          <w:szCs w:val="32"/>
          <w:highlight w:val="none"/>
        </w:rPr>
      </w:pPr>
    </w:p>
    <w:p w14:paraId="317DF777">
      <w:pPr>
        <w:rPr>
          <w:rFonts w:hint="eastAsia" w:hAnsi="宋体" w:cs="宋体"/>
          <w:sz w:val="32"/>
          <w:szCs w:val="32"/>
          <w:highlight w:val="none"/>
        </w:rPr>
      </w:pPr>
      <w:r>
        <w:rPr>
          <w:rFonts w:hint="eastAsia" w:hAnsi="宋体" w:cs="宋体"/>
          <w:sz w:val="32"/>
          <w:szCs w:val="32"/>
          <w:highlight w:val="none"/>
        </w:rPr>
        <w:br w:type="page"/>
      </w:r>
    </w:p>
    <w:p w14:paraId="2CAEDA03">
      <w:pPr>
        <w:pStyle w:val="17"/>
        <w:jc w:val="left"/>
        <w:rPr>
          <w:rFonts w:hAnsi="宋体" w:cs="宋体"/>
          <w:b/>
          <w:bCs/>
          <w:sz w:val="28"/>
          <w:szCs w:val="28"/>
          <w:highlight w:val="none"/>
        </w:rPr>
      </w:pPr>
      <w:r>
        <w:rPr>
          <w:rFonts w:hint="eastAsia" w:hAnsi="宋体" w:cs="宋体"/>
          <w:b/>
          <w:bCs/>
          <w:sz w:val="28"/>
          <w:szCs w:val="28"/>
          <w:highlight w:val="none"/>
        </w:rPr>
        <w:t>附</w:t>
      </w:r>
      <w:r>
        <w:rPr>
          <w:rFonts w:hint="eastAsia" w:hAnsi="宋体" w:cs="宋体"/>
          <w:b/>
          <w:bCs/>
          <w:sz w:val="28"/>
          <w:szCs w:val="28"/>
          <w:highlight w:val="none"/>
          <w:lang w:val="en-US" w:eastAsia="zh-CN"/>
        </w:rPr>
        <w:t>件七</w:t>
      </w:r>
      <w:r>
        <w:rPr>
          <w:rFonts w:hint="eastAsia" w:hAnsi="宋体" w:cs="宋体"/>
          <w:b/>
          <w:bCs/>
          <w:sz w:val="28"/>
          <w:szCs w:val="28"/>
          <w:highlight w:val="none"/>
        </w:rPr>
        <w:t>：</w:t>
      </w:r>
    </w:p>
    <w:p w14:paraId="035137E0">
      <w:pPr>
        <w:jc w:val="center"/>
        <w:rPr>
          <w:rFonts w:ascii="宋体" w:hAnsi="宋体" w:cs="宋体"/>
          <w:sz w:val="44"/>
          <w:szCs w:val="44"/>
          <w:highlight w:val="none"/>
        </w:rPr>
      </w:pPr>
      <w:r>
        <w:rPr>
          <w:rFonts w:hint="eastAsia" w:ascii="宋体" w:hAnsi="宋体" w:cs="宋体"/>
          <w:sz w:val="44"/>
          <w:szCs w:val="44"/>
          <w:highlight w:val="none"/>
        </w:rPr>
        <w:t>中小微企业划型标准</w:t>
      </w:r>
    </w:p>
    <w:p w14:paraId="1BF8EAA1">
      <w:pPr>
        <w:ind w:left="1871"/>
        <w:rPr>
          <w:rFonts w:ascii="宋体" w:hAnsi="宋体" w:cs="宋体"/>
          <w:szCs w:val="21"/>
          <w:highlight w:val="none"/>
        </w:rPr>
      </w:pPr>
    </w:p>
    <w:tbl>
      <w:tblPr>
        <w:tblStyle w:val="30"/>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7CDEF7E8">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ACCE9DC">
            <w:pPr>
              <w:widowControl/>
              <w:jc w:val="center"/>
              <w:rPr>
                <w:rFonts w:ascii="宋体" w:hAnsi="宋体" w:cs="宋体"/>
                <w:b/>
                <w:kern w:val="0"/>
                <w:sz w:val="24"/>
                <w:highlight w:val="none"/>
              </w:rPr>
            </w:pPr>
            <w:r>
              <w:rPr>
                <w:rFonts w:hint="eastAsia" w:ascii="宋体" w:hAnsi="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B33919">
            <w:pPr>
              <w:widowControl/>
              <w:jc w:val="center"/>
              <w:rPr>
                <w:rFonts w:ascii="宋体" w:hAnsi="宋体" w:cs="宋体"/>
                <w:b/>
                <w:kern w:val="0"/>
                <w:sz w:val="24"/>
                <w:highlight w:val="none"/>
              </w:rPr>
            </w:pPr>
            <w:r>
              <w:rPr>
                <w:rFonts w:hint="eastAsia" w:ascii="宋体" w:hAnsi="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52B7047A">
            <w:pPr>
              <w:widowControl/>
              <w:jc w:val="center"/>
              <w:rPr>
                <w:rFonts w:ascii="宋体" w:hAnsi="宋体" w:cs="宋体"/>
                <w:b/>
                <w:kern w:val="0"/>
                <w:sz w:val="24"/>
                <w:highlight w:val="none"/>
              </w:rPr>
            </w:pPr>
            <w:r>
              <w:rPr>
                <w:rFonts w:hint="eastAsia" w:ascii="宋体" w:hAnsi="宋体" w:cs="宋体"/>
                <w:b/>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2280A423">
            <w:pPr>
              <w:widowControl/>
              <w:jc w:val="center"/>
              <w:rPr>
                <w:rFonts w:ascii="宋体" w:hAnsi="宋体" w:cs="宋体"/>
                <w:b/>
                <w:kern w:val="0"/>
                <w:sz w:val="24"/>
                <w:highlight w:val="none"/>
              </w:rPr>
            </w:pPr>
            <w:r>
              <w:rPr>
                <w:rFonts w:hint="eastAsia" w:ascii="宋体" w:hAnsi="宋体" w:cs="宋体"/>
                <w:b/>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41485747">
            <w:pPr>
              <w:widowControl/>
              <w:jc w:val="center"/>
              <w:rPr>
                <w:rFonts w:ascii="宋体" w:hAnsi="宋体" w:cs="宋体"/>
                <w:b/>
                <w:kern w:val="0"/>
                <w:sz w:val="24"/>
                <w:highlight w:val="none"/>
              </w:rPr>
            </w:pPr>
            <w:r>
              <w:rPr>
                <w:rFonts w:hint="eastAsia" w:ascii="宋体" w:hAnsi="宋体" w:cs="宋体"/>
                <w:b/>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139FBE22">
            <w:pPr>
              <w:widowControl/>
              <w:jc w:val="center"/>
              <w:rPr>
                <w:rFonts w:ascii="宋体" w:hAnsi="宋体" w:cs="宋体"/>
                <w:b/>
                <w:kern w:val="0"/>
                <w:sz w:val="24"/>
                <w:highlight w:val="none"/>
              </w:rPr>
            </w:pPr>
            <w:r>
              <w:rPr>
                <w:rFonts w:hint="eastAsia" w:ascii="宋体" w:hAnsi="宋体" w:cs="宋体"/>
                <w:b/>
                <w:kern w:val="0"/>
                <w:sz w:val="24"/>
                <w:highlight w:val="none"/>
              </w:rPr>
              <w:t>微型</w:t>
            </w:r>
          </w:p>
        </w:tc>
      </w:tr>
      <w:tr w14:paraId="778F57C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F51C32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0987C8F1">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A50E97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AC5FAFA">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3061322D">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41358AC9">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31FAA4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B1A475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38E568C">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B0A849B">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4CE0BFA">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03CA01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CD74133">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513314B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5D2FCF6">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688D03E">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DAC623">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C59805E">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23DE02A">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0FB5E44">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379C5A8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CADD16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37BF65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110B281">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185E938">
            <w:pPr>
              <w:widowControl/>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2154A4C0">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5659D462">
            <w:pPr>
              <w:widowControl/>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1988B2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A5374E">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F54CD6F">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C7133CC">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D6585A9">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18D969D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602AC68">
            <w:pPr>
              <w:widowControl/>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5D4DAF4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80910C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DEBFFAF">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509E92">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DDCA1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7DEB47FD">
            <w:pPr>
              <w:widowControl/>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35A6807">
            <w:pPr>
              <w:widowControl/>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6014815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C3184E">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5509389">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D3F8B1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04C4360">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31CDFA3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52D91EC3">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4B991BF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C7DE5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61F956B5">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D25A6F">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CD8F314">
            <w:pPr>
              <w:widowControl/>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601F49D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2F6A1BB4">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3726417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E3A03B8">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1EDAE65">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F36D0C">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748DC1">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6A63396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3FB36B2">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8CBEE4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CBD1F7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433C555E">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D78C5A">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3D36ED9">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E99ED93">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2E75C3C">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D175F3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DA6413A">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E1A6835">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85F3700">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87B8DD5">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75CB6A70">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639FFB27">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496A240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982F8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02F6FB54">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24AEB7">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BDC776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4B969197">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41697CD6">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5FE31C3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BB3EB5">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BB7510A">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DBC70C">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725BC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31B5DEC">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E057DC6">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A4CE0B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6CE648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61A06B7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11822CD">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28B827F">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8D60A46">
            <w:pPr>
              <w:widowControl/>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4864D13">
            <w:pPr>
              <w:widowControl/>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4B0542D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EC4CA51">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4964D7D">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C7491FB">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45465D">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0C1F1DC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A31BA58">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6C651D4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EAD0EA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7A85788">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71EB112">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4490AA4">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09BEBE">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A781BA4">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8230A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A18064A">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62439A7F">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C7497C8">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3A8512C">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BDC5FD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736153C">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3FA5ED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E08A60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00681B2D">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F14F994">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3DA202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C27CEC3">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57826BC">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7134AA6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BA6DE04">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F9D3AD3">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B74157">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729894">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46F6831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4850CEA">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BAB2FA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9EBCAE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5277FA96">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2F3EB48">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5D1F101">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2E642896">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A8B8BB2">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2B91E4B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77C2485">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A2A8AB7">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A897E9">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B164282">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2FEA1D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AEED733">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FA09F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537AB46">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2EEA65A7">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4A61B6">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98C91C6">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D4DBC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CE93183">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354C49BE">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3770111A">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7A4DC99">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96D22D">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1EA4D9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50A5AF9A">
            <w:pPr>
              <w:widowControl/>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48D49C5A">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5D5382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C08977">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7B06D4E">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B8E120">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1221BF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4D38E9D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283324D8">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0A1C5E7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D7699B">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766B03A">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575BE3E">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31D1DA">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7DB7DA5D">
            <w:pPr>
              <w:widowControl/>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2F140034">
            <w:pPr>
              <w:widowControl/>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2D8444C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1172B1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7B73E03">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1AC6D0">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2D198A8">
            <w:pPr>
              <w:widowControl/>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616F877">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466896F0">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20B9DBA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B54551">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CEE28D9">
            <w:pPr>
              <w:widowControl/>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0B3D9D">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1E53F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D04530F">
            <w:pPr>
              <w:widowControl/>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02100A5B">
            <w:pPr>
              <w:widowControl/>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495C14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89463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68447EA">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5D49374">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B821C5">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EFB88A8">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F084DC">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DA13B8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A9D4A8E">
            <w:pPr>
              <w:widowControl/>
              <w:jc w:val="left"/>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6293BC7">
            <w:pPr>
              <w:widowControl/>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645D2DF">
            <w:pPr>
              <w:widowControl/>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8194B7">
            <w:pPr>
              <w:widowControl/>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BEB390B">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18835826">
            <w:pPr>
              <w:widowControl/>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19BF53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12E6CA1">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35F30AF5">
            <w:pPr>
              <w:widowControl/>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8F07804">
            <w:pPr>
              <w:widowControl/>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50DC07D">
            <w:pPr>
              <w:widowControl/>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B5955BA">
            <w:pPr>
              <w:widowControl/>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597A5AC">
            <w:pPr>
              <w:widowControl/>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6125046C">
      <w:pPr>
        <w:spacing w:line="360" w:lineRule="auto"/>
        <w:ind w:firstLine="525" w:firstLineChars="250"/>
        <w:rPr>
          <w:rFonts w:ascii="宋体" w:hAnsi="宋体" w:cs="宋体"/>
          <w:szCs w:val="21"/>
          <w:highlight w:val="none"/>
        </w:rPr>
      </w:pPr>
    </w:p>
    <w:p w14:paraId="48E0E536">
      <w:pPr>
        <w:spacing w:line="360" w:lineRule="auto"/>
        <w:ind w:firstLine="527" w:firstLineChars="250"/>
        <w:rPr>
          <w:rFonts w:ascii="楷体" w:hAnsi="楷体" w:eastAsia="楷体" w:cs="宋体"/>
          <w:szCs w:val="21"/>
          <w:highlight w:val="none"/>
        </w:rPr>
      </w:pPr>
      <w:r>
        <w:rPr>
          <w:rFonts w:hint="eastAsia" w:ascii="楷体" w:hAnsi="楷体" w:eastAsia="楷体" w:cs="宋体"/>
          <w:b/>
          <w:szCs w:val="21"/>
          <w:highlight w:val="none"/>
        </w:rPr>
        <w:t>说明：</w:t>
      </w:r>
      <w:r>
        <w:rPr>
          <w:rFonts w:hint="eastAsia" w:ascii="楷体" w:hAnsi="楷体" w:eastAsia="楷体" w:cs="宋体"/>
          <w:szCs w:val="21"/>
          <w:highlight w:val="none"/>
        </w:rPr>
        <w:t>上述标准参照《关于印发中小企业划型标准规定的通知》（工信部联企业</w:t>
      </w:r>
      <w:r>
        <w:rPr>
          <w:rFonts w:ascii="楷体" w:hAnsi="楷体" w:eastAsia="楷体" w:cs="宋体"/>
          <w:szCs w:val="21"/>
          <w:highlight w:val="none"/>
        </w:rPr>
        <w:t>[2011]300号），大型、中型和小型企业须同时满足所列指标的下限，否则下划一档；微型企业只须满足所列指标中的一项即可。</w:t>
      </w:r>
    </w:p>
    <w:p w14:paraId="117F0111">
      <w:pPr>
        <w:pStyle w:val="2"/>
        <w:jc w:val="center"/>
        <w:rPr>
          <w:rFonts w:ascii="宋体" w:hAnsi="宋体" w:cs="宋体"/>
          <w:highlight w:val="none"/>
        </w:rPr>
      </w:pPr>
      <w:r>
        <w:rPr>
          <w:rFonts w:hint="eastAsia" w:ascii="宋体" w:hAnsi="宋体" w:cs="宋体"/>
          <w:highlight w:val="none"/>
        </w:rPr>
        <w:br w:type="page"/>
      </w:r>
      <w:bookmarkStart w:id="29" w:name="_Toc25718"/>
      <w:r>
        <w:rPr>
          <w:rFonts w:hint="eastAsia" w:ascii="宋体" w:hAnsi="宋体" w:cs="宋体"/>
          <w:highlight w:val="none"/>
        </w:rPr>
        <w:t>第四章 评审程序、评审方法和评审标准</w:t>
      </w:r>
      <w:bookmarkEnd w:id="29"/>
    </w:p>
    <w:p w14:paraId="4B33955F">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一、评审程序和评审方法</w:t>
      </w:r>
    </w:p>
    <w:p w14:paraId="7CDEEC91">
      <w:pPr>
        <w:spacing w:line="360" w:lineRule="auto"/>
        <w:ind w:firstLine="482" w:firstLineChars="200"/>
        <w:rPr>
          <w:rFonts w:ascii="宋体" w:hAnsi="宋体" w:cs="宋体"/>
          <w:b/>
          <w:bCs/>
          <w:sz w:val="24"/>
          <w:highlight w:val="none"/>
        </w:rPr>
      </w:pPr>
    </w:p>
    <w:p w14:paraId="4A4ED38C">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1.资格审查</w:t>
      </w:r>
    </w:p>
    <w:p w14:paraId="0BC445F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1.1响应文件开启后，磋商小组依法对供应商的资格证明文件进行审查。</w:t>
      </w:r>
    </w:p>
    <w:p w14:paraId="3B2F3508">
      <w:pPr>
        <w:wordWrap w:val="0"/>
        <w:topLinePunct/>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（1）查询渠道：“信用中国”网站（www.creditchina.gov.cn）、中国政府采购网（</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"http://www.ccgp.gov.cn" </w:instrText>
      </w:r>
      <w:r>
        <w:rPr>
          <w:rFonts w:hint="eastAsia" w:ascii="宋体" w:hAnsi="宋体" w:eastAsia="宋体" w:cs="宋体"/>
          <w:szCs w:val="21"/>
          <w:highlight w:val="none"/>
        </w:rPr>
        <w:fldChar w:fldCharType="separate"/>
      </w:r>
      <w:r>
        <w:rPr>
          <w:rFonts w:hint="eastAsia" w:ascii="宋体" w:hAnsi="宋体" w:eastAsia="宋体" w:cs="宋体"/>
          <w:sz w:val="21"/>
          <w:szCs w:val="21"/>
          <w:highlight w:val="none"/>
        </w:rPr>
        <w:t>www.ccgp.gov.cn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eastAsia="zh-CN" w:bidi="ar"/>
        </w:rPr>
        <w:t>、中国执行信息公开网（https://zxgk.court.gov.cn/）</w:t>
      </w:r>
    </w:p>
    <w:p w14:paraId="36454E2A">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（2）信用查询截止时点：资格审查结束前</w:t>
      </w:r>
    </w:p>
    <w:p w14:paraId="25159083">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（3）查询记录和证据留存方式：将查询网站中的查询记录截图并作为评审资料保存。</w:t>
      </w:r>
    </w:p>
    <w:p w14:paraId="6B7A53F3">
      <w:pPr>
        <w:wordWrap w:val="0"/>
        <w:topLinePunct/>
        <w:snapToGrid/>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（4）信用信息使用规则：根据财政部《关于在政府采购活动中查询及使用信用记录有关问题的通知》（财库〔2016〕125号）的规定，</w:t>
      </w:r>
      <w:r>
        <w:rPr>
          <w:rFonts w:hint="eastAsia" w:ascii="宋体" w:hAnsi="宋体" w:eastAsia="宋体" w:cs="宋体"/>
          <w:color w:val="auto"/>
          <w:sz w:val="21"/>
          <w:szCs w:val="21"/>
          <w:highlight w:val="none"/>
          <w:lang w:bidi="ar"/>
        </w:rPr>
        <w:t>对在“信用中国”网站(www.creditchina.gov.cn)、中国政府采购网(www.ccgp.gov.cn)</w:t>
      </w:r>
      <w:r>
        <w:rPr>
          <w:rFonts w:hint="eastAsia" w:ascii="宋体" w:hAnsi="宋体" w:eastAsia="宋体" w:cs="宋体"/>
          <w:color w:val="auto"/>
          <w:sz w:val="21"/>
          <w:szCs w:val="21"/>
          <w:highlight w:val="none"/>
          <w:lang w:eastAsia="zh-CN" w:bidi="ar"/>
        </w:rPr>
        <w:t>、中国执行信息公开网（https://zxgk.court.gov.cn/）</w:t>
      </w:r>
      <w:r>
        <w:rPr>
          <w:rFonts w:hint="eastAsia" w:ascii="宋体" w:hAnsi="宋体" w:eastAsia="宋体" w:cs="宋体"/>
          <w:color w:val="auto"/>
          <w:sz w:val="21"/>
          <w:szCs w:val="21"/>
          <w:highlight w:val="none"/>
          <w:lang w:bidi="ar"/>
        </w:rPr>
        <w:t>被列入失信被执行人、重大税收违法失信主体、政府采购严重违法失信行为记录名单及其他不符合《中华人民共和国政府采购法》第二十二条</w:t>
      </w:r>
      <w:r>
        <w:rPr>
          <w:rFonts w:hint="eastAsia" w:ascii="宋体" w:hAnsi="宋体" w:eastAsia="宋体" w:cs="宋体"/>
          <w:sz w:val="21"/>
          <w:szCs w:val="21"/>
          <w:highlight w:val="none"/>
        </w:rPr>
        <w:t>规定条件的供应商，不得参与政府采购活动。</w:t>
      </w:r>
    </w:p>
    <w:p w14:paraId="2834F76F">
      <w:pPr>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1.2资格审查标准为本磋商文件中载明对供应商资格要求的条件。资格审查采用合格制，凡符合磋商文件规定的供应商资格要求的响应文件均通过资格审查。</w:t>
      </w:r>
    </w:p>
    <w:p w14:paraId="489BA61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1.3供应商有下列情形之一的，资格审查不通过，其响应文件按无效响应处理：</w:t>
      </w:r>
    </w:p>
    <w:p w14:paraId="6C25E4E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（1）不具备磋商文件中规定的资格要求的；</w:t>
      </w:r>
    </w:p>
    <w:p w14:paraId="2EE98C0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（2）响应文件的资格证明文件缺少任一项“供应商须知前附表”资格证明文件规定的“必须提供”的文件资料的；</w:t>
      </w:r>
    </w:p>
    <w:p w14:paraId="15741D8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（3）响应文件中的资格证明文件出现任一项不符合“供应商须知前附表”资格证明文件规定的“必须提供”的文件资料要求或者无效的；</w:t>
      </w:r>
    </w:p>
    <w:p w14:paraId="12A5C20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FFAD8B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1.4通过资格审查的合格供应商不足3家的，不得进入符合性审查环节，采购人或者采购代理机构应当重新开展采购活动。</w:t>
      </w:r>
    </w:p>
    <w:p w14:paraId="435AC3FC">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2.符合性审查</w:t>
      </w:r>
    </w:p>
    <w:p w14:paraId="642F5913">
      <w:pPr>
        <w:spacing w:line="360" w:lineRule="auto"/>
        <w:ind w:firstLine="420" w:firstLineChars="200"/>
        <w:rPr>
          <w:rFonts w:hint="eastAsia" w:ascii="宋体" w:hAnsi="宋体" w:eastAsia="宋体" w:cs="宋体"/>
          <w:sz w:val="21"/>
          <w:szCs w:val="21"/>
          <w:highlight w:val="none"/>
        </w:rPr>
      </w:pPr>
      <w:bookmarkStart w:id="30" w:name="_Hlk42528882"/>
      <w:r>
        <w:rPr>
          <w:rFonts w:hint="eastAsia" w:ascii="宋体" w:hAnsi="宋体" w:eastAsia="宋体" w:cs="宋体"/>
          <w:sz w:val="21"/>
          <w:szCs w:val="21"/>
          <w:highlight w:val="none"/>
        </w:rPr>
        <w:t>2.1由磋商小组对资格审查的合格供应商的响应文件的竞争性磋商报价、商务、技术等实质性要求进行符合性审查，以确定其是否满足磋商文件的实质性要求。</w:t>
      </w:r>
    </w:p>
    <w:bookmarkEnd w:id="30"/>
    <w:p w14:paraId="07CD1A9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1C9375">
      <w:pPr>
        <w:spacing w:line="360" w:lineRule="auto"/>
        <w:ind w:firstLine="420" w:firstLineChars="200"/>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eastAsia="宋体" w:cs="宋体"/>
          <w:spacing w:val="-6"/>
          <w:sz w:val="21"/>
          <w:szCs w:val="21"/>
          <w:highlight w:val="none"/>
        </w:rPr>
        <w:t>。供应商为自然人的，必须由本人签字并附身份证明。</w:t>
      </w:r>
    </w:p>
    <w:p w14:paraId="30D00624">
      <w:pPr>
        <w:spacing w:line="360" w:lineRule="auto"/>
        <w:ind w:firstLine="396"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2.4</w:t>
      </w:r>
      <w:r>
        <w:rPr>
          <w:rFonts w:hint="eastAsia" w:ascii="宋体" w:hAnsi="宋体" w:eastAsia="宋体" w:cs="宋体"/>
          <w:sz w:val="21"/>
          <w:szCs w:val="21"/>
          <w:highlight w:val="none"/>
        </w:rPr>
        <w:t xml:space="preserve">首次响应文件报价出现前后不一致的，按照下列规定修正： </w:t>
      </w:r>
    </w:p>
    <w:p w14:paraId="6D69AAA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（1）响应文件中报价表内容与响应文件中相应内容不一致的，以报价表为准；</w:t>
      </w:r>
    </w:p>
    <w:p w14:paraId="7E8BACC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（2）大写金额和小写金额不一致的，以大写金额为准；</w:t>
      </w:r>
    </w:p>
    <w:p w14:paraId="1037F8C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（3）单价金额小数点或者百分比有明显错位的，以报价表的总价为准，并修改单价；</w:t>
      </w:r>
    </w:p>
    <w:p w14:paraId="2819D2E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（4）总价金额与按单价汇总金额不一致的，以单价金额计算结果为准。</w:t>
      </w:r>
    </w:p>
    <w:p w14:paraId="096B801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同时出现两种以上不一致的，按照以上（1）-（4）规定的顺序逐条进行修正。修正后的报价经供应商确认后产生约束力，供应商不确认的，其响应文件按无效响应处理。</w:t>
      </w:r>
    </w:p>
    <w:p w14:paraId="456E4A0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2.5商务技术报价评审</w:t>
      </w:r>
    </w:p>
    <w:p w14:paraId="67AB5FE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在评审时，如发现下列情形之一的，将被视为响应文件无效响应处理：</w:t>
      </w:r>
    </w:p>
    <w:p w14:paraId="2D8FD2F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（1）商务服务评审</w:t>
      </w:r>
    </w:p>
    <w:p w14:paraId="04CB7C7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1）响应文件未按磋商文件要求签署、盖章；</w:t>
      </w:r>
    </w:p>
    <w:p w14:paraId="17B877B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2）委托代理人未能出具有效身份证或者出具的身份证与授权委托书中的信息不符的； </w:t>
      </w:r>
    </w:p>
    <w:p w14:paraId="11D93C2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3）提交的磋商保证金无效的或者未按照磋商文件的规定提交磋商保证金；</w:t>
      </w:r>
    </w:p>
    <w:p w14:paraId="7A0DFCD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4）响应文件中的报价商务服务文件出现任一项不符合“供应商须知前附表”中“必须提供”或者“委托时必须提供”文件资料要求的规定或者提供的报价商务服务文件无效。</w:t>
      </w:r>
    </w:p>
    <w:p w14:paraId="680F72D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5）商务条款中标“▲”的条款发生负偏离或者允许负偏离的条款数超过“供应商须知前附表”规定项数的；</w:t>
      </w:r>
    </w:p>
    <w:p w14:paraId="14A78C2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6）未对竞争性磋商有效期作出响应或者响应文件承诺的竞争性磋商有效期不满足磋商文件要求；</w:t>
      </w:r>
    </w:p>
    <w:p w14:paraId="4F6C934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7）响应文件的实质性内容未使用中文表述、使用计量单位不符合磋商文件要求；</w:t>
      </w:r>
    </w:p>
    <w:p w14:paraId="2EBC95D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8）响应文件中的文件资料因填写不齐全或者内容虚假或者出现其他情形而导致被磋商小组认定无效；</w:t>
      </w:r>
    </w:p>
    <w:p w14:paraId="1334D81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9）响应文件含有采购人不能接受的附加条件；</w:t>
      </w:r>
    </w:p>
    <w:p w14:paraId="52D4D69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10）属于“供应商须知正文”第7.5条情形；</w:t>
      </w:r>
    </w:p>
    <w:p w14:paraId="600CE33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11）技术要求中标“▲”的条款发生负偏离或允许负偏离的条款数超过“供应商须知前附表”规定项数的；</w:t>
      </w:r>
    </w:p>
    <w:p w14:paraId="0CD2087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12）虚假响应，或者出现其他情形而导致被磋商小组认定无效；</w:t>
      </w:r>
    </w:p>
    <w:p w14:paraId="3ACE8DD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w:t>
      </w:r>
      <w:bookmarkStart w:id="31" w:name="_Hlk71704147"/>
      <w:r>
        <w:rPr>
          <w:rFonts w:hint="eastAsia" w:ascii="宋体" w:hAnsi="宋体" w:eastAsia="宋体" w:cs="宋体"/>
          <w:sz w:val="21"/>
          <w:szCs w:val="21"/>
          <w:highlight w:val="none"/>
        </w:rPr>
        <w:t>磋商文件未载明允许提供备选（替代）响应方案或明确不允许提供备选（替代）响应方案时，供应商提供了备选（替代）响应方案的；</w:t>
      </w:r>
      <w:bookmarkEnd w:id="31"/>
    </w:p>
    <w:p w14:paraId="3B46A67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14）响应文件标注的项目名称或者项目编号与磋商文件标注的项目名称或者项目编号不一致的；</w:t>
      </w:r>
    </w:p>
    <w:p w14:paraId="67130FB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15）竞争性磋商文件明确不允许分包，响应文件拟分包的；</w:t>
      </w:r>
    </w:p>
    <w:p w14:paraId="259C22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16）未响应磋商文件实质性要求；</w:t>
      </w:r>
    </w:p>
    <w:p w14:paraId="684AE9C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17）法律、法规和磋商文件规定的其他无效情形。</w:t>
      </w:r>
    </w:p>
    <w:p w14:paraId="5A4073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（2）报价评审</w:t>
      </w:r>
    </w:p>
    <w:p w14:paraId="0F1F099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1）响应文件未提供“供应商须知前附表”报价商务服务文件中规定的“竞争性磋商报价表”；</w:t>
      </w:r>
    </w:p>
    <w:p w14:paraId="4A64E0E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2）未采用人民币报价或者未按照磋商文件标明的币种报价；</w:t>
      </w:r>
    </w:p>
    <w:p w14:paraId="1712B25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3041B8A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4）竞争性磋商报价（包含首次报价、最后报价）超过所参与竞争性磋商分标规定的采购预算金额或者最高限价的（如本项目公布了最高限价），其响应文件将按无效响应处理；</w:t>
      </w:r>
    </w:p>
    <w:p w14:paraId="69A569F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 w:val="21"/>
          <w:szCs w:val="21"/>
          <w:highlight w:val="none"/>
        </w:rPr>
        <w:t>5）竞争性磋商报价（包含首次报价、最后报价）超过分项采购预算金额或者最高限价的（如本项目公布了最高限价），其响应文件将按无效处理；</w:t>
      </w:r>
    </w:p>
    <w:p w14:paraId="5E193D0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6）修正后的报价，供应商不确认的；或者经供应商确认修正后的最后报价超过所 竞争性磋商分标规定的采购预算金额或者最高限价（如本项目公布了最高限价）；</w:t>
      </w:r>
    </w:p>
    <w:p w14:paraId="56539E4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7）响应文件响应的标的数量及单位与竞争性磋商采购文件要求实质性不一致的。</w:t>
      </w:r>
    </w:p>
    <w:p w14:paraId="4ACE610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12ACC51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2.7非政府购买服务项目，通过符合性审查的合格供应商不足3家的，不得进入磋商环节，采购人或者采购代理机构应当重新开展采购活动。</w:t>
      </w:r>
      <w:r>
        <w:rPr>
          <w:rFonts w:hint="eastAsia" w:ascii="宋体" w:hAnsi="宋体" w:eastAsia="宋体" w:cs="宋体"/>
          <w:b/>
          <w:sz w:val="21"/>
          <w:szCs w:val="21"/>
          <w:highlight w:val="none"/>
        </w:rPr>
        <w:t>政府购买服务项目，按《财政部关于政府采购竞争性磋商采购方式管理暂行办法有关问题的补充通知》（财库〔2015〕124号）规定，采购过程中通过符合性审查的供应商（社会资本）只有2家的，磋商采购活动可以继续进行。</w:t>
      </w:r>
    </w:p>
    <w:p w14:paraId="0A062D29">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3.磋商程序</w:t>
      </w:r>
    </w:p>
    <w:p w14:paraId="5D208F0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3.1磋商小组按照“供应商须知前附表”确定的</w:t>
      </w:r>
      <w:r>
        <w:rPr>
          <w:rFonts w:hint="eastAsia" w:ascii="宋体" w:hAnsi="宋体" w:eastAsia="宋体" w:cs="宋体"/>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D813AA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A0ABA2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3.3对磋商文件作出的实质性变动是磋商文件的有效组成部分，由磋商小组及时以电子磋商记录形式同时通知所有参加磋商的供应商。</w:t>
      </w:r>
    </w:p>
    <w:p w14:paraId="717169C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5659220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3.5磋商中，</w:t>
      </w:r>
      <w:r>
        <w:rPr>
          <w:rFonts w:hint="eastAsia" w:ascii="宋体" w:hAnsi="宋体" w:eastAsia="宋体" w:cs="宋体"/>
          <w:spacing w:val="-6"/>
          <w:sz w:val="21"/>
          <w:szCs w:val="21"/>
          <w:highlight w:val="none"/>
        </w:rPr>
        <w:t>磋商的任何一方不得透露与磋商有关的其他供应商的技术资料、价格和其他信息。</w:t>
      </w:r>
    </w:p>
    <w:p w14:paraId="5528068B">
      <w:pPr>
        <w:tabs>
          <w:tab w:val="left" w:pos="2835"/>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3.6对磋商过程提交的响应文件进行有效性、完整性和响应程度审查，通过审查的合格供应商不足3家的，采购人或者采购代理机构应当重新开展采购活动。</w:t>
      </w:r>
    </w:p>
    <w:p w14:paraId="121CDBF3">
      <w:pPr>
        <w:widowControl/>
        <w:tabs>
          <w:tab w:val="left" w:pos="540"/>
        </w:tabs>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3C80E10F">
      <w:pPr>
        <w:widowControl/>
        <w:tabs>
          <w:tab w:val="left" w:pos="540"/>
        </w:tabs>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采购过程中符合要求的供应商（社会资本）只有1家的，采购人（项目实施机构）或者采购代理机构应当终止竞争性磋商采购活动，发布项目终止公告并说明原因，重新开展采购活动。</w:t>
      </w:r>
    </w:p>
    <w:p w14:paraId="61B1EADF">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4.最后报价</w:t>
      </w:r>
    </w:p>
    <w:p w14:paraId="76B9E5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4.1磋商文件能够详细列明技术、服务要求的，磋商结束后，由磋商小组要求所有继续参加磋商的供应商在规定时间内以电子文件形式提交最后报价，</w:t>
      </w:r>
      <w:r>
        <w:rPr>
          <w:rFonts w:hint="eastAsia" w:ascii="宋体" w:hAnsi="宋体" w:eastAsia="宋体" w:cs="宋体"/>
          <w:b/>
          <w:sz w:val="21"/>
          <w:szCs w:val="21"/>
          <w:highlight w:val="none"/>
        </w:rPr>
        <w:t>除本章第2.7、3.7、4.3条外，提交最后报价的供应商不得少于3家，否则必须重新采购。</w:t>
      </w:r>
    </w:p>
    <w:p w14:paraId="5230883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515FDF4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4.3最后报价是供应商响应文件的有效组成部分。</w:t>
      </w:r>
      <w:r>
        <w:rPr>
          <w:rFonts w:hint="eastAsia" w:ascii="宋体" w:hAnsi="宋体" w:eastAsia="宋体" w:cs="宋体"/>
          <w:b/>
          <w:sz w:val="21"/>
          <w:szCs w:val="21"/>
          <w:highlight w:val="none"/>
        </w:rPr>
        <w:t>符合《政府采购竞争性磋商采购方式管理暂行办法》（财库〔2014〕214号）第三条第四项“市场竞争不充分的科研项目，以及需要扶持的科技成果转化项目”和本章第3.7条情形的，提交最后报价的供应商可以为2家。</w:t>
      </w:r>
    </w:p>
    <w:p w14:paraId="17943C8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01D0C9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4.5供应商未在规定时间内提交最后报价的，视同退出磋商。</w:t>
      </w:r>
    </w:p>
    <w:p w14:paraId="5CD3321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4.6磋商小组收齐某一分标最后报价后或达到规定时间后统一开启，磋商小组对最后报价进行有效性、完整性和响应程度的审查。</w:t>
      </w:r>
    </w:p>
    <w:p w14:paraId="74954CD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4.7响应文件最后报价出现前后不一致的，按照本章第2.4条的规定修正。 </w:t>
      </w:r>
    </w:p>
    <w:p w14:paraId="49C9545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4.8经供应商确认修正后的最后报价作为评审及签订合同的依据。</w:t>
      </w:r>
    </w:p>
    <w:p w14:paraId="64FAD05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4.9供应商出现最后报价按无效响应处理或者响应文件按无效响应处理时，磋商小组应当告知有关供应商。</w:t>
      </w:r>
    </w:p>
    <w:p w14:paraId="3B61D05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4.10最后报价结束后，磋商小组不得再与供应商进行任何形式的商谈。</w:t>
      </w:r>
    </w:p>
    <w:p w14:paraId="0EFE7067">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5.比较与评价</w:t>
      </w:r>
    </w:p>
    <w:p w14:paraId="490B1AA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5.1评审方法：综合评分法。</w:t>
      </w:r>
    </w:p>
    <w:p w14:paraId="09EF627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5.2经磋商确定最终采购需求和提交最后报价的供应商后，由磋商小组采用综合评分法对提交最后报价的供应商的响应文件和最后报价进行综合评分。</w:t>
      </w:r>
    </w:p>
    <w:p w14:paraId="14EC94B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5.3评审时，磋商小组各成员应当独立对每个有效响应的文件进行评价、打分，然后汇总每个供应商每项评分因素的得分。</w:t>
      </w:r>
    </w:p>
    <w:p w14:paraId="6A5EE2CA">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（1）政府采购评审中出现下列情形之一的，磋商小组应当启动异常低价投标（响应）审查程序：</w:t>
      </w:r>
    </w:p>
    <w:p w14:paraId="01AF6EA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1）投标（响应）报价低于全部通过符合性审查供应商投标（响应）报价平均值</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%的，即投标（响应）报价&lt;全部通过符合性审查供应商投标（响应）报价平均值×</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w:t>
      </w:r>
    </w:p>
    <w:p w14:paraId="26A75D4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2）投标（响应）报价低于通过符合性审查的次低报价供应商投标（响应）报价</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%的，即投标（响应）报价&lt;通过符合性审查的次低报价供应商投标（响应）报价×</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w:t>
      </w:r>
    </w:p>
    <w:p w14:paraId="13951F9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3）投标（响应）报价低于采购项目最高限价</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rPr>
        <w:t>%的，即投标（响应）报价&lt;采购项目最高限价×</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p>
    <w:p w14:paraId="5FE05A9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4）磋商小组基于专业判断，认为供应商报价过低，有可能影响产品质量或者不能诚信履约的其他情形。</w:t>
      </w:r>
    </w:p>
    <w:p w14:paraId="23EEE13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8B9116">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99DDA4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EEF5CD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77F83842">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（2）磋商小组按照磋商文件中规定的评审标准计算各供应商的报价得分。项目评审过程中，不得去掉最后报价中的最高报价和最低报价。</w:t>
      </w:r>
    </w:p>
    <w:p w14:paraId="05FD9C9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（3）各供应商的得分为磋商小组所有成员的有效评分的算术平均数。</w:t>
      </w:r>
    </w:p>
    <w:p w14:paraId="4B99A6D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5.4评标价为供应商的最后报价进行政策性扣除后的价格，评标价只是作为评审时使用。最终成交供应商的成交金额等于最后报价（如有修正，以确认修正后的最后报价为准）。</w:t>
      </w:r>
    </w:p>
    <w:p w14:paraId="7A24002F">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5.5由磋商小组根据综合评分情况，按照评审得分由高到低顺序推荐3名以上成交候选供应商，并编写评</w:t>
      </w:r>
      <w:r>
        <w:rPr>
          <w:rFonts w:hint="eastAsia" w:ascii="宋体" w:hAnsi="宋体" w:eastAsia="宋体" w:cs="宋体"/>
          <w:kern w:val="0"/>
          <w:sz w:val="21"/>
          <w:szCs w:val="21"/>
          <w:highlight w:val="none"/>
        </w:rPr>
        <w:t>审报告。</w:t>
      </w:r>
      <w:r>
        <w:rPr>
          <w:rFonts w:hint="eastAsia" w:ascii="宋体" w:hAnsi="宋体" w:eastAsia="宋体" w:cs="宋体"/>
          <w:b/>
          <w:kern w:val="0"/>
          <w:sz w:val="21"/>
          <w:szCs w:val="21"/>
          <w:highlight w:val="none"/>
        </w:rPr>
        <w:t>符合本章第</w:t>
      </w:r>
      <w:r>
        <w:rPr>
          <w:rFonts w:hint="eastAsia" w:ascii="宋体" w:hAnsi="宋体" w:eastAsia="宋体" w:cs="宋体"/>
          <w:b/>
          <w:sz w:val="21"/>
          <w:szCs w:val="21"/>
          <w:highlight w:val="none"/>
        </w:rPr>
        <w:t>2.7、3.7、4.3</w:t>
      </w:r>
      <w:r>
        <w:rPr>
          <w:rFonts w:hint="eastAsia" w:ascii="宋体" w:hAnsi="宋体" w:eastAsia="宋体" w:cs="宋体"/>
          <w:b/>
          <w:kern w:val="0"/>
          <w:sz w:val="21"/>
          <w:szCs w:val="21"/>
          <w:highlight w:val="none"/>
        </w:rPr>
        <w:t>条情形的，可以推荐2家成交候选供应商。</w:t>
      </w:r>
      <w:r>
        <w:rPr>
          <w:rFonts w:hint="eastAsia" w:ascii="宋体" w:hAnsi="宋体" w:eastAsia="宋体" w:cs="宋体"/>
          <w:kern w:val="0"/>
          <w:sz w:val="21"/>
          <w:szCs w:val="21"/>
          <w:highlight w:val="none"/>
        </w:rPr>
        <w:t>评审得分相同的，按照最后报价由低到高的顺序推荐。评审得分且最后报价相同的，</w:t>
      </w:r>
      <w:r>
        <w:rPr>
          <w:rFonts w:hint="eastAsia" w:ascii="宋体" w:hAnsi="宋体" w:eastAsia="宋体" w:cs="宋体"/>
          <w:sz w:val="21"/>
          <w:szCs w:val="21"/>
          <w:highlight w:val="none"/>
        </w:rPr>
        <w:t>依次按服务评分高的优先、商务评分高的优先的顺序确定成交候选供应商。</w:t>
      </w:r>
    </w:p>
    <w:p w14:paraId="571FCD2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A2C909">
      <w:pPr>
        <w:spacing w:line="360" w:lineRule="auto"/>
        <w:jc w:val="center"/>
        <w:rPr>
          <w:rFonts w:ascii="宋体" w:hAnsi="宋体" w:cs="宋体"/>
          <w:b/>
          <w:sz w:val="32"/>
          <w:szCs w:val="32"/>
          <w:highlight w:val="none"/>
        </w:rPr>
      </w:pPr>
      <w:r>
        <w:rPr>
          <w:rFonts w:hint="eastAsia" w:ascii="宋体" w:hAnsi="宋体" w:cs="宋体"/>
          <w:b/>
          <w:sz w:val="24"/>
          <w:highlight w:val="none"/>
        </w:rPr>
        <w:br w:type="page"/>
      </w:r>
      <w:r>
        <w:rPr>
          <w:rFonts w:hint="eastAsia" w:ascii="宋体" w:hAnsi="宋体" w:cs="宋体"/>
          <w:b/>
          <w:sz w:val="32"/>
          <w:szCs w:val="32"/>
          <w:highlight w:val="none"/>
        </w:rPr>
        <w:t>二、评审标准</w:t>
      </w:r>
    </w:p>
    <w:p w14:paraId="32F929A2">
      <w:pPr>
        <w:spacing w:line="360" w:lineRule="auto"/>
        <w:ind w:firstLine="420" w:firstLineChars="200"/>
        <w:rPr>
          <w:rFonts w:ascii="宋体" w:hAnsi="宋体" w:cs="宋体"/>
          <w:bCs/>
          <w:sz w:val="21"/>
          <w:szCs w:val="21"/>
          <w:highlight w:val="none"/>
        </w:rPr>
      </w:pPr>
      <w:r>
        <w:rPr>
          <w:rFonts w:ascii="宋体" w:hAnsi="宋体" w:cs="宋体"/>
          <w:bCs/>
          <w:sz w:val="21"/>
          <w:szCs w:val="21"/>
          <w:highlight w:val="none"/>
        </w:rPr>
        <w:t>评审依据：磋商小组将以磋商响应文件为评审依据，对供应商的报价、商务</w:t>
      </w:r>
      <w:r>
        <w:rPr>
          <w:rFonts w:hint="eastAsia" w:ascii="宋体" w:hAnsi="宋体" w:cs="宋体"/>
          <w:bCs/>
          <w:sz w:val="21"/>
          <w:szCs w:val="21"/>
          <w:highlight w:val="none"/>
        </w:rPr>
        <w:t>、服务要求</w:t>
      </w:r>
      <w:r>
        <w:rPr>
          <w:rFonts w:ascii="宋体" w:hAnsi="宋体" w:cs="宋体"/>
          <w:bCs/>
          <w:sz w:val="21"/>
          <w:szCs w:val="21"/>
          <w:highlight w:val="none"/>
        </w:rPr>
        <w:t>等方面内容按百分制打分。（计分方法按四舍五入取至百分位）</w:t>
      </w:r>
    </w:p>
    <w:tbl>
      <w:tblPr>
        <w:tblStyle w:val="3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722"/>
        <w:gridCol w:w="5876"/>
      </w:tblGrid>
      <w:tr w14:paraId="7D4C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17F26C7">
            <w:pPr>
              <w:adjustRightInd w:val="0"/>
              <w:spacing w:line="360" w:lineRule="auto"/>
              <w:jc w:val="center"/>
              <w:textAlignment w:val="baseline"/>
              <w:rPr>
                <w:rFonts w:ascii="宋体" w:hAnsi="宋体" w:cs="宋体"/>
                <w:b/>
                <w:bCs/>
                <w:sz w:val="21"/>
                <w:szCs w:val="21"/>
                <w:highlight w:val="none"/>
              </w:rPr>
            </w:pPr>
            <w:r>
              <w:rPr>
                <w:rFonts w:hint="eastAsia" w:ascii="宋体" w:hAnsi="宋体" w:cs="宋体"/>
                <w:b/>
                <w:bCs/>
                <w:sz w:val="21"/>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DCB3127">
            <w:pPr>
              <w:adjustRightInd w:val="0"/>
              <w:spacing w:line="360" w:lineRule="auto"/>
              <w:jc w:val="center"/>
              <w:textAlignment w:val="baseline"/>
              <w:rPr>
                <w:rFonts w:ascii="宋体" w:hAnsi="宋体" w:cs="宋体"/>
                <w:b/>
                <w:bCs/>
                <w:sz w:val="21"/>
                <w:szCs w:val="21"/>
                <w:highlight w:val="none"/>
              </w:rPr>
            </w:pPr>
            <w:r>
              <w:rPr>
                <w:rFonts w:hint="eastAsia" w:ascii="宋体" w:hAnsi="宋体" w:cs="宋体"/>
                <w:b/>
                <w:bCs/>
                <w:sz w:val="21"/>
                <w:szCs w:val="21"/>
                <w:highlight w:val="none"/>
              </w:rPr>
              <w:t>评审因素</w:t>
            </w:r>
          </w:p>
        </w:tc>
        <w:tc>
          <w:tcPr>
            <w:tcW w:w="1722" w:type="dxa"/>
            <w:tcBorders>
              <w:top w:val="single" w:color="auto" w:sz="4" w:space="0"/>
              <w:left w:val="single" w:color="auto" w:sz="4" w:space="0"/>
              <w:bottom w:val="single" w:color="auto" w:sz="4" w:space="0"/>
              <w:right w:val="single" w:color="auto" w:sz="4" w:space="0"/>
            </w:tcBorders>
            <w:vAlign w:val="center"/>
          </w:tcPr>
          <w:p w14:paraId="7ADB71E0">
            <w:pPr>
              <w:adjustRightInd w:val="0"/>
              <w:spacing w:line="360" w:lineRule="auto"/>
              <w:jc w:val="center"/>
              <w:textAlignment w:val="baseline"/>
              <w:rPr>
                <w:rFonts w:ascii="宋体" w:hAnsi="宋体" w:cs="宋体"/>
                <w:b/>
                <w:bCs/>
                <w:sz w:val="21"/>
                <w:szCs w:val="21"/>
                <w:highlight w:val="none"/>
              </w:rPr>
            </w:pPr>
            <w:r>
              <w:rPr>
                <w:rFonts w:hint="eastAsia" w:ascii="宋体" w:hAnsi="宋体" w:cs="宋体"/>
                <w:b/>
                <w:bCs/>
                <w:sz w:val="21"/>
                <w:szCs w:val="21"/>
                <w:highlight w:val="none"/>
              </w:rPr>
              <w:t>分值</w:t>
            </w:r>
          </w:p>
        </w:tc>
        <w:tc>
          <w:tcPr>
            <w:tcW w:w="5876" w:type="dxa"/>
            <w:tcBorders>
              <w:top w:val="single" w:color="auto" w:sz="4" w:space="0"/>
              <w:left w:val="single" w:color="auto" w:sz="4" w:space="0"/>
              <w:bottom w:val="single" w:color="auto" w:sz="4" w:space="0"/>
              <w:right w:val="single" w:color="auto" w:sz="4" w:space="0"/>
            </w:tcBorders>
            <w:vAlign w:val="center"/>
          </w:tcPr>
          <w:p w14:paraId="1D249583">
            <w:pPr>
              <w:pStyle w:val="17"/>
              <w:spacing w:line="360" w:lineRule="auto"/>
              <w:jc w:val="center"/>
              <w:rPr>
                <w:rFonts w:hAnsi="宋体" w:cs="宋体"/>
                <w:b/>
                <w:bCs/>
                <w:kern w:val="2"/>
                <w:sz w:val="21"/>
                <w:szCs w:val="21"/>
                <w:highlight w:val="none"/>
              </w:rPr>
            </w:pPr>
            <w:r>
              <w:rPr>
                <w:rFonts w:hint="eastAsia" w:hAnsi="宋体" w:cs="宋体"/>
                <w:b/>
                <w:bCs/>
                <w:kern w:val="2"/>
                <w:sz w:val="21"/>
                <w:szCs w:val="21"/>
                <w:highlight w:val="none"/>
              </w:rPr>
              <w:t>评分标准</w:t>
            </w:r>
          </w:p>
        </w:tc>
      </w:tr>
      <w:tr w14:paraId="3F52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B8F08FE">
            <w:pPr>
              <w:adjustRightInd w:val="0"/>
              <w:spacing w:line="360" w:lineRule="auto"/>
              <w:jc w:val="center"/>
              <w:textAlignment w:val="baseline"/>
              <w:rPr>
                <w:rFonts w:ascii="宋体" w:hAnsi="宋体" w:cs="宋体"/>
                <w:bCs/>
                <w:sz w:val="21"/>
                <w:szCs w:val="21"/>
                <w:highlight w:val="none"/>
              </w:rPr>
            </w:pPr>
            <w:r>
              <w:rPr>
                <w:rFonts w:hint="eastAsia" w:ascii="宋体" w:hAnsi="宋体" w:cs="宋体"/>
                <w:bCs/>
                <w:sz w:val="21"/>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52C3BE23">
            <w:pPr>
              <w:adjustRightInd w:val="0"/>
              <w:spacing w:line="360" w:lineRule="exact"/>
              <w:jc w:val="center"/>
              <w:textAlignment w:val="baseline"/>
              <w:rPr>
                <w:rFonts w:ascii="宋体" w:hAnsi="宋体"/>
                <w:b/>
                <w:bCs/>
                <w:sz w:val="21"/>
                <w:szCs w:val="21"/>
                <w:highlight w:val="none"/>
              </w:rPr>
            </w:pPr>
            <w:r>
              <w:rPr>
                <w:rFonts w:hint="eastAsia" w:ascii="宋体" w:hAnsi="宋体"/>
                <w:b/>
                <w:bCs/>
                <w:sz w:val="21"/>
                <w:szCs w:val="21"/>
                <w:highlight w:val="none"/>
              </w:rPr>
              <w:t>价格分</w:t>
            </w:r>
          </w:p>
          <w:p w14:paraId="6A5F9A54">
            <w:pPr>
              <w:adjustRightInd w:val="0"/>
              <w:spacing w:line="360" w:lineRule="exact"/>
              <w:jc w:val="center"/>
              <w:textAlignment w:val="baseline"/>
              <w:rPr>
                <w:rFonts w:ascii="宋体" w:hAnsi="宋体"/>
                <w:b/>
                <w:bCs/>
                <w:sz w:val="21"/>
                <w:szCs w:val="21"/>
                <w:highlight w:val="none"/>
              </w:rPr>
            </w:pPr>
            <w:r>
              <w:rPr>
                <w:rFonts w:hint="eastAsia" w:ascii="宋体" w:hAnsi="宋体"/>
                <w:b/>
                <w:bCs/>
                <w:sz w:val="21"/>
                <w:szCs w:val="21"/>
                <w:highlight w:val="none"/>
              </w:rPr>
              <w:t>（满分</w:t>
            </w:r>
            <w:r>
              <w:rPr>
                <w:rFonts w:hint="eastAsia" w:ascii="宋体" w:hAnsi="宋体"/>
                <w:b/>
                <w:bCs/>
                <w:sz w:val="21"/>
                <w:szCs w:val="21"/>
                <w:highlight w:val="none"/>
                <w:u w:val="single"/>
                <w:lang w:val="en-US" w:eastAsia="zh-CN"/>
              </w:rPr>
              <w:t>30</w:t>
            </w:r>
            <w:r>
              <w:rPr>
                <w:rFonts w:hint="eastAsia" w:ascii="宋体" w:hAnsi="宋体"/>
                <w:b/>
                <w:bCs/>
                <w:sz w:val="21"/>
                <w:szCs w:val="21"/>
                <w:highlight w:val="none"/>
              </w:rPr>
              <w:t>分）</w:t>
            </w:r>
          </w:p>
          <w:p w14:paraId="3AA3AC0C">
            <w:pPr>
              <w:adjustRightInd w:val="0"/>
              <w:spacing w:line="360" w:lineRule="auto"/>
              <w:jc w:val="center"/>
              <w:textAlignment w:val="baseline"/>
              <w:rPr>
                <w:rFonts w:ascii="宋体" w:hAnsi="宋体" w:cs="宋体"/>
                <w:bCs/>
                <w:sz w:val="21"/>
                <w:szCs w:val="21"/>
                <w:highlight w:val="none"/>
              </w:rPr>
            </w:pPr>
          </w:p>
        </w:tc>
        <w:tc>
          <w:tcPr>
            <w:tcW w:w="1722" w:type="dxa"/>
            <w:tcBorders>
              <w:top w:val="single" w:color="auto" w:sz="4" w:space="0"/>
              <w:left w:val="single" w:color="auto" w:sz="4" w:space="0"/>
              <w:bottom w:val="single" w:color="auto" w:sz="4" w:space="0"/>
              <w:right w:val="single" w:color="auto" w:sz="4" w:space="0"/>
            </w:tcBorders>
            <w:vAlign w:val="center"/>
          </w:tcPr>
          <w:p w14:paraId="55E864A7">
            <w:pPr>
              <w:adjustRightInd w:val="0"/>
              <w:spacing w:line="360" w:lineRule="auto"/>
              <w:jc w:val="center"/>
              <w:textAlignment w:val="baseline"/>
              <w:rPr>
                <w:rFonts w:ascii="宋体" w:hAnsi="宋体" w:cs="宋体"/>
                <w:bCs/>
                <w:sz w:val="21"/>
                <w:szCs w:val="21"/>
                <w:highlight w:val="none"/>
              </w:rPr>
            </w:pPr>
            <w:r>
              <w:rPr>
                <w:rFonts w:hint="eastAsia" w:ascii="宋体" w:hAnsi="宋体"/>
                <w:b/>
                <w:bCs/>
                <w:sz w:val="21"/>
                <w:szCs w:val="21"/>
                <w:highlight w:val="none"/>
              </w:rPr>
              <w:t>报价（满分</w:t>
            </w:r>
            <w:r>
              <w:rPr>
                <w:rFonts w:hint="eastAsia" w:ascii="宋体" w:hAnsi="宋体"/>
                <w:b/>
                <w:bCs/>
                <w:sz w:val="21"/>
                <w:szCs w:val="21"/>
                <w:highlight w:val="none"/>
                <w:lang w:val="en-US" w:eastAsia="zh-CN"/>
              </w:rPr>
              <w:t>3</w:t>
            </w:r>
            <w:r>
              <w:rPr>
                <w:rFonts w:ascii="宋体" w:hAnsi="宋体"/>
                <w:b/>
                <w:bCs/>
                <w:sz w:val="21"/>
                <w:szCs w:val="21"/>
                <w:highlight w:val="none"/>
              </w:rPr>
              <w:t>0</w:t>
            </w:r>
            <w:r>
              <w:rPr>
                <w:rFonts w:hint="eastAsia" w:ascii="宋体" w:hAnsi="宋体"/>
                <w:b/>
                <w:bCs/>
                <w:sz w:val="21"/>
                <w:szCs w:val="21"/>
                <w:highlight w:val="none"/>
              </w:rPr>
              <w:t>分）</w:t>
            </w:r>
          </w:p>
        </w:tc>
        <w:tc>
          <w:tcPr>
            <w:tcW w:w="5876" w:type="dxa"/>
            <w:tcBorders>
              <w:top w:val="single" w:color="auto" w:sz="4" w:space="0"/>
              <w:left w:val="single" w:color="auto" w:sz="4" w:space="0"/>
              <w:bottom w:val="single" w:color="auto" w:sz="4" w:space="0"/>
              <w:right w:val="single" w:color="auto" w:sz="4" w:space="0"/>
            </w:tcBorders>
            <w:vAlign w:val="center"/>
          </w:tcPr>
          <w:p w14:paraId="3124CDB8">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1</w:t>
            </w:r>
            <w:r>
              <w:rPr>
                <w:rFonts w:hAnsi="宋体" w:cs="宋体"/>
                <w:bCs/>
                <w:kern w:val="2"/>
                <w:sz w:val="21"/>
                <w:szCs w:val="21"/>
                <w:highlight w:val="none"/>
              </w:rPr>
              <w:t>.</w:t>
            </w:r>
            <w:r>
              <w:rPr>
                <w:rFonts w:hint="eastAsia" w:hAnsi="宋体" w:cs="宋体"/>
                <w:bCs/>
                <w:kern w:val="2"/>
                <w:sz w:val="21"/>
                <w:szCs w:val="21"/>
                <w:highlight w:val="none"/>
              </w:rPr>
              <w:t>评审价为供应商的最后报价进行政策性扣除后的价格，评审价只是作为评审时使用。最终成交供应商的成交金额等于最后报价。</w:t>
            </w:r>
          </w:p>
          <w:p w14:paraId="36328A28">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2</w:t>
            </w:r>
            <w:r>
              <w:rPr>
                <w:rFonts w:hAnsi="宋体" w:cs="宋体"/>
                <w:bCs/>
                <w:kern w:val="2"/>
                <w:sz w:val="21"/>
                <w:szCs w:val="21"/>
                <w:highlight w:val="none"/>
              </w:rPr>
              <w:t>.</w:t>
            </w:r>
            <w:r>
              <w:rPr>
                <w:rFonts w:hint="eastAsia" w:hAnsi="宋体" w:cs="宋体"/>
                <w:bCs/>
                <w:kern w:val="2"/>
                <w:sz w:val="21"/>
                <w:szCs w:val="21"/>
                <w:highlight w:val="none"/>
              </w:rPr>
              <w:t>政府采购政策性扣除计算方法</w:t>
            </w:r>
          </w:p>
          <w:p w14:paraId="2E51B6CD">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根据《政府采购促进中小企业发展管理办法》（财库〔2020〕46号）及《广西壮族自治区财政厅关于持续优化政府采购营商环境推动高质量发展的通知》（桂财采〔2024〕55号）的规定，供应商</w:t>
            </w:r>
            <w:r>
              <w:rPr>
                <w:rFonts w:hint="eastAsia" w:hAnsi="宋体" w:cs="宋体"/>
                <w:bCs/>
                <w:sz w:val="21"/>
                <w:highlight w:val="none"/>
              </w:rPr>
              <w:t>人属于《政府采购促进中小企业发展管理办法》规定的小微企业的，</w:t>
            </w:r>
            <w:r>
              <w:rPr>
                <w:rFonts w:hint="eastAsia" w:hAnsi="宋体" w:cs="宋体"/>
                <w:bCs/>
                <w:kern w:val="2"/>
                <w:sz w:val="21"/>
                <w:szCs w:val="21"/>
                <w:highlight w:val="none"/>
              </w:rPr>
              <w:t>在其响应文件中提供《中小企业声明函》，且服务全部由小微企业承接，对供应商的</w:t>
            </w:r>
            <w:r>
              <w:rPr>
                <w:rFonts w:hint="eastAsia" w:hAnsi="宋体" w:cs="宋体"/>
                <w:sz w:val="21"/>
                <w:highlight w:val="none"/>
              </w:rPr>
              <w:t>竞争性磋商</w:t>
            </w:r>
            <w:r>
              <w:rPr>
                <w:rFonts w:hint="eastAsia" w:hAnsi="宋体" w:cs="宋体"/>
                <w:bCs/>
                <w:kern w:val="2"/>
                <w:sz w:val="21"/>
                <w:szCs w:val="21"/>
                <w:highlight w:val="none"/>
              </w:rPr>
              <w:t>报价给予</w:t>
            </w:r>
            <w:r>
              <w:rPr>
                <w:rFonts w:hint="eastAsia" w:hAnsi="宋体" w:cs="宋体"/>
                <w:bCs/>
                <w:kern w:val="2"/>
                <w:sz w:val="21"/>
                <w:szCs w:val="21"/>
                <w:highlight w:val="none"/>
                <w:lang w:val="en-US" w:eastAsia="zh-CN"/>
              </w:rPr>
              <w:t>1</w:t>
            </w:r>
            <w:r>
              <w:rPr>
                <w:rFonts w:hint="eastAsia" w:hAnsi="宋体" w:cs="宋体"/>
                <w:bCs/>
                <w:kern w:val="2"/>
                <w:sz w:val="21"/>
                <w:szCs w:val="21"/>
                <w:highlight w:val="none"/>
              </w:rPr>
              <w:t>0%的扣除，扣除后的价格为评审价，即评审价=</w:t>
            </w:r>
            <w:r>
              <w:rPr>
                <w:rFonts w:hint="eastAsia" w:hAnsi="宋体" w:cs="宋体"/>
                <w:sz w:val="21"/>
                <w:highlight w:val="none"/>
              </w:rPr>
              <w:t>竞争性磋商</w:t>
            </w:r>
            <w:r>
              <w:rPr>
                <w:rFonts w:hint="eastAsia" w:hAnsi="宋体" w:cs="宋体"/>
                <w:bCs/>
                <w:kern w:val="2"/>
                <w:sz w:val="21"/>
                <w:szCs w:val="21"/>
                <w:highlight w:val="none"/>
              </w:rPr>
              <w:t>报价×（1-</w:t>
            </w:r>
            <w:r>
              <w:rPr>
                <w:rFonts w:hint="eastAsia" w:hAnsi="宋体" w:cs="宋体"/>
                <w:bCs/>
                <w:kern w:val="2"/>
                <w:sz w:val="21"/>
                <w:szCs w:val="21"/>
                <w:highlight w:val="none"/>
                <w:lang w:val="en-US" w:eastAsia="zh-CN"/>
              </w:rPr>
              <w:t>1</w:t>
            </w:r>
            <w:r>
              <w:rPr>
                <w:rFonts w:hint="eastAsia" w:hAnsi="宋体" w:cs="宋体"/>
                <w:bCs/>
                <w:kern w:val="2"/>
                <w:sz w:val="21"/>
                <w:szCs w:val="21"/>
                <w:highlight w:val="none"/>
              </w:rPr>
              <w:t>0%）</w:t>
            </w:r>
            <w:r>
              <w:rPr>
                <w:rFonts w:hint="eastAsia" w:hAnsi="宋体" w:cs="宋体"/>
                <w:bCs/>
                <w:kern w:val="2"/>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6 %的扣除，用扣除后的价格参加评审，扣除后的价格为评审价，即评审价=</w:t>
            </w:r>
            <w:r>
              <w:rPr>
                <w:rFonts w:hint="eastAsia" w:hAnsi="宋体" w:cs="宋体"/>
                <w:sz w:val="21"/>
                <w:highlight w:val="none"/>
              </w:rPr>
              <w:t>竞争性磋商</w:t>
            </w:r>
            <w:r>
              <w:rPr>
                <w:rFonts w:hint="eastAsia" w:hAnsi="宋体" w:cs="宋体"/>
                <w:bCs/>
                <w:kern w:val="2"/>
                <w:sz w:val="21"/>
                <w:szCs w:val="21"/>
                <w:highlight w:val="none"/>
              </w:rPr>
              <w:t>报价×（1- 6 %）。除上述情况外，评审价=</w:t>
            </w:r>
            <w:r>
              <w:rPr>
                <w:rFonts w:hint="eastAsia" w:hAnsi="宋体" w:cs="宋体"/>
                <w:sz w:val="21"/>
                <w:highlight w:val="none"/>
              </w:rPr>
              <w:t>竞争性磋商</w:t>
            </w:r>
            <w:r>
              <w:rPr>
                <w:rFonts w:hint="eastAsia" w:hAnsi="宋体" w:cs="宋体"/>
                <w:bCs/>
                <w:kern w:val="2"/>
                <w:sz w:val="21"/>
                <w:szCs w:val="21"/>
                <w:highlight w:val="none"/>
              </w:rPr>
              <w:t>报价。</w:t>
            </w:r>
          </w:p>
          <w:p w14:paraId="76434527">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3</w:t>
            </w:r>
            <w:r>
              <w:rPr>
                <w:rFonts w:hAnsi="宋体" w:cs="宋体"/>
                <w:bCs/>
                <w:kern w:val="2"/>
                <w:sz w:val="21"/>
                <w:szCs w:val="21"/>
                <w:highlight w:val="none"/>
              </w:rPr>
              <w:t>.</w:t>
            </w:r>
            <w:r>
              <w:rPr>
                <w:rFonts w:hint="eastAsia" w:hAnsi="宋体" w:cs="宋体"/>
                <w:bCs/>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B87721E">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4</w:t>
            </w:r>
            <w:r>
              <w:rPr>
                <w:rFonts w:hAnsi="宋体" w:cs="宋体"/>
                <w:bCs/>
                <w:kern w:val="2"/>
                <w:sz w:val="21"/>
                <w:szCs w:val="21"/>
                <w:highlight w:val="none"/>
              </w:rPr>
              <w:t>.</w:t>
            </w:r>
            <w:r>
              <w:rPr>
                <w:rFonts w:hint="eastAsia" w:hAnsi="宋体" w:cs="宋体"/>
                <w:bCs/>
                <w:kern w:val="2"/>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0239CE">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5</w:t>
            </w:r>
            <w:r>
              <w:rPr>
                <w:rFonts w:hAnsi="宋体" w:cs="宋体"/>
                <w:bCs/>
                <w:kern w:val="2"/>
                <w:sz w:val="21"/>
                <w:szCs w:val="21"/>
                <w:highlight w:val="none"/>
              </w:rPr>
              <w:t>.</w:t>
            </w:r>
            <w:r>
              <w:rPr>
                <w:rFonts w:hint="eastAsia" w:hAnsi="宋体"/>
                <w:bCs/>
                <w:sz w:val="21"/>
                <w:highlight w:val="none"/>
              </w:rPr>
              <w:t>报价分采用低价优先法计算，满足磋商文件要求且评审价最低的有效供应商的评审价为基准价，其价格分为满分。</w:t>
            </w:r>
          </w:p>
          <w:p w14:paraId="46E515A6">
            <w:pPr>
              <w:pStyle w:val="17"/>
              <w:spacing w:line="360" w:lineRule="auto"/>
              <w:rPr>
                <w:rFonts w:hAnsi="宋体"/>
                <w:bCs/>
                <w:sz w:val="21"/>
                <w:highlight w:val="none"/>
              </w:rPr>
            </w:pPr>
            <w:r>
              <w:rPr>
                <w:rFonts w:hint="eastAsia" w:hAnsi="宋体" w:cs="宋体"/>
                <w:bCs/>
                <w:kern w:val="2"/>
                <w:sz w:val="21"/>
                <w:szCs w:val="21"/>
                <w:highlight w:val="none"/>
              </w:rPr>
              <w:t>6</w:t>
            </w:r>
            <w:r>
              <w:rPr>
                <w:rFonts w:hAnsi="宋体" w:cs="宋体"/>
                <w:bCs/>
                <w:kern w:val="2"/>
                <w:sz w:val="21"/>
                <w:szCs w:val="21"/>
                <w:highlight w:val="none"/>
              </w:rPr>
              <w:t>.</w:t>
            </w:r>
            <w:r>
              <w:rPr>
                <w:rFonts w:hint="eastAsia" w:hAnsi="宋体"/>
                <w:bCs/>
                <w:sz w:val="21"/>
                <w:highlight w:val="none"/>
              </w:rPr>
              <w:t>其他供应商的价格分统一按照下列公式计算：</w:t>
            </w:r>
          </w:p>
          <w:p w14:paraId="10CCB756">
            <w:pPr>
              <w:spacing w:line="360" w:lineRule="auto"/>
              <w:rPr>
                <w:rFonts w:ascii="宋体" w:hAnsi="宋体" w:cs="宋体"/>
                <w:bCs/>
                <w:sz w:val="21"/>
                <w:szCs w:val="21"/>
                <w:highlight w:val="none"/>
              </w:rPr>
            </w:pPr>
            <w:r>
              <w:rPr>
                <w:rFonts w:hint="eastAsia" w:ascii="宋体" w:hAnsi="宋体"/>
                <w:bCs/>
                <w:sz w:val="21"/>
                <w:szCs w:val="21"/>
                <w:highlight w:val="none"/>
              </w:rPr>
              <w:t>某供应商的价格分=（评标基准价／某供应商评审价）×</w:t>
            </w:r>
            <w:r>
              <w:rPr>
                <w:rFonts w:hint="eastAsia" w:ascii="宋体" w:hAnsi="宋体"/>
                <w:bCs/>
                <w:sz w:val="21"/>
                <w:szCs w:val="21"/>
                <w:highlight w:val="none"/>
                <w:lang w:val="en-US" w:eastAsia="zh-CN"/>
              </w:rPr>
              <w:t>30</w:t>
            </w:r>
            <w:r>
              <w:rPr>
                <w:rFonts w:hint="eastAsia" w:ascii="宋体" w:hAnsi="宋体"/>
                <w:bCs/>
                <w:sz w:val="21"/>
                <w:szCs w:val="21"/>
                <w:highlight w:val="none"/>
              </w:rPr>
              <w:t>分</w:t>
            </w:r>
          </w:p>
        </w:tc>
      </w:tr>
      <w:tr w14:paraId="3E56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26AEF6F8">
            <w:pPr>
              <w:adjustRightInd w:val="0"/>
              <w:spacing w:line="360" w:lineRule="auto"/>
              <w:jc w:val="center"/>
              <w:textAlignment w:val="baseline"/>
              <w:rPr>
                <w:rFonts w:ascii="宋体" w:hAnsi="宋体" w:cs="宋体"/>
                <w:bCs/>
                <w:sz w:val="24"/>
                <w:highlight w:val="none"/>
              </w:rPr>
            </w:pPr>
            <w:r>
              <w:rPr>
                <w:rFonts w:hint="eastAsia" w:ascii="宋体" w:hAnsi="宋体" w:cs="宋体"/>
                <w:bCs/>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4C6B8311">
            <w:pPr>
              <w:adjustRightInd w:val="0"/>
              <w:spacing w:line="360" w:lineRule="auto"/>
              <w:jc w:val="center"/>
              <w:textAlignment w:val="baseline"/>
              <w:rPr>
                <w:rFonts w:ascii="宋体" w:hAnsi="宋体" w:cs="宋体"/>
                <w:bCs/>
                <w:sz w:val="21"/>
                <w:szCs w:val="21"/>
                <w:highlight w:val="none"/>
              </w:rPr>
            </w:pPr>
            <w:r>
              <w:rPr>
                <w:rFonts w:hint="eastAsia" w:hAnsi="宋体"/>
                <w:b/>
                <w:bCs/>
                <w:sz w:val="21"/>
                <w:szCs w:val="21"/>
                <w:highlight w:val="none"/>
              </w:rPr>
              <w:t>项目实施方案分</w:t>
            </w:r>
            <w:r>
              <w:rPr>
                <w:rFonts w:hint="eastAsia" w:ascii="宋体" w:hAnsi="宋体"/>
                <w:b/>
                <w:bCs w:val="0"/>
                <w:sz w:val="21"/>
                <w:szCs w:val="21"/>
                <w:highlight w:val="none"/>
              </w:rPr>
              <w:t>（</w:t>
            </w:r>
            <w:r>
              <w:rPr>
                <w:rFonts w:hint="eastAsia" w:ascii="宋体" w:hAnsi="宋体"/>
                <w:b/>
                <w:sz w:val="21"/>
                <w:szCs w:val="21"/>
                <w:highlight w:val="none"/>
              </w:rPr>
              <w:t>满分</w:t>
            </w:r>
            <w:r>
              <w:rPr>
                <w:rFonts w:hint="eastAsia" w:ascii="宋体" w:hAnsi="宋体"/>
                <w:b/>
                <w:sz w:val="21"/>
                <w:szCs w:val="21"/>
                <w:highlight w:val="none"/>
                <w:u w:val="single"/>
                <w:lang w:val="en-US" w:eastAsia="zh-CN"/>
              </w:rPr>
              <w:t>45</w:t>
            </w:r>
            <w:r>
              <w:rPr>
                <w:rFonts w:hint="eastAsia" w:ascii="宋体" w:hAnsi="宋体"/>
                <w:b/>
                <w:sz w:val="21"/>
                <w:szCs w:val="21"/>
                <w:highlight w:val="none"/>
              </w:rPr>
              <w:t>分</w:t>
            </w:r>
            <w:r>
              <w:rPr>
                <w:rFonts w:hint="eastAsia" w:ascii="宋体" w:hAnsi="宋体"/>
                <w:b/>
                <w:bCs w:val="0"/>
                <w:sz w:val="21"/>
                <w:szCs w:val="21"/>
                <w:highlight w:val="none"/>
              </w:rPr>
              <w:t>）</w:t>
            </w:r>
          </w:p>
        </w:tc>
        <w:tc>
          <w:tcPr>
            <w:tcW w:w="1722" w:type="dxa"/>
            <w:tcBorders>
              <w:top w:val="single" w:color="auto" w:sz="4" w:space="0"/>
              <w:left w:val="single" w:color="auto" w:sz="4" w:space="0"/>
              <w:bottom w:val="single" w:color="auto" w:sz="4" w:space="0"/>
              <w:right w:val="single" w:color="auto" w:sz="4" w:space="0"/>
            </w:tcBorders>
            <w:vAlign w:val="center"/>
          </w:tcPr>
          <w:p w14:paraId="15F627C2">
            <w:pPr>
              <w:adjustRightInd w:val="0"/>
              <w:spacing w:line="360" w:lineRule="auto"/>
              <w:jc w:val="center"/>
              <w:textAlignment w:val="baseline"/>
              <w:rPr>
                <w:rFonts w:hint="eastAsia" w:ascii="宋体" w:hAnsi="宋体" w:cs="宋体"/>
                <w:bCs/>
                <w:sz w:val="21"/>
                <w:szCs w:val="21"/>
                <w:highlight w:val="none"/>
              </w:rPr>
            </w:pPr>
            <w:r>
              <w:rPr>
                <w:rFonts w:hint="eastAsia" w:ascii="宋体" w:hAnsi="宋体" w:eastAsia="宋体" w:cs="宋体"/>
                <w:bCs/>
                <w:sz w:val="21"/>
                <w:szCs w:val="21"/>
                <w:highlight w:val="none"/>
              </w:rPr>
              <w:t>拟投入服务的洗涤厂配备方案分（满分1</w:t>
            </w:r>
            <w:r>
              <w:rPr>
                <w:rFonts w:hint="eastAsia" w:ascii="宋体" w:hAnsi="宋体" w:eastAsia="宋体" w:cs="宋体"/>
                <w:bCs/>
                <w:sz w:val="21"/>
                <w:szCs w:val="21"/>
                <w:highlight w:val="none"/>
                <w:lang w:eastAsia="zh-CN"/>
              </w:rPr>
              <w:t>5</w:t>
            </w:r>
            <w:r>
              <w:rPr>
                <w:rFonts w:hint="eastAsia" w:ascii="宋体" w:hAnsi="宋体" w:eastAsia="宋体" w:cs="宋体"/>
                <w:bCs/>
                <w:sz w:val="21"/>
                <w:szCs w:val="21"/>
                <w:highlight w:val="none"/>
              </w:rPr>
              <w:t>分）</w:t>
            </w:r>
          </w:p>
        </w:tc>
        <w:tc>
          <w:tcPr>
            <w:tcW w:w="5876" w:type="dxa"/>
            <w:tcBorders>
              <w:top w:val="single" w:color="auto" w:sz="4" w:space="0"/>
              <w:left w:val="single" w:color="auto" w:sz="4" w:space="0"/>
              <w:bottom w:val="single" w:color="auto" w:sz="4" w:space="0"/>
              <w:right w:val="single" w:color="auto" w:sz="4" w:space="0"/>
            </w:tcBorders>
            <w:vAlign w:val="center"/>
          </w:tcPr>
          <w:p w14:paraId="71761531">
            <w:pPr>
              <w:keepNext w:val="0"/>
              <w:keepLines w:val="0"/>
              <w:widowControl/>
              <w:suppressLineNumbers w:val="0"/>
              <w:spacing w:line="360" w:lineRule="auto"/>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一档（5分）：拟投入服务的洗涤厂配备方案中，洗涤厂的平面布置图、选址（含场地证明材料）、内部及周围环境介绍、各区域功能说明四项内容仅基本满足本项目采购需求，无重大缺失但细节不完善。</w:t>
            </w:r>
          </w:p>
          <w:p w14:paraId="2880C800">
            <w:pPr>
              <w:keepNext w:val="0"/>
              <w:keepLines w:val="0"/>
              <w:widowControl/>
              <w:suppressLineNumbers w:val="0"/>
              <w:spacing w:line="360" w:lineRule="auto"/>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二档（10分）：拟投入服务的洗涤厂配备方案中，洗涤厂的平面布置图绘制规范、标注基本完整，选址符合相关规定且提供有效场地证明材料，内部及周围环境介绍、各区域功能说明清晰，四项内容均满足本项目采购需求，可行性较强。</w:t>
            </w:r>
          </w:p>
          <w:p w14:paraId="591A3ED0">
            <w:pPr>
              <w:widowControl/>
              <w:spacing w:line="360" w:lineRule="auto"/>
              <w:jc w:val="left"/>
              <w:rPr>
                <w:rFonts w:hint="eastAsia" w:hAnsi="宋体" w:cs="宋体"/>
                <w:bCs/>
                <w:kern w:val="2"/>
                <w:sz w:val="21"/>
                <w:szCs w:val="21"/>
                <w:highlight w:val="none"/>
              </w:rPr>
            </w:pPr>
            <w:r>
              <w:rPr>
                <w:rFonts w:hint="eastAsia" w:ascii="宋体" w:hAnsi="宋体" w:eastAsia="宋体" w:cs="宋体"/>
                <w:bCs/>
                <w:kern w:val="2"/>
                <w:sz w:val="21"/>
                <w:szCs w:val="21"/>
                <w:highlight w:val="none"/>
                <w:lang w:val="en-US" w:eastAsia="zh-CN" w:bidi="ar-SA"/>
              </w:rPr>
              <w:t>三档（15分）：拟投入服务的洗涤厂配备方案中，洗涤厂的平面布置图绘制规范、标注完整且贴合项目需求，选址合规且场地证明材料真实有效，内部及周围环境介绍全面详细，各区域功能说明明确具体、针对性强，四项内容均具有合理性、可行性和针对性，能充分保障项目服务需求。</w:t>
            </w:r>
          </w:p>
        </w:tc>
      </w:tr>
      <w:tr w14:paraId="5A9A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29172B5C">
            <w:pPr>
              <w:adjustRightInd w:val="0"/>
              <w:spacing w:line="360" w:lineRule="auto"/>
              <w:jc w:val="center"/>
              <w:textAlignment w:val="baseline"/>
              <w:rPr>
                <w:rFonts w:ascii="宋体" w:hAnsi="宋体" w:cs="宋体"/>
                <w:bCs/>
                <w:sz w:val="24"/>
                <w:highlight w:val="none"/>
              </w:rPr>
            </w:pPr>
          </w:p>
        </w:tc>
        <w:tc>
          <w:tcPr>
            <w:tcW w:w="1418" w:type="dxa"/>
            <w:vMerge w:val="continue"/>
            <w:tcBorders>
              <w:left w:val="single" w:color="auto" w:sz="4" w:space="0"/>
              <w:right w:val="single" w:color="auto" w:sz="4" w:space="0"/>
            </w:tcBorders>
            <w:vAlign w:val="center"/>
          </w:tcPr>
          <w:p w14:paraId="6EC00C43">
            <w:pPr>
              <w:adjustRightInd w:val="0"/>
              <w:snapToGrid w:val="0"/>
              <w:spacing w:line="360" w:lineRule="atLeast"/>
              <w:ind w:left="-105" w:leftChars="-50" w:right="-105" w:rightChars="-50"/>
              <w:jc w:val="center"/>
              <w:textAlignment w:val="baseline"/>
              <w:rPr>
                <w:rFonts w:ascii="宋体" w:hAnsi="宋体"/>
                <w:bCs/>
                <w:sz w:val="24"/>
                <w:highlight w:val="none"/>
              </w:rPr>
            </w:pPr>
          </w:p>
        </w:tc>
        <w:tc>
          <w:tcPr>
            <w:tcW w:w="1722" w:type="dxa"/>
            <w:tcBorders>
              <w:top w:val="single" w:color="auto" w:sz="4" w:space="0"/>
              <w:left w:val="single" w:color="auto" w:sz="4" w:space="0"/>
              <w:bottom w:val="single" w:color="auto" w:sz="4" w:space="0"/>
              <w:right w:val="single" w:color="auto" w:sz="4" w:space="0"/>
            </w:tcBorders>
            <w:vAlign w:val="center"/>
          </w:tcPr>
          <w:p w14:paraId="74038A6F">
            <w:pPr>
              <w:adjustRightInd w:val="0"/>
              <w:spacing w:line="360" w:lineRule="auto"/>
              <w:jc w:val="center"/>
              <w:textAlignment w:val="baseline"/>
              <w:rPr>
                <w:rFonts w:ascii="宋体" w:hAnsi="宋体" w:cs="宋体"/>
                <w:bCs/>
                <w:sz w:val="24"/>
                <w:highlight w:val="none"/>
              </w:rPr>
            </w:pPr>
            <w:r>
              <w:rPr>
                <w:rFonts w:hint="eastAsia"/>
                <w:bCs/>
                <w:sz w:val="21"/>
                <w:szCs w:val="21"/>
                <w:highlight w:val="none"/>
              </w:rPr>
              <w:t>拟投入的设备配备方案分</w:t>
            </w:r>
            <w:r>
              <w:rPr>
                <w:rFonts w:hint="eastAsia" w:ascii="宋体" w:hAnsi="宋体" w:cs="宋体"/>
                <w:sz w:val="21"/>
                <w:szCs w:val="21"/>
                <w:highlight w:val="none"/>
              </w:rPr>
              <w:t>（满分10分）</w:t>
            </w:r>
          </w:p>
        </w:tc>
        <w:tc>
          <w:tcPr>
            <w:tcW w:w="5876" w:type="dxa"/>
            <w:tcBorders>
              <w:top w:val="single" w:color="auto" w:sz="4" w:space="0"/>
              <w:left w:val="single" w:color="auto" w:sz="4" w:space="0"/>
              <w:bottom w:val="single" w:color="auto" w:sz="4" w:space="0"/>
              <w:right w:val="single" w:color="auto" w:sz="4" w:space="0"/>
            </w:tcBorders>
            <w:vAlign w:val="center"/>
          </w:tcPr>
          <w:p w14:paraId="60D08966">
            <w:pPr>
              <w:widowControl/>
              <w:wordWrap w:val="0"/>
              <w:topLinePunct/>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一档（</w:t>
            </w:r>
            <w:r>
              <w:rPr>
                <w:rFonts w:hint="eastAsia" w:ascii="宋体" w:hAnsi="宋体" w:eastAsia="宋体" w:cs="宋体"/>
                <w:kern w:val="0"/>
                <w:sz w:val="21"/>
                <w:szCs w:val="21"/>
                <w:highlight w:val="none"/>
                <w:lang w:val="en-US" w:eastAsia="zh-CN" w:bidi="ar"/>
              </w:rPr>
              <w:t>3</w:t>
            </w:r>
            <w:r>
              <w:rPr>
                <w:rFonts w:ascii="宋体" w:hAnsi="宋体" w:eastAsia="宋体" w:cs="宋体"/>
                <w:kern w:val="0"/>
                <w:sz w:val="21"/>
                <w:szCs w:val="21"/>
                <w:highlight w:val="none"/>
                <w:lang w:val="en-US" w:eastAsia="zh-CN" w:bidi="ar"/>
              </w:rPr>
              <w:t>分）：拟投入的设备配备方案中，服务保障的设备功能划分、设备名称、数量、品牌型号、设备性能指标三项内容仅基本满足本项目采购需求，无重大缺失但细节不完善。</w:t>
            </w:r>
          </w:p>
          <w:p w14:paraId="301C57D3">
            <w:pPr>
              <w:widowControl/>
              <w:wordWrap w:val="0"/>
              <w:topLinePunct/>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二档（</w:t>
            </w:r>
            <w:r>
              <w:rPr>
                <w:rFonts w:hint="eastAsia" w:ascii="宋体" w:hAnsi="宋体" w:eastAsia="宋体" w:cs="宋体"/>
                <w:kern w:val="0"/>
                <w:sz w:val="21"/>
                <w:szCs w:val="21"/>
                <w:highlight w:val="none"/>
                <w:lang w:val="en-US" w:eastAsia="zh-CN" w:bidi="ar"/>
              </w:rPr>
              <w:t>6</w:t>
            </w:r>
            <w:r>
              <w:rPr>
                <w:rFonts w:ascii="宋体" w:hAnsi="宋体" w:eastAsia="宋体" w:cs="宋体"/>
                <w:kern w:val="0"/>
                <w:sz w:val="21"/>
                <w:szCs w:val="21"/>
                <w:highlight w:val="none"/>
                <w:lang w:val="en-US" w:eastAsia="zh-CN" w:bidi="ar"/>
              </w:rPr>
              <w:t>分）：拟投入的设备配备方案中，服务保障的设备功能划分清晰，设备名称、数量、品牌型号明确，设备性能指标基本达标，三项内容均满足本项目采购需求，可行性较强。</w:t>
            </w:r>
          </w:p>
          <w:p w14:paraId="0930F235">
            <w:pPr>
              <w:widowControl/>
              <w:wordWrap w:val="0"/>
              <w:topLinePunct/>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三档（1</w:t>
            </w:r>
            <w:r>
              <w:rPr>
                <w:rFonts w:hint="eastAsia" w:ascii="宋体" w:hAnsi="宋体" w:eastAsia="宋体" w:cs="宋体"/>
                <w:kern w:val="0"/>
                <w:sz w:val="21"/>
                <w:szCs w:val="21"/>
                <w:highlight w:val="none"/>
                <w:lang w:val="en-US" w:eastAsia="zh-CN" w:bidi="ar"/>
              </w:rPr>
              <w:t>0</w:t>
            </w:r>
            <w:r>
              <w:rPr>
                <w:rFonts w:ascii="宋体" w:hAnsi="宋体" w:eastAsia="宋体" w:cs="宋体"/>
                <w:kern w:val="0"/>
                <w:sz w:val="21"/>
                <w:szCs w:val="21"/>
                <w:highlight w:val="none"/>
                <w:lang w:val="en-US" w:eastAsia="zh-CN" w:bidi="ar"/>
              </w:rPr>
              <w:t>分）：拟投入的设备配备方案中，服务保障的设备功能划分科学合理、贴合项目需求，设备名称、数量、品牌型号完整准确，设备性能指标先进且完全符合项目要求，三项内容均具有合理性、可行性和针对性，能充分保障项目服务需求。</w:t>
            </w:r>
          </w:p>
          <w:p w14:paraId="4C3451CB">
            <w:pPr>
              <w:widowControl/>
              <w:jc w:val="left"/>
              <w:rPr>
                <w:rFonts w:hAnsi="宋体" w:cs="宋体"/>
                <w:bCs/>
                <w:kern w:val="2"/>
                <w:sz w:val="24"/>
                <w:szCs w:val="24"/>
                <w:highlight w:val="none"/>
              </w:rPr>
            </w:pPr>
          </w:p>
        </w:tc>
      </w:tr>
      <w:tr w14:paraId="3D5E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0DA0FD99">
            <w:pPr>
              <w:adjustRightInd w:val="0"/>
              <w:spacing w:line="360" w:lineRule="auto"/>
              <w:jc w:val="center"/>
              <w:textAlignment w:val="baseline"/>
              <w:rPr>
                <w:rFonts w:ascii="宋体" w:hAnsi="宋体" w:cs="宋体"/>
                <w:bCs/>
                <w:sz w:val="24"/>
                <w:highlight w:val="none"/>
              </w:rPr>
            </w:pPr>
          </w:p>
        </w:tc>
        <w:tc>
          <w:tcPr>
            <w:tcW w:w="1418" w:type="dxa"/>
            <w:vMerge w:val="continue"/>
            <w:tcBorders>
              <w:left w:val="single" w:color="auto" w:sz="4" w:space="0"/>
              <w:right w:val="single" w:color="auto" w:sz="4" w:space="0"/>
            </w:tcBorders>
            <w:vAlign w:val="center"/>
          </w:tcPr>
          <w:p w14:paraId="745F520F">
            <w:pPr>
              <w:adjustRightInd w:val="0"/>
              <w:snapToGrid w:val="0"/>
              <w:spacing w:line="360" w:lineRule="atLeast"/>
              <w:ind w:left="-105" w:leftChars="-50" w:right="-105" w:rightChars="-50"/>
              <w:jc w:val="center"/>
              <w:textAlignment w:val="baseline"/>
              <w:rPr>
                <w:rFonts w:ascii="宋体" w:hAnsi="宋体"/>
                <w:bCs/>
                <w:sz w:val="24"/>
                <w:highlight w:val="none"/>
              </w:rPr>
            </w:pPr>
          </w:p>
        </w:tc>
        <w:tc>
          <w:tcPr>
            <w:tcW w:w="1722" w:type="dxa"/>
            <w:tcBorders>
              <w:top w:val="single" w:color="auto" w:sz="4" w:space="0"/>
              <w:left w:val="single" w:color="auto" w:sz="4" w:space="0"/>
              <w:bottom w:val="single" w:color="auto" w:sz="4" w:space="0"/>
              <w:right w:val="single" w:color="auto" w:sz="4" w:space="0"/>
            </w:tcBorders>
            <w:vAlign w:val="center"/>
          </w:tcPr>
          <w:p w14:paraId="148E0372">
            <w:pPr>
              <w:adjustRightInd w:val="0"/>
              <w:spacing w:line="360" w:lineRule="auto"/>
              <w:jc w:val="center"/>
              <w:textAlignment w:val="baseline"/>
              <w:rPr>
                <w:rFonts w:ascii="宋体" w:hAnsi="宋体" w:cs="宋体"/>
                <w:bCs/>
                <w:sz w:val="24"/>
                <w:highlight w:val="none"/>
              </w:rPr>
            </w:pPr>
            <w:r>
              <w:rPr>
                <w:rFonts w:hint="eastAsia"/>
                <w:bCs/>
                <w:sz w:val="21"/>
                <w:szCs w:val="21"/>
                <w:highlight w:val="none"/>
              </w:rPr>
              <w:t>项目管理方案（</w:t>
            </w:r>
            <w:r>
              <w:rPr>
                <w:rFonts w:hint="eastAsia"/>
                <w:bCs/>
                <w:sz w:val="21"/>
                <w:szCs w:val="21"/>
                <w:highlight w:val="none"/>
                <w:lang w:val="en-US" w:eastAsia="zh-CN"/>
              </w:rPr>
              <w:t>满分</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rPr>
              <w:t>分</w:t>
            </w:r>
            <w:r>
              <w:rPr>
                <w:rFonts w:hint="eastAsia"/>
                <w:bCs/>
                <w:sz w:val="21"/>
                <w:szCs w:val="21"/>
                <w:highlight w:val="none"/>
              </w:rPr>
              <w:t>）</w:t>
            </w:r>
          </w:p>
        </w:tc>
        <w:tc>
          <w:tcPr>
            <w:tcW w:w="5876" w:type="dxa"/>
            <w:tcBorders>
              <w:top w:val="single" w:color="auto" w:sz="4" w:space="0"/>
              <w:left w:val="single" w:color="auto" w:sz="4" w:space="0"/>
              <w:bottom w:val="single" w:color="auto" w:sz="4" w:space="0"/>
              <w:right w:val="single" w:color="auto" w:sz="4" w:space="0"/>
            </w:tcBorders>
            <w:vAlign w:val="center"/>
          </w:tcPr>
          <w:p w14:paraId="5216E2BA">
            <w:pPr>
              <w:keepNext w:val="0"/>
              <w:keepLines w:val="0"/>
              <w:widowControl/>
              <w:suppressLineNumbers w:val="0"/>
              <w:wordWrap w:val="0"/>
              <w:topLinePunct/>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 w:val="21"/>
                <w:szCs w:val="21"/>
                <w:highlight w:val="none"/>
                <w:lang w:val="en-US" w:eastAsia="zh-CN" w:bidi="ar"/>
              </w:rPr>
              <w:t>一档（3分）：拟投入的项目管理方案中，各岗位职责及工作实施流程（包括收集、运送、分拣、洗涤、消毒、烘干、缝补、折叠、熨烫及下送等流程）、洗衣房管理制度、医用织物洗涤消毒隔离及质量监管制度、信息反馈处理制度等各项规章制度、应急预案四项内容仅基本满足本项目采购需求，无重大缺失但细节不完善。</w:t>
            </w:r>
          </w:p>
          <w:p w14:paraId="56AF55D4">
            <w:pPr>
              <w:widowControl/>
              <w:wordWrap w:val="0"/>
              <w:topLinePunct/>
              <w:spacing w:line="360" w:lineRule="auto"/>
              <w:jc w:val="left"/>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二档（6分）：拟投入的项目管理方案中，各岗位职责及工作实施流程清晰完整，洗衣房管理制度明确，医用织物洗涤消毒隔离及质量监管制度、信息反馈处理制度等各项规章制度基本健全，应急预案具备可操作性，四项内容均满足本项目采购需求，可行性较强。</w:t>
            </w:r>
          </w:p>
          <w:p w14:paraId="41FF2FA7">
            <w:pPr>
              <w:widowControl/>
              <w:wordWrap w:val="0"/>
              <w:topLinePunct/>
              <w:spacing w:line="360" w:lineRule="auto"/>
              <w:jc w:val="left"/>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三档（10分）：拟投入的项目管理方案中，各岗位职责及工作实施流程科学规范、贴合项目全流程需求，洗衣房管理制度完善，医用织物洗涤消毒隔离及质量监管制度、信息反馈处理制度等各项规章制度健全细化，应急预案全面且可落地，四项内容均具有合理性、可行性和针对性，能充分保障项目规范有序开展。</w:t>
            </w:r>
          </w:p>
          <w:p w14:paraId="7CC132C9">
            <w:pPr>
              <w:widowControl/>
              <w:wordWrap w:val="0"/>
              <w:topLinePunct/>
              <w:jc w:val="left"/>
              <w:rPr>
                <w:rFonts w:hAnsi="宋体" w:cs="宋体"/>
                <w:bCs/>
                <w:kern w:val="2"/>
                <w:sz w:val="24"/>
                <w:szCs w:val="24"/>
                <w:highlight w:val="none"/>
              </w:rPr>
            </w:pPr>
          </w:p>
        </w:tc>
      </w:tr>
      <w:tr w14:paraId="1E4B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78325C9D">
            <w:pPr>
              <w:adjustRightInd w:val="0"/>
              <w:spacing w:line="360" w:lineRule="auto"/>
              <w:jc w:val="center"/>
              <w:textAlignment w:val="baseline"/>
              <w:rPr>
                <w:rFonts w:ascii="宋体" w:hAnsi="宋体" w:cs="宋体"/>
                <w:bCs/>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18E8F88F">
            <w:pPr>
              <w:adjustRightInd w:val="0"/>
              <w:snapToGrid w:val="0"/>
              <w:spacing w:line="360" w:lineRule="atLeast"/>
              <w:ind w:left="-105" w:leftChars="-50" w:right="-105" w:rightChars="-50"/>
              <w:jc w:val="center"/>
              <w:textAlignment w:val="baseline"/>
              <w:rPr>
                <w:rFonts w:ascii="宋体" w:hAnsi="宋体"/>
                <w:bCs/>
                <w:sz w:val="24"/>
                <w:highlight w:val="none"/>
              </w:rPr>
            </w:pPr>
          </w:p>
        </w:tc>
        <w:tc>
          <w:tcPr>
            <w:tcW w:w="1722" w:type="dxa"/>
            <w:tcBorders>
              <w:top w:val="single" w:color="auto" w:sz="4" w:space="0"/>
              <w:left w:val="single" w:color="auto" w:sz="4" w:space="0"/>
              <w:bottom w:val="single" w:color="auto" w:sz="4" w:space="0"/>
              <w:right w:val="single" w:color="auto" w:sz="4" w:space="0"/>
            </w:tcBorders>
            <w:vAlign w:val="center"/>
          </w:tcPr>
          <w:p w14:paraId="74D887A1">
            <w:pPr>
              <w:adjustRightInd w:val="0"/>
              <w:spacing w:line="360" w:lineRule="auto"/>
              <w:jc w:val="center"/>
              <w:textAlignment w:val="baseline"/>
              <w:rPr>
                <w:rFonts w:ascii="宋体" w:hAnsi="宋体" w:cs="宋体"/>
                <w:bCs/>
                <w:sz w:val="21"/>
                <w:szCs w:val="21"/>
                <w:highlight w:val="none"/>
              </w:rPr>
            </w:pPr>
            <w:r>
              <w:rPr>
                <w:rFonts w:hint="eastAsia" w:ascii="宋体" w:hAnsi="宋体" w:cs="宋体"/>
                <w:bCs/>
                <w:sz w:val="21"/>
                <w:szCs w:val="21"/>
                <w:highlight w:val="none"/>
              </w:rPr>
              <w:t>人员管理及配备方案分（</w:t>
            </w:r>
            <w:r>
              <w:rPr>
                <w:rFonts w:hint="eastAsia" w:ascii="宋体" w:hAnsi="宋体" w:cs="宋体"/>
                <w:bCs/>
                <w:sz w:val="21"/>
                <w:szCs w:val="21"/>
                <w:highlight w:val="none"/>
                <w:lang w:val="en-US" w:eastAsia="zh-CN"/>
              </w:rPr>
              <w:t>满分</w:t>
            </w:r>
            <w:r>
              <w:rPr>
                <w:rFonts w:hint="eastAsia" w:ascii="宋体" w:hAnsi="宋体" w:cs="宋体"/>
                <w:bCs/>
                <w:sz w:val="21"/>
                <w:szCs w:val="21"/>
                <w:highlight w:val="none"/>
              </w:rPr>
              <w:t>1</w:t>
            </w:r>
            <w:r>
              <w:rPr>
                <w:rFonts w:hint="eastAsia" w:ascii="宋体" w:hAnsi="宋体" w:cs="宋体"/>
                <w:bCs/>
                <w:sz w:val="21"/>
                <w:szCs w:val="21"/>
                <w:highlight w:val="none"/>
                <w:lang w:val="en-US" w:eastAsia="zh-CN"/>
              </w:rPr>
              <w:t>0</w:t>
            </w:r>
            <w:r>
              <w:rPr>
                <w:rFonts w:hint="eastAsia" w:ascii="宋体" w:hAnsi="宋体" w:cs="宋体"/>
                <w:bCs/>
                <w:sz w:val="21"/>
                <w:szCs w:val="21"/>
                <w:highlight w:val="none"/>
              </w:rPr>
              <w:t>分）</w:t>
            </w:r>
          </w:p>
        </w:tc>
        <w:tc>
          <w:tcPr>
            <w:tcW w:w="5876" w:type="dxa"/>
            <w:tcBorders>
              <w:top w:val="single" w:color="auto" w:sz="4" w:space="0"/>
              <w:left w:val="single" w:color="auto" w:sz="4" w:space="0"/>
              <w:bottom w:val="single" w:color="auto" w:sz="4" w:space="0"/>
              <w:right w:val="single" w:color="auto" w:sz="4" w:space="0"/>
            </w:tcBorders>
            <w:vAlign w:val="center"/>
          </w:tcPr>
          <w:p w14:paraId="73C209B2">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（1）人员管理方案分（</w:t>
            </w:r>
            <w:r>
              <w:rPr>
                <w:rFonts w:hint="eastAsia" w:hAnsi="宋体" w:cs="宋体"/>
                <w:bCs/>
                <w:kern w:val="2"/>
                <w:sz w:val="21"/>
                <w:szCs w:val="21"/>
                <w:highlight w:val="none"/>
                <w:lang w:val="en-US" w:eastAsia="zh-CN"/>
              </w:rPr>
              <w:t>满分8</w:t>
            </w:r>
            <w:r>
              <w:rPr>
                <w:rFonts w:hint="eastAsia" w:hAnsi="宋体" w:cs="宋体"/>
                <w:bCs/>
                <w:kern w:val="2"/>
                <w:sz w:val="21"/>
                <w:szCs w:val="21"/>
                <w:highlight w:val="none"/>
              </w:rPr>
              <w:t>分）</w:t>
            </w:r>
          </w:p>
          <w:p w14:paraId="50F90785">
            <w:pPr>
              <w:keepNext w:val="0"/>
              <w:keepLines w:val="0"/>
              <w:widowControl/>
              <w:suppressLineNumbers w:val="0"/>
              <w:spacing w:line="360" w:lineRule="auto"/>
              <w:jc w:val="left"/>
              <w:rPr>
                <w:szCs w:val="21"/>
                <w:highlight w:val="none"/>
              </w:rPr>
            </w:pPr>
            <w:r>
              <w:rPr>
                <w:rFonts w:ascii="宋体" w:hAnsi="宋体" w:eastAsia="宋体" w:cs="宋体"/>
                <w:kern w:val="0"/>
                <w:sz w:val="21"/>
                <w:szCs w:val="21"/>
                <w:highlight w:val="none"/>
                <w:lang w:val="en-US" w:eastAsia="zh-CN" w:bidi="ar"/>
              </w:rPr>
              <w:t>一档（</w:t>
            </w:r>
            <w:r>
              <w:rPr>
                <w:rFonts w:hint="eastAsia" w:ascii="宋体" w:hAnsi="宋体" w:eastAsia="宋体" w:cs="宋体"/>
                <w:kern w:val="0"/>
                <w:sz w:val="21"/>
                <w:szCs w:val="21"/>
                <w:highlight w:val="none"/>
                <w:lang w:val="en-US" w:eastAsia="zh-CN" w:bidi="ar"/>
              </w:rPr>
              <w:t>2.5</w:t>
            </w:r>
            <w:r>
              <w:rPr>
                <w:rFonts w:ascii="宋体" w:hAnsi="宋体" w:eastAsia="宋体" w:cs="宋体"/>
                <w:kern w:val="0"/>
                <w:sz w:val="21"/>
                <w:szCs w:val="21"/>
                <w:highlight w:val="none"/>
                <w:lang w:val="en-US" w:eastAsia="zh-CN" w:bidi="ar"/>
              </w:rPr>
              <w:t>分）：拟投入的人员管理方案中，对员工的考核制度、奖惩制度、员工培训方案三项内容仅基本满足本项目采购需求，无重大缺失但细节不完善。</w:t>
            </w:r>
          </w:p>
          <w:p w14:paraId="3972D5B2">
            <w:pPr>
              <w:widowControl/>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二档（</w:t>
            </w:r>
            <w:r>
              <w:rPr>
                <w:rFonts w:hint="eastAsia" w:ascii="宋体" w:hAnsi="宋体" w:eastAsia="宋体" w:cs="宋体"/>
                <w:kern w:val="0"/>
                <w:sz w:val="21"/>
                <w:szCs w:val="21"/>
                <w:highlight w:val="none"/>
                <w:lang w:val="en-US" w:eastAsia="zh-CN" w:bidi="ar"/>
              </w:rPr>
              <w:t>5</w:t>
            </w:r>
            <w:r>
              <w:rPr>
                <w:rFonts w:ascii="宋体" w:hAnsi="宋体" w:eastAsia="宋体" w:cs="宋体"/>
                <w:kern w:val="0"/>
                <w:sz w:val="21"/>
                <w:szCs w:val="21"/>
                <w:highlight w:val="none"/>
                <w:lang w:val="en-US" w:eastAsia="zh-CN" w:bidi="ar"/>
              </w:rPr>
              <w:t>分）：拟投入的人员管理方案中，对员工的考核制度明确、奖惩制度清晰，员工培训方案基本可行，三项内容均满足本项目采购需求，可保障员工管理有序开展。</w:t>
            </w:r>
          </w:p>
          <w:p w14:paraId="39A6DE8C">
            <w:pPr>
              <w:widowControl/>
              <w:spacing w:line="360" w:lineRule="auto"/>
              <w:jc w:val="left"/>
              <w:rPr>
                <w:rFonts w:hAnsi="宋体" w:cs="宋体"/>
                <w:bCs/>
                <w:kern w:val="2"/>
                <w:sz w:val="21"/>
                <w:szCs w:val="21"/>
                <w:highlight w:val="none"/>
              </w:rPr>
            </w:pPr>
            <w:r>
              <w:rPr>
                <w:rFonts w:ascii="宋体" w:hAnsi="宋体" w:eastAsia="宋体" w:cs="宋体"/>
                <w:kern w:val="0"/>
                <w:sz w:val="21"/>
                <w:szCs w:val="21"/>
                <w:highlight w:val="none"/>
                <w:lang w:val="en-US" w:eastAsia="zh-CN" w:bidi="ar"/>
              </w:rPr>
              <w:t>三档（</w:t>
            </w:r>
            <w:r>
              <w:rPr>
                <w:rFonts w:hint="eastAsia" w:ascii="宋体" w:hAnsi="宋体" w:eastAsia="宋体" w:cs="宋体"/>
                <w:kern w:val="0"/>
                <w:sz w:val="21"/>
                <w:szCs w:val="21"/>
                <w:highlight w:val="none"/>
                <w:lang w:val="en-US" w:eastAsia="zh-CN" w:bidi="ar"/>
              </w:rPr>
              <w:t>8</w:t>
            </w:r>
            <w:r>
              <w:rPr>
                <w:rFonts w:ascii="宋体" w:hAnsi="宋体" w:eastAsia="宋体" w:cs="宋体"/>
                <w:kern w:val="0"/>
                <w:sz w:val="21"/>
                <w:szCs w:val="21"/>
                <w:highlight w:val="none"/>
                <w:lang w:val="en-US" w:eastAsia="zh-CN" w:bidi="ar"/>
              </w:rPr>
              <w:t>分）：拟投入的人员管理方案中，对员工的考核制度科学合理、考核标准明确，奖惩制度公正规范、可操作性强，员工培训方案贴合项目需求、针对性强且可落地，三项内容均具有合理性、可行性和针对性，能充分保障员工队伍稳定及服务质量。</w:t>
            </w:r>
          </w:p>
          <w:p w14:paraId="0E265532">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（2）人员配备方案分（</w:t>
            </w:r>
            <w:r>
              <w:rPr>
                <w:rFonts w:hint="eastAsia" w:hAnsi="宋体" w:cs="宋体"/>
                <w:bCs/>
                <w:kern w:val="2"/>
                <w:sz w:val="21"/>
                <w:szCs w:val="21"/>
                <w:highlight w:val="none"/>
                <w:lang w:val="en-US" w:eastAsia="zh-CN"/>
              </w:rPr>
              <w:t>满分2</w:t>
            </w:r>
            <w:r>
              <w:rPr>
                <w:rFonts w:hint="eastAsia" w:hAnsi="宋体" w:cs="宋体"/>
                <w:bCs/>
                <w:kern w:val="2"/>
                <w:sz w:val="21"/>
                <w:szCs w:val="21"/>
                <w:highlight w:val="none"/>
              </w:rPr>
              <w:t>分）</w:t>
            </w:r>
          </w:p>
          <w:p w14:paraId="50BDB54A">
            <w:pPr>
              <w:pStyle w:val="17"/>
              <w:spacing w:line="360" w:lineRule="auto"/>
              <w:rPr>
                <w:rFonts w:hAnsi="宋体" w:cs="宋体"/>
                <w:bCs/>
                <w:kern w:val="2"/>
                <w:sz w:val="21"/>
                <w:szCs w:val="21"/>
                <w:highlight w:val="none"/>
              </w:rPr>
            </w:pPr>
            <w:r>
              <w:rPr>
                <w:rFonts w:hint="eastAsia" w:hAnsi="宋体" w:cs="宋体"/>
                <w:bCs/>
                <w:kern w:val="2"/>
                <w:sz w:val="21"/>
                <w:szCs w:val="21"/>
                <w:highlight w:val="none"/>
              </w:rPr>
              <w:t xml:space="preserve"> </w:t>
            </w:r>
            <w:r>
              <w:rPr>
                <w:rFonts w:hint="eastAsia" w:hAnsi="宋体" w:cs="宋体"/>
                <w:bCs/>
                <w:kern w:val="2"/>
                <w:sz w:val="21"/>
                <w:szCs w:val="21"/>
                <w:highlight w:val="none"/>
                <w:lang w:val="en-US" w:eastAsia="zh-CN"/>
              </w:rPr>
              <w:t>供应商</w:t>
            </w:r>
            <w:r>
              <w:rPr>
                <w:rFonts w:hint="eastAsia" w:hAnsi="宋体" w:cs="宋体"/>
                <w:bCs/>
                <w:kern w:val="2"/>
                <w:sz w:val="21"/>
                <w:szCs w:val="21"/>
                <w:highlight w:val="none"/>
              </w:rPr>
              <w:t>拟投入本项目的洗涤人员具有洗衣师技能证书的（</w:t>
            </w:r>
            <w:r>
              <w:rPr>
                <w:rFonts w:hint="eastAsia" w:hAnsi="宋体" w:cs="宋体"/>
                <w:bCs/>
                <w:kern w:val="2"/>
                <w:sz w:val="21"/>
                <w:szCs w:val="21"/>
                <w:highlight w:val="none"/>
                <w:lang w:val="en-US" w:eastAsia="zh-CN"/>
              </w:rPr>
              <w:t>供应商</w:t>
            </w:r>
            <w:r>
              <w:rPr>
                <w:rFonts w:hint="eastAsia" w:hAnsi="宋体" w:cs="宋体"/>
                <w:bCs/>
                <w:kern w:val="2"/>
                <w:sz w:val="21"/>
                <w:szCs w:val="21"/>
                <w:highlight w:val="none"/>
              </w:rPr>
              <w:t>于</w:t>
            </w:r>
            <w:r>
              <w:rPr>
                <w:rFonts w:hint="eastAsia" w:hAnsi="宋体" w:cs="宋体"/>
                <w:bCs/>
                <w:kern w:val="2"/>
                <w:sz w:val="21"/>
                <w:szCs w:val="21"/>
                <w:highlight w:val="none"/>
                <w:lang w:val="en-US" w:eastAsia="zh-CN"/>
              </w:rPr>
              <w:t>响应</w:t>
            </w:r>
            <w:r>
              <w:rPr>
                <w:rFonts w:hint="eastAsia" w:hAnsi="宋体" w:cs="宋体"/>
                <w:bCs/>
                <w:kern w:val="2"/>
                <w:sz w:val="21"/>
                <w:szCs w:val="21"/>
                <w:highlight w:val="none"/>
              </w:rPr>
              <w:t>文件中提供以上人员相应有效的证书复印件及</w:t>
            </w:r>
            <w:r>
              <w:rPr>
                <w:rFonts w:hint="eastAsia" w:ascii="宋体" w:hAnsi="宋体" w:eastAsia="宋体" w:cs="宋体"/>
                <w:sz w:val="21"/>
                <w:szCs w:val="21"/>
                <w:highlight w:val="none"/>
              </w:rPr>
              <w:t>截至</w:t>
            </w:r>
            <w:r>
              <w:rPr>
                <w:rFonts w:hint="eastAsia" w:ascii="宋体" w:hAnsi="宋体" w:eastAsia="宋体" w:cs="宋体"/>
                <w:sz w:val="21"/>
                <w:szCs w:val="21"/>
                <w:highlight w:val="none"/>
                <w:u w:val="single"/>
              </w:rPr>
              <w:t>首次响应文件提交截止之日半年内</w:t>
            </w:r>
            <w:r>
              <w:rPr>
                <w:rFonts w:hint="eastAsia" w:ascii="宋体" w:hAnsi="宋体" w:eastAsia="宋体" w:cs="宋体"/>
                <w:sz w:val="21"/>
                <w:szCs w:val="21"/>
                <w:highlight w:val="none"/>
                <w:u w:val="single"/>
                <w:lang w:val="en-US" w:eastAsia="zh-CN"/>
              </w:rPr>
              <w:t>任意1</w:t>
            </w:r>
            <w:r>
              <w:rPr>
                <w:rFonts w:hint="eastAsia" w:ascii="宋体" w:hAnsi="宋体" w:eastAsia="宋体" w:cs="宋体"/>
                <w:sz w:val="21"/>
                <w:szCs w:val="21"/>
                <w:highlight w:val="none"/>
                <w:u w:val="single"/>
              </w:rPr>
              <w:t>个月</w:t>
            </w:r>
            <w:r>
              <w:rPr>
                <w:rFonts w:hint="eastAsia" w:hAnsi="宋体" w:eastAsia="宋体" w:cs="宋体"/>
                <w:bCs/>
                <w:kern w:val="2"/>
                <w:sz w:val="21"/>
                <w:szCs w:val="21"/>
                <w:highlight w:val="none"/>
                <w:lang w:val="en-US" w:eastAsia="zh-CN"/>
              </w:rPr>
              <w:t>供应商</w:t>
            </w:r>
            <w:r>
              <w:rPr>
                <w:rFonts w:hint="eastAsia" w:hAnsi="宋体" w:cs="宋体"/>
                <w:bCs/>
                <w:kern w:val="2"/>
                <w:sz w:val="21"/>
                <w:szCs w:val="21"/>
                <w:highlight w:val="none"/>
              </w:rPr>
              <w:t>为以上人员交纳的社保缴纳证明复印件，加盖</w:t>
            </w:r>
            <w:r>
              <w:rPr>
                <w:rFonts w:hint="eastAsia" w:hAnsi="宋体" w:cs="宋体"/>
                <w:bCs/>
                <w:kern w:val="2"/>
                <w:sz w:val="21"/>
                <w:szCs w:val="21"/>
                <w:highlight w:val="none"/>
                <w:lang w:val="en-US" w:eastAsia="zh-CN"/>
              </w:rPr>
              <w:t>供应商</w:t>
            </w:r>
            <w:r>
              <w:rPr>
                <w:rFonts w:hint="eastAsia" w:hAnsi="宋体" w:cs="宋体"/>
                <w:bCs/>
                <w:kern w:val="2"/>
                <w:sz w:val="21"/>
                <w:szCs w:val="21"/>
                <w:highlight w:val="none"/>
              </w:rPr>
              <w:t>电子签章），每提供1人得</w:t>
            </w:r>
            <w:r>
              <w:rPr>
                <w:rFonts w:hint="eastAsia" w:hAnsi="宋体" w:cs="宋体"/>
                <w:bCs/>
                <w:kern w:val="2"/>
                <w:sz w:val="21"/>
                <w:szCs w:val="21"/>
                <w:highlight w:val="none"/>
                <w:lang w:val="en-US" w:eastAsia="zh-CN"/>
              </w:rPr>
              <w:t>1</w:t>
            </w:r>
            <w:r>
              <w:rPr>
                <w:rFonts w:hint="eastAsia" w:hAnsi="宋体" w:cs="宋体"/>
                <w:bCs/>
                <w:kern w:val="2"/>
                <w:sz w:val="21"/>
                <w:szCs w:val="21"/>
                <w:highlight w:val="none"/>
              </w:rPr>
              <w:t>分，最多得</w:t>
            </w:r>
            <w:r>
              <w:rPr>
                <w:rFonts w:hint="eastAsia" w:hAnsi="宋体" w:cs="宋体"/>
                <w:bCs/>
                <w:kern w:val="2"/>
                <w:sz w:val="21"/>
                <w:szCs w:val="21"/>
                <w:highlight w:val="none"/>
                <w:lang w:val="en-US" w:eastAsia="zh-CN"/>
              </w:rPr>
              <w:t>2</w:t>
            </w:r>
            <w:r>
              <w:rPr>
                <w:rFonts w:hint="eastAsia" w:hAnsi="宋体" w:cs="宋体"/>
                <w:bCs/>
                <w:kern w:val="2"/>
                <w:sz w:val="21"/>
                <w:szCs w:val="21"/>
                <w:highlight w:val="none"/>
              </w:rPr>
              <w:t>分。</w:t>
            </w:r>
          </w:p>
        </w:tc>
      </w:tr>
      <w:tr w14:paraId="2FBB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4" w:space="0"/>
              <w:bottom w:val="single" w:color="auto" w:sz="4" w:space="0"/>
              <w:right w:val="single" w:color="auto" w:sz="4" w:space="0"/>
            </w:tcBorders>
            <w:vAlign w:val="center"/>
          </w:tcPr>
          <w:p w14:paraId="5151DC00">
            <w:pPr>
              <w:adjustRightInd w:val="0"/>
              <w:spacing w:line="360" w:lineRule="auto"/>
              <w:jc w:val="center"/>
              <w:textAlignment w:val="baseline"/>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418" w:type="dxa"/>
            <w:tcBorders>
              <w:left w:val="single" w:color="auto" w:sz="4" w:space="0"/>
              <w:bottom w:val="single" w:color="auto" w:sz="4" w:space="0"/>
              <w:right w:val="single" w:color="auto" w:sz="4" w:space="0"/>
            </w:tcBorders>
            <w:vAlign w:val="center"/>
          </w:tcPr>
          <w:p w14:paraId="23AC393D">
            <w:pPr>
              <w:adjustRightInd w:val="0"/>
              <w:snapToGrid w:val="0"/>
              <w:spacing w:line="360" w:lineRule="atLeast"/>
              <w:ind w:left="-105" w:leftChars="-50" w:right="-105" w:rightChars="-50"/>
              <w:jc w:val="center"/>
              <w:textAlignment w:val="baseline"/>
              <w:rPr>
                <w:rFonts w:hint="eastAsia"/>
                <w:b/>
                <w:bCs w:val="0"/>
                <w:sz w:val="21"/>
                <w:szCs w:val="21"/>
                <w:highlight w:val="none"/>
              </w:rPr>
            </w:pPr>
            <w:r>
              <w:rPr>
                <w:rFonts w:hint="eastAsia"/>
                <w:b/>
                <w:bCs w:val="0"/>
                <w:sz w:val="21"/>
                <w:szCs w:val="21"/>
                <w:highlight w:val="none"/>
              </w:rPr>
              <w:t>服务方案分</w:t>
            </w:r>
          </w:p>
          <w:p w14:paraId="5D5BC8FE">
            <w:pPr>
              <w:adjustRightInd w:val="0"/>
              <w:snapToGrid w:val="0"/>
              <w:spacing w:line="360" w:lineRule="atLeast"/>
              <w:ind w:left="-105" w:leftChars="-50" w:right="-105" w:rightChars="-50"/>
              <w:jc w:val="center"/>
              <w:textAlignment w:val="baseline"/>
              <w:rPr>
                <w:rFonts w:hint="eastAsia"/>
                <w:b/>
                <w:bCs w:val="0"/>
                <w:sz w:val="21"/>
                <w:szCs w:val="21"/>
                <w:highlight w:val="none"/>
              </w:rPr>
            </w:pPr>
            <w:r>
              <w:rPr>
                <w:rFonts w:hint="eastAsia" w:ascii="宋体" w:hAnsi="宋体" w:cs="宋体"/>
                <w:b/>
                <w:bCs w:val="0"/>
                <w:sz w:val="21"/>
                <w:szCs w:val="21"/>
                <w:highlight w:val="none"/>
              </w:rPr>
              <w:t>（满分</w:t>
            </w:r>
            <w:r>
              <w:rPr>
                <w:rFonts w:hint="eastAsia" w:ascii="宋体" w:hAnsi="宋体" w:cs="宋体"/>
                <w:b/>
                <w:bCs w:val="0"/>
                <w:sz w:val="21"/>
                <w:szCs w:val="21"/>
                <w:highlight w:val="none"/>
                <w:lang w:val="en-US" w:eastAsia="zh-CN"/>
              </w:rPr>
              <w:t>10</w:t>
            </w:r>
            <w:r>
              <w:rPr>
                <w:rFonts w:hint="eastAsia" w:ascii="宋体" w:hAnsi="宋体" w:cs="宋体"/>
                <w:b/>
                <w:bCs w:val="0"/>
                <w:sz w:val="21"/>
                <w:szCs w:val="21"/>
                <w:highlight w:val="none"/>
              </w:rPr>
              <w:t>分）</w:t>
            </w:r>
          </w:p>
        </w:tc>
        <w:tc>
          <w:tcPr>
            <w:tcW w:w="7598" w:type="dxa"/>
            <w:gridSpan w:val="2"/>
            <w:tcBorders>
              <w:top w:val="single" w:color="auto" w:sz="4" w:space="0"/>
              <w:left w:val="single" w:color="auto" w:sz="4" w:space="0"/>
              <w:bottom w:val="single" w:color="auto" w:sz="4" w:space="0"/>
              <w:right w:val="single" w:color="auto" w:sz="4" w:space="0"/>
            </w:tcBorders>
            <w:vAlign w:val="center"/>
          </w:tcPr>
          <w:p w14:paraId="5E082008">
            <w:pPr>
              <w:keepNext w:val="0"/>
              <w:keepLines w:val="0"/>
              <w:widowControl/>
              <w:suppressLineNumbers w:val="0"/>
              <w:spacing w:line="360" w:lineRule="auto"/>
              <w:jc w:val="left"/>
              <w:rPr>
                <w:szCs w:val="21"/>
                <w:highlight w:val="none"/>
              </w:rPr>
            </w:pPr>
            <w:r>
              <w:rPr>
                <w:rFonts w:ascii="宋体" w:hAnsi="宋体" w:eastAsia="宋体" w:cs="宋体"/>
                <w:kern w:val="0"/>
                <w:sz w:val="21"/>
                <w:szCs w:val="21"/>
                <w:highlight w:val="none"/>
                <w:lang w:val="en-US" w:eastAsia="zh-CN" w:bidi="ar"/>
              </w:rPr>
              <w:t>一档（</w:t>
            </w:r>
            <w:r>
              <w:rPr>
                <w:rFonts w:hint="eastAsia" w:ascii="宋体" w:hAnsi="宋体" w:eastAsia="宋体" w:cs="宋体"/>
                <w:kern w:val="0"/>
                <w:sz w:val="21"/>
                <w:szCs w:val="21"/>
                <w:highlight w:val="none"/>
                <w:lang w:val="en-US" w:eastAsia="zh-CN" w:bidi="ar"/>
              </w:rPr>
              <w:t>3</w:t>
            </w:r>
            <w:r>
              <w:rPr>
                <w:rFonts w:ascii="宋体" w:hAnsi="宋体" w:eastAsia="宋体" w:cs="宋体"/>
                <w:kern w:val="0"/>
                <w:sz w:val="21"/>
                <w:szCs w:val="21"/>
                <w:highlight w:val="none"/>
                <w:lang w:val="en-US" w:eastAsia="zh-CN" w:bidi="ar"/>
              </w:rPr>
              <w:t>分）：拟投入的服务方案中，服务态度、服务效率、服务质量承诺（包括投诉处理及回访率、对服务满意率、应急响应时效等）、对责任事故的处理承诺、其他服务承诺三项内容仅基本满足本项目采购需求，无重大缺失但细节不完善。</w:t>
            </w:r>
          </w:p>
          <w:p w14:paraId="44B46B0C">
            <w:pPr>
              <w:keepNext w:val="0"/>
              <w:keepLines w:val="0"/>
              <w:widowControl/>
              <w:suppressLineNumbers w:val="0"/>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二档（</w:t>
            </w:r>
            <w:r>
              <w:rPr>
                <w:rFonts w:hint="eastAsia" w:ascii="宋体" w:hAnsi="宋体" w:eastAsia="宋体" w:cs="宋体"/>
                <w:kern w:val="0"/>
                <w:sz w:val="21"/>
                <w:szCs w:val="21"/>
                <w:highlight w:val="none"/>
                <w:lang w:val="en-US" w:eastAsia="zh-CN" w:bidi="ar"/>
              </w:rPr>
              <w:t>6</w:t>
            </w:r>
            <w:r>
              <w:rPr>
                <w:rFonts w:ascii="宋体" w:hAnsi="宋体" w:eastAsia="宋体" w:cs="宋体"/>
                <w:kern w:val="0"/>
                <w:sz w:val="21"/>
                <w:szCs w:val="21"/>
                <w:highlight w:val="none"/>
                <w:lang w:val="en-US" w:eastAsia="zh-CN" w:bidi="ar"/>
              </w:rPr>
              <w:t>分）：拟投入的服务方案中，服务态度、服务效率、服务质量承诺明确，对责任事故的处理承诺清晰，其他服务承诺基本具体，三项内容均满足本项目采购需求，可保障服务有序开展。</w:t>
            </w:r>
          </w:p>
          <w:p w14:paraId="505EC700">
            <w:pPr>
              <w:keepNext w:val="0"/>
              <w:keepLines w:val="0"/>
              <w:widowControl/>
              <w:suppressLineNumbers w:val="0"/>
              <w:spacing w:line="360" w:lineRule="auto"/>
              <w:jc w:val="left"/>
              <w:rPr>
                <w:rFonts w:ascii="宋体" w:hAnsi="宋体" w:eastAsia="宋体" w:cs="宋体"/>
                <w:kern w:val="0"/>
                <w:sz w:val="21"/>
                <w:szCs w:val="21"/>
                <w:highlight w:val="none"/>
                <w:lang w:val="en-US" w:eastAsia="zh-CN" w:bidi="ar"/>
              </w:rPr>
            </w:pPr>
            <w:r>
              <w:rPr>
                <w:rFonts w:ascii="宋体" w:hAnsi="宋体" w:eastAsia="宋体" w:cs="宋体"/>
                <w:kern w:val="0"/>
                <w:sz w:val="21"/>
                <w:szCs w:val="21"/>
                <w:highlight w:val="none"/>
                <w:lang w:val="en-US" w:eastAsia="zh-CN" w:bidi="ar"/>
              </w:rPr>
              <w:t>三档（1</w:t>
            </w:r>
            <w:r>
              <w:rPr>
                <w:rFonts w:hint="eastAsia" w:ascii="宋体" w:hAnsi="宋体" w:cs="宋体"/>
                <w:kern w:val="0"/>
                <w:sz w:val="21"/>
                <w:szCs w:val="21"/>
                <w:highlight w:val="none"/>
                <w:lang w:val="en-US" w:eastAsia="zh-CN" w:bidi="ar"/>
              </w:rPr>
              <w:t>0</w:t>
            </w:r>
            <w:r>
              <w:rPr>
                <w:rFonts w:ascii="宋体" w:hAnsi="宋体" w:eastAsia="宋体" w:cs="宋体"/>
                <w:kern w:val="0"/>
                <w:sz w:val="21"/>
                <w:szCs w:val="21"/>
                <w:highlight w:val="none"/>
                <w:lang w:val="en-US" w:eastAsia="zh-CN" w:bidi="ar"/>
              </w:rPr>
              <w:t>分）：拟投入的服务方案中，服务态度、服务效率、服务质量承诺具体详实（投诉处理、回访率、服务满意率、应急响应时效等明确可量化），对责任事故的处理承诺公正规范、可操作性强，其他服务承诺贴合项目需求、针对性强且可落地，三项内容均具有合理性、可行性和针对性，能充分保障服务品质达标。</w:t>
            </w:r>
          </w:p>
          <w:p w14:paraId="0D751047">
            <w:pPr>
              <w:widowControl/>
              <w:jc w:val="left"/>
              <w:rPr>
                <w:rFonts w:hint="eastAsia" w:hAnsi="宋体" w:cs="宋体"/>
                <w:bCs/>
                <w:kern w:val="2"/>
                <w:sz w:val="21"/>
                <w:szCs w:val="21"/>
                <w:highlight w:val="none"/>
              </w:rPr>
            </w:pPr>
          </w:p>
        </w:tc>
      </w:tr>
      <w:tr w14:paraId="5886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04" w:type="dxa"/>
            <w:tcBorders>
              <w:top w:val="single" w:color="auto" w:sz="4" w:space="0"/>
              <w:left w:val="single" w:color="auto" w:sz="4" w:space="0"/>
              <w:right w:val="single" w:color="auto" w:sz="4" w:space="0"/>
            </w:tcBorders>
            <w:vAlign w:val="center"/>
          </w:tcPr>
          <w:p w14:paraId="339A81D5">
            <w:pPr>
              <w:adjustRightInd w:val="0"/>
              <w:snapToGrid w:val="0"/>
              <w:spacing w:line="360" w:lineRule="auto"/>
              <w:jc w:val="center"/>
              <w:textAlignment w:val="baseline"/>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4</w:t>
            </w:r>
          </w:p>
        </w:tc>
        <w:tc>
          <w:tcPr>
            <w:tcW w:w="1418" w:type="dxa"/>
            <w:tcBorders>
              <w:top w:val="single" w:color="auto" w:sz="4" w:space="0"/>
              <w:left w:val="single" w:color="auto" w:sz="4" w:space="0"/>
              <w:right w:val="single" w:color="auto" w:sz="4" w:space="0"/>
            </w:tcBorders>
            <w:vAlign w:val="center"/>
          </w:tcPr>
          <w:p w14:paraId="5422454A">
            <w:pPr>
              <w:adjustRightInd w:val="0"/>
              <w:snapToGrid w:val="0"/>
              <w:spacing w:line="360" w:lineRule="auto"/>
              <w:jc w:val="center"/>
              <w:textAlignment w:val="baseline"/>
              <w:rPr>
                <w:rFonts w:ascii="宋体" w:hAnsi="宋体" w:cs="宋体"/>
                <w:bCs/>
                <w:sz w:val="24"/>
                <w:highlight w:val="none"/>
              </w:rPr>
            </w:pPr>
            <w:r>
              <w:rPr>
                <w:rFonts w:hint="eastAsia"/>
                <w:b/>
                <w:sz w:val="21"/>
                <w:szCs w:val="21"/>
                <w:highlight w:val="none"/>
              </w:rPr>
              <w:t>履约能力分</w:t>
            </w:r>
            <w:r>
              <w:rPr>
                <w:rFonts w:hint="eastAsia" w:ascii="宋体" w:hAnsi="宋体"/>
                <w:bCs/>
                <w:sz w:val="21"/>
                <w:szCs w:val="21"/>
                <w:highlight w:val="none"/>
              </w:rPr>
              <w:t>（</w:t>
            </w:r>
            <w:r>
              <w:rPr>
                <w:rFonts w:hint="eastAsia" w:ascii="宋体" w:hAnsi="宋体"/>
                <w:sz w:val="21"/>
                <w:szCs w:val="21"/>
                <w:highlight w:val="none"/>
              </w:rPr>
              <w:t>满分</w:t>
            </w:r>
            <w:r>
              <w:rPr>
                <w:rFonts w:hint="eastAsia" w:ascii="宋体" w:hAnsi="宋体"/>
                <w:sz w:val="21"/>
                <w:szCs w:val="21"/>
                <w:highlight w:val="none"/>
                <w:u w:val="none"/>
                <w:lang w:val="en-US" w:eastAsia="zh-CN"/>
              </w:rPr>
              <w:t>15</w:t>
            </w:r>
            <w:r>
              <w:rPr>
                <w:rFonts w:hint="eastAsia" w:ascii="宋体" w:hAnsi="宋体"/>
                <w:sz w:val="21"/>
                <w:szCs w:val="21"/>
                <w:highlight w:val="none"/>
              </w:rPr>
              <w:t>分</w:t>
            </w:r>
            <w:r>
              <w:rPr>
                <w:rFonts w:hint="eastAsia" w:ascii="宋体" w:hAnsi="宋体"/>
                <w:bCs/>
                <w:sz w:val="21"/>
                <w:szCs w:val="21"/>
                <w:highlight w:val="none"/>
              </w:rPr>
              <w:t>）</w:t>
            </w:r>
          </w:p>
        </w:tc>
        <w:tc>
          <w:tcPr>
            <w:tcW w:w="7598" w:type="dxa"/>
            <w:gridSpan w:val="2"/>
            <w:tcBorders>
              <w:top w:val="single" w:color="auto" w:sz="4" w:space="0"/>
              <w:left w:val="single" w:color="auto" w:sz="4" w:space="0"/>
              <w:bottom w:val="single" w:color="auto" w:sz="4" w:space="0"/>
              <w:right w:val="single" w:color="auto" w:sz="4" w:space="0"/>
            </w:tcBorders>
            <w:vAlign w:val="center"/>
          </w:tcPr>
          <w:p w14:paraId="7FA14925">
            <w:pPr>
              <w:spacing w:line="360" w:lineRule="auto"/>
              <w:jc w:val="both"/>
              <w:rPr>
                <w:rFonts w:ascii="宋体" w:hAnsi="宋体" w:cs="微软雅黑"/>
                <w:bCs/>
                <w:sz w:val="24"/>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年以来具有同类服务项目业绩 [</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文件中提供中标（成交）通知书或签订的合同复印件，并能清晰反映项目名称、内容、金额，否则将不予评审，同一个编号的项目有两个或两个以上的分标中标的只算一次]的，每提供1个业绩得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分，最多得1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r>
      <w:tr w14:paraId="2EB3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49CDCC61">
            <w:pPr>
              <w:snapToGrid w:val="0"/>
              <w:spacing w:line="360" w:lineRule="auto"/>
              <w:jc w:val="both"/>
              <w:rPr>
                <w:rFonts w:hint="default" w:ascii="宋体" w:hAnsi="宋体" w:eastAsia="宋体" w:cs="宋体"/>
                <w:bCs/>
                <w:sz w:val="24"/>
                <w:highlight w:val="none"/>
                <w:lang w:val="en-US" w:eastAsia="zh-CN"/>
              </w:rPr>
            </w:pPr>
            <w:r>
              <w:rPr>
                <w:rFonts w:hint="eastAsia" w:ascii="宋体" w:hAnsi="宋体" w:cs="宋体"/>
                <w:b/>
                <w:sz w:val="24"/>
                <w:highlight w:val="none"/>
              </w:rPr>
              <w:t>总得分=1+2+3</w:t>
            </w:r>
            <w:r>
              <w:rPr>
                <w:rFonts w:hint="eastAsia" w:ascii="宋体" w:hAnsi="宋体" w:cs="宋体"/>
                <w:b/>
                <w:sz w:val="24"/>
                <w:highlight w:val="none"/>
                <w:lang w:val="en-US" w:eastAsia="zh-CN"/>
              </w:rPr>
              <w:t>+4</w:t>
            </w:r>
          </w:p>
        </w:tc>
      </w:tr>
    </w:tbl>
    <w:p w14:paraId="329CCB94">
      <w:pPr>
        <w:spacing w:line="360" w:lineRule="auto"/>
        <w:ind w:firstLine="420" w:firstLineChars="200"/>
        <w:rPr>
          <w:rFonts w:ascii="宋体" w:hAnsi="宋体" w:cs="宋体"/>
          <w:snapToGrid w:val="0"/>
          <w:kern w:val="0"/>
          <w:sz w:val="21"/>
          <w:szCs w:val="21"/>
          <w:highlight w:val="none"/>
        </w:rPr>
      </w:pPr>
      <w:r>
        <w:rPr>
          <w:rFonts w:hint="eastAsia" w:ascii="宋体" w:hAnsi="宋体" w:cs="宋体"/>
          <w:bCs/>
          <w:sz w:val="21"/>
          <w:szCs w:val="21"/>
          <w:highlight w:val="none"/>
        </w:rPr>
        <w:t>由磋商小组根据综合评分情况，按照评审得分由高到低顺序推荐3名以上成交候选供应商，并编写评审报告。</w:t>
      </w:r>
      <w:r>
        <w:rPr>
          <w:rFonts w:hint="eastAsia" w:ascii="宋体" w:hAnsi="宋体" w:cs="宋体"/>
          <w:b/>
          <w:bCs/>
          <w:sz w:val="21"/>
          <w:szCs w:val="21"/>
          <w:highlight w:val="none"/>
        </w:rPr>
        <w:t>符合本章第</w:t>
      </w:r>
      <w:r>
        <w:rPr>
          <w:rFonts w:ascii="宋体" w:hAnsi="宋体" w:cs="宋体"/>
          <w:b/>
          <w:bCs/>
          <w:sz w:val="21"/>
          <w:szCs w:val="21"/>
          <w:highlight w:val="none"/>
        </w:rPr>
        <w:t>2.7、3.7、4.3条情形的，可以推荐2家成交候选供应商。</w:t>
      </w:r>
      <w:r>
        <w:rPr>
          <w:rFonts w:hint="eastAsia" w:ascii="宋体" w:hAnsi="宋体" w:cs="宋体"/>
          <w:bCs/>
          <w:sz w:val="21"/>
          <w:szCs w:val="21"/>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6608BCB4">
      <w:pPr>
        <w:spacing w:line="360" w:lineRule="auto"/>
        <w:ind w:firstLine="480" w:firstLineChars="200"/>
        <w:rPr>
          <w:rFonts w:ascii="宋体" w:hAnsi="宋体" w:cs="宋体"/>
          <w:sz w:val="24"/>
          <w:highlight w:val="none"/>
        </w:rPr>
      </w:pPr>
    </w:p>
    <w:p w14:paraId="36627A5A">
      <w:pPr>
        <w:spacing w:line="360" w:lineRule="auto"/>
        <w:ind w:firstLine="480" w:firstLineChars="200"/>
        <w:rPr>
          <w:rFonts w:ascii="宋体" w:hAnsi="宋体" w:cs="宋体"/>
          <w:sz w:val="24"/>
          <w:highlight w:val="none"/>
        </w:rPr>
      </w:pPr>
    </w:p>
    <w:p w14:paraId="5EA2ED72">
      <w:pPr>
        <w:pStyle w:val="2"/>
        <w:jc w:val="center"/>
        <w:rPr>
          <w:rFonts w:ascii="宋体" w:hAnsi="宋体" w:cs="宋体"/>
          <w:highlight w:val="none"/>
        </w:rPr>
      </w:pPr>
      <w:r>
        <w:rPr>
          <w:rFonts w:hint="eastAsia" w:ascii="宋体" w:hAnsi="宋体" w:cs="宋体"/>
          <w:highlight w:val="none"/>
        </w:rPr>
        <w:br w:type="page"/>
      </w:r>
      <w:bookmarkStart w:id="32" w:name="_Toc11741"/>
      <w:r>
        <w:rPr>
          <w:rFonts w:hint="eastAsia" w:ascii="宋体" w:hAnsi="宋体" w:cs="宋体"/>
          <w:highlight w:val="none"/>
        </w:rPr>
        <w:t>第五章 响应文件格式</w:t>
      </w:r>
      <w:bookmarkEnd w:id="32"/>
    </w:p>
    <w:p w14:paraId="7DC2F9AD">
      <w:pPr>
        <w:spacing w:line="240" w:lineRule="atLeast"/>
        <w:rPr>
          <w:rFonts w:ascii="宋体" w:hAnsi="宋体" w:cs="宋体"/>
          <w:b/>
          <w:sz w:val="32"/>
          <w:szCs w:val="32"/>
          <w:highlight w:val="none"/>
        </w:rPr>
      </w:pPr>
    </w:p>
    <w:p w14:paraId="771E3C8D">
      <w:pPr>
        <w:spacing w:line="240" w:lineRule="atLeast"/>
        <w:rPr>
          <w:rFonts w:ascii="宋体" w:hAnsi="宋体" w:cs="宋体"/>
          <w:bCs/>
          <w:sz w:val="32"/>
          <w:szCs w:val="32"/>
          <w:highlight w:val="none"/>
        </w:rPr>
      </w:pPr>
    </w:p>
    <w:p w14:paraId="348340B8">
      <w:pPr>
        <w:jc w:val="center"/>
        <w:rPr>
          <w:rFonts w:ascii="宋体" w:hAnsi="宋体" w:cs="宋体"/>
          <w:b/>
          <w:sz w:val="32"/>
          <w:szCs w:val="32"/>
          <w:highlight w:val="none"/>
        </w:rPr>
      </w:pPr>
      <w:bookmarkStart w:id="33" w:name="_Toc31723070"/>
      <w:bookmarkStart w:id="34" w:name="_Toc44229899"/>
      <w:bookmarkStart w:id="35" w:name="_Toc35611516"/>
      <w:bookmarkStart w:id="36" w:name="_Toc71365925"/>
      <w:bookmarkStart w:id="37" w:name="_Toc35611438"/>
      <w:bookmarkStart w:id="38" w:name="_Toc31728084"/>
      <w:r>
        <w:rPr>
          <w:rFonts w:hint="eastAsia" w:ascii="宋体" w:hAnsi="宋体" w:cs="宋体"/>
          <w:b/>
          <w:sz w:val="32"/>
          <w:szCs w:val="32"/>
          <w:highlight w:val="none"/>
        </w:rPr>
        <w:t>一、资格证明文件格式</w:t>
      </w:r>
      <w:bookmarkEnd w:id="33"/>
      <w:bookmarkEnd w:id="34"/>
      <w:bookmarkEnd w:id="35"/>
      <w:bookmarkEnd w:id="36"/>
      <w:bookmarkEnd w:id="37"/>
      <w:bookmarkEnd w:id="38"/>
    </w:p>
    <w:p w14:paraId="73DD6326">
      <w:pPr>
        <w:snapToGrid w:val="0"/>
        <w:spacing w:before="156" w:beforeLines="50" w:after="50" w:line="360" w:lineRule="auto"/>
        <w:jc w:val="center"/>
        <w:rPr>
          <w:rFonts w:ascii="宋体" w:hAnsi="宋体" w:cs="宋体"/>
          <w:b/>
          <w:sz w:val="24"/>
          <w:highlight w:val="none"/>
        </w:rPr>
      </w:pPr>
      <w:r>
        <w:rPr>
          <w:rFonts w:hint="eastAsia" w:ascii="宋体" w:hAnsi="宋体" w:cs="宋体"/>
          <w:b/>
          <w:sz w:val="32"/>
          <w:szCs w:val="32"/>
          <w:highlight w:val="none"/>
        </w:rPr>
        <w:t>1.资格证明文件封面格式：</w:t>
      </w:r>
    </w:p>
    <w:p w14:paraId="64878398">
      <w:pPr>
        <w:snapToGrid w:val="0"/>
        <w:spacing w:before="156" w:beforeLines="50" w:after="50"/>
        <w:rPr>
          <w:rFonts w:ascii="宋体" w:hAnsi="宋体" w:cs="宋体"/>
          <w:bCs/>
          <w:sz w:val="32"/>
          <w:szCs w:val="20"/>
          <w:highlight w:val="none"/>
        </w:rPr>
      </w:pPr>
      <w:r>
        <w:rPr>
          <w:rFonts w:hint="eastAsia" w:ascii="宋体" w:hAnsi="宋体" w:cs="宋体"/>
          <w:sz w:val="24"/>
          <w:highlight w:val="none"/>
        </w:rPr>
        <w:t xml:space="preserve">                                                    </w:t>
      </w:r>
    </w:p>
    <w:p w14:paraId="6C2B4AA3">
      <w:pPr>
        <w:snapToGrid w:val="0"/>
        <w:spacing w:before="156" w:beforeLines="50" w:after="50"/>
        <w:rPr>
          <w:rFonts w:ascii="宋体" w:hAnsi="宋体" w:cs="宋体"/>
          <w:sz w:val="24"/>
          <w:szCs w:val="20"/>
          <w:highlight w:val="none"/>
        </w:rPr>
      </w:pPr>
    </w:p>
    <w:p w14:paraId="37CD4BB4">
      <w:pPr>
        <w:snapToGrid w:val="0"/>
        <w:spacing w:before="156" w:beforeLines="50" w:after="50"/>
        <w:jc w:val="center"/>
        <w:rPr>
          <w:rFonts w:ascii="宋体" w:hAnsi="宋体" w:cs="宋体"/>
          <w:bCs/>
          <w:sz w:val="84"/>
          <w:szCs w:val="84"/>
          <w:highlight w:val="none"/>
        </w:rPr>
      </w:pPr>
      <w:r>
        <w:rPr>
          <w:rFonts w:hint="eastAsia" w:ascii="宋体" w:hAnsi="宋体" w:cs="宋体"/>
          <w:bCs/>
          <w:sz w:val="84"/>
          <w:szCs w:val="84"/>
          <w:highlight w:val="none"/>
        </w:rPr>
        <w:t>响应文件</w:t>
      </w:r>
    </w:p>
    <w:p w14:paraId="0EC74DF7">
      <w:pPr>
        <w:snapToGrid w:val="0"/>
        <w:spacing w:before="156" w:beforeLines="50" w:after="50"/>
        <w:jc w:val="center"/>
        <w:rPr>
          <w:rFonts w:ascii="宋体" w:hAnsi="宋体" w:cs="宋体"/>
          <w:bCs/>
          <w:sz w:val="44"/>
          <w:szCs w:val="44"/>
          <w:highlight w:val="none"/>
        </w:rPr>
      </w:pPr>
    </w:p>
    <w:p w14:paraId="5EE923CA">
      <w:pPr>
        <w:snapToGrid w:val="0"/>
        <w:spacing w:before="156" w:beforeLines="50" w:after="50"/>
        <w:jc w:val="center"/>
        <w:rPr>
          <w:rFonts w:ascii="宋体" w:hAnsi="宋体" w:cs="宋体"/>
          <w:bCs/>
          <w:sz w:val="40"/>
          <w:szCs w:val="40"/>
          <w:highlight w:val="none"/>
        </w:rPr>
      </w:pPr>
      <w:r>
        <w:rPr>
          <w:rFonts w:hint="eastAsia" w:ascii="宋体" w:hAnsi="宋体" w:cs="宋体"/>
          <w:bCs/>
          <w:sz w:val="40"/>
          <w:szCs w:val="40"/>
          <w:highlight w:val="none"/>
        </w:rPr>
        <w:t>资格证明文件</w:t>
      </w:r>
    </w:p>
    <w:p w14:paraId="690FE8C7">
      <w:pPr>
        <w:snapToGrid w:val="0"/>
        <w:spacing w:before="156" w:beforeLines="50" w:after="50"/>
        <w:rPr>
          <w:rFonts w:ascii="宋体" w:hAnsi="宋体" w:cs="宋体"/>
          <w:bCs/>
          <w:sz w:val="24"/>
          <w:szCs w:val="20"/>
          <w:highlight w:val="none"/>
        </w:rPr>
      </w:pPr>
    </w:p>
    <w:p w14:paraId="0F7F60D2">
      <w:pPr>
        <w:snapToGrid w:val="0"/>
        <w:spacing w:before="156" w:beforeLines="50" w:after="50"/>
        <w:rPr>
          <w:rFonts w:ascii="宋体" w:hAnsi="宋体" w:cs="宋体"/>
          <w:bCs/>
          <w:sz w:val="22"/>
          <w:szCs w:val="18"/>
          <w:highlight w:val="none"/>
        </w:rPr>
      </w:pPr>
    </w:p>
    <w:p w14:paraId="4AE6147C">
      <w:pPr>
        <w:snapToGrid w:val="0"/>
        <w:spacing w:before="156" w:beforeLines="50" w:after="50"/>
        <w:rPr>
          <w:rFonts w:ascii="宋体" w:hAnsi="宋体" w:cs="宋体"/>
          <w:bCs/>
          <w:sz w:val="22"/>
          <w:szCs w:val="18"/>
          <w:highlight w:val="none"/>
        </w:rPr>
      </w:pPr>
    </w:p>
    <w:p w14:paraId="6B13C7BA">
      <w:pPr>
        <w:snapToGrid w:val="0"/>
        <w:spacing w:before="156" w:beforeLines="50" w:after="50"/>
        <w:ind w:firstLine="2054" w:firstLineChars="856"/>
        <w:rPr>
          <w:rFonts w:ascii="宋体" w:hAnsi="宋体" w:cs="宋体"/>
          <w:bCs/>
          <w:sz w:val="24"/>
          <w:szCs w:val="24"/>
          <w:highlight w:val="none"/>
        </w:rPr>
      </w:pPr>
      <w:r>
        <w:rPr>
          <w:rFonts w:hint="eastAsia" w:ascii="宋体" w:hAnsi="宋体" w:cs="宋体"/>
          <w:bCs/>
          <w:sz w:val="24"/>
          <w:szCs w:val="24"/>
          <w:highlight w:val="none"/>
        </w:rPr>
        <w:t>项目名称：</w:t>
      </w:r>
    </w:p>
    <w:p w14:paraId="7D6C0576">
      <w:pPr>
        <w:snapToGrid w:val="0"/>
        <w:spacing w:before="156" w:beforeLines="50" w:after="50"/>
        <w:ind w:firstLine="2054" w:firstLineChars="856"/>
        <w:rPr>
          <w:rFonts w:hint="eastAsia" w:ascii="宋体" w:hAnsi="宋体" w:cs="宋体"/>
          <w:bCs/>
          <w:sz w:val="24"/>
          <w:szCs w:val="24"/>
          <w:highlight w:val="none"/>
        </w:rPr>
      </w:pPr>
    </w:p>
    <w:p w14:paraId="6569A3CF">
      <w:pPr>
        <w:snapToGrid w:val="0"/>
        <w:spacing w:before="156" w:beforeLines="50" w:after="50"/>
        <w:ind w:firstLine="2054" w:firstLineChars="856"/>
        <w:rPr>
          <w:rFonts w:ascii="宋体" w:hAnsi="宋体" w:cs="宋体"/>
          <w:bCs/>
          <w:sz w:val="24"/>
          <w:szCs w:val="24"/>
          <w:highlight w:val="none"/>
        </w:rPr>
      </w:pPr>
      <w:r>
        <w:rPr>
          <w:rFonts w:hint="eastAsia" w:ascii="宋体" w:hAnsi="宋体" w:cs="宋体"/>
          <w:bCs/>
          <w:sz w:val="24"/>
          <w:szCs w:val="24"/>
          <w:highlight w:val="none"/>
        </w:rPr>
        <w:t>项目编号：</w:t>
      </w:r>
    </w:p>
    <w:p w14:paraId="749F8019">
      <w:pPr>
        <w:snapToGrid w:val="0"/>
        <w:spacing w:before="156" w:beforeLines="50" w:after="50"/>
        <w:ind w:firstLine="2054" w:firstLineChars="856"/>
        <w:rPr>
          <w:rFonts w:hint="eastAsia" w:ascii="宋体" w:hAnsi="宋体" w:eastAsia="宋体" w:cs="宋体"/>
          <w:bCs/>
          <w:sz w:val="24"/>
          <w:szCs w:val="24"/>
          <w:highlight w:val="none"/>
        </w:rPr>
      </w:pPr>
    </w:p>
    <w:p w14:paraId="0B547B2E">
      <w:pPr>
        <w:snapToGrid w:val="0"/>
        <w:spacing w:before="156" w:beforeLines="50" w:after="50"/>
        <w:ind w:firstLine="2054" w:firstLineChars="856"/>
        <w:rPr>
          <w:rFonts w:hint="eastAsia" w:ascii="宋体" w:hAnsi="宋体" w:eastAsia="宋体" w:cs="宋体"/>
          <w:bCs/>
          <w:sz w:val="24"/>
          <w:szCs w:val="24"/>
          <w:highlight w:val="none"/>
        </w:rPr>
      </w:pPr>
      <w:r>
        <w:rPr>
          <w:rFonts w:hint="eastAsia" w:ascii="宋体" w:hAnsi="宋体" w:eastAsia="宋体" w:cs="宋体"/>
          <w:bCs/>
          <w:sz w:val="24"/>
          <w:szCs w:val="24"/>
          <w:highlight w:val="none"/>
        </w:rPr>
        <w:t>所竞分标（如有）：</w:t>
      </w:r>
    </w:p>
    <w:p w14:paraId="41CA11F6">
      <w:pPr>
        <w:snapToGrid w:val="0"/>
        <w:spacing w:before="156" w:beforeLines="50" w:after="50"/>
        <w:ind w:firstLine="2054" w:firstLineChars="856"/>
        <w:rPr>
          <w:rFonts w:hint="eastAsia" w:ascii="宋体" w:hAnsi="宋体" w:eastAsia="宋体" w:cs="宋体"/>
          <w:bCs/>
          <w:sz w:val="24"/>
          <w:szCs w:val="24"/>
          <w:highlight w:val="none"/>
        </w:rPr>
      </w:pPr>
    </w:p>
    <w:p w14:paraId="21BBCECA">
      <w:pPr>
        <w:snapToGrid w:val="0"/>
        <w:spacing w:before="156" w:beforeLines="50" w:after="50"/>
        <w:ind w:firstLine="2054" w:firstLineChars="856"/>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p w14:paraId="1F621E87">
      <w:pPr>
        <w:pStyle w:val="7"/>
        <w:snapToGrid w:val="0"/>
        <w:spacing w:before="50" w:after="50"/>
        <w:ind w:firstLine="630" w:firstLineChars="225"/>
        <w:rPr>
          <w:rFonts w:ascii="宋体" w:hAnsi="宋体" w:cs="宋体"/>
          <w:bCs/>
          <w:sz w:val="28"/>
          <w:szCs w:val="28"/>
          <w:highlight w:val="none"/>
        </w:rPr>
      </w:pPr>
    </w:p>
    <w:p w14:paraId="74DE64F4">
      <w:pPr>
        <w:pStyle w:val="7"/>
        <w:snapToGrid w:val="0"/>
        <w:spacing w:before="50" w:after="50"/>
        <w:ind w:firstLine="630" w:firstLineChars="225"/>
        <w:rPr>
          <w:rFonts w:ascii="宋体" w:hAnsi="宋体" w:cs="宋体"/>
          <w:bCs/>
          <w:sz w:val="28"/>
          <w:szCs w:val="28"/>
          <w:highlight w:val="none"/>
        </w:rPr>
      </w:pPr>
    </w:p>
    <w:p w14:paraId="26B4A643">
      <w:pPr>
        <w:snapToGrid w:val="0"/>
        <w:spacing w:before="156" w:beforeLines="50" w:after="50"/>
        <w:jc w:val="center"/>
        <w:rPr>
          <w:rFonts w:ascii="宋体" w:hAnsi="宋体" w:cs="宋体"/>
          <w:sz w:val="24"/>
          <w:szCs w:val="24"/>
          <w:highlight w:val="none"/>
        </w:rPr>
      </w:pPr>
      <w:r>
        <w:rPr>
          <w:rFonts w:hint="eastAsia" w:ascii="宋体" w:hAnsi="宋体" w:cs="宋体"/>
          <w:sz w:val="24"/>
          <w:szCs w:val="24"/>
          <w:highlight w:val="none"/>
        </w:rPr>
        <w:t>年    月    日</w:t>
      </w:r>
    </w:p>
    <w:p w14:paraId="6EE66891">
      <w:pPr>
        <w:snapToGrid w:val="0"/>
        <w:spacing w:before="156" w:beforeLines="50" w:after="50"/>
        <w:ind w:left="142"/>
        <w:jc w:val="left"/>
        <w:rPr>
          <w:rFonts w:ascii="宋体" w:hAnsi="宋体" w:cs="宋体"/>
          <w:b/>
          <w:bCs/>
          <w:sz w:val="21"/>
          <w:szCs w:val="21"/>
          <w:highlight w:val="none"/>
        </w:rPr>
      </w:pPr>
      <w:r>
        <w:rPr>
          <w:rFonts w:hint="eastAsia" w:ascii="宋体" w:hAnsi="宋体" w:cs="宋体"/>
          <w:sz w:val="22"/>
          <w:szCs w:val="22"/>
          <w:highlight w:val="none"/>
        </w:rPr>
        <w:br w:type="page"/>
      </w:r>
      <w:r>
        <w:rPr>
          <w:rFonts w:hint="eastAsia" w:ascii="宋体" w:hAnsi="宋体" w:cs="宋体"/>
          <w:b/>
          <w:bCs/>
          <w:sz w:val="21"/>
          <w:szCs w:val="21"/>
          <w:highlight w:val="none"/>
        </w:rPr>
        <w:t>2.资格证明文件目录</w:t>
      </w:r>
    </w:p>
    <w:p w14:paraId="1D86C158">
      <w:pPr>
        <w:snapToGrid w:val="0"/>
        <w:spacing w:before="156" w:beforeLines="50" w:after="50" w:line="360" w:lineRule="auto"/>
        <w:ind w:firstLine="645"/>
        <w:rPr>
          <w:rFonts w:ascii="宋体" w:hAnsi="宋体" w:cs="宋体"/>
          <w:sz w:val="21"/>
          <w:szCs w:val="21"/>
          <w:highlight w:val="none"/>
        </w:rPr>
      </w:pPr>
      <w:r>
        <w:rPr>
          <w:rFonts w:hint="eastAsia" w:ascii="宋体" w:hAnsi="宋体" w:cs="宋体"/>
          <w:sz w:val="21"/>
          <w:szCs w:val="21"/>
          <w:highlight w:val="none"/>
        </w:rPr>
        <w:t>根据磋商文件规定及供应商提供的材料自行编写目录（部分格式后附）。</w:t>
      </w:r>
    </w:p>
    <w:p w14:paraId="06319895">
      <w:pPr>
        <w:snapToGrid w:val="0"/>
        <w:spacing w:before="156" w:beforeLines="50" w:after="50"/>
        <w:rPr>
          <w:rFonts w:ascii="宋体" w:hAnsi="宋体" w:cs="宋体"/>
          <w:szCs w:val="21"/>
          <w:highlight w:val="none"/>
        </w:rPr>
      </w:pPr>
      <w:r>
        <w:rPr>
          <w:rFonts w:hint="eastAsia" w:ascii="宋体" w:hAnsi="宋体" w:cs="宋体"/>
          <w:sz w:val="22"/>
          <w:szCs w:val="18"/>
          <w:highlight w:val="none"/>
        </w:rPr>
        <w:t xml:space="preserve"> </w:t>
      </w:r>
    </w:p>
    <w:p w14:paraId="70947F1B">
      <w:pPr>
        <w:spacing w:line="300" w:lineRule="auto"/>
        <w:rPr>
          <w:rFonts w:ascii="宋体" w:hAnsi="宋体" w:cs="宋体"/>
          <w:szCs w:val="21"/>
          <w:highlight w:val="none"/>
        </w:rPr>
      </w:pPr>
    </w:p>
    <w:p w14:paraId="5C8A54DA">
      <w:pPr>
        <w:spacing w:line="300" w:lineRule="auto"/>
        <w:rPr>
          <w:rFonts w:ascii="宋体" w:hAnsi="宋体" w:cs="宋体"/>
          <w:szCs w:val="21"/>
          <w:highlight w:val="none"/>
        </w:rPr>
      </w:pPr>
    </w:p>
    <w:p w14:paraId="0AF67F47">
      <w:pPr>
        <w:spacing w:line="300" w:lineRule="auto"/>
        <w:rPr>
          <w:rFonts w:ascii="宋体" w:hAnsi="宋体" w:cs="宋体"/>
          <w:szCs w:val="21"/>
          <w:highlight w:val="none"/>
        </w:rPr>
      </w:pPr>
    </w:p>
    <w:p w14:paraId="1F7A2A77">
      <w:pPr>
        <w:spacing w:line="300" w:lineRule="auto"/>
        <w:rPr>
          <w:rFonts w:ascii="宋体" w:hAnsi="宋体" w:cs="宋体"/>
          <w:szCs w:val="21"/>
          <w:highlight w:val="none"/>
        </w:rPr>
      </w:pPr>
    </w:p>
    <w:p w14:paraId="5594AFC9">
      <w:pPr>
        <w:spacing w:line="300" w:lineRule="auto"/>
        <w:rPr>
          <w:rFonts w:ascii="宋体" w:hAnsi="宋体" w:cs="宋体"/>
          <w:szCs w:val="21"/>
          <w:highlight w:val="none"/>
        </w:rPr>
      </w:pPr>
    </w:p>
    <w:p w14:paraId="1069CA58">
      <w:pPr>
        <w:spacing w:line="300" w:lineRule="auto"/>
        <w:rPr>
          <w:rFonts w:ascii="宋体" w:hAnsi="宋体" w:cs="宋体"/>
          <w:szCs w:val="21"/>
          <w:highlight w:val="none"/>
        </w:rPr>
      </w:pPr>
    </w:p>
    <w:p w14:paraId="24FAF44B">
      <w:pPr>
        <w:jc w:val="center"/>
        <w:rPr>
          <w:rFonts w:ascii="宋体" w:hAnsi="宋体" w:cs="宋体"/>
          <w:b/>
          <w:sz w:val="32"/>
          <w:szCs w:val="32"/>
          <w:highlight w:val="none"/>
        </w:rPr>
      </w:pPr>
      <w:r>
        <w:rPr>
          <w:rFonts w:hint="eastAsia" w:ascii="宋体" w:hAnsi="宋体" w:cs="宋体"/>
          <w:szCs w:val="21"/>
          <w:highlight w:val="none"/>
        </w:rPr>
        <w:br w:type="page"/>
      </w:r>
    </w:p>
    <w:p w14:paraId="71945012">
      <w:pPr>
        <w:spacing w:line="360" w:lineRule="auto"/>
        <w:jc w:val="center"/>
        <w:rPr>
          <w:rFonts w:ascii="宋体" w:hAnsi="宋体" w:cs="宋体"/>
          <w:b/>
          <w:sz w:val="28"/>
          <w:szCs w:val="28"/>
          <w:highlight w:val="none"/>
        </w:rPr>
      </w:pPr>
      <w:r>
        <w:rPr>
          <w:rFonts w:hint="eastAsia" w:ascii="宋体" w:hAnsi="宋体" w:cs="宋体"/>
          <w:b/>
          <w:sz w:val="28"/>
          <w:szCs w:val="28"/>
          <w:highlight w:val="none"/>
        </w:rPr>
        <w:t>供应商直接控股、管理关系信息表</w:t>
      </w:r>
    </w:p>
    <w:p w14:paraId="1618EDF2">
      <w:pPr>
        <w:spacing w:line="360" w:lineRule="auto"/>
        <w:jc w:val="center"/>
        <w:rPr>
          <w:rFonts w:ascii="宋体" w:hAnsi="宋体" w:cs="宋体"/>
          <w:b/>
          <w:sz w:val="28"/>
          <w:szCs w:val="28"/>
          <w:highlight w:val="none"/>
        </w:rPr>
      </w:pPr>
      <w:r>
        <w:rPr>
          <w:rFonts w:hint="eastAsia" w:ascii="宋体" w:hAnsi="宋体" w:cs="宋体"/>
          <w:b/>
          <w:sz w:val="28"/>
          <w:szCs w:val="28"/>
          <w:highlight w:val="none"/>
        </w:rPr>
        <w:t>（一）供应商</w:t>
      </w:r>
      <w:r>
        <w:rPr>
          <w:rFonts w:hint="eastAsia" w:ascii="宋体" w:hAnsi="宋体" w:cs="宋体"/>
          <w:b/>
          <w:kern w:val="0"/>
          <w:sz w:val="28"/>
          <w:szCs w:val="28"/>
          <w:highlight w:val="none"/>
        </w:rPr>
        <w:t>直接控股股东信息表</w:t>
      </w:r>
    </w:p>
    <w:p w14:paraId="431B09E0">
      <w:pPr>
        <w:snapToGrid w:val="0"/>
        <w:spacing w:before="156" w:beforeLines="50" w:after="50"/>
        <w:jc w:val="center"/>
        <w:rPr>
          <w:rFonts w:ascii="宋体" w:hAnsi="宋体" w:cs="宋体"/>
          <w:b/>
          <w:sz w:val="24"/>
          <w:highlight w:val="none"/>
        </w:rPr>
      </w:pPr>
    </w:p>
    <w:p w14:paraId="04F5A21F">
      <w:pPr>
        <w:spacing w:line="360" w:lineRule="auto"/>
        <w:contextualSpacing/>
        <w:jc w:val="center"/>
        <w:rPr>
          <w:rFonts w:ascii="宋体" w:hAnsi="宋体" w:cs="宋体"/>
          <w:b/>
          <w:sz w:val="24"/>
          <w:highlight w:val="none"/>
        </w:rPr>
      </w:pPr>
    </w:p>
    <w:tbl>
      <w:tblPr>
        <w:tblStyle w:val="30"/>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43E8AAAD">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87FD18">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8ABFE7">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A3DCA2">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2CA02">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633CA4">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42CECF2A">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50472">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07A271">
            <w:pPr>
              <w:widowControl/>
              <w:spacing w:line="360" w:lineRule="auto"/>
              <w:contextualSpacing/>
              <w:jc w:val="center"/>
              <w:rPr>
                <w:rFonts w:hint="eastAsia" w:ascii="宋体" w:hAnsi="宋体" w:eastAsia="宋体" w:cs="宋体"/>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9B125F">
            <w:pPr>
              <w:widowControl/>
              <w:spacing w:line="360" w:lineRule="auto"/>
              <w:contextualSpacing/>
              <w:jc w:val="center"/>
              <w:rPr>
                <w:rFonts w:hint="eastAsia" w:ascii="宋体" w:hAnsi="宋体" w:eastAsia="宋体" w:cs="宋体"/>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F2615B">
            <w:pPr>
              <w:widowControl/>
              <w:spacing w:line="360" w:lineRule="auto"/>
              <w:contextualSpacing/>
              <w:jc w:val="center"/>
              <w:rPr>
                <w:rFonts w:hint="eastAsia" w:ascii="宋体" w:hAnsi="宋体" w:eastAsia="宋体" w:cs="宋体"/>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645B">
            <w:pPr>
              <w:widowControl/>
              <w:spacing w:line="360" w:lineRule="auto"/>
              <w:contextualSpacing/>
              <w:jc w:val="center"/>
              <w:rPr>
                <w:rFonts w:hint="eastAsia" w:ascii="宋体" w:hAnsi="宋体" w:eastAsia="宋体" w:cs="宋体"/>
                <w:kern w:val="0"/>
                <w:sz w:val="21"/>
                <w:szCs w:val="21"/>
                <w:highlight w:val="none"/>
              </w:rPr>
            </w:pPr>
          </w:p>
        </w:tc>
      </w:tr>
      <w:tr w14:paraId="7DBA93AE">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97EEF3">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47EC59">
            <w:pPr>
              <w:widowControl/>
              <w:spacing w:line="360" w:lineRule="auto"/>
              <w:contextualSpacing/>
              <w:jc w:val="center"/>
              <w:rPr>
                <w:rFonts w:hint="eastAsia" w:ascii="宋体" w:hAnsi="宋体" w:eastAsia="宋体" w:cs="宋体"/>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7AE99">
            <w:pPr>
              <w:widowControl/>
              <w:spacing w:line="360" w:lineRule="auto"/>
              <w:contextualSpacing/>
              <w:jc w:val="center"/>
              <w:rPr>
                <w:rFonts w:hint="eastAsia" w:ascii="宋体" w:hAnsi="宋体" w:eastAsia="宋体" w:cs="宋体"/>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097CD7">
            <w:pPr>
              <w:widowControl/>
              <w:spacing w:line="360" w:lineRule="auto"/>
              <w:contextualSpacing/>
              <w:jc w:val="center"/>
              <w:rPr>
                <w:rFonts w:hint="eastAsia" w:ascii="宋体" w:hAnsi="宋体" w:eastAsia="宋体" w:cs="宋体"/>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8FAB70">
            <w:pPr>
              <w:widowControl/>
              <w:spacing w:line="360" w:lineRule="auto"/>
              <w:contextualSpacing/>
              <w:jc w:val="center"/>
              <w:rPr>
                <w:rFonts w:hint="eastAsia" w:ascii="宋体" w:hAnsi="宋体" w:eastAsia="宋体" w:cs="宋体"/>
                <w:kern w:val="0"/>
                <w:sz w:val="21"/>
                <w:szCs w:val="21"/>
                <w:highlight w:val="none"/>
              </w:rPr>
            </w:pPr>
          </w:p>
        </w:tc>
      </w:tr>
      <w:tr w14:paraId="13CFC9D9">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716FD">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DCB8F4">
            <w:pPr>
              <w:widowControl/>
              <w:spacing w:line="360" w:lineRule="auto"/>
              <w:contextualSpacing/>
              <w:jc w:val="center"/>
              <w:rPr>
                <w:rFonts w:hint="eastAsia" w:ascii="宋体" w:hAnsi="宋体" w:eastAsia="宋体" w:cs="宋体"/>
                <w:kern w:val="0"/>
                <w:sz w:val="21"/>
                <w:szCs w:val="21"/>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9A2F9F">
            <w:pPr>
              <w:widowControl/>
              <w:spacing w:line="360" w:lineRule="auto"/>
              <w:contextualSpacing/>
              <w:jc w:val="center"/>
              <w:rPr>
                <w:rFonts w:hint="eastAsia" w:ascii="宋体" w:hAnsi="宋体" w:eastAsia="宋体" w:cs="宋体"/>
                <w:kern w:val="0"/>
                <w:sz w:val="21"/>
                <w:szCs w:val="21"/>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7976C">
            <w:pPr>
              <w:widowControl/>
              <w:spacing w:line="360" w:lineRule="auto"/>
              <w:contextualSpacing/>
              <w:jc w:val="center"/>
              <w:rPr>
                <w:rFonts w:hint="eastAsia" w:ascii="宋体" w:hAnsi="宋体" w:eastAsia="宋体" w:cs="宋体"/>
                <w:kern w:val="0"/>
                <w:sz w:val="21"/>
                <w:szCs w:val="21"/>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AB1CF8">
            <w:pPr>
              <w:widowControl/>
              <w:spacing w:line="360" w:lineRule="auto"/>
              <w:contextualSpacing/>
              <w:jc w:val="center"/>
              <w:rPr>
                <w:rFonts w:hint="eastAsia" w:ascii="宋体" w:hAnsi="宋体" w:eastAsia="宋体" w:cs="宋体"/>
                <w:kern w:val="0"/>
                <w:sz w:val="21"/>
                <w:szCs w:val="21"/>
                <w:highlight w:val="none"/>
              </w:rPr>
            </w:pPr>
          </w:p>
        </w:tc>
      </w:tr>
    </w:tbl>
    <w:p w14:paraId="5B3E8187">
      <w:pPr>
        <w:spacing w:line="360" w:lineRule="auto"/>
        <w:contextualSpacing/>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0A2BDDA2">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6229E90">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2.本表所指的控股关系仅限于直接控股关系，不包括间接的控股关系。公司实际控制人与公司之间的关系不属于本表所指的直接控股关系。</w:t>
      </w:r>
    </w:p>
    <w:p w14:paraId="3F835435">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3.供应商不存在直接控股股东的，则填“无”。</w:t>
      </w:r>
    </w:p>
    <w:p w14:paraId="102FB2B8">
      <w:pPr>
        <w:snapToGrid w:val="0"/>
        <w:spacing w:line="360" w:lineRule="auto"/>
        <w:jc w:val="left"/>
        <w:rPr>
          <w:rFonts w:hint="eastAsia" w:ascii="宋体" w:hAnsi="宋体" w:eastAsia="宋体" w:cs="宋体"/>
          <w:sz w:val="21"/>
          <w:szCs w:val="21"/>
          <w:highlight w:val="none"/>
        </w:rPr>
      </w:pPr>
    </w:p>
    <w:p w14:paraId="246E75C4">
      <w:pPr>
        <w:snapToGrid w:val="0"/>
        <w:spacing w:line="360" w:lineRule="auto"/>
        <w:jc w:val="left"/>
        <w:rPr>
          <w:rFonts w:hint="eastAsia" w:ascii="宋体" w:hAnsi="宋体" w:eastAsia="宋体" w:cs="宋体"/>
          <w:sz w:val="21"/>
          <w:szCs w:val="21"/>
          <w:highlight w:val="none"/>
        </w:rPr>
      </w:pPr>
    </w:p>
    <w:p w14:paraId="0F66808F">
      <w:pPr>
        <w:snapToGrid w:val="0"/>
        <w:spacing w:line="360" w:lineRule="auto"/>
        <w:jc w:val="left"/>
        <w:rPr>
          <w:rFonts w:hint="eastAsia" w:ascii="宋体" w:hAnsi="宋体" w:eastAsia="宋体" w:cs="宋体"/>
          <w:sz w:val="21"/>
          <w:szCs w:val="21"/>
          <w:highlight w:val="none"/>
        </w:rPr>
      </w:pPr>
    </w:p>
    <w:p w14:paraId="727ADE55">
      <w:pPr>
        <w:snapToGrid w:val="0"/>
        <w:spacing w:before="156" w:beforeLines="50" w:line="360" w:lineRule="auto"/>
        <w:ind w:right="480" w:firstLine="3045" w:firstLineChars="145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法定代表人或者委托代理人（</w:t>
      </w:r>
      <w:r>
        <w:rPr>
          <w:rFonts w:hint="eastAsia" w:ascii="宋体" w:hAnsi="宋体" w:eastAsia="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lang w:eastAsia="zh-CN"/>
        </w:rPr>
        <w:t>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425F2D6B">
      <w:pPr>
        <w:snapToGrid w:val="0"/>
        <w:spacing w:before="156" w:beforeLines="50" w:after="50" w:line="360" w:lineRule="auto"/>
        <w:ind w:right="480" w:firstLine="3045" w:firstLineChars="145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5B556601">
      <w:pPr>
        <w:snapToGrid w:val="0"/>
        <w:spacing w:before="156" w:beforeLines="50" w:after="50" w:line="360" w:lineRule="auto"/>
        <w:ind w:right="480" w:firstLine="3150" w:firstLineChars="1500"/>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61317BF6">
      <w:pPr>
        <w:snapToGrid w:val="0"/>
        <w:jc w:val="center"/>
        <w:rPr>
          <w:rFonts w:ascii="宋体" w:hAnsi="宋体" w:cs="宋体"/>
          <w:b/>
          <w:sz w:val="28"/>
          <w:szCs w:val="28"/>
          <w:highlight w:val="none"/>
        </w:rPr>
      </w:pPr>
      <w:r>
        <w:rPr>
          <w:rFonts w:hint="eastAsia" w:ascii="宋体" w:hAnsi="宋体" w:eastAsia="宋体" w:cs="宋体"/>
          <w:b/>
          <w:sz w:val="21"/>
          <w:szCs w:val="21"/>
          <w:highlight w:val="none"/>
        </w:rPr>
        <w:br w:type="page"/>
      </w:r>
    </w:p>
    <w:p w14:paraId="08C23A3F">
      <w:pPr>
        <w:jc w:val="center"/>
        <w:rPr>
          <w:rFonts w:ascii="宋体" w:hAnsi="宋体" w:cs="宋体"/>
          <w:b/>
          <w:sz w:val="28"/>
          <w:szCs w:val="28"/>
          <w:highlight w:val="none"/>
        </w:rPr>
      </w:pPr>
      <w:r>
        <w:rPr>
          <w:rFonts w:hint="eastAsia" w:ascii="宋体" w:hAnsi="宋体" w:cs="宋体"/>
          <w:b/>
          <w:sz w:val="28"/>
          <w:szCs w:val="28"/>
          <w:highlight w:val="none"/>
        </w:rPr>
        <w:t>（二）供应商直接管理关系信息表</w:t>
      </w:r>
    </w:p>
    <w:p w14:paraId="3199C97C">
      <w:pPr>
        <w:snapToGrid w:val="0"/>
        <w:spacing w:line="360" w:lineRule="auto"/>
        <w:jc w:val="center"/>
        <w:rPr>
          <w:rFonts w:ascii="宋体" w:hAnsi="宋体" w:cs="宋体"/>
          <w:b/>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95A6AF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FE5E5">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D13530">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4AA43E">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A34DC9">
            <w:pPr>
              <w:widowControl/>
              <w:spacing w:line="360" w:lineRule="auto"/>
              <w:contextualSpacing/>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222B6A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6FB294">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53F566">
            <w:pPr>
              <w:widowControl/>
              <w:spacing w:line="360" w:lineRule="auto"/>
              <w:contextualSpacing/>
              <w:jc w:val="center"/>
              <w:rPr>
                <w:rFonts w:hint="eastAsia" w:ascii="宋体" w:hAnsi="宋体" w:eastAsia="宋体" w:cs="宋体"/>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7CFBED">
            <w:pPr>
              <w:widowControl/>
              <w:spacing w:line="360" w:lineRule="auto"/>
              <w:contextualSpacing/>
              <w:jc w:val="center"/>
              <w:rPr>
                <w:rFonts w:hint="eastAsia" w:ascii="宋体" w:hAnsi="宋体" w:eastAsia="宋体" w:cs="宋体"/>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23D72">
            <w:pPr>
              <w:widowControl/>
              <w:spacing w:line="360" w:lineRule="auto"/>
              <w:contextualSpacing/>
              <w:jc w:val="center"/>
              <w:rPr>
                <w:rFonts w:hint="eastAsia" w:ascii="宋体" w:hAnsi="宋体" w:eastAsia="宋体" w:cs="宋体"/>
                <w:kern w:val="0"/>
                <w:sz w:val="21"/>
                <w:szCs w:val="21"/>
                <w:highlight w:val="none"/>
              </w:rPr>
            </w:pPr>
          </w:p>
        </w:tc>
      </w:tr>
      <w:tr w14:paraId="6FD06E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C91054">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25E4E">
            <w:pPr>
              <w:widowControl/>
              <w:spacing w:line="360" w:lineRule="auto"/>
              <w:contextualSpacing/>
              <w:jc w:val="center"/>
              <w:rPr>
                <w:rFonts w:hint="eastAsia" w:ascii="宋体" w:hAnsi="宋体" w:eastAsia="宋体" w:cs="宋体"/>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261448">
            <w:pPr>
              <w:widowControl/>
              <w:spacing w:line="360" w:lineRule="auto"/>
              <w:contextualSpacing/>
              <w:jc w:val="center"/>
              <w:rPr>
                <w:rFonts w:hint="eastAsia" w:ascii="宋体" w:hAnsi="宋体" w:eastAsia="宋体" w:cs="宋体"/>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ABDA9D">
            <w:pPr>
              <w:widowControl/>
              <w:spacing w:line="360" w:lineRule="auto"/>
              <w:contextualSpacing/>
              <w:jc w:val="center"/>
              <w:rPr>
                <w:rFonts w:hint="eastAsia" w:ascii="宋体" w:hAnsi="宋体" w:eastAsia="宋体" w:cs="宋体"/>
                <w:kern w:val="0"/>
                <w:sz w:val="21"/>
                <w:szCs w:val="21"/>
                <w:highlight w:val="none"/>
              </w:rPr>
            </w:pPr>
          </w:p>
        </w:tc>
      </w:tr>
      <w:tr w14:paraId="7DC52BE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C013">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7C8D7C">
            <w:pPr>
              <w:widowControl/>
              <w:spacing w:line="360" w:lineRule="auto"/>
              <w:contextualSpacing/>
              <w:jc w:val="center"/>
              <w:rPr>
                <w:rFonts w:hint="eastAsia" w:ascii="宋体" w:hAnsi="宋体" w:eastAsia="宋体" w:cs="宋体"/>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A0981C">
            <w:pPr>
              <w:widowControl/>
              <w:spacing w:line="360" w:lineRule="auto"/>
              <w:contextualSpacing/>
              <w:jc w:val="center"/>
              <w:rPr>
                <w:rFonts w:hint="eastAsia" w:ascii="宋体" w:hAnsi="宋体" w:eastAsia="宋体" w:cs="宋体"/>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F0249E">
            <w:pPr>
              <w:widowControl/>
              <w:spacing w:line="360" w:lineRule="auto"/>
              <w:contextualSpacing/>
              <w:jc w:val="center"/>
              <w:rPr>
                <w:rFonts w:hint="eastAsia" w:ascii="宋体" w:hAnsi="宋体" w:eastAsia="宋体" w:cs="宋体"/>
                <w:kern w:val="0"/>
                <w:sz w:val="21"/>
                <w:szCs w:val="21"/>
                <w:highlight w:val="none"/>
              </w:rPr>
            </w:pPr>
          </w:p>
        </w:tc>
      </w:tr>
      <w:tr w14:paraId="6B823B8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139563">
            <w:pPr>
              <w:widowControl/>
              <w:spacing w:line="360" w:lineRule="auto"/>
              <w:contextualSpacing/>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33A618">
            <w:pPr>
              <w:widowControl/>
              <w:spacing w:line="360" w:lineRule="auto"/>
              <w:contextualSpacing/>
              <w:jc w:val="center"/>
              <w:rPr>
                <w:rFonts w:hint="eastAsia" w:ascii="宋体" w:hAnsi="宋体" w:eastAsia="宋体" w:cs="宋体"/>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324D4A">
            <w:pPr>
              <w:widowControl/>
              <w:spacing w:line="360" w:lineRule="auto"/>
              <w:contextualSpacing/>
              <w:jc w:val="center"/>
              <w:rPr>
                <w:rFonts w:hint="eastAsia" w:ascii="宋体" w:hAnsi="宋体" w:eastAsia="宋体" w:cs="宋体"/>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AE95F3">
            <w:pPr>
              <w:widowControl/>
              <w:spacing w:line="360" w:lineRule="auto"/>
              <w:contextualSpacing/>
              <w:jc w:val="center"/>
              <w:rPr>
                <w:rFonts w:hint="eastAsia" w:ascii="宋体" w:hAnsi="宋体" w:eastAsia="宋体" w:cs="宋体"/>
                <w:kern w:val="0"/>
                <w:sz w:val="21"/>
                <w:szCs w:val="21"/>
                <w:highlight w:val="none"/>
              </w:rPr>
            </w:pPr>
          </w:p>
        </w:tc>
      </w:tr>
    </w:tbl>
    <w:p w14:paraId="3D723E71">
      <w:pPr>
        <w:spacing w:line="360" w:lineRule="auto"/>
        <w:contextualSpacing/>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5487D370">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1.管理关系：是指不具有出资持股关系的其他单位之间存在的管理与被管理关系，如一些上下级关系的事业单位和团体组织。</w:t>
      </w:r>
    </w:p>
    <w:p w14:paraId="390654E2">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pacing w:val="-6"/>
          <w:sz w:val="21"/>
          <w:szCs w:val="21"/>
          <w:highlight w:val="none"/>
        </w:rPr>
        <w:t>本表所指的管理关系仅限于直接管理关系，不包括间接的管理关系。</w:t>
      </w:r>
    </w:p>
    <w:p w14:paraId="3F13633B">
      <w:pPr>
        <w:spacing w:line="360" w:lineRule="auto"/>
        <w:ind w:firstLine="420" w:firstLineChars="200"/>
        <w:contextualSpacing/>
        <w:jc w:val="left"/>
        <w:rPr>
          <w:rFonts w:ascii="楷体" w:hAnsi="楷体" w:eastAsia="楷体" w:cs="宋体"/>
          <w:sz w:val="24"/>
          <w:highlight w:val="none"/>
        </w:rPr>
      </w:pPr>
      <w:r>
        <w:rPr>
          <w:rFonts w:hint="eastAsia" w:ascii="宋体" w:hAnsi="宋体" w:eastAsia="宋体" w:cs="宋体"/>
          <w:sz w:val="21"/>
          <w:szCs w:val="21"/>
          <w:highlight w:val="none"/>
        </w:rPr>
        <w:t>3.供应商不存在直接管理关系的，则填“无”。</w:t>
      </w:r>
    </w:p>
    <w:p w14:paraId="21894D5F">
      <w:pPr>
        <w:spacing w:line="360" w:lineRule="auto"/>
        <w:contextualSpacing/>
        <w:jc w:val="left"/>
        <w:rPr>
          <w:rFonts w:ascii="宋体" w:hAnsi="宋体" w:cs="宋体"/>
          <w:sz w:val="24"/>
          <w:highlight w:val="none"/>
        </w:rPr>
      </w:pPr>
    </w:p>
    <w:p w14:paraId="45D8FFDB">
      <w:pPr>
        <w:spacing w:line="360" w:lineRule="auto"/>
        <w:contextualSpacing/>
        <w:jc w:val="left"/>
        <w:rPr>
          <w:rFonts w:ascii="宋体" w:hAnsi="宋体" w:cs="宋体"/>
          <w:sz w:val="24"/>
          <w:highlight w:val="none"/>
        </w:rPr>
      </w:pPr>
    </w:p>
    <w:p w14:paraId="1F0E0512">
      <w:pPr>
        <w:spacing w:line="360" w:lineRule="auto"/>
        <w:contextualSpacing/>
        <w:jc w:val="left"/>
        <w:rPr>
          <w:rFonts w:ascii="宋体" w:hAnsi="宋体" w:cs="宋体"/>
          <w:sz w:val="24"/>
          <w:highlight w:val="none"/>
        </w:rPr>
      </w:pPr>
    </w:p>
    <w:p w14:paraId="401C48AD">
      <w:pPr>
        <w:spacing w:line="360" w:lineRule="auto"/>
        <w:contextualSpacing/>
        <w:jc w:val="left"/>
        <w:rPr>
          <w:rFonts w:ascii="宋体" w:hAnsi="宋体" w:cs="宋体"/>
          <w:sz w:val="21"/>
          <w:szCs w:val="21"/>
          <w:highlight w:val="none"/>
        </w:rPr>
      </w:pPr>
    </w:p>
    <w:p w14:paraId="26FE6A92">
      <w:pPr>
        <w:spacing w:line="360" w:lineRule="auto"/>
        <w:contextualSpacing/>
        <w:jc w:val="left"/>
        <w:rPr>
          <w:rFonts w:ascii="宋体" w:hAnsi="宋体" w:cs="宋体"/>
          <w:sz w:val="21"/>
          <w:szCs w:val="21"/>
          <w:highlight w:val="none"/>
        </w:rPr>
      </w:pPr>
    </w:p>
    <w:p w14:paraId="02F6AAA2">
      <w:pPr>
        <w:spacing w:line="360" w:lineRule="auto"/>
        <w:contextualSpacing/>
        <w:jc w:val="left"/>
        <w:rPr>
          <w:rFonts w:ascii="宋体" w:hAnsi="宋体" w:cs="宋体"/>
          <w:sz w:val="21"/>
          <w:szCs w:val="21"/>
          <w:highlight w:val="none"/>
        </w:rPr>
      </w:pPr>
    </w:p>
    <w:p w14:paraId="35FBFDFF">
      <w:pPr>
        <w:spacing w:line="360" w:lineRule="auto"/>
        <w:ind w:right="480" w:firstLine="2940" w:firstLineChars="1400"/>
        <w:contextualSpacing/>
        <w:rPr>
          <w:rFonts w:ascii="宋体" w:hAnsi="宋体" w:cs="宋体"/>
          <w:sz w:val="21"/>
          <w:szCs w:val="21"/>
          <w:highlight w:val="none"/>
          <w:u w:val="single"/>
        </w:rPr>
      </w:pPr>
      <w:r>
        <w:rPr>
          <w:rFonts w:hint="eastAsia" w:ascii="宋体" w:hAnsi="宋体" w:cs="宋体"/>
          <w:sz w:val="21"/>
          <w:szCs w:val="21"/>
          <w:highlight w:val="none"/>
        </w:rPr>
        <w:t>法定代表人或者委托代理人（</w:t>
      </w:r>
      <w:r>
        <w:rPr>
          <w:rFonts w:hint="eastAsia" w:ascii="宋体" w:hAnsi="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cs="宋体"/>
          <w:sz w:val="21"/>
          <w:szCs w:val="21"/>
          <w:highlight w:val="none"/>
          <w:lang w:eastAsia="zh-CN"/>
        </w:rPr>
        <w:t>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p>
    <w:p w14:paraId="32FB8316">
      <w:pPr>
        <w:spacing w:line="360" w:lineRule="auto"/>
        <w:ind w:right="480" w:firstLine="2940" w:firstLineChars="1400"/>
        <w:contextualSpacing/>
        <w:rPr>
          <w:rFonts w:ascii="宋体" w:hAnsi="宋体" w:cs="宋体"/>
          <w:sz w:val="21"/>
          <w:szCs w:val="21"/>
          <w:highlight w:val="none"/>
        </w:rPr>
      </w:pPr>
      <w:r>
        <w:rPr>
          <w:rFonts w:hint="eastAsia" w:ascii="宋体" w:hAnsi="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p>
    <w:p w14:paraId="2BCB00CE">
      <w:pPr>
        <w:spacing w:line="360" w:lineRule="auto"/>
        <w:ind w:right="480" w:firstLine="210" w:firstLineChars="100"/>
        <w:contextualSpacing/>
        <w:jc w:val="center"/>
        <w:rPr>
          <w:rFonts w:ascii="宋体" w:hAnsi="宋体" w:cs="宋体"/>
          <w:sz w:val="21"/>
          <w:szCs w:val="21"/>
          <w:highlight w:val="none"/>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hAnsi="宋体" w:cs="宋体"/>
          <w:sz w:val="21"/>
          <w:szCs w:val="21"/>
          <w:highlight w:val="none"/>
        </w:rPr>
        <w:t>日期：</w:t>
      </w:r>
      <w:r>
        <w:rPr>
          <w:rFonts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78BF9822">
      <w:pPr>
        <w:jc w:val="center"/>
        <w:rPr>
          <w:rFonts w:ascii="宋体" w:hAnsi="宋体" w:cs="宋体"/>
          <w:b/>
          <w:sz w:val="28"/>
          <w:szCs w:val="28"/>
          <w:highlight w:val="none"/>
        </w:rPr>
      </w:pPr>
      <w:r>
        <w:rPr>
          <w:rFonts w:hint="eastAsia" w:ascii="宋体" w:hAnsi="宋体" w:cs="宋体"/>
          <w:sz w:val="28"/>
          <w:szCs w:val="28"/>
          <w:highlight w:val="none"/>
        </w:rPr>
        <w:br w:type="page"/>
      </w:r>
      <w:r>
        <w:rPr>
          <w:rFonts w:hint="eastAsia" w:ascii="宋体" w:hAnsi="宋体" w:cs="宋体"/>
          <w:b/>
          <w:sz w:val="28"/>
          <w:szCs w:val="28"/>
          <w:highlight w:val="none"/>
        </w:rPr>
        <w:t>参与竞争性磋商声明</w:t>
      </w:r>
    </w:p>
    <w:p w14:paraId="07CD69F0">
      <w:pPr>
        <w:spacing w:line="320" w:lineRule="exact"/>
        <w:jc w:val="center"/>
        <w:rPr>
          <w:rFonts w:ascii="宋体" w:hAnsi="宋体" w:cs="宋体"/>
          <w:sz w:val="24"/>
          <w:szCs w:val="20"/>
          <w:highlight w:val="none"/>
        </w:rPr>
      </w:pPr>
    </w:p>
    <w:p w14:paraId="3D2653B5">
      <w:pPr>
        <w:spacing w:line="360" w:lineRule="auto"/>
        <w:contextualSpacing/>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（采购人名称）</w:t>
      </w:r>
      <w:r>
        <w:rPr>
          <w:rFonts w:hint="eastAsia" w:ascii="宋体" w:hAnsi="宋体" w:cs="宋体"/>
          <w:sz w:val="21"/>
          <w:szCs w:val="21"/>
          <w:highlight w:val="none"/>
        </w:rPr>
        <w:t>：</w:t>
      </w:r>
    </w:p>
    <w:p w14:paraId="2E57171C">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u w:val="single"/>
        </w:rPr>
        <w:t>（供应商名称）</w:t>
      </w:r>
      <w:r>
        <w:rPr>
          <w:rFonts w:hint="eastAsia" w:ascii="宋体" w:hAnsi="宋体" w:cs="宋体"/>
          <w:sz w:val="21"/>
          <w:szCs w:val="21"/>
          <w:highlight w:val="none"/>
        </w:rPr>
        <w:t>系中华人民共和国合法供应商，经营地址</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00D6FA27">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我方愿意参加贵方组织的</w:t>
      </w:r>
      <w:r>
        <w:rPr>
          <w:rFonts w:hint="eastAsia" w:ascii="宋体" w:hAnsi="宋体" w:cs="宋体"/>
          <w:sz w:val="21"/>
          <w:szCs w:val="21"/>
          <w:highlight w:val="none"/>
          <w:u w:val="single"/>
        </w:rPr>
        <w:t>（项目名称）</w:t>
      </w:r>
      <w:r>
        <w:rPr>
          <w:rFonts w:hint="eastAsia" w:ascii="宋体" w:hAnsi="宋体" w:cs="宋体"/>
          <w:sz w:val="21"/>
          <w:szCs w:val="21"/>
          <w:highlight w:val="none"/>
        </w:rPr>
        <w:t>项目的竞争性磋商，为便于贵方公正、择优地确定成交供应商及其参与竞争性磋商提供的产品和服务，我方就本次参与竞争性磋商有关事项郑重声明如下：</w:t>
      </w:r>
    </w:p>
    <w:p w14:paraId="60ADA09D">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1.我方向贵方提交的所有响应文件、资料都是准确的和真实的。</w:t>
      </w:r>
    </w:p>
    <w:p w14:paraId="3638E161">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2.我方不是为本次采购项目提供整体设计、规范编制或者项目管理、监理、检测等服务的供应商。</w:t>
      </w:r>
    </w:p>
    <w:p w14:paraId="7B561B0E">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3.在此，我方宣布同意如下：</w:t>
      </w:r>
    </w:p>
    <w:p w14:paraId="6137D5D2">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（1）将按磋商文件的约定履行合同责任和义务；</w:t>
      </w:r>
    </w:p>
    <w:p w14:paraId="67B510AA">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（2）已详细审查全部磋商文件，包括澄清或者更正公告（如有）；</w:t>
      </w:r>
    </w:p>
    <w:p w14:paraId="2CCD32B3">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（3）同意提供按照贵方可能要求的与磋商有关的一切数据或者资料；</w:t>
      </w:r>
    </w:p>
    <w:p w14:paraId="018E7562">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（4）响应磋商文件规定的竞争性磋商有效期。</w:t>
      </w:r>
    </w:p>
    <w:p w14:paraId="55192901">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4.我方承诺符合《中华人民共和国政府采购法》第二十二条规定：</w:t>
      </w:r>
    </w:p>
    <w:p w14:paraId="745095F0">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（1）具有独立承担民事责任的能力；</w:t>
      </w:r>
    </w:p>
    <w:p w14:paraId="68140E2E">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（2）具有良好的商业信誉和健全的财务会计制度；</w:t>
      </w:r>
    </w:p>
    <w:p w14:paraId="6185A48C">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（3）具有履行合同所必需的设备和专业技术能力；</w:t>
      </w:r>
    </w:p>
    <w:p w14:paraId="1F82E4B4">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（4）有依法缴纳税收和社会保障资金的良好记录；</w:t>
      </w:r>
    </w:p>
    <w:p w14:paraId="274C12AF">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（5）参加政府采购活动前三年内，在经营活动中没有重大违法记录；</w:t>
      </w:r>
    </w:p>
    <w:p w14:paraId="56AFAE3C">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（6）法律、行政法规规定的其他条件。</w:t>
      </w:r>
    </w:p>
    <w:p w14:paraId="3A96F7B6">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FB3A79">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6134EB8">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□我方本次响应文件</w:t>
      </w:r>
      <w:r>
        <w:rPr>
          <w:rFonts w:hint="eastAsia" w:ascii="宋体" w:hAnsi="宋体" w:cs="宋体"/>
          <w:kern w:val="0"/>
          <w:sz w:val="21"/>
          <w:szCs w:val="21"/>
          <w:highlight w:val="none"/>
        </w:rPr>
        <w:t>内容中</w:t>
      </w:r>
      <w:r>
        <w:rPr>
          <w:rFonts w:hint="eastAsia" w:ascii="宋体" w:hAnsi="宋体" w:cs="宋体"/>
          <w:sz w:val="21"/>
          <w:szCs w:val="21"/>
          <w:highlight w:val="none"/>
        </w:rPr>
        <w:t>未</w:t>
      </w:r>
      <w:r>
        <w:rPr>
          <w:rFonts w:hint="eastAsia" w:ascii="宋体" w:hAnsi="宋体" w:cs="宋体"/>
          <w:kern w:val="0"/>
          <w:sz w:val="21"/>
          <w:szCs w:val="21"/>
          <w:highlight w:val="none"/>
        </w:rPr>
        <w:t>涉及商业秘密；</w:t>
      </w:r>
    </w:p>
    <w:p w14:paraId="629E8A56">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□我方本次响应文件</w:t>
      </w:r>
      <w:r>
        <w:rPr>
          <w:rFonts w:hint="eastAsia" w:ascii="宋体" w:hAnsi="宋体" w:cs="宋体"/>
          <w:kern w:val="0"/>
          <w:sz w:val="21"/>
          <w:szCs w:val="21"/>
          <w:highlight w:val="none"/>
        </w:rPr>
        <w:t>涉及商业秘密的内容有：</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0C9A2518">
      <w:pPr>
        <w:pStyle w:val="17"/>
        <w:spacing w:line="360" w:lineRule="auto"/>
        <w:ind w:firstLine="420" w:firstLineChars="200"/>
        <w:contextualSpacing/>
        <w:rPr>
          <w:rFonts w:hAnsi="宋体" w:cs="宋体"/>
          <w:sz w:val="21"/>
          <w:szCs w:val="21"/>
          <w:highlight w:val="none"/>
          <w:u w:val="single"/>
        </w:rPr>
      </w:pPr>
      <w:r>
        <w:rPr>
          <w:rFonts w:hint="eastAsia" w:hAnsi="宋体" w:cs="宋体"/>
          <w:sz w:val="21"/>
          <w:szCs w:val="21"/>
          <w:highlight w:val="none"/>
        </w:rPr>
        <w:t>7.与本磋商有关的一切正式往来信函请寄：</w:t>
      </w:r>
      <w:r>
        <w:rPr>
          <w:rFonts w:hint="eastAsia" w:hAnsi="宋体" w:cs="宋体"/>
          <w:sz w:val="21"/>
          <w:szCs w:val="21"/>
          <w:highlight w:val="none"/>
          <w:u w:val="single"/>
        </w:rPr>
        <w:t xml:space="preserve">                  </w:t>
      </w:r>
      <w:r>
        <w:rPr>
          <w:rFonts w:hint="eastAsia" w:hAnsi="宋体" w:cs="宋体"/>
          <w:sz w:val="21"/>
          <w:szCs w:val="21"/>
          <w:highlight w:val="none"/>
        </w:rPr>
        <w:t>邮政编码：</w:t>
      </w:r>
      <w:r>
        <w:rPr>
          <w:rFonts w:hint="eastAsia" w:hAnsi="宋体" w:cs="宋体"/>
          <w:sz w:val="21"/>
          <w:szCs w:val="21"/>
          <w:highlight w:val="none"/>
          <w:u w:val="single"/>
        </w:rPr>
        <w:t xml:space="preserve">        </w:t>
      </w:r>
    </w:p>
    <w:p w14:paraId="44F96DB9">
      <w:pPr>
        <w:pStyle w:val="17"/>
        <w:spacing w:line="360" w:lineRule="auto"/>
        <w:ind w:firstLine="420" w:firstLineChars="200"/>
        <w:contextualSpacing/>
        <w:rPr>
          <w:rFonts w:hAnsi="宋体" w:cs="宋体"/>
          <w:sz w:val="21"/>
          <w:szCs w:val="21"/>
          <w:highlight w:val="none"/>
        </w:rPr>
      </w:pPr>
      <w:r>
        <w:rPr>
          <w:rFonts w:hint="eastAsia" w:hAnsi="宋体" w:cs="宋体"/>
          <w:sz w:val="21"/>
          <w:szCs w:val="21"/>
          <w:highlight w:val="none"/>
        </w:rPr>
        <w:t>电话/传真：</w:t>
      </w:r>
      <w:r>
        <w:rPr>
          <w:rFonts w:hint="eastAsia" w:hAnsi="宋体" w:cs="宋体"/>
          <w:sz w:val="21"/>
          <w:szCs w:val="21"/>
          <w:highlight w:val="none"/>
          <w:u w:val="single"/>
        </w:rPr>
        <w:t xml:space="preserve">                        </w:t>
      </w:r>
      <w:r>
        <w:rPr>
          <w:rFonts w:hint="eastAsia" w:hAnsi="宋体" w:cs="宋体"/>
          <w:sz w:val="21"/>
          <w:szCs w:val="21"/>
          <w:highlight w:val="none"/>
        </w:rPr>
        <w:t xml:space="preserve"> 电子函件：</w:t>
      </w:r>
      <w:r>
        <w:rPr>
          <w:rFonts w:hint="eastAsia" w:hAnsi="宋体" w:cs="宋体"/>
          <w:sz w:val="21"/>
          <w:szCs w:val="21"/>
          <w:highlight w:val="none"/>
          <w:u w:val="single"/>
        </w:rPr>
        <w:t xml:space="preserve">                            </w:t>
      </w:r>
      <w:r>
        <w:rPr>
          <w:rFonts w:hint="eastAsia" w:hAnsi="宋体" w:cs="宋体"/>
          <w:sz w:val="21"/>
          <w:szCs w:val="21"/>
          <w:highlight w:val="none"/>
        </w:rPr>
        <w:t xml:space="preserve">    </w:t>
      </w:r>
    </w:p>
    <w:p w14:paraId="00B86B26">
      <w:pPr>
        <w:pStyle w:val="16"/>
        <w:tabs>
          <w:tab w:val="left" w:pos="939"/>
        </w:tabs>
        <w:spacing w:line="360" w:lineRule="auto"/>
        <w:ind w:left="0" w:leftChars="0" w:firstLine="315" w:firstLineChars="150"/>
        <w:rPr>
          <w:rFonts w:ascii="宋体" w:hAnsi="宋体" w:cs="宋体"/>
          <w:sz w:val="21"/>
          <w:szCs w:val="21"/>
          <w:highlight w:val="none"/>
        </w:rPr>
      </w:pPr>
      <w:r>
        <w:rPr>
          <w:rFonts w:hint="eastAsia" w:ascii="宋体" w:hAnsi="宋体" w:cs="宋体"/>
          <w:sz w:val="21"/>
          <w:szCs w:val="21"/>
          <w:highlight w:val="none"/>
        </w:rPr>
        <w:t>开户银行：</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eastAsia="zh-CN"/>
        </w:rPr>
        <w:t>账号</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p>
    <w:p w14:paraId="7CAE564B">
      <w:pPr>
        <w:pStyle w:val="16"/>
        <w:tabs>
          <w:tab w:val="left" w:pos="939"/>
        </w:tabs>
        <w:spacing w:line="360" w:lineRule="auto"/>
        <w:ind w:left="0" w:leftChars="0" w:firstLine="420" w:firstLineChars="200"/>
        <w:rPr>
          <w:rFonts w:ascii="宋体" w:hAnsi="宋体" w:cs="宋体"/>
          <w:sz w:val="21"/>
          <w:szCs w:val="21"/>
          <w:highlight w:val="none"/>
        </w:rPr>
      </w:pPr>
      <w:r>
        <w:rPr>
          <w:rFonts w:hint="eastAsia" w:ascii="宋体" w:hAnsi="宋体" w:cs="宋体"/>
          <w:sz w:val="21"/>
          <w:szCs w:val="21"/>
          <w:highlight w:val="none"/>
        </w:rPr>
        <w:t>8.以上事项如有虚假或者隐瞒，我方愿意承担一切后果，并不再寻求任何旨在减轻或者免除法律责任的辩解。</w:t>
      </w:r>
    </w:p>
    <w:p w14:paraId="44441BF8">
      <w:pPr>
        <w:pStyle w:val="16"/>
        <w:tabs>
          <w:tab w:val="left" w:pos="939"/>
        </w:tabs>
        <w:spacing w:line="360" w:lineRule="auto"/>
        <w:ind w:left="0" w:leftChars="0" w:firstLine="420" w:firstLineChars="200"/>
        <w:rPr>
          <w:rFonts w:ascii="宋体" w:hAnsi="宋体" w:cs="宋体"/>
          <w:sz w:val="21"/>
          <w:szCs w:val="21"/>
          <w:highlight w:val="none"/>
        </w:rPr>
      </w:pPr>
      <w:r>
        <w:rPr>
          <w:rFonts w:hint="eastAsia" w:ascii="宋体" w:hAnsi="宋体" w:cs="宋体"/>
          <w:sz w:val="21"/>
          <w:szCs w:val="21"/>
          <w:highlight w:val="none"/>
        </w:rPr>
        <w:t>9</w:t>
      </w:r>
      <w:r>
        <w:rPr>
          <w:rFonts w:ascii="宋体" w:hAnsi="宋体" w:cs="宋体"/>
          <w:sz w:val="21"/>
          <w:szCs w:val="21"/>
          <w:highlight w:val="none"/>
        </w:rPr>
        <w:t>.</w:t>
      </w:r>
      <w:r>
        <w:rPr>
          <w:rFonts w:hint="eastAsia" w:ascii="宋体" w:hAnsi="宋体" w:cs="宋体"/>
          <w:sz w:val="21"/>
          <w:szCs w:val="21"/>
          <w:highlight w:val="none"/>
        </w:rPr>
        <w:t>我方若参与竞争性磋商成功，除非发生不可抗力，承诺与采购人及时签订《合同书》。如果放弃，自愿按照本磋商文件之《供应商须知正文》条款第2</w:t>
      </w:r>
      <w:r>
        <w:rPr>
          <w:rFonts w:ascii="宋体" w:hAnsi="宋体" w:cs="宋体"/>
          <w:sz w:val="21"/>
          <w:szCs w:val="21"/>
          <w:highlight w:val="none"/>
        </w:rPr>
        <w:t>7.3</w:t>
      </w:r>
      <w:r>
        <w:rPr>
          <w:rFonts w:hint="eastAsia" w:ascii="宋体" w:hAnsi="宋体" w:cs="宋体"/>
          <w:sz w:val="21"/>
          <w:szCs w:val="21"/>
          <w:highlight w:val="none"/>
        </w:rPr>
        <w:t>条的要求承担法律责任和失信惩戒。</w:t>
      </w:r>
    </w:p>
    <w:p w14:paraId="55292D35">
      <w:pPr>
        <w:pStyle w:val="16"/>
        <w:tabs>
          <w:tab w:val="left" w:pos="939"/>
        </w:tabs>
        <w:spacing w:line="360" w:lineRule="auto"/>
        <w:ind w:left="0" w:leftChars="0" w:firstLine="315" w:firstLineChars="150"/>
        <w:rPr>
          <w:rFonts w:ascii="宋体" w:hAnsi="宋体" w:cs="宋体"/>
          <w:sz w:val="21"/>
          <w:szCs w:val="21"/>
          <w:highlight w:val="none"/>
        </w:rPr>
      </w:pPr>
      <w:r>
        <w:rPr>
          <w:rFonts w:hint="eastAsia" w:ascii="宋体" w:hAnsi="宋体" w:cs="宋体"/>
          <w:sz w:val="21"/>
          <w:szCs w:val="21"/>
          <w:highlight w:val="none"/>
        </w:rPr>
        <w:t>特此承诺。</w:t>
      </w:r>
    </w:p>
    <w:p w14:paraId="7DC68A6B">
      <w:pPr>
        <w:pStyle w:val="16"/>
        <w:tabs>
          <w:tab w:val="left" w:pos="939"/>
        </w:tabs>
        <w:spacing w:line="360" w:lineRule="auto"/>
        <w:ind w:left="0" w:leftChars="0" w:firstLine="422" w:firstLineChars="200"/>
        <w:rPr>
          <w:rFonts w:ascii="楷体" w:hAnsi="楷体" w:eastAsia="楷体" w:cs="宋体"/>
          <w:b/>
          <w:sz w:val="21"/>
          <w:szCs w:val="21"/>
          <w:highlight w:val="none"/>
        </w:rPr>
      </w:pPr>
      <w:r>
        <w:rPr>
          <w:rFonts w:hint="eastAsia" w:ascii="楷体" w:hAnsi="楷体" w:eastAsia="楷体" w:cs="宋体"/>
          <w:b/>
          <w:sz w:val="21"/>
          <w:szCs w:val="21"/>
          <w:highlight w:val="none"/>
        </w:rPr>
        <w:t>注：如为联合体参与竞争性磋商，盖章处须加盖联合体各方公章并由联合体各方法定代表人签署，否则其响应文件按无效响应处理。</w:t>
      </w:r>
    </w:p>
    <w:p w14:paraId="1E8ADD6A">
      <w:pPr>
        <w:pStyle w:val="16"/>
        <w:tabs>
          <w:tab w:val="left" w:pos="939"/>
        </w:tabs>
        <w:spacing w:line="360" w:lineRule="auto"/>
        <w:ind w:left="0" w:leftChars="0" w:firstLine="420" w:firstLineChars="200"/>
        <w:rPr>
          <w:rFonts w:ascii="宋体" w:hAnsi="宋体" w:cs="宋体"/>
          <w:sz w:val="21"/>
          <w:szCs w:val="21"/>
          <w:highlight w:val="none"/>
        </w:rPr>
      </w:pPr>
    </w:p>
    <w:p w14:paraId="2982DEFB">
      <w:pPr>
        <w:spacing w:line="360" w:lineRule="auto"/>
        <w:ind w:firstLine="3780" w:firstLineChars="1800"/>
        <w:contextualSpacing/>
        <w:rPr>
          <w:rFonts w:ascii="宋体" w:hAnsi="宋体" w:cs="宋体"/>
          <w:sz w:val="21"/>
          <w:szCs w:val="21"/>
          <w:highlight w:val="none"/>
          <w:u w:val="single"/>
        </w:rPr>
      </w:pPr>
      <w:r>
        <w:rPr>
          <w:rFonts w:hint="eastAsia" w:ascii="宋体" w:hAnsi="宋体" w:cs="宋体"/>
          <w:sz w:val="21"/>
          <w:szCs w:val="21"/>
          <w:highlight w:val="none"/>
        </w:rPr>
        <w:t>法定代表人（</w:t>
      </w:r>
      <w:r>
        <w:rPr>
          <w:rFonts w:hint="eastAsia" w:ascii="宋体" w:hAnsi="宋体" w:cs="宋体"/>
          <w:sz w:val="21"/>
          <w:szCs w:val="21"/>
          <w:highlight w:val="none"/>
          <w:lang w:eastAsia="zh-CN"/>
        </w:rPr>
        <w:t>签字或CA签章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p>
    <w:p w14:paraId="2634C537">
      <w:pPr>
        <w:spacing w:line="360" w:lineRule="auto"/>
        <w:ind w:firstLine="210" w:firstLineChars="100"/>
        <w:contextualSpacing/>
        <w:jc w:val="center"/>
        <w:rPr>
          <w:rFonts w:ascii="宋体" w:hAnsi="宋体" w:cs="宋体"/>
          <w:sz w:val="21"/>
          <w:szCs w:val="21"/>
          <w:highlight w:val="none"/>
          <w:u w:val="single"/>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p>
    <w:p w14:paraId="52E94B02">
      <w:pPr>
        <w:spacing w:line="360" w:lineRule="auto"/>
        <w:ind w:firstLine="210" w:firstLineChars="100"/>
        <w:contextualSpacing/>
        <w:jc w:val="center"/>
        <w:rPr>
          <w:rFonts w:ascii="宋体" w:hAnsi="宋体" w:cs="宋体"/>
          <w:sz w:val="21"/>
          <w:szCs w:val="21"/>
          <w:highlight w:val="none"/>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1C4BD80B">
      <w:pPr>
        <w:pStyle w:val="7"/>
        <w:overflowPunct w:val="0"/>
        <w:spacing w:line="360" w:lineRule="auto"/>
        <w:ind w:firstLine="0"/>
        <w:jc w:val="center"/>
        <w:rPr>
          <w:rFonts w:ascii="宋体" w:hAnsi="宋体" w:cs="宋体"/>
          <w:sz w:val="32"/>
          <w:szCs w:val="32"/>
          <w:highlight w:val="none"/>
        </w:rPr>
      </w:pPr>
      <w:r>
        <w:rPr>
          <w:rFonts w:hint="eastAsia" w:ascii="宋体" w:hAnsi="宋体" w:cs="宋体"/>
          <w:sz w:val="24"/>
          <w:highlight w:val="none"/>
        </w:rPr>
        <w:br w:type="page"/>
      </w:r>
      <w:r>
        <w:rPr>
          <w:rFonts w:hint="eastAsia" w:ascii="宋体" w:hAnsi="宋体" w:cs="宋体"/>
          <w:sz w:val="32"/>
          <w:szCs w:val="32"/>
          <w:highlight w:val="none"/>
        </w:rPr>
        <w:t>联合体参与竞争性磋商协议书</w:t>
      </w:r>
    </w:p>
    <w:p w14:paraId="717B1321">
      <w:pPr>
        <w:pStyle w:val="7"/>
        <w:overflowPunct w:val="0"/>
        <w:spacing w:line="360" w:lineRule="auto"/>
        <w:ind w:firstLine="0"/>
        <w:rPr>
          <w:rFonts w:ascii="宋体" w:hAnsi="宋体" w:cs="宋体"/>
          <w:sz w:val="24"/>
          <w:szCs w:val="24"/>
          <w:highlight w:val="none"/>
        </w:rPr>
      </w:pPr>
    </w:p>
    <w:p w14:paraId="1D7B3095">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（所有成员单位名称）自愿组成</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（联合体名称）联合体，共同参加</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（项目名称）采购项目竞争性磋商。现就联合体参与竞争性磋商事宜订立如下协议。</w:t>
      </w:r>
    </w:p>
    <w:p w14:paraId="1F606C15">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u w:val="single"/>
        </w:rPr>
        <w:t xml:space="preserve">   </w:t>
      </w:r>
      <w:r>
        <w:rPr>
          <w:rFonts w:hint="eastAsia" w:ascii="宋体" w:hAnsi="宋体" w:cs="宋体"/>
          <w:sz w:val="21"/>
          <w:szCs w:val="21"/>
          <w:highlight w:val="none"/>
        </w:rPr>
        <w:t>（某成员单位名称）为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（联合体名称）牵头人。</w:t>
      </w:r>
    </w:p>
    <w:p w14:paraId="7B614286">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联合体各成员授权牵头人代表联合体参加竞标活动，签署文件及对文件的盖章，提交和接收相关的资料、信息及指示，进行合同磋商活动，负责合同实施阶段的组织和协调工作，以及处理与本竞争性磋商项目有关的一切事宜。</w:t>
      </w:r>
    </w:p>
    <w:p w14:paraId="76F5FB32">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0B0352A">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4.联合体各成员单位内部的职责分工如下：</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45054BC7">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5.本</w:t>
      </w:r>
      <w:r>
        <w:rPr>
          <w:rFonts w:hint="eastAsia" w:ascii="宋体" w:hAnsi="宋体" w:cs="宋体"/>
          <w:spacing w:val="-6"/>
          <w:sz w:val="21"/>
          <w:szCs w:val="21"/>
          <w:highlight w:val="none"/>
        </w:rPr>
        <w:t>协议书自所有成员单位法定代表人（单位负责人）或者其委托代理人签字或者盖单位章之日起生效，合同履行完毕后自动失效。</w:t>
      </w:r>
    </w:p>
    <w:p w14:paraId="373B027D">
      <w:pPr>
        <w:pStyle w:val="7"/>
        <w:overflowPunct w:val="0"/>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6.本协议书一式</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份，联合体成员和采购人各执壹份。</w:t>
      </w:r>
    </w:p>
    <w:p w14:paraId="2754CFC3">
      <w:pPr>
        <w:pStyle w:val="7"/>
        <w:overflowPunct w:val="0"/>
        <w:spacing w:line="360" w:lineRule="auto"/>
        <w:ind w:firstLine="422" w:firstLineChars="200"/>
        <w:contextualSpacing/>
        <w:rPr>
          <w:rFonts w:ascii="楷体" w:hAnsi="楷体" w:eastAsia="楷体" w:cs="宋体"/>
          <w:sz w:val="21"/>
          <w:szCs w:val="21"/>
          <w:highlight w:val="none"/>
        </w:rPr>
      </w:pPr>
      <w:r>
        <w:rPr>
          <w:rFonts w:hint="eastAsia" w:ascii="楷体" w:hAnsi="楷体" w:eastAsia="楷体" w:cs="宋体"/>
          <w:b/>
          <w:sz w:val="21"/>
          <w:szCs w:val="21"/>
          <w:highlight w:val="none"/>
        </w:rPr>
        <w:t>注：</w:t>
      </w:r>
      <w:r>
        <w:rPr>
          <w:rFonts w:hint="eastAsia" w:ascii="楷体" w:hAnsi="楷体" w:eastAsia="楷体" w:cs="宋体"/>
          <w:sz w:val="21"/>
          <w:szCs w:val="21"/>
          <w:highlight w:val="none"/>
        </w:rPr>
        <w:t>本协议书由法定代表人（单位负责人）签字的，应附法定代表人（单位负责人）身份证明书；由委托代理人签字的，应附联合体协议签订授权委托书（格式自拟）。</w:t>
      </w:r>
    </w:p>
    <w:p w14:paraId="788B9323">
      <w:pPr>
        <w:pStyle w:val="7"/>
        <w:overflowPunct w:val="0"/>
        <w:spacing w:line="360" w:lineRule="auto"/>
        <w:ind w:firstLineChars="175"/>
        <w:contextualSpacing/>
        <w:rPr>
          <w:rFonts w:ascii="宋体" w:hAnsi="宋体" w:cs="宋体"/>
          <w:sz w:val="21"/>
          <w:szCs w:val="21"/>
          <w:highlight w:val="none"/>
        </w:rPr>
      </w:pPr>
    </w:p>
    <w:p w14:paraId="57FA2306">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联合体牵头人名称（盖公章）：</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4E88E62E">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签字或签章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2A1B7409">
      <w:pPr>
        <w:pStyle w:val="7"/>
        <w:overflowPunct w:val="0"/>
        <w:spacing w:line="360" w:lineRule="auto"/>
        <w:ind w:firstLineChars="175"/>
        <w:contextualSpacing/>
        <w:rPr>
          <w:rFonts w:ascii="宋体" w:hAnsi="宋体" w:cs="宋体"/>
          <w:sz w:val="21"/>
          <w:szCs w:val="21"/>
          <w:highlight w:val="none"/>
        </w:rPr>
      </w:pPr>
    </w:p>
    <w:p w14:paraId="73E76941">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联合体成员名称（盖公章）：</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68081788">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签字或签章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068C8D31">
      <w:pPr>
        <w:pStyle w:val="7"/>
        <w:overflowPunct w:val="0"/>
        <w:spacing w:line="360" w:lineRule="auto"/>
        <w:ind w:firstLineChars="175"/>
        <w:contextualSpacing/>
        <w:rPr>
          <w:rFonts w:ascii="宋体" w:hAnsi="宋体" w:cs="宋体"/>
          <w:sz w:val="21"/>
          <w:szCs w:val="21"/>
          <w:highlight w:val="none"/>
        </w:rPr>
      </w:pPr>
    </w:p>
    <w:p w14:paraId="053683E1">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联合体成员名称（盖公章）：</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60DA82DD">
      <w:pPr>
        <w:pStyle w:val="7"/>
        <w:overflowPunct w:val="0"/>
        <w:spacing w:line="360" w:lineRule="auto"/>
        <w:ind w:firstLineChars="175"/>
        <w:contextualSpacing/>
        <w:rPr>
          <w:rFonts w:ascii="宋体" w:hAnsi="宋体" w:cs="宋体"/>
          <w:sz w:val="21"/>
          <w:szCs w:val="21"/>
          <w:highlight w:val="none"/>
          <w:u w:val="single"/>
        </w:rPr>
      </w:pPr>
      <w:r>
        <w:rPr>
          <w:rFonts w:hint="eastAsia" w:ascii="宋体" w:hAnsi="宋体" w:cs="宋体"/>
          <w:sz w:val="21"/>
          <w:szCs w:val="21"/>
          <w:highlight w:val="none"/>
        </w:rPr>
        <w:t>法定代表人（单位负责人）或者其委托代理人（</w:t>
      </w:r>
      <w:r>
        <w:rPr>
          <w:rFonts w:hint="eastAsia" w:ascii="宋体" w:hAnsi="宋体" w:eastAsia="宋体" w:cs="宋体"/>
          <w:color w:val="auto"/>
          <w:sz w:val="21"/>
          <w:szCs w:val="21"/>
          <w:highlight w:val="none"/>
          <w:lang w:eastAsia="zh-CN"/>
        </w:rPr>
        <w:t>签字或签章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1EACF743">
      <w:pPr>
        <w:pStyle w:val="7"/>
        <w:overflowPunct w:val="0"/>
        <w:spacing w:line="360" w:lineRule="auto"/>
        <w:ind w:firstLineChars="175"/>
        <w:contextualSpacing/>
        <w:rPr>
          <w:rFonts w:ascii="宋体" w:hAnsi="宋体" w:cs="宋体"/>
          <w:sz w:val="21"/>
          <w:szCs w:val="21"/>
          <w:highlight w:val="none"/>
        </w:rPr>
      </w:pPr>
      <w:r>
        <w:rPr>
          <w:rFonts w:hint="eastAsia" w:ascii="宋体" w:hAnsi="宋体" w:cs="宋体"/>
          <w:sz w:val="21"/>
          <w:szCs w:val="21"/>
          <w:highlight w:val="none"/>
        </w:rPr>
        <w:t>……</w:t>
      </w:r>
    </w:p>
    <w:p w14:paraId="7480464C">
      <w:pPr>
        <w:spacing w:line="360" w:lineRule="auto"/>
        <w:ind w:right="480" w:firstLine="210" w:firstLineChars="100"/>
        <w:contextualSpacing/>
        <w:jc w:val="center"/>
        <w:rPr>
          <w:rFonts w:ascii="宋体" w:hAnsi="宋体" w:cs="宋体"/>
          <w:b/>
          <w:bCs/>
          <w:sz w:val="21"/>
          <w:szCs w:val="21"/>
          <w:highlight w:val="none"/>
        </w:rPr>
      </w:pPr>
      <w:r>
        <w:rPr>
          <w:rFonts w:hint="eastAsia" w:ascii="宋体" w:hAnsi="宋体" w:cs="宋体"/>
          <w:sz w:val="21"/>
          <w:szCs w:val="21"/>
          <w:highlight w:val="none"/>
        </w:rPr>
        <w:t xml:space="preserve">                                      </w:t>
      </w:r>
      <w:r>
        <w:rPr>
          <w:rFonts w:hint="eastAsia"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rPr>
        <w:tab/>
      </w:r>
      <w:r>
        <w:rPr>
          <w:rFonts w:hint="eastAsia" w:ascii="宋体" w:hAnsi="宋体" w:cs="宋体"/>
          <w:sz w:val="21"/>
          <w:szCs w:val="21"/>
          <w:highlight w:val="none"/>
        </w:rPr>
        <w:t>日</w:t>
      </w:r>
    </w:p>
    <w:p w14:paraId="1CF107FB">
      <w:pPr>
        <w:snapToGrid w:val="0"/>
        <w:spacing w:before="156" w:beforeLines="50" w:after="50" w:line="360" w:lineRule="auto"/>
        <w:ind w:right="480"/>
        <w:rPr>
          <w:rFonts w:ascii="宋体" w:hAnsi="宋体" w:cs="宋体"/>
          <w:b/>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二、</w:t>
      </w:r>
      <w:r>
        <w:rPr>
          <w:rFonts w:hint="eastAsia" w:ascii="宋体" w:hAnsi="宋体" w:cs="宋体"/>
          <w:b/>
          <w:sz w:val="32"/>
          <w:szCs w:val="32"/>
          <w:highlight w:val="none"/>
        </w:rPr>
        <w:t>报价商务技术文件格式</w:t>
      </w:r>
    </w:p>
    <w:p w14:paraId="4A326D77">
      <w:pPr>
        <w:snapToGrid w:val="0"/>
        <w:spacing w:before="156" w:beforeLines="50" w:after="50" w:line="360" w:lineRule="auto"/>
        <w:jc w:val="left"/>
        <w:rPr>
          <w:rFonts w:ascii="宋体" w:hAnsi="宋体" w:cs="宋体"/>
          <w:b/>
          <w:sz w:val="32"/>
          <w:szCs w:val="32"/>
          <w:highlight w:val="none"/>
        </w:rPr>
      </w:pPr>
      <w:r>
        <w:rPr>
          <w:rFonts w:hint="eastAsia" w:ascii="宋体" w:hAnsi="宋体" w:cs="宋体"/>
          <w:b/>
          <w:sz w:val="32"/>
          <w:szCs w:val="32"/>
          <w:highlight w:val="none"/>
        </w:rPr>
        <w:t>1.报价商务技术文件封面格式</w:t>
      </w:r>
    </w:p>
    <w:p w14:paraId="55D61C44">
      <w:pPr>
        <w:snapToGrid w:val="0"/>
        <w:spacing w:before="156" w:beforeLines="50" w:after="50"/>
        <w:rPr>
          <w:rFonts w:ascii="宋体" w:hAnsi="宋体" w:cs="宋体"/>
          <w:bCs/>
          <w:sz w:val="32"/>
          <w:szCs w:val="20"/>
          <w:highlight w:val="none"/>
        </w:rPr>
      </w:pPr>
      <w:r>
        <w:rPr>
          <w:rFonts w:hint="eastAsia" w:ascii="宋体" w:hAnsi="宋体" w:cs="宋体"/>
          <w:sz w:val="24"/>
          <w:highlight w:val="none"/>
        </w:rPr>
        <w:t xml:space="preserve">                                                   </w:t>
      </w:r>
    </w:p>
    <w:p w14:paraId="62958450">
      <w:pPr>
        <w:snapToGrid w:val="0"/>
        <w:spacing w:before="156" w:beforeLines="50" w:after="50"/>
        <w:rPr>
          <w:rFonts w:ascii="宋体" w:hAnsi="宋体" w:cs="宋体"/>
          <w:sz w:val="24"/>
          <w:szCs w:val="20"/>
          <w:highlight w:val="none"/>
        </w:rPr>
      </w:pPr>
    </w:p>
    <w:p w14:paraId="13A911BB">
      <w:pPr>
        <w:snapToGrid w:val="0"/>
        <w:spacing w:before="156" w:beforeLines="50" w:after="50"/>
        <w:jc w:val="center"/>
        <w:rPr>
          <w:rFonts w:hint="eastAsia" w:ascii="宋体" w:hAnsi="宋体" w:cs="宋体"/>
          <w:bCs/>
          <w:sz w:val="84"/>
          <w:szCs w:val="84"/>
          <w:highlight w:val="none"/>
        </w:rPr>
      </w:pPr>
    </w:p>
    <w:p w14:paraId="57BFA9DA">
      <w:pPr>
        <w:snapToGrid w:val="0"/>
        <w:spacing w:before="156" w:beforeLines="50" w:after="50"/>
        <w:jc w:val="center"/>
        <w:rPr>
          <w:rFonts w:ascii="宋体" w:hAnsi="宋体" w:cs="宋体"/>
          <w:bCs/>
          <w:sz w:val="72"/>
          <w:szCs w:val="72"/>
          <w:highlight w:val="none"/>
        </w:rPr>
      </w:pPr>
      <w:r>
        <w:rPr>
          <w:rFonts w:hint="eastAsia" w:ascii="宋体" w:hAnsi="宋体" w:cs="宋体"/>
          <w:bCs/>
          <w:sz w:val="72"/>
          <w:szCs w:val="72"/>
          <w:highlight w:val="none"/>
        </w:rPr>
        <w:t>响应文件</w:t>
      </w:r>
    </w:p>
    <w:p w14:paraId="35F111AA">
      <w:pPr>
        <w:snapToGrid w:val="0"/>
        <w:spacing w:before="156" w:beforeLines="50" w:after="50"/>
        <w:jc w:val="center"/>
        <w:rPr>
          <w:rFonts w:hint="eastAsia" w:ascii="宋体" w:hAnsi="宋体" w:cs="宋体"/>
          <w:bCs/>
          <w:sz w:val="32"/>
          <w:szCs w:val="32"/>
          <w:highlight w:val="none"/>
        </w:rPr>
      </w:pPr>
    </w:p>
    <w:p w14:paraId="0357271C">
      <w:pPr>
        <w:snapToGrid w:val="0"/>
        <w:spacing w:before="156" w:beforeLines="50" w:after="50"/>
        <w:jc w:val="center"/>
        <w:rPr>
          <w:rFonts w:ascii="宋体" w:hAnsi="宋体" w:cs="宋体"/>
          <w:bCs/>
          <w:sz w:val="32"/>
          <w:szCs w:val="32"/>
          <w:highlight w:val="none"/>
        </w:rPr>
      </w:pPr>
      <w:r>
        <w:rPr>
          <w:rFonts w:hint="eastAsia" w:ascii="宋体" w:hAnsi="宋体" w:cs="宋体"/>
          <w:bCs/>
          <w:sz w:val="32"/>
          <w:szCs w:val="32"/>
          <w:highlight w:val="none"/>
        </w:rPr>
        <w:t>报价商务技术文件</w:t>
      </w:r>
    </w:p>
    <w:p w14:paraId="62CCAB8C">
      <w:pPr>
        <w:snapToGrid w:val="0"/>
        <w:spacing w:before="156" w:beforeLines="50" w:after="50"/>
        <w:rPr>
          <w:rFonts w:ascii="宋体" w:hAnsi="宋体" w:cs="宋体"/>
          <w:bCs/>
          <w:sz w:val="24"/>
          <w:szCs w:val="20"/>
          <w:highlight w:val="none"/>
        </w:rPr>
      </w:pPr>
    </w:p>
    <w:p w14:paraId="31762134">
      <w:pPr>
        <w:snapToGrid w:val="0"/>
        <w:spacing w:before="156" w:beforeLines="50" w:after="50"/>
        <w:rPr>
          <w:rFonts w:ascii="宋体" w:hAnsi="宋体" w:cs="宋体"/>
          <w:bCs/>
          <w:sz w:val="24"/>
          <w:szCs w:val="20"/>
          <w:highlight w:val="none"/>
        </w:rPr>
      </w:pPr>
    </w:p>
    <w:p w14:paraId="6180FA45">
      <w:pPr>
        <w:snapToGrid w:val="0"/>
        <w:spacing w:before="156" w:beforeLines="50" w:after="50"/>
        <w:ind w:firstLine="2100" w:firstLineChars="875"/>
        <w:rPr>
          <w:rFonts w:ascii="宋体" w:hAnsi="宋体" w:cs="宋体"/>
          <w:bCs/>
          <w:sz w:val="24"/>
          <w:szCs w:val="20"/>
          <w:highlight w:val="none"/>
        </w:rPr>
      </w:pPr>
    </w:p>
    <w:p w14:paraId="2A40B7E5">
      <w:pPr>
        <w:snapToGrid w:val="0"/>
        <w:spacing w:before="156" w:beforeLines="50" w:after="50"/>
        <w:ind w:firstLine="2100" w:firstLineChars="875"/>
        <w:rPr>
          <w:rFonts w:ascii="宋体" w:hAnsi="宋体" w:cs="宋体"/>
          <w:bCs/>
          <w:sz w:val="24"/>
          <w:szCs w:val="20"/>
          <w:highlight w:val="none"/>
        </w:rPr>
      </w:pPr>
    </w:p>
    <w:p w14:paraId="28D21141">
      <w:pPr>
        <w:snapToGrid w:val="0"/>
        <w:spacing w:before="156" w:beforeLines="50" w:after="50"/>
        <w:ind w:firstLine="2100" w:firstLineChars="875"/>
        <w:rPr>
          <w:rFonts w:ascii="宋体" w:hAnsi="宋体" w:cs="宋体"/>
          <w:bCs/>
          <w:sz w:val="24"/>
          <w:szCs w:val="20"/>
          <w:highlight w:val="none"/>
        </w:rPr>
      </w:pPr>
    </w:p>
    <w:p w14:paraId="61A52682">
      <w:pPr>
        <w:snapToGrid w:val="0"/>
        <w:spacing w:before="156" w:beforeLines="50" w:after="50"/>
        <w:ind w:firstLine="2100" w:firstLineChars="875"/>
        <w:rPr>
          <w:rFonts w:ascii="宋体" w:hAnsi="宋体" w:cs="宋体"/>
          <w:bCs/>
          <w:sz w:val="24"/>
          <w:szCs w:val="24"/>
          <w:highlight w:val="none"/>
        </w:rPr>
      </w:pPr>
      <w:r>
        <w:rPr>
          <w:rFonts w:hint="eastAsia" w:ascii="宋体" w:hAnsi="宋体" w:cs="宋体"/>
          <w:bCs/>
          <w:sz w:val="24"/>
          <w:szCs w:val="24"/>
          <w:highlight w:val="none"/>
        </w:rPr>
        <w:t>项目名称：</w:t>
      </w:r>
    </w:p>
    <w:p w14:paraId="36BC5D57">
      <w:pPr>
        <w:snapToGrid w:val="0"/>
        <w:spacing w:before="156" w:beforeLines="50" w:after="50"/>
        <w:ind w:firstLine="2100" w:firstLineChars="875"/>
        <w:rPr>
          <w:rFonts w:ascii="宋体" w:hAnsi="宋体" w:cs="宋体"/>
          <w:bCs/>
          <w:sz w:val="24"/>
          <w:szCs w:val="24"/>
          <w:highlight w:val="none"/>
        </w:rPr>
      </w:pPr>
    </w:p>
    <w:p w14:paraId="53A25A79">
      <w:pPr>
        <w:snapToGrid w:val="0"/>
        <w:spacing w:before="156" w:beforeLines="50" w:after="50"/>
        <w:ind w:firstLine="2100" w:firstLineChars="875"/>
        <w:rPr>
          <w:rFonts w:ascii="宋体" w:hAnsi="宋体" w:cs="宋体"/>
          <w:bCs/>
          <w:sz w:val="24"/>
          <w:szCs w:val="24"/>
          <w:highlight w:val="none"/>
        </w:rPr>
      </w:pPr>
      <w:r>
        <w:rPr>
          <w:rFonts w:hint="eastAsia" w:ascii="宋体" w:hAnsi="宋体" w:cs="宋体"/>
          <w:bCs/>
          <w:sz w:val="24"/>
          <w:szCs w:val="24"/>
          <w:highlight w:val="none"/>
        </w:rPr>
        <w:t>项目编号：</w:t>
      </w:r>
    </w:p>
    <w:p w14:paraId="2B0A7B9C">
      <w:pPr>
        <w:snapToGrid w:val="0"/>
        <w:spacing w:before="156" w:beforeLines="50" w:after="50"/>
        <w:ind w:firstLine="2100" w:firstLineChars="875"/>
        <w:rPr>
          <w:rFonts w:ascii="宋体" w:hAnsi="宋体" w:cs="宋体"/>
          <w:bCs/>
          <w:sz w:val="24"/>
          <w:szCs w:val="24"/>
          <w:highlight w:val="none"/>
        </w:rPr>
      </w:pPr>
      <w:r>
        <w:rPr>
          <w:rFonts w:hint="eastAsia" w:ascii="宋体" w:hAnsi="宋体" w:cs="宋体"/>
          <w:bCs/>
          <w:sz w:val="24"/>
          <w:szCs w:val="24"/>
          <w:highlight w:val="none"/>
        </w:rPr>
        <w:t xml:space="preserve"> </w:t>
      </w:r>
    </w:p>
    <w:p w14:paraId="68F7FAA1">
      <w:pPr>
        <w:snapToGrid w:val="0"/>
        <w:spacing w:before="156" w:beforeLines="50" w:after="50"/>
        <w:ind w:firstLine="2100" w:firstLineChars="875"/>
        <w:rPr>
          <w:rFonts w:ascii="宋体" w:hAnsi="宋体" w:cs="宋体"/>
          <w:bCs/>
          <w:sz w:val="24"/>
          <w:szCs w:val="24"/>
          <w:highlight w:val="none"/>
        </w:rPr>
      </w:pPr>
      <w:r>
        <w:rPr>
          <w:rFonts w:hint="eastAsia" w:ascii="宋体" w:hAnsi="宋体" w:cs="宋体"/>
          <w:bCs/>
          <w:sz w:val="24"/>
          <w:szCs w:val="24"/>
          <w:highlight w:val="none"/>
        </w:rPr>
        <w:t>所竞分标（如有）：</w:t>
      </w:r>
    </w:p>
    <w:p w14:paraId="57FF5A3C">
      <w:pPr>
        <w:snapToGrid w:val="0"/>
        <w:spacing w:before="156" w:beforeLines="50" w:after="50"/>
        <w:ind w:firstLine="2100" w:firstLineChars="875"/>
        <w:rPr>
          <w:rFonts w:ascii="宋体" w:hAnsi="宋体" w:cs="宋体"/>
          <w:bCs/>
          <w:sz w:val="24"/>
          <w:szCs w:val="24"/>
          <w:highlight w:val="none"/>
        </w:rPr>
      </w:pPr>
    </w:p>
    <w:p w14:paraId="20F6447C">
      <w:pPr>
        <w:pStyle w:val="7"/>
        <w:snapToGrid w:val="0"/>
        <w:spacing w:before="50" w:after="50"/>
        <w:ind w:firstLine="2100" w:firstLineChars="875"/>
        <w:rPr>
          <w:rFonts w:ascii="宋体" w:hAnsi="宋体" w:cs="宋体"/>
          <w:bCs/>
          <w:sz w:val="24"/>
          <w:szCs w:val="24"/>
          <w:highlight w:val="none"/>
        </w:rPr>
      </w:pPr>
      <w:r>
        <w:rPr>
          <w:rFonts w:hint="eastAsia" w:ascii="宋体" w:hAnsi="宋体" w:cs="宋体"/>
          <w:bCs/>
          <w:sz w:val="24"/>
          <w:szCs w:val="24"/>
          <w:highlight w:val="none"/>
        </w:rPr>
        <w:t>供应商名称：</w:t>
      </w:r>
    </w:p>
    <w:p w14:paraId="13AC8F6F">
      <w:pPr>
        <w:pStyle w:val="7"/>
        <w:snapToGrid w:val="0"/>
        <w:spacing w:before="50" w:after="50"/>
        <w:ind w:firstLine="2100" w:firstLineChars="875"/>
        <w:rPr>
          <w:rFonts w:ascii="宋体" w:hAnsi="宋体" w:cs="宋体"/>
          <w:bCs/>
          <w:sz w:val="24"/>
          <w:szCs w:val="24"/>
          <w:highlight w:val="none"/>
        </w:rPr>
      </w:pPr>
    </w:p>
    <w:p w14:paraId="27D7951C">
      <w:pPr>
        <w:pStyle w:val="7"/>
        <w:snapToGrid w:val="0"/>
        <w:spacing w:before="50" w:after="50"/>
        <w:ind w:firstLine="540" w:firstLineChars="225"/>
        <w:rPr>
          <w:rFonts w:ascii="宋体" w:hAnsi="宋体" w:cs="宋体"/>
          <w:bCs/>
          <w:sz w:val="24"/>
          <w:szCs w:val="24"/>
          <w:highlight w:val="none"/>
        </w:rPr>
      </w:pPr>
    </w:p>
    <w:p w14:paraId="0EF97CCF">
      <w:pPr>
        <w:pStyle w:val="7"/>
        <w:snapToGrid w:val="0"/>
        <w:spacing w:before="50" w:after="50"/>
        <w:ind w:firstLine="1280" w:firstLineChars="400"/>
        <w:rPr>
          <w:rFonts w:ascii="宋体" w:hAnsi="宋体" w:cs="宋体"/>
          <w:bCs/>
          <w:sz w:val="32"/>
          <w:szCs w:val="32"/>
          <w:highlight w:val="none"/>
        </w:rPr>
      </w:pPr>
    </w:p>
    <w:p w14:paraId="132C8A8C">
      <w:pPr>
        <w:snapToGrid w:val="0"/>
        <w:spacing w:before="156" w:beforeLines="50" w:after="50"/>
        <w:jc w:val="center"/>
        <w:rPr>
          <w:rFonts w:ascii="宋体" w:hAnsi="宋体" w:cs="宋体"/>
          <w:sz w:val="24"/>
          <w:szCs w:val="24"/>
          <w:highlight w:val="none"/>
        </w:rPr>
      </w:pPr>
      <w:r>
        <w:rPr>
          <w:rFonts w:hint="eastAsia" w:ascii="宋体" w:hAnsi="宋体" w:cs="宋体"/>
          <w:sz w:val="24"/>
          <w:szCs w:val="24"/>
          <w:highlight w:val="none"/>
        </w:rPr>
        <w:t>年    月    日</w:t>
      </w:r>
    </w:p>
    <w:p w14:paraId="39CD0EA8">
      <w:pPr>
        <w:snapToGrid w:val="0"/>
        <w:spacing w:before="156" w:beforeLines="50" w:after="50" w:line="360" w:lineRule="auto"/>
        <w:ind w:left="142"/>
        <w:jc w:val="left"/>
        <w:rPr>
          <w:rFonts w:ascii="宋体" w:hAnsi="宋体" w:cs="宋体"/>
          <w:b/>
          <w:bCs/>
          <w:sz w:val="21"/>
          <w:szCs w:val="21"/>
          <w:highlight w:val="none"/>
        </w:rPr>
      </w:pPr>
      <w:r>
        <w:rPr>
          <w:rFonts w:hint="eastAsia" w:ascii="宋体" w:hAnsi="宋体" w:cs="宋体"/>
          <w:sz w:val="24"/>
          <w:highlight w:val="none"/>
        </w:rPr>
        <w:br w:type="page"/>
      </w:r>
      <w:r>
        <w:rPr>
          <w:rFonts w:hint="eastAsia" w:ascii="宋体" w:hAnsi="宋体" w:cs="宋体"/>
          <w:b/>
          <w:bCs/>
          <w:sz w:val="21"/>
          <w:szCs w:val="21"/>
          <w:highlight w:val="none"/>
        </w:rPr>
        <w:t>2.报价商务技术文件目录</w:t>
      </w:r>
    </w:p>
    <w:p w14:paraId="549CA6CB">
      <w:pPr>
        <w:snapToGrid w:val="0"/>
        <w:spacing w:before="156" w:beforeLines="50" w:after="50"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根据磋商文件规定及供应商提供的材料自行编写目录（部分格式后附）。</w:t>
      </w:r>
    </w:p>
    <w:p w14:paraId="211804E3">
      <w:pPr>
        <w:spacing w:line="400" w:lineRule="exact"/>
        <w:rPr>
          <w:rFonts w:ascii="宋体" w:hAnsi="宋体" w:cs="宋体"/>
          <w:sz w:val="32"/>
          <w:szCs w:val="32"/>
          <w:highlight w:val="none"/>
        </w:rPr>
      </w:pPr>
    </w:p>
    <w:p w14:paraId="408A12C9">
      <w:pPr>
        <w:jc w:val="center"/>
        <w:rPr>
          <w:rFonts w:ascii="宋体" w:hAnsi="宋体" w:cs="宋体"/>
          <w:b/>
          <w:sz w:val="24"/>
          <w:szCs w:val="24"/>
          <w:highlight w:val="none"/>
        </w:rPr>
      </w:pPr>
      <w:r>
        <w:rPr>
          <w:rFonts w:hint="eastAsia" w:ascii="宋体" w:hAnsi="宋体" w:cs="宋体"/>
          <w:sz w:val="44"/>
          <w:szCs w:val="44"/>
          <w:highlight w:val="none"/>
        </w:rPr>
        <w:br w:type="page"/>
      </w:r>
      <w:r>
        <w:rPr>
          <w:rFonts w:hint="eastAsia" w:ascii="宋体" w:hAnsi="宋体" w:cs="宋体"/>
          <w:b/>
          <w:sz w:val="24"/>
          <w:szCs w:val="24"/>
          <w:highlight w:val="none"/>
        </w:rPr>
        <w:t>无串通参与竞争性磋商行为的承诺函</w:t>
      </w:r>
    </w:p>
    <w:p w14:paraId="32571657">
      <w:pPr>
        <w:spacing w:line="360" w:lineRule="auto"/>
        <w:ind w:firstLine="640" w:firstLineChars="200"/>
        <w:contextualSpacing/>
        <w:rPr>
          <w:rFonts w:ascii="宋体" w:hAnsi="宋体" w:cs="宋体"/>
          <w:sz w:val="32"/>
          <w:szCs w:val="32"/>
          <w:highlight w:val="none"/>
        </w:rPr>
      </w:pPr>
    </w:p>
    <w:p w14:paraId="3F477822">
      <w:pPr>
        <w:spacing w:line="360" w:lineRule="auto"/>
        <w:ind w:firstLine="422" w:firstLineChars="200"/>
        <w:contextualSpacing/>
        <w:rPr>
          <w:rFonts w:ascii="宋体" w:hAnsi="宋体" w:cs="宋体"/>
          <w:b/>
          <w:bCs/>
          <w:sz w:val="21"/>
          <w:szCs w:val="21"/>
          <w:highlight w:val="none"/>
        </w:rPr>
      </w:pPr>
      <w:r>
        <w:rPr>
          <w:rFonts w:hint="eastAsia" w:ascii="宋体" w:hAnsi="宋体" w:cs="宋体"/>
          <w:b/>
          <w:bCs/>
          <w:sz w:val="21"/>
          <w:szCs w:val="21"/>
          <w:highlight w:val="none"/>
        </w:rPr>
        <w:t>一、我方承诺无下列相互串通参与</w:t>
      </w:r>
      <w:r>
        <w:rPr>
          <w:rFonts w:hint="eastAsia" w:ascii="宋体" w:hAnsi="宋体" w:cs="宋体"/>
          <w:sz w:val="21"/>
          <w:szCs w:val="21"/>
          <w:highlight w:val="none"/>
        </w:rPr>
        <w:t>竞争性磋商</w:t>
      </w:r>
      <w:r>
        <w:rPr>
          <w:rFonts w:hint="eastAsia" w:ascii="宋体" w:hAnsi="宋体" w:cs="宋体"/>
          <w:b/>
          <w:bCs/>
          <w:sz w:val="21"/>
          <w:szCs w:val="21"/>
          <w:highlight w:val="none"/>
        </w:rPr>
        <w:t>的情形：</w:t>
      </w:r>
    </w:p>
    <w:p w14:paraId="44900C88">
      <w:pPr>
        <w:spacing w:line="360" w:lineRule="auto"/>
        <w:ind w:firstLine="420" w:firstLineChars="200"/>
        <w:contextualSpacing/>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不同供应商的响应文件由同一单位或者个人编制；或不同供应商报名的IP地址一致的</w:t>
      </w:r>
      <w:r>
        <w:rPr>
          <w:rFonts w:hint="eastAsia" w:ascii="宋体" w:hAnsi="宋体" w:cs="宋体"/>
          <w:b w:val="0"/>
          <w:bCs w:val="0"/>
          <w:sz w:val="21"/>
          <w:szCs w:val="21"/>
          <w:highlight w:val="none"/>
          <w:lang w:eastAsia="zh-CN"/>
        </w:rPr>
        <w:t>；或者编制响应文件硬件设备CPU编号、硬盘编号、网卡地址一致的情况；</w:t>
      </w:r>
    </w:p>
    <w:p w14:paraId="0718EA14">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2</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不同供应商委托同一单位或者个人办理竞争性磋商事宜；</w:t>
      </w:r>
    </w:p>
    <w:p w14:paraId="0DC5BB27">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3</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不同的供应商的响应文件载明的项目管理员为同一个人；</w:t>
      </w:r>
    </w:p>
    <w:p w14:paraId="468EC8E3">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4</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不同供应商的响应文件异常一致或者报价呈规律性差异；</w:t>
      </w:r>
    </w:p>
    <w:p w14:paraId="40D96EA2">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5</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不同供应商的响应文件相互混装；</w:t>
      </w:r>
    </w:p>
    <w:p w14:paraId="7D9A8D79">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6</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不同供应商的磋商保证金从同一单位或者个人账户转出。</w:t>
      </w:r>
      <w:r>
        <w:rPr>
          <w:rFonts w:hint="eastAsia" w:ascii="宋体" w:hAnsi="宋体" w:cs="宋体"/>
          <w:b w:val="0"/>
          <w:bCs w:val="0"/>
          <w:sz w:val="21"/>
          <w:szCs w:val="21"/>
          <w:highlight w:val="none"/>
        </w:rPr>
        <w:tab/>
      </w:r>
    </w:p>
    <w:p w14:paraId="05D87EA6">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7</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供应商之间协商报价等响应文件的实质性内容；</w:t>
      </w:r>
    </w:p>
    <w:p w14:paraId="12435720">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8</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供应商之间约定成交供应商；</w:t>
      </w:r>
    </w:p>
    <w:p w14:paraId="13CD8A62">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9</w:t>
      </w:r>
      <w:r>
        <w:rPr>
          <w:rFonts w:hint="eastAsia" w:ascii="宋体" w:hAnsi="宋体" w:cs="宋体"/>
          <w:b w:val="0"/>
          <w:bCs w:val="0"/>
          <w:sz w:val="21"/>
          <w:szCs w:val="21"/>
          <w:highlight w:val="none"/>
          <w:lang w:val="en-US" w:eastAsia="zh-CN"/>
        </w:rPr>
        <w:t>.</w:t>
      </w:r>
      <w:r>
        <w:rPr>
          <w:rFonts w:hint="eastAsia" w:ascii="宋体" w:hAnsi="宋体" w:cs="宋体"/>
          <w:b w:val="0"/>
          <w:bCs w:val="0"/>
          <w:sz w:val="21"/>
          <w:szCs w:val="21"/>
          <w:highlight w:val="none"/>
        </w:rPr>
        <w:t>供应商之间约定部分供应商放弃参与竞争性磋商或者成交；</w:t>
      </w:r>
    </w:p>
    <w:p w14:paraId="2715B01A">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0.</w:t>
      </w:r>
      <w:r>
        <w:rPr>
          <w:rFonts w:hint="eastAsia" w:ascii="宋体" w:hAnsi="宋体" w:cs="宋体"/>
          <w:b w:val="0"/>
          <w:bCs w:val="0"/>
          <w:sz w:val="21"/>
          <w:szCs w:val="21"/>
          <w:highlight w:val="none"/>
        </w:rPr>
        <w:t>属于同一集团、协会、商会等组织成员的供应商按照该组织要求协同参与竞争性磋商；</w:t>
      </w:r>
    </w:p>
    <w:p w14:paraId="64B901B5">
      <w:pPr>
        <w:spacing w:line="360" w:lineRule="auto"/>
        <w:ind w:firstLine="420" w:firstLineChars="200"/>
        <w:contextualSpacing/>
        <w:rPr>
          <w:rFonts w:hint="eastAsia" w:ascii="宋体" w:hAnsi="宋体" w:cs="宋体"/>
          <w:b w:val="0"/>
          <w:bCs w:val="0"/>
          <w:sz w:val="21"/>
          <w:szCs w:val="21"/>
          <w:highlight w:val="none"/>
        </w:rPr>
      </w:pPr>
      <w:r>
        <w:rPr>
          <w:rFonts w:hint="eastAsia" w:ascii="宋体" w:hAnsi="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1.</w:t>
      </w:r>
      <w:r>
        <w:rPr>
          <w:rFonts w:hint="eastAsia" w:ascii="宋体" w:hAnsi="宋体" w:cs="宋体"/>
          <w:b w:val="0"/>
          <w:bCs w:val="0"/>
          <w:sz w:val="21"/>
          <w:szCs w:val="21"/>
          <w:highlight w:val="none"/>
        </w:rPr>
        <w:t>供应商之间为谋取成交或者排斥特定供应商而采取的其他联合行动。</w:t>
      </w:r>
    </w:p>
    <w:p w14:paraId="73103671">
      <w:pPr>
        <w:spacing w:line="360" w:lineRule="auto"/>
        <w:ind w:firstLine="422" w:firstLineChars="200"/>
        <w:contextualSpacing/>
        <w:rPr>
          <w:rFonts w:ascii="宋体" w:hAnsi="宋体" w:cs="宋体"/>
          <w:b/>
          <w:bCs/>
          <w:sz w:val="21"/>
          <w:szCs w:val="21"/>
          <w:highlight w:val="none"/>
        </w:rPr>
      </w:pPr>
      <w:r>
        <w:rPr>
          <w:rFonts w:hint="eastAsia" w:ascii="宋体" w:hAnsi="宋体" w:cs="宋体"/>
          <w:b/>
          <w:bCs/>
          <w:sz w:val="21"/>
          <w:szCs w:val="21"/>
          <w:highlight w:val="none"/>
        </w:rPr>
        <w:t>二、我方承诺无下列恶意串通的情形：</w:t>
      </w:r>
    </w:p>
    <w:p w14:paraId="676EC69D">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1.供应商直接或者间接从采购人或者采购代理机构处获得其他供应商的相关信息并修改其响应文件；</w:t>
      </w:r>
    </w:p>
    <w:p w14:paraId="3140C021">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2.供应商按照采购人或者采购代理机构的授意撤换、修改响应文件；</w:t>
      </w:r>
    </w:p>
    <w:p w14:paraId="48AB5333">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3.供</w:t>
      </w:r>
      <w:r>
        <w:rPr>
          <w:rFonts w:hint="eastAsia" w:ascii="宋体" w:hAnsi="宋体" w:cs="宋体"/>
          <w:spacing w:val="-6"/>
          <w:sz w:val="21"/>
          <w:szCs w:val="21"/>
          <w:highlight w:val="none"/>
        </w:rPr>
        <w:t>应商之间协商报价、技术方案等响应文件的实质性内容；</w:t>
      </w:r>
    </w:p>
    <w:p w14:paraId="57E5F055">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4.属于同一集团、协会、商会等组织成员的供应商按照该组织要求协同参加政府采购活动；</w:t>
      </w:r>
    </w:p>
    <w:p w14:paraId="0BA12FAB">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49D76284">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6.供应商之间商定部分供应商放弃参加政府采购活动或者放弃成交；</w:t>
      </w:r>
    </w:p>
    <w:p w14:paraId="44E84C78">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7.供应商与采购人或者采购代理机构之间、供应商相互之间，为</w:t>
      </w:r>
      <w:r>
        <w:rPr>
          <w:rFonts w:hint="eastAsia" w:ascii="宋体" w:hAnsi="宋体" w:cs="宋体"/>
          <w:spacing w:val="-6"/>
          <w:sz w:val="21"/>
          <w:szCs w:val="21"/>
          <w:highlight w:val="none"/>
        </w:rPr>
        <w:t>谋求特定供应商成交或者排斥其他供应商的其他串通行为。</w:t>
      </w:r>
    </w:p>
    <w:p w14:paraId="6FB2608C">
      <w:pPr>
        <w:spacing w:line="360" w:lineRule="auto"/>
        <w:ind w:firstLine="420" w:firstLineChars="200"/>
        <w:contextualSpacing/>
        <w:rPr>
          <w:rFonts w:ascii="宋体" w:hAnsi="宋体" w:cs="宋体"/>
          <w:sz w:val="21"/>
          <w:szCs w:val="21"/>
          <w:highlight w:val="none"/>
        </w:rPr>
      </w:pPr>
    </w:p>
    <w:p w14:paraId="69C46B7C">
      <w:pPr>
        <w:spacing w:line="360" w:lineRule="auto"/>
        <w:ind w:firstLine="422" w:firstLineChars="200"/>
        <w:contextualSpacing/>
        <w:rPr>
          <w:rFonts w:ascii="宋体" w:hAnsi="宋体" w:cs="宋体"/>
          <w:b/>
          <w:bCs/>
          <w:sz w:val="21"/>
          <w:szCs w:val="21"/>
          <w:highlight w:val="none"/>
        </w:rPr>
      </w:pPr>
      <w:r>
        <w:rPr>
          <w:rFonts w:hint="eastAsia" w:ascii="宋体" w:hAnsi="宋体" w:cs="宋体"/>
          <w:b/>
          <w:bCs/>
          <w:sz w:val="21"/>
          <w:szCs w:val="21"/>
          <w:highlight w:val="none"/>
        </w:rPr>
        <w:t>以上情形一经核查属实，我方愿意承担一切后果，并不再寻求任何旨在减轻或者免除法律责任的辩解。</w:t>
      </w:r>
    </w:p>
    <w:p w14:paraId="22694A58">
      <w:pPr>
        <w:spacing w:line="360" w:lineRule="auto"/>
        <w:ind w:firstLine="4410" w:firstLineChars="2100"/>
        <w:contextualSpacing/>
        <w:rPr>
          <w:rFonts w:ascii="宋体" w:hAnsi="宋体" w:cs="宋体"/>
          <w:sz w:val="21"/>
          <w:szCs w:val="21"/>
          <w:highlight w:val="none"/>
          <w:u w:val="single"/>
        </w:rPr>
      </w:pPr>
      <w:r>
        <w:rPr>
          <w:rFonts w:hint="eastAsia" w:ascii="宋体" w:hAnsi="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379D9B6A">
      <w:pPr>
        <w:spacing w:line="360" w:lineRule="auto"/>
        <w:ind w:firstLine="420" w:firstLineChars="200"/>
        <w:contextualSpacing/>
        <w:jc w:val="center"/>
        <w:rPr>
          <w:rFonts w:ascii="宋体" w:hAnsi="宋体" w:cs="宋体"/>
          <w:sz w:val="21"/>
          <w:szCs w:val="21"/>
          <w:highlight w:val="none"/>
        </w:rPr>
      </w:pPr>
      <w:r>
        <w:rPr>
          <w:rFonts w:hint="eastAsia" w:ascii="宋体" w:hAnsi="宋体" w:cs="宋体"/>
          <w:sz w:val="21"/>
          <w:szCs w:val="21"/>
          <w:highlight w:val="none"/>
        </w:rPr>
        <w:t xml:space="preserve">                           </w:t>
      </w:r>
      <w:r>
        <w:rPr>
          <w:rFonts w:hint="eastAsia"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2CABC686">
      <w:pPr>
        <w:jc w:val="left"/>
        <w:rPr>
          <w:rFonts w:hint="eastAsia" w:ascii="宋体" w:hAnsi="宋体" w:cs="宋体"/>
          <w:bCs/>
          <w:sz w:val="44"/>
          <w:szCs w:val="44"/>
          <w:highlight w:val="none"/>
        </w:rPr>
      </w:pPr>
      <w:r>
        <w:rPr>
          <w:rFonts w:hint="eastAsia" w:ascii="宋体" w:hAnsi="宋体" w:cs="宋体"/>
          <w:bCs/>
          <w:sz w:val="44"/>
          <w:szCs w:val="44"/>
          <w:highlight w:val="none"/>
        </w:rPr>
        <w:br w:type="page"/>
      </w:r>
    </w:p>
    <w:p w14:paraId="2B82A918">
      <w:pPr>
        <w:jc w:val="center"/>
        <w:rPr>
          <w:rFonts w:ascii="宋体" w:hAnsi="宋体" w:cs="宋体"/>
          <w:b/>
          <w:bCs/>
          <w:sz w:val="24"/>
          <w:szCs w:val="24"/>
          <w:highlight w:val="none"/>
        </w:rPr>
      </w:pPr>
      <w:r>
        <w:rPr>
          <w:rFonts w:hint="eastAsia" w:ascii="宋体" w:hAnsi="宋体" w:cs="宋体"/>
          <w:b/>
          <w:bCs/>
          <w:sz w:val="24"/>
          <w:szCs w:val="24"/>
          <w:highlight w:val="none"/>
        </w:rPr>
        <w:t>竞争性磋商报价表</w:t>
      </w:r>
    </w:p>
    <w:p w14:paraId="02803185">
      <w:pPr>
        <w:spacing w:line="440" w:lineRule="exact"/>
        <w:jc w:val="center"/>
        <w:rPr>
          <w:rFonts w:ascii="宋体" w:hAnsi="宋体" w:cs="宋体"/>
          <w:bCs/>
          <w:sz w:val="32"/>
          <w:szCs w:val="32"/>
          <w:highlight w:val="none"/>
        </w:rPr>
      </w:pPr>
    </w:p>
    <w:p w14:paraId="31387A5A">
      <w:pPr>
        <w:spacing w:line="360" w:lineRule="auto"/>
        <w:contextualSpacing/>
        <w:rPr>
          <w:rFonts w:ascii="宋体" w:hAnsi="宋体" w:cs="宋体"/>
          <w:sz w:val="21"/>
          <w:szCs w:val="21"/>
          <w:highlight w:val="none"/>
        </w:rPr>
      </w:pPr>
      <w:r>
        <w:rPr>
          <w:rFonts w:hint="eastAsia" w:ascii="宋体" w:hAnsi="宋体" w:cs="宋体"/>
          <w:sz w:val="21"/>
          <w:szCs w:val="21"/>
          <w:highlight w:val="none"/>
        </w:rPr>
        <w:t>项目名称：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项目编号：</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63765130">
      <w:pPr>
        <w:spacing w:line="360" w:lineRule="auto"/>
        <w:contextualSpacing/>
        <w:rPr>
          <w:rFonts w:ascii="宋体" w:hAnsi="宋体" w:cs="宋体"/>
          <w:sz w:val="21"/>
          <w:szCs w:val="21"/>
          <w:highlight w:val="none"/>
          <w:u w:val="single"/>
        </w:rPr>
      </w:pPr>
      <w:r>
        <w:rPr>
          <w:rFonts w:hint="eastAsia" w:ascii="宋体" w:hAnsi="宋体" w:cs="宋体"/>
          <w:sz w:val="21"/>
          <w:szCs w:val="21"/>
          <w:highlight w:val="none"/>
        </w:rPr>
        <w:t>分标（如有）：</w:t>
      </w:r>
      <w:r>
        <w:rPr>
          <w:rFonts w:hint="eastAsia" w:ascii="宋体" w:hAnsi="宋体" w:cs="宋体"/>
          <w:sz w:val="21"/>
          <w:szCs w:val="21"/>
          <w:highlight w:val="none"/>
          <w:u w:val="single"/>
        </w:rPr>
        <w:t xml:space="preserve">                                         </w:t>
      </w:r>
    </w:p>
    <w:p w14:paraId="70C5CE22">
      <w:pPr>
        <w:spacing w:line="360" w:lineRule="auto"/>
        <w:contextualSpacing/>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6B6FFE5B">
      <w:pPr>
        <w:spacing w:line="360" w:lineRule="auto"/>
        <w:contextualSpacing/>
        <w:rPr>
          <w:rFonts w:ascii="宋体" w:hAnsi="宋体" w:cs="宋体"/>
          <w:sz w:val="21"/>
          <w:szCs w:val="21"/>
          <w:highlight w:val="none"/>
        </w:rPr>
      </w:pPr>
      <w:r>
        <w:rPr>
          <w:rFonts w:hint="eastAsia" w:ascii="宋体" w:hAnsi="宋体" w:cs="宋体"/>
          <w:sz w:val="21"/>
          <w:szCs w:val="21"/>
          <w:highlight w:val="none"/>
        </w:rPr>
        <w:t xml:space="preserve">                                                    货币单位：</w:t>
      </w:r>
      <w:r>
        <w:rPr>
          <w:rFonts w:hint="eastAsia" w:hAnsi="宋体" w:cs="宋体"/>
          <w:b/>
          <w:highlight w:val="none"/>
        </w:rPr>
        <w:t>%</w:t>
      </w:r>
    </w:p>
    <w:tbl>
      <w:tblPr>
        <w:tblStyle w:val="30"/>
        <w:tblW w:w="9493"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080"/>
        <w:gridCol w:w="2103"/>
        <w:gridCol w:w="824"/>
        <w:gridCol w:w="622"/>
        <w:gridCol w:w="3146"/>
      </w:tblGrid>
      <w:tr w14:paraId="4EF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718" w:type="dxa"/>
            <w:tcBorders>
              <w:top w:val="single" w:color="auto" w:sz="4" w:space="0"/>
              <w:left w:val="single" w:color="auto" w:sz="4" w:space="0"/>
              <w:bottom w:val="single" w:color="auto" w:sz="4" w:space="0"/>
              <w:right w:val="single" w:color="auto" w:sz="4" w:space="0"/>
            </w:tcBorders>
            <w:vAlign w:val="center"/>
          </w:tcPr>
          <w:p w14:paraId="0BDF659B">
            <w:pPr>
              <w:wordWrap w:val="0"/>
              <w:topLinePunct/>
              <w:spacing w:line="40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080" w:type="dxa"/>
            <w:tcBorders>
              <w:top w:val="single" w:color="auto" w:sz="4" w:space="0"/>
              <w:left w:val="single" w:color="auto" w:sz="4" w:space="0"/>
              <w:bottom w:val="single" w:color="auto" w:sz="4" w:space="0"/>
              <w:right w:val="single" w:color="auto" w:sz="4" w:space="0"/>
            </w:tcBorders>
            <w:vAlign w:val="center"/>
          </w:tcPr>
          <w:p w14:paraId="7F309D96">
            <w:pPr>
              <w:wordWrap w:val="0"/>
              <w:topLinePunct/>
              <w:spacing w:line="400" w:lineRule="exact"/>
              <w:jc w:val="center"/>
              <w:rPr>
                <w:rFonts w:ascii="宋体" w:hAnsi="宋体" w:cs="宋体"/>
                <w:sz w:val="21"/>
                <w:szCs w:val="21"/>
                <w:highlight w:val="none"/>
              </w:rPr>
            </w:pPr>
            <w:r>
              <w:rPr>
                <w:rFonts w:hint="eastAsia" w:ascii="宋体" w:hAnsi="宋体" w:cs="宋体"/>
                <w:sz w:val="21"/>
                <w:szCs w:val="21"/>
                <w:highlight w:val="none"/>
              </w:rPr>
              <w:t>服务名称</w:t>
            </w:r>
          </w:p>
        </w:tc>
        <w:tc>
          <w:tcPr>
            <w:tcW w:w="2103" w:type="dxa"/>
            <w:tcBorders>
              <w:top w:val="single" w:color="auto" w:sz="4" w:space="0"/>
              <w:left w:val="single" w:color="auto" w:sz="4" w:space="0"/>
              <w:bottom w:val="single" w:color="auto" w:sz="4" w:space="0"/>
              <w:right w:val="single" w:color="auto" w:sz="4" w:space="0"/>
            </w:tcBorders>
            <w:vAlign w:val="center"/>
          </w:tcPr>
          <w:p w14:paraId="2511FF15">
            <w:pPr>
              <w:wordWrap w:val="0"/>
              <w:topLinePunct/>
              <w:spacing w:line="400" w:lineRule="exact"/>
              <w:jc w:val="center"/>
              <w:rPr>
                <w:rFonts w:ascii="宋体" w:hAnsi="宋体" w:cs="宋体"/>
                <w:sz w:val="21"/>
                <w:szCs w:val="21"/>
                <w:highlight w:val="none"/>
              </w:rPr>
            </w:pPr>
            <w:r>
              <w:rPr>
                <w:rFonts w:hint="eastAsia" w:ascii="宋体" w:hAnsi="宋体" w:cs="宋体"/>
                <w:sz w:val="21"/>
                <w:szCs w:val="21"/>
                <w:highlight w:val="none"/>
              </w:rPr>
              <w:t>服务要求</w:t>
            </w:r>
          </w:p>
        </w:tc>
        <w:tc>
          <w:tcPr>
            <w:tcW w:w="824" w:type="dxa"/>
            <w:tcBorders>
              <w:top w:val="single" w:color="auto" w:sz="4" w:space="0"/>
              <w:left w:val="single" w:color="auto" w:sz="4" w:space="0"/>
              <w:bottom w:val="single" w:color="auto" w:sz="4" w:space="0"/>
              <w:right w:val="single" w:color="auto" w:sz="4" w:space="0"/>
            </w:tcBorders>
            <w:vAlign w:val="center"/>
          </w:tcPr>
          <w:p w14:paraId="3777C121">
            <w:pPr>
              <w:wordWrap w:val="0"/>
              <w:topLinePunct/>
              <w:spacing w:line="400" w:lineRule="exact"/>
              <w:jc w:val="center"/>
              <w:rPr>
                <w:rFonts w:ascii="宋体" w:hAnsi="宋体" w:cs="宋体"/>
                <w:sz w:val="21"/>
                <w:szCs w:val="21"/>
                <w:highlight w:val="none"/>
              </w:rPr>
            </w:pPr>
            <w:r>
              <w:rPr>
                <w:rFonts w:hint="eastAsia" w:ascii="宋体" w:hAnsi="宋体" w:cs="宋体"/>
                <w:sz w:val="21"/>
                <w:szCs w:val="21"/>
                <w:highlight w:val="none"/>
              </w:rPr>
              <w:t>数量</w:t>
            </w:r>
          </w:p>
        </w:tc>
        <w:tc>
          <w:tcPr>
            <w:tcW w:w="622" w:type="dxa"/>
            <w:tcBorders>
              <w:top w:val="single" w:color="auto" w:sz="4" w:space="0"/>
              <w:left w:val="single" w:color="auto" w:sz="4" w:space="0"/>
              <w:bottom w:val="single" w:color="auto" w:sz="4" w:space="0"/>
              <w:right w:val="single" w:color="auto" w:sz="4" w:space="0"/>
            </w:tcBorders>
            <w:vAlign w:val="center"/>
          </w:tcPr>
          <w:p w14:paraId="32E3C331">
            <w:pPr>
              <w:wordWrap w:val="0"/>
              <w:topLinePunct/>
              <w:spacing w:line="400" w:lineRule="exact"/>
              <w:jc w:val="center"/>
              <w:rPr>
                <w:rFonts w:ascii="宋体" w:hAnsi="宋体" w:cs="宋体"/>
                <w:sz w:val="21"/>
                <w:szCs w:val="21"/>
                <w:highlight w:val="none"/>
              </w:rPr>
            </w:pPr>
            <w:r>
              <w:rPr>
                <w:rFonts w:hint="eastAsia" w:ascii="宋体" w:hAnsi="宋体" w:cs="宋体"/>
                <w:sz w:val="21"/>
                <w:szCs w:val="21"/>
                <w:highlight w:val="none"/>
              </w:rPr>
              <w:t>单位</w:t>
            </w:r>
          </w:p>
        </w:tc>
        <w:tc>
          <w:tcPr>
            <w:tcW w:w="3146" w:type="dxa"/>
            <w:tcBorders>
              <w:top w:val="single" w:color="auto" w:sz="4" w:space="0"/>
              <w:left w:val="single" w:color="auto" w:sz="4" w:space="0"/>
              <w:bottom w:val="single" w:color="auto" w:sz="4" w:space="0"/>
              <w:right w:val="single" w:color="auto" w:sz="4" w:space="0"/>
            </w:tcBorders>
            <w:vAlign w:val="center"/>
          </w:tcPr>
          <w:p w14:paraId="4BE15815">
            <w:pPr>
              <w:wordWrap w:val="0"/>
              <w:topLinePunct/>
              <w:spacing w:line="400" w:lineRule="exact"/>
              <w:jc w:val="center"/>
              <w:rPr>
                <w:rFonts w:ascii="宋体" w:hAnsi="宋体" w:cs="宋体"/>
                <w:sz w:val="21"/>
                <w:szCs w:val="21"/>
                <w:highlight w:val="none"/>
              </w:rPr>
            </w:pPr>
            <w:r>
              <w:rPr>
                <w:rFonts w:hint="eastAsia" w:hAnsi="宋体"/>
                <w:szCs w:val="21"/>
                <w:highlight w:val="none"/>
              </w:rPr>
              <w:t>竞争性磋商报价（综合折扣率）</w:t>
            </w:r>
            <w:r>
              <w:rPr>
                <w:rFonts w:hint="eastAsia" w:ascii="宋体" w:hAnsi="宋体"/>
                <w:spacing w:val="-6"/>
                <w:highlight w:val="none"/>
              </w:rPr>
              <w:t>%</w:t>
            </w:r>
            <w:r>
              <w:rPr>
                <w:rFonts w:hint="eastAsia" w:hAnsi="宋体" w:cs="宋体"/>
                <w:b/>
                <w:highlight w:val="none"/>
              </w:rPr>
              <w:t>（以%表示，最多精确到小数点后两位）</w:t>
            </w:r>
            <w:r>
              <w:rPr>
                <w:rFonts w:hint="eastAsia" w:ascii="宋体" w:hAnsi="宋体"/>
                <w:spacing w:val="-6"/>
                <w:highlight w:val="none"/>
              </w:rPr>
              <w:t>。</w:t>
            </w:r>
          </w:p>
        </w:tc>
      </w:tr>
      <w:tr w14:paraId="6C4F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718" w:type="dxa"/>
            <w:tcBorders>
              <w:top w:val="single" w:color="auto" w:sz="4" w:space="0"/>
              <w:left w:val="single" w:color="auto" w:sz="4" w:space="0"/>
              <w:bottom w:val="single" w:color="auto" w:sz="4" w:space="0"/>
              <w:right w:val="single" w:color="auto" w:sz="4" w:space="0"/>
            </w:tcBorders>
            <w:vAlign w:val="center"/>
          </w:tcPr>
          <w:p w14:paraId="01D4437B">
            <w:pPr>
              <w:wordWrap w:val="0"/>
              <w:topLinePunct/>
              <w:spacing w:line="400" w:lineRule="exact"/>
              <w:jc w:val="center"/>
              <w:rPr>
                <w:rFonts w:hint="eastAsia" w:ascii="宋体" w:hAnsi="宋体" w:cs="宋体"/>
                <w:sz w:val="21"/>
                <w:szCs w:val="21"/>
                <w:highlight w:val="none"/>
              </w:rPr>
            </w:pPr>
            <w:r>
              <w:rPr>
                <w:rFonts w:hint="eastAsia" w:ascii="宋体" w:hAnsi="宋体" w:cs="宋体"/>
                <w:sz w:val="21"/>
                <w:szCs w:val="21"/>
                <w:highlight w:val="none"/>
                <w:lang w:val="en-US" w:eastAsia="zh-CN"/>
              </w:rPr>
              <w:t>1</w:t>
            </w:r>
          </w:p>
        </w:tc>
        <w:tc>
          <w:tcPr>
            <w:tcW w:w="2080" w:type="dxa"/>
            <w:tcBorders>
              <w:top w:val="single" w:color="auto" w:sz="4" w:space="0"/>
              <w:left w:val="single" w:color="auto" w:sz="4" w:space="0"/>
              <w:bottom w:val="single" w:color="auto" w:sz="4" w:space="0"/>
              <w:right w:val="single" w:color="auto" w:sz="4" w:space="0"/>
            </w:tcBorders>
            <w:vAlign w:val="center"/>
          </w:tcPr>
          <w:p w14:paraId="6F942536">
            <w:pPr>
              <w:wordWrap w:val="0"/>
              <w:topLinePunct/>
              <w:spacing w:line="400" w:lineRule="exact"/>
              <w:jc w:val="center"/>
              <w:rPr>
                <w:rFonts w:ascii="宋体" w:hAnsi="宋体" w:cs="宋体"/>
                <w:sz w:val="21"/>
                <w:szCs w:val="21"/>
                <w:highlight w:val="none"/>
              </w:rPr>
            </w:pPr>
            <w:r>
              <w:rPr>
                <w:rFonts w:hint="eastAsia" w:ascii="宋体" w:hAnsi="宋体" w:eastAsia="宋体" w:cs="宋体"/>
                <w:sz w:val="21"/>
                <w:szCs w:val="21"/>
                <w:highlight w:val="none"/>
                <w:u w:val="none"/>
              </w:rPr>
              <w:t>医用织物洗涤（含消毒等）服务</w:t>
            </w:r>
          </w:p>
        </w:tc>
        <w:tc>
          <w:tcPr>
            <w:tcW w:w="2103" w:type="dxa"/>
            <w:tcBorders>
              <w:top w:val="single" w:color="auto" w:sz="4" w:space="0"/>
              <w:left w:val="single" w:color="auto" w:sz="4" w:space="0"/>
              <w:bottom w:val="single" w:color="auto" w:sz="4" w:space="0"/>
              <w:right w:val="single" w:color="auto" w:sz="4" w:space="0"/>
            </w:tcBorders>
            <w:vAlign w:val="center"/>
          </w:tcPr>
          <w:p w14:paraId="41709B9D">
            <w:pPr>
              <w:wordWrap w:val="0"/>
              <w:topLinePunct/>
              <w:spacing w:line="400" w:lineRule="exact"/>
              <w:jc w:val="center"/>
              <w:rPr>
                <w:rFonts w:ascii="宋体" w:hAnsi="宋体" w:cs="宋体"/>
                <w:sz w:val="21"/>
                <w:szCs w:val="21"/>
                <w:highlight w:val="none"/>
              </w:rPr>
            </w:pPr>
            <w:r>
              <w:rPr>
                <w:rFonts w:hint="eastAsia" w:ascii="宋体" w:hAnsi="宋体" w:eastAsia="宋体" w:cs="宋体"/>
                <w:b/>
                <w:bCs/>
                <w:color w:val="auto"/>
                <w:szCs w:val="21"/>
                <w:highlight w:val="none"/>
                <w:lang w:val="en-US" w:eastAsia="zh-CN"/>
              </w:rPr>
              <w:t>按采购文件第三章项目采购需求</w:t>
            </w:r>
          </w:p>
        </w:tc>
        <w:tc>
          <w:tcPr>
            <w:tcW w:w="824" w:type="dxa"/>
            <w:tcBorders>
              <w:top w:val="single" w:color="auto" w:sz="4" w:space="0"/>
              <w:left w:val="single" w:color="auto" w:sz="4" w:space="0"/>
              <w:bottom w:val="single" w:color="auto" w:sz="4" w:space="0"/>
              <w:right w:val="single" w:color="auto" w:sz="4" w:space="0"/>
            </w:tcBorders>
            <w:vAlign w:val="center"/>
          </w:tcPr>
          <w:p w14:paraId="19B269A7">
            <w:pPr>
              <w:wordWrap w:val="0"/>
              <w:topLinePunct/>
              <w:spacing w:line="400" w:lineRule="exact"/>
              <w:jc w:val="center"/>
              <w:rPr>
                <w:rFonts w:ascii="宋体" w:hAnsi="宋体" w:cs="宋体"/>
                <w:sz w:val="21"/>
                <w:szCs w:val="21"/>
                <w:highlight w:val="none"/>
              </w:rPr>
            </w:pPr>
            <w:r>
              <w:rPr>
                <w:rFonts w:hint="eastAsia" w:ascii="宋体" w:hAnsi="宋体" w:cs="宋体"/>
                <w:szCs w:val="21"/>
                <w:highlight w:val="none"/>
              </w:rPr>
              <w:t>1</w:t>
            </w:r>
          </w:p>
        </w:tc>
        <w:tc>
          <w:tcPr>
            <w:tcW w:w="622" w:type="dxa"/>
            <w:tcBorders>
              <w:top w:val="single" w:color="auto" w:sz="4" w:space="0"/>
              <w:left w:val="single" w:color="auto" w:sz="4" w:space="0"/>
              <w:bottom w:val="single" w:color="auto" w:sz="4" w:space="0"/>
              <w:right w:val="single" w:color="auto" w:sz="4" w:space="0"/>
            </w:tcBorders>
            <w:vAlign w:val="center"/>
          </w:tcPr>
          <w:p w14:paraId="4F72C1DF">
            <w:pPr>
              <w:wordWrap w:val="0"/>
              <w:topLinePunct/>
              <w:spacing w:line="400" w:lineRule="exact"/>
              <w:jc w:val="center"/>
              <w:rPr>
                <w:rFonts w:ascii="宋体" w:hAnsi="宋体" w:cs="宋体"/>
                <w:sz w:val="21"/>
                <w:szCs w:val="21"/>
                <w:highlight w:val="none"/>
              </w:rPr>
            </w:pPr>
            <w:r>
              <w:rPr>
                <w:rFonts w:hint="eastAsia" w:ascii="宋体" w:hAnsi="宋体" w:cs="宋体"/>
                <w:szCs w:val="21"/>
                <w:highlight w:val="none"/>
              </w:rPr>
              <w:t>项</w:t>
            </w:r>
          </w:p>
        </w:tc>
        <w:tc>
          <w:tcPr>
            <w:tcW w:w="3146" w:type="dxa"/>
            <w:tcBorders>
              <w:top w:val="single" w:color="auto" w:sz="4" w:space="0"/>
              <w:left w:val="single" w:color="auto" w:sz="4" w:space="0"/>
              <w:bottom w:val="single" w:color="auto" w:sz="4" w:space="0"/>
              <w:right w:val="single" w:color="auto" w:sz="4" w:space="0"/>
            </w:tcBorders>
            <w:vAlign w:val="center"/>
          </w:tcPr>
          <w:p w14:paraId="3DC57FC3">
            <w:pPr>
              <w:wordWrap w:val="0"/>
              <w:topLinePunct/>
              <w:spacing w:line="400" w:lineRule="exact"/>
              <w:jc w:val="center"/>
              <w:rPr>
                <w:rFonts w:ascii="宋体" w:hAnsi="宋体" w:cs="宋体"/>
                <w:sz w:val="21"/>
                <w:szCs w:val="21"/>
                <w:highlight w:val="none"/>
              </w:rPr>
            </w:pPr>
          </w:p>
        </w:tc>
      </w:tr>
      <w:tr w14:paraId="116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9493" w:type="dxa"/>
            <w:gridSpan w:val="6"/>
            <w:tcBorders>
              <w:top w:val="single" w:color="auto" w:sz="4" w:space="0"/>
              <w:left w:val="single" w:color="auto" w:sz="4" w:space="0"/>
              <w:bottom w:val="single" w:color="auto" w:sz="4" w:space="0"/>
              <w:right w:val="single" w:color="auto" w:sz="4" w:space="0"/>
            </w:tcBorders>
            <w:vAlign w:val="center"/>
          </w:tcPr>
          <w:p w14:paraId="14E880F0">
            <w:pPr>
              <w:wordWrap w:val="0"/>
              <w:topLinePunct/>
              <w:spacing w:line="400" w:lineRule="exact"/>
              <w:rPr>
                <w:rFonts w:ascii="宋体" w:hAnsi="宋体" w:cs="宋体"/>
                <w:sz w:val="21"/>
                <w:szCs w:val="21"/>
                <w:highlight w:val="none"/>
              </w:rPr>
            </w:pPr>
            <w:r>
              <w:rPr>
                <w:rFonts w:hint="eastAsia" w:ascii="宋体" w:hAnsi="宋体"/>
                <w:szCs w:val="21"/>
                <w:highlight w:val="none"/>
              </w:rPr>
              <w:t>服务期限：自签订合同之日起2年。</w:t>
            </w:r>
          </w:p>
        </w:tc>
      </w:tr>
      <w:tr w14:paraId="66AF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1" w:hRule="atLeast"/>
        </w:trPr>
        <w:tc>
          <w:tcPr>
            <w:tcW w:w="9493" w:type="dxa"/>
            <w:gridSpan w:val="6"/>
            <w:tcBorders>
              <w:top w:val="single" w:color="auto" w:sz="4" w:space="0"/>
              <w:left w:val="single" w:color="auto" w:sz="4" w:space="0"/>
              <w:bottom w:val="single" w:color="auto" w:sz="4" w:space="0"/>
              <w:right w:val="single" w:color="auto" w:sz="4" w:space="0"/>
            </w:tcBorders>
            <w:vAlign w:val="center"/>
          </w:tcPr>
          <w:p w14:paraId="3AD79243">
            <w:pPr>
              <w:wordWrap w:val="0"/>
              <w:topLinePunct/>
              <w:spacing w:line="300" w:lineRule="exact"/>
              <w:rPr>
                <w:rFonts w:hint="eastAsia" w:ascii="宋体" w:hAnsi="宋体"/>
                <w:szCs w:val="21"/>
                <w:highlight w:val="none"/>
                <w:lang w:val="en-US" w:eastAsia="zh-CN"/>
              </w:rPr>
            </w:pPr>
            <w:r>
              <w:rPr>
                <w:rFonts w:hint="eastAsia" w:ascii="宋体" w:hAnsi="宋体"/>
                <w:szCs w:val="21"/>
                <w:highlight w:val="none"/>
                <w:lang w:val="en-US" w:eastAsia="zh-CN"/>
              </w:rPr>
              <w:t>说明：</w:t>
            </w:r>
          </w:p>
          <w:p w14:paraId="5704868D">
            <w:pPr>
              <w:numPr>
                <w:ilvl w:val="-1"/>
                <w:numId w:val="0"/>
              </w:numPr>
              <w:wordWrap w:val="0"/>
              <w:topLinePunct/>
              <w:spacing w:line="300" w:lineRule="exac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预算金额：本项目预算金额约为人民币壹佰贰拾万元整（¥1200000.00）。预算金额不等于实际结算价款，服务期限内实际结算价款按</w:t>
            </w:r>
            <w:r>
              <w:rPr>
                <w:rFonts w:hint="eastAsia" w:ascii="宋体" w:hAnsi="宋体"/>
                <w:szCs w:val="21"/>
                <w:highlight w:val="none"/>
                <w:lang w:val="en-US" w:eastAsia="zh-CN"/>
              </w:rPr>
              <w:t>成交</w:t>
            </w:r>
            <w:r>
              <w:rPr>
                <w:rFonts w:hint="eastAsia" w:ascii="宋体" w:hAnsi="宋体"/>
                <w:szCs w:val="21"/>
                <w:highlight w:val="none"/>
              </w:rPr>
              <w:t>人实际提供的医用织物洗涤（含消毒等）数量据实结算。</w:t>
            </w:r>
          </w:p>
          <w:p w14:paraId="3F03F6E6">
            <w:pPr>
              <w:pStyle w:val="17"/>
              <w:wordWrap w:val="0"/>
              <w:topLinePunct/>
              <w:adjustRightInd/>
              <w:snapToGrid/>
              <w:spacing w:line="300" w:lineRule="exact"/>
              <w:ind w:firstLine="420" w:firstLineChars="200"/>
              <w:rPr>
                <w:rFonts w:hint="default" w:hAnsi="宋体" w:cs="宋体"/>
                <w:b w:val="0"/>
                <w:bCs/>
                <w:sz w:val="21"/>
                <w:highlight w:val="none"/>
                <w:lang w:val="en-US" w:eastAsia="zh-CN"/>
              </w:rPr>
            </w:pPr>
            <w:r>
              <w:rPr>
                <w:rFonts w:hint="eastAsia" w:hAnsi="宋体" w:cs="宋体"/>
                <w:b w:val="0"/>
                <w:bCs/>
                <w:sz w:val="21"/>
                <w:highlight w:val="none"/>
                <w:lang w:val="en-US" w:eastAsia="zh-CN"/>
              </w:rPr>
              <w:t>2.报价要求：</w:t>
            </w:r>
          </w:p>
          <w:p w14:paraId="49839E9C">
            <w:pPr>
              <w:pStyle w:val="17"/>
              <w:wordWrap w:val="0"/>
              <w:topLinePunct/>
              <w:adjustRightInd/>
              <w:snapToGrid/>
              <w:spacing w:line="300" w:lineRule="exact"/>
              <w:ind w:firstLine="420" w:firstLineChars="200"/>
              <w:rPr>
                <w:rFonts w:hAnsi="宋体" w:cs="宋体"/>
                <w:b w:val="0"/>
                <w:bCs/>
                <w:sz w:val="21"/>
                <w:highlight w:val="none"/>
              </w:rPr>
            </w:pPr>
            <w:r>
              <w:rPr>
                <w:rFonts w:hint="eastAsia" w:hAnsi="宋体" w:cs="宋体"/>
                <w:b w:val="0"/>
                <w:bCs/>
                <w:sz w:val="21"/>
                <w:highlight w:val="none"/>
                <w:lang w:eastAsia="zh-CN"/>
              </w:rPr>
              <w:t>（</w:t>
            </w:r>
            <w:r>
              <w:rPr>
                <w:rFonts w:hint="eastAsia" w:hAnsi="宋体" w:cs="宋体"/>
                <w:b w:val="0"/>
                <w:bCs/>
                <w:sz w:val="21"/>
                <w:highlight w:val="none"/>
                <w:lang w:val="en-US" w:eastAsia="zh-CN"/>
              </w:rPr>
              <w:t>1</w:t>
            </w:r>
            <w:r>
              <w:rPr>
                <w:rFonts w:hint="eastAsia" w:hAnsi="宋体" w:cs="宋体"/>
                <w:b w:val="0"/>
                <w:bCs/>
                <w:sz w:val="21"/>
                <w:highlight w:val="none"/>
                <w:lang w:eastAsia="zh-CN"/>
              </w:rPr>
              <w:t>）</w:t>
            </w:r>
            <w:r>
              <w:rPr>
                <w:rFonts w:hint="eastAsia" w:hAnsi="宋体" w:cs="宋体"/>
                <w:b w:val="0"/>
                <w:bCs/>
                <w:sz w:val="21"/>
                <w:highlight w:val="none"/>
              </w:rPr>
              <w:t>本项目</w:t>
            </w:r>
            <w:r>
              <w:rPr>
                <w:rFonts w:hint="eastAsia" w:hAnsi="宋体" w:cs="宋体"/>
                <w:b w:val="0"/>
                <w:bCs/>
                <w:sz w:val="21"/>
                <w:highlight w:val="none"/>
                <w:lang w:val="en-US" w:eastAsia="zh-CN"/>
              </w:rPr>
              <w:t>磋商</w:t>
            </w:r>
            <w:r>
              <w:rPr>
                <w:rFonts w:hint="eastAsia" w:hAnsi="宋体" w:cs="宋体"/>
                <w:b w:val="0"/>
                <w:bCs/>
                <w:sz w:val="21"/>
                <w:highlight w:val="none"/>
              </w:rPr>
              <w:t>报价采用综合折扣率报价（以%表示，最多精确到小数点后两位）方式。</w:t>
            </w:r>
            <w:r>
              <w:rPr>
                <w:rFonts w:hint="eastAsia" w:hAnsi="宋体" w:cs="宋体"/>
                <w:b w:val="0"/>
                <w:bCs/>
                <w:sz w:val="21"/>
                <w:highlight w:val="none"/>
                <w:lang w:val="en-US" w:eastAsia="zh-CN"/>
              </w:rPr>
              <w:t>供应商</w:t>
            </w:r>
            <w:r>
              <w:rPr>
                <w:rFonts w:hint="eastAsia" w:hAnsi="宋体" w:cs="宋体"/>
                <w:b w:val="0"/>
                <w:bCs/>
                <w:sz w:val="21"/>
                <w:highlight w:val="none"/>
              </w:rPr>
              <w:t>须以第三章“</w:t>
            </w:r>
            <w:r>
              <w:rPr>
                <w:rFonts w:hint="eastAsia" w:hAnsi="宋体" w:cs="宋体"/>
                <w:b w:val="0"/>
                <w:bCs/>
                <w:sz w:val="21"/>
                <w:highlight w:val="none"/>
                <w:lang w:val="en-US" w:eastAsia="zh-CN"/>
              </w:rPr>
              <w:t>采购</w:t>
            </w:r>
            <w:r>
              <w:rPr>
                <w:rFonts w:hint="eastAsia" w:hAnsi="宋体" w:cs="宋体"/>
                <w:b w:val="0"/>
                <w:bCs/>
                <w:sz w:val="21"/>
                <w:highlight w:val="none"/>
              </w:rPr>
              <w:t>需求”附件一“各类医用织物洗涤（含消毒等）单价最高限价明细表”中列明的“单价最高限价”为基数，作相应完整唯一综合折扣率（%）报价。综合折扣率报价最高限价为100%，</w:t>
            </w:r>
            <w:r>
              <w:rPr>
                <w:rFonts w:hint="eastAsia" w:hAnsi="宋体" w:cs="宋体"/>
                <w:b w:val="0"/>
                <w:bCs/>
                <w:sz w:val="21"/>
                <w:highlight w:val="none"/>
                <w:lang w:val="en-US" w:eastAsia="zh-CN"/>
              </w:rPr>
              <w:t>供应商</w:t>
            </w:r>
            <w:r>
              <w:rPr>
                <w:rFonts w:hint="eastAsia" w:hAnsi="宋体" w:cs="宋体"/>
                <w:b w:val="0"/>
                <w:bCs/>
                <w:sz w:val="21"/>
                <w:highlight w:val="none"/>
              </w:rPr>
              <w:t>的综合折扣率报价必须≤综合折扣率最高限价；否则，按竞争性磋商无效处理。</w:t>
            </w:r>
          </w:p>
          <w:p w14:paraId="26A44E6E">
            <w:pPr>
              <w:pStyle w:val="17"/>
              <w:wordWrap w:val="0"/>
              <w:topLinePunct/>
              <w:adjustRightInd/>
              <w:snapToGrid/>
              <w:spacing w:line="300" w:lineRule="exact"/>
              <w:ind w:firstLine="420" w:firstLineChars="200"/>
              <w:rPr>
                <w:rFonts w:hAnsi="宋体" w:cs="宋体"/>
                <w:b w:val="0"/>
                <w:bCs/>
                <w:sz w:val="21"/>
                <w:highlight w:val="none"/>
              </w:rPr>
            </w:pPr>
            <w:r>
              <w:rPr>
                <w:rFonts w:hint="eastAsia" w:hAnsi="宋体" w:cs="宋体"/>
                <w:b w:val="0"/>
                <w:bCs/>
                <w:sz w:val="21"/>
                <w:highlight w:val="none"/>
              </w:rPr>
              <w:t>说明：“综合折扣率”是指各类医用织物洗涤（含消毒等）服务单价最高限价的百分比。</w:t>
            </w:r>
          </w:p>
          <w:p w14:paraId="3F6E1F31">
            <w:pPr>
              <w:pStyle w:val="17"/>
              <w:numPr>
                <w:ilvl w:val="-1"/>
                <w:numId w:val="0"/>
              </w:numPr>
              <w:wordWrap w:val="0"/>
              <w:topLinePunct/>
              <w:adjustRightInd/>
              <w:snapToGrid/>
              <w:spacing w:line="300" w:lineRule="exact"/>
              <w:ind w:firstLine="420" w:firstLineChars="200"/>
              <w:rPr>
                <w:rFonts w:hint="eastAsia" w:hAnsi="宋体" w:cs="宋体"/>
                <w:b w:val="0"/>
                <w:bCs/>
                <w:sz w:val="21"/>
                <w:highlight w:val="none"/>
                <w:lang w:eastAsia="zh-CN"/>
              </w:rPr>
            </w:pPr>
            <w:r>
              <w:rPr>
                <w:rFonts w:hint="eastAsia" w:hAnsi="宋体" w:cs="宋体"/>
                <w:b w:val="0"/>
                <w:bCs/>
                <w:sz w:val="21"/>
                <w:szCs w:val="21"/>
                <w:highlight w:val="none"/>
                <w:lang w:val="en-US" w:eastAsia="zh-CN"/>
              </w:rPr>
              <w:t>（2）</w:t>
            </w:r>
            <w:r>
              <w:rPr>
                <w:rFonts w:hint="eastAsia" w:ascii="宋体" w:hAnsi="宋体" w:eastAsia="宋体" w:cs="宋体"/>
                <w:b w:val="0"/>
                <w:bCs/>
                <w:sz w:val="21"/>
                <w:szCs w:val="21"/>
                <w:highlight w:val="none"/>
                <w:lang w:val="en-US" w:eastAsia="zh-CN"/>
              </w:rPr>
              <w:t>供应商</w:t>
            </w:r>
            <w:r>
              <w:rPr>
                <w:rFonts w:hint="eastAsia" w:ascii="宋体" w:hAnsi="宋体" w:eastAsia="宋体" w:cs="宋体"/>
                <w:b w:val="0"/>
                <w:bCs/>
                <w:sz w:val="21"/>
                <w:szCs w:val="21"/>
                <w:highlight w:val="none"/>
                <w:lang w:eastAsia="zh-CN"/>
              </w:rPr>
              <w:t>所报</w:t>
            </w:r>
            <w:r>
              <w:rPr>
                <w:rFonts w:hint="eastAsia" w:ascii="宋体" w:hAnsi="宋体" w:eastAsia="宋体" w:cs="宋体"/>
                <w:sz w:val="21"/>
                <w:szCs w:val="21"/>
                <w:highlight w:val="none"/>
              </w:rPr>
              <w:t>竞争性</w:t>
            </w:r>
            <w:r>
              <w:rPr>
                <w:rFonts w:hint="eastAsia" w:ascii="宋体" w:hAnsi="宋体" w:eastAsia="宋体" w:cs="宋体"/>
                <w:b w:val="0"/>
                <w:bCs/>
                <w:sz w:val="21"/>
                <w:szCs w:val="21"/>
                <w:highlight w:val="none"/>
                <w:lang w:val="en-US" w:eastAsia="zh-CN"/>
              </w:rPr>
              <w:t>磋商</w:t>
            </w:r>
            <w:r>
              <w:rPr>
                <w:rFonts w:hint="eastAsia" w:ascii="宋体" w:hAnsi="宋体" w:eastAsia="宋体" w:cs="宋体"/>
                <w:b w:val="0"/>
                <w:bCs/>
                <w:sz w:val="21"/>
                <w:szCs w:val="21"/>
                <w:highlight w:val="none"/>
                <w:lang w:eastAsia="zh-CN"/>
              </w:rPr>
              <w:t>报价（综合折扣率）包含</w:t>
            </w:r>
            <w:r>
              <w:rPr>
                <w:rFonts w:hint="eastAsia" w:ascii="宋体" w:hAnsi="宋体" w:eastAsia="宋体" w:cs="宋体"/>
                <w:b w:val="0"/>
                <w:bCs/>
                <w:sz w:val="21"/>
                <w:highlight w:val="none"/>
              </w:rPr>
              <w:t>本次服务范围的所有收集费、运送费、清洗费、消毒费、缝补费、熨烫费、折叠费、保管费、管理费、人工费用、差旅费、交通费、税金、利润等所有成本费用。合同实施时，</w:t>
            </w:r>
            <w:r>
              <w:rPr>
                <w:rFonts w:hint="eastAsia" w:ascii="宋体" w:hAnsi="宋体" w:eastAsia="宋体" w:cs="宋体"/>
                <w:b w:val="0"/>
                <w:bCs/>
                <w:sz w:val="21"/>
                <w:highlight w:val="none"/>
                <w:lang w:eastAsia="zh-CN"/>
              </w:rPr>
              <w:t>采购人</w:t>
            </w:r>
            <w:r>
              <w:rPr>
                <w:rFonts w:hint="eastAsia" w:ascii="宋体" w:hAnsi="宋体" w:eastAsia="宋体" w:cs="宋体"/>
                <w:b w:val="0"/>
                <w:bCs/>
                <w:sz w:val="21"/>
                <w:highlight w:val="none"/>
              </w:rPr>
              <w:t>将不予支付完成本项目必须的但</w:t>
            </w:r>
            <w:r>
              <w:rPr>
                <w:rFonts w:hint="eastAsia" w:ascii="宋体" w:hAnsi="宋体" w:eastAsia="宋体" w:cs="宋体"/>
                <w:b w:val="0"/>
                <w:bCs/>
                <w:sz w:val="21"/>
                <w:highlight w:val="none"/>
                <w:lang w:eastAsia="zh-CN"/>
              </w:rPr>
              <w:t>成交人</w:t>
            </w:r>
            <w:r>
              <w:rPr>
                <w:rFonts w:hint="eastAsia" w:ascii="宋体" w:hAnsi="宋体" w:eastAsia="宋体" w:cs="宋体"/>
                <w:b w:val="0"/>
                <w:bCs/>
                <w:sz w:val="21"/>
                <w:highlight w:val="none"/>
              </w:rPr>
              <w:t>没有列入</w:t>
            </w:r>
            <w:r>
              <w:rPr>
                <w:rFonts w:hint="eastAsia" w:ascii="宋体" w:hAnsi="宋体" w:eastAsia="宋体" w:cs="宋体"/>
                <w:b w:val="0"/>
                <w:bCs/>
                <w:sz w:val="21"/>
                <w:highlight w:val="none"/>
                <w:lang w:val="en-US" w:eastAsia="zh-CN"/>
              </w:rPr>
              <w:t>竞争性磋商</w:t>
            </w:r>
            <w:r>
              <w:rPr>
                <w:rFonts w:hint="eastAsia" w:ascii="宋体" w:hAnsi="宋体" w:eastAsia="宋体" w:cs="宋体"/>
                <w:b w:val="0"/>
                <w:bCs/>
                <w:sz w:val="21"/>
                <w:highlight w:val="none"/>
              </w:rPr>
              <w:t>报价（综合折扣率）的费用，并认为此费用已包括在投标报价（综合折扣率）中</w:t>
            </w:r>
            <w:r>
              <w:rPr>
                <w:rFonts w:hint="eastAsia" w:hAnsi="宋体" w:cs="宋体"/>
                <w:b w:val="0"/>
                <w:bCs/>
                <w:sz w:val="21"/>
                <w:highlight w:val="none"/>
                <w:lang w:eastAsia="zh-CN"/>
              </w:rPr>
              <w:t>。</w:t>
            </w:r>
          </w:p>
          <w:p w14:paraId="3FB268FA">
            <w:pPr>
              <w:numPr>
                <w:ilvl w:val="-1"/>
                <w:numId w:val="0"/>
              </w:numPr>
              <w:wordWrap w:val="0"/>
              <w:topLinePunct/>
              <w:spacing w:line="3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3.结算方法：</w:t>
            </w:r>
          </w:p>
          <w:p w14:paraId="77AC3BCC">
            <w:pPr>
              <w:pStyle w:val="17"/>
              <w:wordWrap w:val="0"/>
              <w:topLinePunct/>
              <w:adjustRightInd/>
              <w:snapToGrid/>
              <w:spacing w:line="300" w:lineRule="exact"/>
              <w:ind w:firstLine="422" w:firstLineChars="200"/>
              <w:rPr>
                <w:rFonts w:hAnsi="宋体" w:cs="宋体"/>
                <w:b/>
                <w:sz w:val="21"/>
                <w:szCs w:val="21"/>
                <w:highlight w:val="none"/>
              </w:rPr>
            </w:pPr>
            <w:r>
              <w:rPr>
                <w:rFonts w:hint="eastAsia" w:hAnsi="宋体" w:cs="宋体"/>
                <w:b/>
                <w:sz w:val="21"/>
                <w:szCs w:val="21"/>
                <w:highlight w:val="none"/>
                <w:lang w:val="en-US" w:eastAsia="zh-CN"/>
              </w:rPr>
              <w:t>（1）采购</w:t>
            </w:r>
            <w:r>
              <w:rPr>
                <w:rFonts w:hint="eastAsia" w:hAnsi="宋体" w:cs="宋体"/>
                <w:b/>
                <w:sz w:val="21"/>
                <w:szCs w:val="21"/>
                <w:highlight w:val="none"/>
              </w:rPr>
              <w:t>人按月结算支付</w:t>
            </w:r>
            <w:r>
              <w:rPr>
                <w:rFonts w:hint="eastAsia" w:hAnsi="宋体" w:cs="宋体"/>
                <w:b/>
                <w:sz w:val="21"/>
                <w:szCs w:val="21"/>
                <w:highlight w:val="none"/>
                <w:lang w:val="en-US" w:eastAsia="zh-CN"/>
              </w:rPr>
              <w:t>成交</w:t>
            </w:r>
            <w:r>
              <w:rPr>
                <w:rFonts w:hint="eastAsia" w:hAnsi="宋体" w:cs="宋体"/>
                <w:b/>
                <w:sz w:val="21"/>
                <w:szCs w:val="21"/>
                <w:highlight w:val="none"/>
              </w:rPr>
              <w:t>人的每月服务费用，包含以下两部分费用【即：每月服务费用</w:t>
            </w:r>
            <w:r>
              <w:rPr>
                <w:rFonts w:hAnsi="宋体" w:cs="宋体"/>
                <w:b/>
                <w:sz w:val="21"/>
                <w:szCs w:val="21"/>
                <w:highlight w:val="none"/>
              </w:rPr>
              <w:t>=</w:t>
            </w:r>
            <w:r>
              <w:rPr>
                <w:rFonts w:hint="eastAsia" w:hAnsi="宋体" w:cs="宋体"/>
                <w:b/>
                <w:sz w:val="21"/>
                <w:szCs w:val="21"/>
                <w:highlight w:val="none"/>
              </w:rPr>
              <w:t>每月医用织物洗涤（含消毒等）费用</w:t>
            </w:r>
            <w:r>
              <w:rPr>
                <w:rFonts w:hAnsi="宋体" w:cs="宋体"/>
                <w:b/>
                <w:sz w:val="21"/>
                <w:szCs w:val="21"/>
                <w:highlight w:val="none"/>
              </w:rPr>
              <w:t>+</w:t>
            </w:r>
            <w:r>
              <w:rPr>
                <w:rFonts w:hint="eastAsia" w:hAnsi="宋体" w:cs="宋体"/>
                <w:b/>
                <w:sz w:val="21"/>
                <w:szCs w:val="21"/>
                <w:highlight w:val="none"/>
              </w:rPr>
              <w:t>每月工人人工费用】：</w:t>
            </w:r>
          </w:p>
          <w:p w14:paraId="4C248C1B">
            <w:pPr>
              <w:pStyle w:val="17"/>
              <w:wordWrap w:val="0"/>
              <w:topLinePunct/>
              <w:adjustRightInd/>
              <w:snapToGrid/>
              <w:spacing w:line="300" w:lineRule="exact"/>
              <w:ind w:firstLine="422" w:firstLineChars="200"/>
              <w:rPr>
                <w:rFonts w:hAnsi="宋体" w:cs="宋体"/>
                <w:b/>
                <w:sz w:val="21"/>
                <w:szCs w:val="21"/>
                <w:highlight w:val="none"/>
              </w:rPr>
            </w:pPr>
            <w:r>
              <w:rPr>
                <w:rFonts w:hint="eastAsia" w:hAnsi="宋体" w:cs="宋体"/>
                <w:b/>
                <w:sz w:val="21"/>
                <w:szCs w:val="21"/>
                <w:highlight w:val="none"/>
              </w:rPr>
              <w:t>（</w:t>
            </w:r>
            <w:r>
              <w:rPr>
                <w:rFonts w:hint="eastAsia" w:hAnsi="宋体" w:cs="宋体"/>
                <w:b/>
                <w:sz w:val="21"/>
                <w:szCs w:val="21"/>
                <w:highlight w:val="none"/>
                <w:lang w:val="en-US" w:eastAsia="zh-CN"/>
              </w:rPr>
              <w:t>2</w:t>
            </w:r>
            <w:r>
              <w:rPr>
                <w:rFonts w:hint="eastAsia" w:hAnsi="宋体" w:cs="宋体"/>
                <w:b/>
                <w:sz w:val="21"/>
                <w:szCs w:val="21"/>
                <w:highlight w:val="none"/>
              </w:rPr>
              <w:t>）每月医用织物洗涤（含消毒等）费用：</w:t>
            </w:r>
            <w:r>
              <w:rPr>
                <w:rFonts w:hint="eastAsia" w:hAnsi="宋体" w:cs="宋体"/>
                <w:b/>
                <w:sz w:val="21"/>
                <w:szCs w:val="21"/>
                <w:highlight w:val="none"/>
                <w:lang w:val="en-US" w:eastAsia="zh-CN"/>
              </w:rPr>
              <w:t>采购</w:t>
            </w:r>
            <w:r>
              <w:rPr>
                <w:rFonts w:hint="eastAsia" w:hAnsi="宋体" w:cs="宋体"/>
                <w:b/>
                <w:sz w:val="21"/>
                <w:szCs w:val="21"/>
                <w:highlight w:val="none"/>
              </w:rPr>
              <w:t>人将根据每月实际发生的医用织物洗涤（含消毒等）量进行结算，即：每月医用织物洗涤（含消毒等）费用=∑【各类医用织物每月实际发生的洗涤（含消毒等）量×</w:t>
            </w:r>
            <w:r>
              <w:rPr>
                <w:rFonts w:hint="eastAsia" w:hAnsi="宋体" w:cs="宋体"/>
                <w:b/>
                <w:sz w:val="21"/>
                <w:szCs w:val="21"/>
                <w:highlight w:val="none"/>
                <w:lang w:val="en-US" w:eastAsia="zh-CN"/>
              </w:rPr>
              <w:t>采购</w:t>
            </w:r>
            <w:r>
              <w:rPr>
                <w:rFonts w:hint="eastAsia" w:hAnsi="宋体" w:cs="宋体"/>
                <w:b/>
                <w:sz w:val="21"/>
                <w:szCs w:val="21"/>
                <w:highlight w:val="none"/>
              </w:rPr>
              <w:t>文件“</w:t>
            </w:r>
            <w:r>
              <w:rPr>
                <w:rFonts w:hint="eastAsia" w:hAnsi="宋体" w:cs="宋体"/>
                <w:b/>
                <w:sz w:val="21"/>
                <w:szCs w:val="21"/>
                <w:highlight w:val="none"/>
                <w:lang w:val="en-US" w:eastAsia="zh-CN"/>
              </w:rPr>
              <w:t>采购</w:t>
            </w:r>
            <w:r>
              <w:rPr>
                <w:rFonts w:hint="eastAsia" w:hAnsi="宋体" w:cs="宋体"/>
                <w:b/>
                <w:sz w:val="21"/>
                <w:szCs w:val="21"/>
                <w:highlight w:val="none"/>
              </w:rPr>
              <w:t>需求”中“各类医用织物洗涤（含消毒等）单价最高限价明细表”中相应的单价最高限价×</w:t>
            </w:r>
            <w:r>
              <w:rPr>
                <w:rFonts w:hint="eastAsia" w:hAnsi="宋体" w:cs="宋体"/>
                <w:b/>
                <w:sz w:val="21"/>
                <w:szCs w:val="21"/>
                <w:highlight w:val="none"/>
                <w:lang w:val="en-US" w:eastAsia="zh-CN"/>
              </w:rPr>
              <w:t>成交</w:t>
            </w:r>
            <w:r>
              <w:rPr>
                <w:rFonts w:hint="eastAsia" w:hAnsi="宋体" w:cs="宋体"/>
                <w:b/>
                <w:sz w:val="21"/>
                <w:szCs w:val="21"/>
                <w:highlight w:val="none"/>
              </w:rPr>
              <w:t>综合折扣率】；</w:t>
            </w:r>
          </w:p>
          <w:p w14:paraId="04226A6C">
            <w:pPr>
              <w:pStyle w:val="17"/>
              <w:wordWrap w:val="0"/>
              <w:topLinePunct/>
              <w:adjustRightInd/>
              <w:snapToGrid/>
              <w:spacing w:line="300" w:lineRule="exact"/>
              <w:ind w:firstLine="422" w:firstLineChars="200"/>
              <w:rPr>
                <w:rFonts w:hAnsi="宋体" w:cs="宋体"/>
                <w:b/>
                <w:sz w:val="21"/>
                <w:szCs w:val="21"/>
                <w:highlight w:val="none"/>
              </w:rPr>
            </w:pPr>
            <w:r>
              <w:rPr>
                <w:rFonts w:hint="eastAsia" w:hAnsi="宋体" w:cs="宋体"/>
                <w:b/>
                <w:sz w:val="21"/>
                <w:szCs w:val="21"/>
                <w:highlight w:val="none"/>
              </w:rPr>
              <w:t>注：其中∑表示将各相应医用织物实际发生的洗涤（含消毒等）量结算后的金额进行相加汇总。</w:t>
            </w:r>
          </w:p>
          <w:p w14:paraId="24204B17">
            <w:pPr>
              <w:numPr>
                <w:ilvl w:val="-1"/>
                <w:numId w:val="0"/>
              </w:numPr>
              <w:wordWrap w:val="0"/>
              <w:topLinePunct/>
              <w:spacing w:line="300" w:lineRule="exact"/>
              <w:ind w:firstLine="422" w:firstLineChars="200"/>
              <w:rPr>
                <w:rFonts w:hint="default" w:ascii="宋体" w:hAnsi="宋体"/>
                <w:szCs w:val="21"/>
                <w:highlight w:val="none"/>
                <w:lang w:val="en-US" w:eastAsia="zh-CN"/>
              </w:rPr>
            </w:pPr>
            <w:r>
              <w:rPr>
                <w:rFonts w:hint="eastAsia" w:ascii="宋体" w:hAnsi="宋体" w:cs="宋体"/>
                <w:b/>
                <w:kern w:val="0"/>
                <w:sz w:val="21"/>
                <w:szCs w:val="21"/>
                <w:highlight w:val="none"/>
              </w:rPr>
              <w:t>（</w:t>
            </w:r>
            <w:r>
              <w:rPr>
                <w:rFonts w:hint="eastAsia" w:ascii="宋体" w:hAnsi="宋体" w:cs="宋体"/>
                <w:b/>
                <w:kern w:val="0"/>
                <w:sz w:val="21"/>
                <w:szCs w:val="21"/>
                <w:highlight w:val="none"/>
                <w:lang w:val="en-US" w:eastAsia="zh-CN"/>
              </w:rPr>
              <w:t>3</w:t>
            </w:r>
            <w:r>
              <w:rPr>
                <w:rFonts w:hint="eastAsia" w:ascii="宋体" w:hAnsi="宋体" w:cs="宋体"/>
                <w:b/>
                <w:kern w:val="0"/>
                <w:sz w:val="21"/>
                <w:szCs w:val="21"/>
                <w:highlight w:val="none"/>
              </w:rPr>
              <w:t>）每月工人人工费用：3名工人每月人工费为固定金额人民币柒仟贰佰元整（¥7200.00）</w:t>
            </w:r>
            <w:r>
              <w:rPr>
                <w:rFonts w:hint="eastAsia" w:hAnsi="宋体" w:cs="宋体"/>
                <w:b/>
                <w:sz w:val="21"/>
                <w:szCs w:val="21"/>
                <w:highlight w:val="none"/>
              </w:rPr>
              <w:t>。</w:t>
            </w:r>
          </w:p>
        </w:tc>
      </w:tr>
    </w:tbl>
    <w:p w14:paraId="508FCEF9">
      <w:pPr>
        <w:spacing w:line="360" w:lineRule="auto"/>
        <w:contextualSpacing/>
        <w:jc w:val="left"/>
        <w:rPr>
          <w:rFonts w:ascii="宋体" w:hAnsi="宋体" w:cs="宋体"/>
          <w:sz w:val="21"/>
          <w:szCs w:val="21"/>
          <w:highlight w:val="none"/>
        </w:rPr>
      </w:pPr>
    </w:p>
    <w:p w14:paraId="06FFCA83">
      <w:pPr>
        <w:spacing w:line="360" w:lineRule="auto"/>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注: </w:t>
      </w:r>
    </w:p>
    <w:p w14:paraId="708041C7">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1.供应商的报价表必须加盖供应商公章并由法定代表人或者委托代理人</w:t>
      </w:r>
      <w:r>
        <w:rPr>
          <w:rFonts w:hint="eastAsia" w:ascii="宋体" w:hAnsi="宋体" w:eastAsia="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lang w:eastAsia="zh-CN"/>
        </w:rPr>
        <w:t>签章</w:t>
      </w:r>
      <w:r>
        <w:rPr>
          <w:rFonts w:hint="eastAsia" w:ascii="宋体" w:hAnsi="宋体" w:eastAsia="宋体" w:cs="宋体"/>
          <w:sz w:val="21"/>
          <w:szCs w:val="21"/>
          <w:highlight w:val="none"/>
        </w:rPr>
        <w:t>，</w:t>
      </w:r>
      <w:r>
        <w:rPr>
          <w:rFonts w:hint="eastAsia" w:ascii="宋体" w:hAnsi="宋体" w:eastAsia="宋体" w:cs="宋体"/>
          <w:b/>
          <w:sz w:val="21"/>
          <w:szCs w:val="21"/>
          <w:highlight w:val="none"/>
        </w:rPr>
        <w:t>否则其响应文件按无效响应处理</w:t>
      </w:r>
      <w:r>
        <w:rPr>
          <w:rFonts w:hint="eastAsia" w:ascii="宋体" w:hAnsi="宋体" w:eastAsia="宋体" w:cs="宋体"/>
          <w:sz w:val="21"/>
          <w:szCs w:val="21"/>
          <w:highlight w:val="none"/>
        </w:rPr>
        <w:t>。</w:t>
      </w:r>
    </w:p>
    <w:p w14:paraId="6A3C80BB">
      <w:pPr>
        <w:spacing w:line="360" w:lineRule="auto"/>
        <w:ind w:firstLine="420" w:firstLineChars="200"/>
        <w:contextualSpacing/>
        <w:jc w:val="left"/>
        <w:rPr>
          <w:rFonts w:hint="eastAsia" w:ascii="宋体" w:hAnsi="宋体" w:eastAsia="宋体" w:cs="宋体"/>
          <w:b/>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报价一经涂改，应在涂改处加盖供应商公章或者由法定代表人或者委托代理人签字或者盖章</w:t>
      </w:r>
      <w:r>
        <w:rPr>
          <w:rFonts w:hint="eastAsia" w:ascii="宋体" w:hAnsi="宋体" w:eastAsia="宋体" w:cs="宋体"/>
          <w:b/>
          <w:sz w:val="21"/>
          <w:szCs w:val="21"/>
          <w:highlight w:val="none"/>
        </w:rPr>
        <w:t>，否则其响应文件按无效响应处理。</w:t>
      </w:r>
    </w:p>
    <w:p w14:paraId="34BA5876">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3.如为联合体参与竞争性磋商，“供应商名称”处必须列明联合体各方名称，标注联合体牵头人名称，</w:t>
      </w:r>
      <w:r>
        <w:rPr>
          <w:rFonts w:hint="eastAsia" w:ascii="宋体" w:hAnsi="宋体" w:eastAsia="宋体" w:cs="宋体"/>
          <w:b/>
          <w:sz w:val="21"/>
          <w:szCs w:val="21"/>
          <w:highlight w:val="none"/>
        </w:rPr>
        <w:t>否则其响应文件按无效响应处理。（采购人可根据项目情况自行修改是否需要联合体各方签字盖章）。</w:t>
      </w:r>
    </w:p>
    <w:p w14:paraId="7C9DCC82">
      <w:pPr>
        <w:spacing w:line="360" w:lineRule="auto"/>
        <w:ind w:firstLine="420" w:firstLineChars="200"/>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4.如为联合体参与竞争性磋商，盖章处须加盖联合体各方公章，</w:t>
      </w:r>
      <w:bookmarkStart w:id="39" w:name="_Hlk65851776"/>
      <w:r>
        <w:rPr>
          <w:rFonts w:hint="eastAsia" w:ascii="宋体" w:hAnsi="宋体" w:eastAsia="宋体" w:cs="宋体"/>
          <w:b/>
          <w:sz w:val="21"/>
          <w:szCs w:val="21"/>
          <w:highlight w:val="none"/>
        </w:rPr>
        <w:t>否则其响应文件按无效响应处理。</w:t>
      </w:r>
      <w:bookmarkEnd w:id="39"/>
      <w:r>
        <w:rPr>
          <w:rFonts w:hint="eastAsia" w:ascii="宋体" w:hAnsi="宋体" w:eastAsia="宋体" w:cs="宋体"/>
          <w:b/>
          <w:sz w:val="21"/>
          <w:szCs w:val="21"/>
          <w:highlight w:val="none"/>
        </w:rPr>
        <w:t>（采购人可根据项目情况自行修改是否需要联合体各方签字盖章）。</w:t>
      </w:r>
    </w:p>
    <w:p w14:paraId="7EED842A">
      <w:pPr>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pacing w:val="-6"/>
          <w:sz w:val="21"/>
          <w:szCs w:val="21"/>
          <w:highlight w:val="none"/>
        </w:rPr>
        <w:t>如有多分标，分别列明各分标的报价表，</w:t>
      </w:r>
      <w:r>
        <w:rPr>
          <w:rFonts w:hint="eastAsia" w:ascii="宋体" w:hAnsi="宋体" w:eastAsia="宋体" w:cs="宋体"/>
          <w:b/>
          <w:spacing w:val="-6"/>
          <w:sz w:val="21"/>
          <w:szCs w:val="21"/>
          <w:highlight w:val="none"/>
        </w:rPr>
        <w:t>否则其响应文件按无效响应处理。</w:t>
      </w:r>
    </w:p>
    <w:p w14:paraId="53F95837">
      <w:pPr>
        <w:spacing w:line="360" w:lineRule="auto"/>
        <w:ind w:right="-817" w:rightChars="-389"/>
        <w:contextualSpacing/>
        <w:rPr>
          <w:rFonts w:hint="eastAsia" w:ascii="宋体" w:hAnsi="宋体" w:eastAsia="宋体" w:cs="宋体"/>
          <w:sz w:val="21"/>
          <w:szCs w:val="21"/>
          <w:highlight w:val="none"/>
        </w:rPr>
      </w:pPr>
    </w:p>
    <w:p w14:paraId="1400E8EA">
      <w:pPr>
        <w:spacing w:line="360" w:lineRule="auto"/>
        <w:ind w:right="-817" w:rightChars="-389" w:firstLine="2310" w:firstLineChars="11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法定代表人或者委托代理人（</w:t>
      </w:r>
      <w:r>
        <w:rPr>
          <w:rFonts w:hint="eastAsia" w:ascii="宋体" w:hAnsi="宋体" w:eastAsia="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lang w:eastAsia="zh-CN"/>
        </w:rPr>
        <w:t>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1EDEE046">
      <w:pPr>
        <w:spacing w:line="360" w:lineRule="auto"/>
        <w:ind w:right="-817" w:rightChars="-389" w:firstLine="2310" w:firstLineChars="11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72ECF61B">
      <w:pPr>
        <w:spacing w:line="360" w:lineRule="auto"/>
        <w:ind w:right="-817" w:rightChars="-389" w:firstLine="3570" w:firstLineChars="1700"/>
        <w:contextualSpacing/>
        <w:rPr>
          <w:rFonts w:hint="eastAsia" w:ascii="宋体" w:hAnsi="宋体" w:eastAsia="宋体" w:cs="宋体"/>
          <w:b/>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746F96DB">
      <w:pPr>
        <w:spacing w:line="520" w:lineRule="exact"/>
        <w:jc w:val="center"/>
        <w:rPr>
          <w:rFonts w:ascii="宋体" w:hAnsi="宋体" w:cs="宋体"/>
          <w:b/>
          <w:sz w:val="32"/>
          <w:szCs w:val="32"/>
          <w:highlight w:val="none"/>
        </w:rPr>
      </w:pPr>
      <w:r>
        <w:rPr>
          <w:rFonts w:hint="eastAsia" w:ascii="宋体" w:hAnsi="宋体" w:cs="宋体"/>
          <w:b/>
          <w:sz w:val="21"/>
          <w:szCs w:val="21"/>
          <w:highlight w:val="none"/>
        </w:rPr>
        <w:br w:type="page"/>
      </w:r>
      <w:bookmarkStart w:id="40" w:name="_Toc71365926"/>
      <w:r>
        <w:rPr>
          <w:rFonts w:hint="eastAsia" w:ascii="宋体" w:hAnsi="宋体" w:cs="宋体"/>
          <w:b/>
          <w:sz w:val="32"/>
          <w:szCs w:val="32"/>
          <w:highlight w:val="none"/>
        </w:rPr>
        <w:t>中小企业声明函（服务）</w:t>
      </w:r>
      <w:bookmarkEnd w:id="40"/>
    </w:p>
    <w:p w14:paraId="774275A0">
      <w:pPr>
        <w:spacing w:before="2" w:line="500" w:lineRule="exact"/>
        <w:ind w:firstLine="708" w:firstLineChars="294"/>
        <w:rPr>
          <w:rFonts w:ascii="宋体" w:hAnsi="宋体" w:cs="宋体"/>
          <w:b/>
          <w:bCs/>
          <w:sz w:val="24"/>
          <w:highlight w:val="none"/>
        </w:rPr>
      </w:pPr>
    </w:p>
    <w:p w14:paraId="7520E107">
      <w:pPr>
        <w:pStyle w:val="14"/>
        <w:spacing w:line="500" w:lineRule="exact"/>
        <w:ind w:right="142" w:firstLine="617" w:firstLineChars="294"/>
        <w:rPr>
          <w:rFonts w:ascii="宋体" w:hAnsi="宋体" w:cs="宋体"/>
          <w:sz w:val="21"/>
          <w:szCs w:val="21"/>
          <w:highlight w:val="none"/>
        </w:rPr>
      </w:pPr>
      <w:r>
        <w:rPr>
          <w:rFonts w:hint="eastAsia" w:ascii="宋体" w:hAnsi="宋体" w:cs="宋体"/>
          <w:sz w:val="21"/>
          <w:szCs w:val="21"/>
          <w:highlight w:val="none"/>
        </w:rPr>
        <w:t>本公司（联合体）郑重声明，根据《政府采购促进中小企业发展管理办法》（财库﹝2020﹞46号）的规定，本公司（联合体）参加</w:t>
      </w:r>
      <w:r>
        <w:rPr>
          <w:rFonts w:hint="eastAsia" w:ascii="宋体" w:hAnsi="宋体" w:cs="宋体"/>
          <w:sz w:val="21"/>
          <w:szCs w:val="21"/>
          <w:highlight w:val="none"/>
          <w:u w:val="single"/>
        </w:rPr>
        <w:t>（单位名称）</w:t>
      </w:r>
      <w:r>
        <w:rPr>
          <w:rFonts w:hint="eastAsia" w:ascii="宋体" w:hAnsi="宋体" w:cs="宋体"/>
          <w:sz w:val="21"/>
          <w:szCs w:val="21"/>
          <w:highlight w:val="none"/>
        </w:rPr>
        <w:t>的</w:t>
      </w:r>
      <w:r>
        <w:rPr>
          <w:rFonts w:hint="eastAsia" w:ascii="宋体" w:hAnsi="宋体" w:cs="宋体"/>
          <w:sz w:val="21"/>
          <w:szCs w:val="21"/>
          <w:highlight w:val="none"/>
          <w:u w:val="single"/>
        </w:rPr>
        <w:t>（项目名称）</w:t>
      </w:r>
      <w:r>
        <w:rPr>
          <w:rFonts w:hint="eastAsia" w:ascii="宋体" w:hAnsi="宋体" w:cs="宋体"/>
          <w:sz w:val="21"/>
          <w:szCs w:val="21"/>
          <w:highlight w:val="none"/>
        </w:rPr>
        <w:t>采购活动，服务全部由符合政策要求的中小企业承接。相关企业（含联合体中的中小企业、签订分包意向协议的中小企业）的具体情况如下：</w:t>
      </w:r>
    </w:p>
    <w:p w14:paraId="6829FD8D">
      <w:pPr>
        <w:tabs>
          <w:tab w:val="left" w:pos="1384"/>
          <w:tab w:val="left" w:pos="4562"/>
          <w:tab w:val="left" w:pos="6803"/>
        </w:tabs>
        <w:spacing w:before="13" w:line="500" w:lineRule="exact"/>
        <w:ind w:right="142" w:firstLine="676" w:firstLineChars="322"/>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rPr>
        <w:t>（采购文件中明确的所属行业）</w:t>
      </w:r>
      <w:r>
        <w:rPr>
          <w:rFonts w:hint="eastAsia" w:ascii="宋体" w:hAnsi="宋体" w:cs="宋体"/>
          <w:sz w:val="21"/>
          <w:szCs w:val="21"/>
          <w:highlight w:val="none"/>
        </w:rPr>
        <w:t>；承接企业为</w:t>
      </w:r>
      <w:r>
        <w:rPr>
          <w:rFonts w:hint="eastAsia" w:ascii="宋体" w:hAnsi="宋体" w:cs="宋体"/>
          <w:sz w:val="21"/>
          <w:szCs w:val="21"/>
          <w:highlight w:val="none"/>
          <w:u w:val="single"/>
        </w:rPr>
        <w:t>（企业名称）</w:t>
      </w:r>
      <w:r>
        <w:rPr>
          <w:rFonts w:hint="eastAsia" w:ascii="宋体" w:hAnsi="宋体" w:cs="宋体"/>
          <w:sz w:val="21"/>
          <w:szCs w:val="21"/>
          <w:highlight w:val="none"/>
        </w:rPr>
        <w:t>，从业人员</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人，营业收入为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万元，属于</w:t>
      </w:r>
      <w:r>
        <w:rPr>
          <w:rFonts w:hint="eastAsia" w:ascii="宋体" w:hAnsi="宋体" w:cs="宋体"/>
          <w:sz w:val="21"/>
          <w:szCs w:val="21"/>
          <w:highlight w:val="none"/>
          <w:u w:val="single"/>
        </w:rPr>
        <w:t>（中型企业、小型企业、微型企业）</w:t>
      </w:r>
      <w:r>
        <w:rPr>
          <w:rFonts w:hint="eastAsia" w:ascii="宋体" w:hAnsi="宋体" w:cs="宋体"/>
          <w:sz w:val="21"/>
          <w:szCs w:val="21"/>
          <w:highlight w:val="none"/>
        </w:rPr>
        <w:t>；</w:t>
      </w:r>
    </w:p>
    <w:p w14:paraId="7229CCA0">
      <w:pPr>
        <w:tabs>
          <w:tab w:val="left" w:pos="1065"/>
          <w:tab w:val="left" w:pos="4262"/>
          <w:tab w:val="left" w:pos="6477"/>
        </w:tabs>
        <w:spacing w:before="20" w:line="500" w:lineRule="exact"/>
        <w:ind w:right="84" w:firstLine="676" w:firstLineChars="322"/>
        <w:rPr>
          <w:rFonts w:ascii="宋体" w:hAnsi="宋体" w:cs="宋体"/>
          <w:sz w:val="21"/>
          <w:szCs w:val="21"/>
          <w:highlight w:val="none"/>
          <w:u w:val="single"/>
        </w:rPr>
      </w:pPr>
      <w:r>
        <w:rPr>
          <w:rFonts w:hint="eastAsia" w:ascii="宋体" w:hAnsi="宋体" w:cs="宋体"/>
          <w:sz w:val="21"/>
          <w:szCs w:val="21"/>
          <w:highlight w:val="none"/>
        </w:rPr>
        <w:t>2.</w:t>
      </w:r>
      <w:r>
        <w:rPr>
          <w:rFonts w:hint="eastAsia" w:ascii="宋体" w:hAnsi="宋体" w:cs="宋体"/>
          <w:sz w:val="21"/>
          <w:szCs w:val="21"/>
          <w:highlight w:val="none"/>
          <w:u w:val="single"/>
        </w:rPr>
        <w:t>（标的名称）</w:t>
      </w:r>
      <w:r>
        <w:rPr>
          <w:rFonts w:hint="eastAsia" w:ascii="宋体" w:hAnsi="宋体" w:cs="宋体"/>
          <w:sz w:val="21"/>
          <w:szCs w:val="21"/>
          <w:highlight w:val="none"/>
        </w:rPr>
        <w:t>，属于</w:t>
      </w:r>
      <w:r>
        <w:rPr>
          <w:rFonts w:hint="eastAsia" w:ascii="宋体" w:hAnsi="宋体" w:cs="宋体"/>
          <w:sz w:val="21"/>
          <w:szCs w:val="21"/>
          <w:highlight w:val="none"/>
          <w:u w:val="single"/>
        </w:rPr>
        <w:t>（采购文件中明确的所属行业）</w:t>
      </w:r>
      <w:r>
        <w:rPr>
          <w:rFonts w:hint="eastAsia" w:ascii="宋体" w:hAnsi="宋体" w:cs="宋体"/>
          <w:sz w:val="21"/>
          <w:szCs w:val="21"/>
          <w:highlight w:val="none"/>
        </w:rPr>
        <w:t>；承接企业为</w:t>
      </w:r>
      <w:r>
        <w:rPr>
          <w:rFonts w:hint="eastAsia" w:ascii="宋体" w:hAnsi="宋体" w:cs="宋体"/>
          <w:sz w:val="21"/>
          <w:szCs w:val="21"/>
          <w:highlight w:val="none"/>
          <w:u w:val="single"/>
        </w:rPr>
        <w:t>（企业名称）</w:t>
      </w:r>
      <w:r>
        <w:rPr>
          <w:rFonts w:hint="eastAsia" w:ascii="宋体" w:hAnsi="宋体" w:cs="宋体"/>
          <w:sz w:val="21"/>
          <w:szCs w:val="21"/>
          <w:highlight w:val="none"/>
        </w:rPr>
        <w:t>，从业人员</w:t>
      </w:r>
      <w:r>
        <w:rPr>
          <w:rFonts w:hint="eastAsia" w:ascii="宋体" w:hAnsi="宋体" w:cs="宋体"/>
          <w:sz w:val="21"/>
          <w:szCs w:val="21"/>
          <w:highlight w:val="none"/>
          <w:u w:val="single"/>
        </w:rPr>
        <w:t xml:space="preserve">      </w:t>
      </w:r>
      <w:r>
        <w:rPr>
          <w:rFonts w:hint="eastAsia" w:ascii="宋体" w:hAnsi="宋体" w:cs="宋体"/>
          <w:sz w:val="21"/>
          <w:szCs w:val="21"/>
          <w:highlight w:val="none"/>
        </w:rPr>
        <w:t>人，营业收入为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万元，资产总额为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万元，属于</w:t>
      </w:r>
      <w:r>
        <w:rPr>
          <w:rFonts w:hint="eastAsia" w:ascii="宋体" w:hAnsi="宋体" w:cs="宋体"/>
          <w:sz w:val="21"/>
          <w:szCs w:val="21"/>
          <w:highlight w:val="none"/>
          <w:u w:val="single"/>
        </w:rPr>
        <w:t>（中型企业、小型企业、微型企业）</w:t>
      </w:r>
      <w:r>
        <w:rPr>
          <w:rFonts w:hint="eastAsia" w:ascii="宋体" w:hAnsi="宋体" w:cs="宋体"/>
          <w:sz w:val="21"/>
          <w:szCs w:val="21"/>
          <w:highlight w:val="none"/>
        </w:rPr>
        <w:t>；</w:t>
      </w:r>
    </w:p>
    <w:p w14:paraId="36776287">
      <w:pPr>
        <w:pStyle w:val="14"/>
        <w:spacing w:before="34" w:line="500" w:lineRule="exact"/>
        <w:ind w:right="142" w:firstLine="617" w:firstLineChars="294"/>
        <w:rPr>
          <w:rFonts w:ascii="宋体" w:hAnsi="宋体" w:cs="宋体"/>
          <w:sz w:val="21"/>
          <w:szCs w:val="21"/>
          <w:highlight w:val="none"/>
        </w:rPr>
      </w:pPr>
      <w:r>
        <w:rPr>
          <w:rFonts w:hint="eastAsia" w:ascii="宋体" w:hAnsi="宋体" w:cs="宋体"/>
          <w:sz w:val="21"/>
          <w:szCs w:val="21"/>
          <w:highlight w:val="none"/>
        </w:rPr>
        <w:t xml:space="preserve">…… </w:t>
      </w:r>
    </w:p>
    <w:p w14:paraId="266C2458">
      <w:pPr>
        <w:pStyle w:val="14"/>
        <w:spacing w:before="34" w:line="500" w:lineRule="exact"/>
        <w:ind w:right="142" w:firstLine="617" w:firstLineChars="294"/>
        <w:rPr>
          <w:rFonts w:ascii="宋体" w:hAnsi="宋体" w:cs="宋体"/>
          <w:sz w:val="21"/>
          <w:szCs w:val="21"/>
          <w:highlight w:val="none"/>
        </w:rPr>
      </w:pPr>
      <w:r>
        <w:rPr>
          <w:rFonts w:hint="eastAsia" w:ascii="宋体" w:hAnsi="宋体" w:cs="宋体"/>
          <w:sz w:val="21"/>
          <w:szCs w:val="21"/>
          <w:highlight w:val="none"/>
        </w:rPr>
        <w:t>以上企业，不属于大企业的分支机构，不存在控股股东为大企业的情形，也不存在与大企业的负责人为同一人的情形。</w:t>
      </w:r>
    </w:p>
    <w:p w14:paraId="00DC1034">
      <w:pPr>
        <w:pStyle w:val="14"/>
        <w:spacing w:before="25" w:line="500" w:lineRule="exact"/>
        <w:ind w:right="142" w:firstLine="617" w:firstLineChars="294"/>
        <w:rPr>
          <w:rFonts w:ascii="宋体" w:hAnsi="宋体" w:cs="宋体"/>
          <w:sz w:val="21"/>
          <w:szCs w:val="21"/>
          <w:highlight w:val="none"/>
        </w:rPr>
      </w:pPr>
      <w:r>
        <w:rPr>
          <w:rFonts w:hint="eastAsia" w:ascii="宋体" w:hAnsi="宋体" w:cs="宋体"/>
          <w:sz w:val="21"/>
          <w:szCs w:val="21"/>
          <w:highlight w:val="none"/>
        </w:rPr>
        <w:t>本企业对上述声明内容的真实性负责。如有虚假，将依法承担相应责任。</w:t>
      </w:r>
    </w:p>
    <w:p w14:paraId="0BCFF95B">
      <w:pPr>
        <w:pStyle w:val="14"/>
        <w:spacing w:before="56" w:line="500" w:lineRule="exact"/>
        <w:ind w:right="1808" w:firstLine="705" w:firstLineChars="294"/>
        <w:rPr>
          <w:rFonts w:ascii="宋体" w:hAnsi="宋体" w:cs="宋体"/>
          <w:sz w:val="24"/>
          <w:highlight w:val="none"/>
        </w:rPr>
      </w:pPr>
    </w:p>
    <w:p w14:paraId="317FB6CD">
      <w:pPr>
        <w:pStyle w:val="14"/>
        <w:spacing w:before="56" w:line="500" w:lineRule="exact"/>
        <w:ind w:right="650" w:firstLine="2100" w:firstLineChars="1000"/>
        <w:rPr>
          <w:rFonts w:ascii="宋体" w:hAnsi="宋体" w:cs="宋体"/>
          <w:sz w:val="21"/>
          <w:szCs w:val="21"/>
          <w:highlight w:val="none"/>
          <w:u w:val="single"/>
        </w:rPr>
      </w:pPr>
      <w:r>
        <w:rPr>
          <w:rFonts w:hint="eastAsia" w:ascii="宋体" w:hAnsi="宋体" w:cs="宋体"/>
          <w:sz w:val="21"/>
          <w:szCs w:val="21"/>
          <w:highlight w:val="none"/>
        </w:rPr>
        <w:t>企业名称（公章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 xml:space="preserve">）： </w:t>
      </w:r>
      <w:r>
        <w:rPr>
          <w:rFonts w:ascii="宋体" w:hAnsi="宋体" w:cs="宋体"/>
          <w:sz w:val="21"/>
          <w:szCs w:val="21"/>
          <w:highlight w:val="none"/>
          <w:u w:val="single"/>
        </w:rPr>
        <w:t xml:space="preserve">                    </w:t>
      </w:r>
    </w:p>
    <w:p w14:paraId="6F4EF367">
      <w:pPr>
        <w:pStyle w:val="14"/>
        <w:spacing w:before="56" w:line="500" w:lineRule="exact"/>
        <w:ind w:right="1808" w:firstLine="2100" w:firstLineChars="1000"/>
        <w:rPr>
          <w:rFonts w:ascii="宋体" w:hAnsi="宋体" w:cs="宋体"/>
          <w:sz w:val="21"/>
          <w:szCs w:val="21"/>
          <w:highlight w:val="none"/>
        </w:rPr>
      </w:pPr>
      <w:r>
        <w:rPr>
          <w:rFonts w:hint="eastAsia" w:ascii="宋体" w:hAnsi="宋体" w:cs="宋体"/>
          <w:sz w:val="21"/>
          <w:szCs w:val="21"/>
          <w:highlight w:val="none"/>
        </w:rPr>
        <w:t>日 期：</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日</w:t>
      </w:r>
    </w:p>
    <w:p w14:paraId="1056B263">
      <w:pPr>
        <w:spacing w:line="520" w:lineRule="exact"/>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6DDA17A">
      <w:pPr>
        <w:spacing w:line="360" w:lineRule="auto"/>
        <w:rPr>
          <w:rFonts w:ascii="宋体" w:hAnsi="宋体" w:cs="宋体"/>
          <w:szCs w:val="21"/>
          <w:highlight w:val="none"/>
        </w:rPr>
      </w:pPr>
    </w:p>
    <w:p w14:paraId="4F334C29">
      <w:pPr>
        <w:spacing w:line="520" w:lineRule="exact"/>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sz w:val="32"/>
          <w:szCs w:val="32"/>
          <w:highlight w:val="none"/>
        </w:rPr>
        <w:t>残疾人福利性单位声明函</w:t>
      </w:r>
    </w:p>
    <w:p w14:paraId="3AAF7647">
      <w:pPr>
        <w:spacing w:line="360" w:lineRule="auto"/>
        <w:contextualSpacing/>
        <w:rPr>
          <w:rFonts w:ascii="宋体" w:hAnsi="宋体" w:cs="宋体"/>
          <w:sz w:val="32"/>
          <w:szCs w:val="32"/>
          <w:highlight w:val="none"/>
        </w:rPr>
      </w:pPr>
    </w:p>
    <w:p w14:paraId="0DA80067">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1"/>
          <w:szCs w:val="21"/>
          <w:highlight w:val="none"/>
          <w:u w:val="single"/>
        </w:rPr>
        <w:t xml:space="preserve">       </w:t>
      </w:r>
      <w:r>
        <w:rPr>
          <w:rFonts w:hint="eastAsia" w:ascii="宋体" w:hAnsi="宋体" w:cs="宋体"/>
          <w:sz w:val="21"/>
          <w:szCs w:val="21"/>
          <w:highlight w:val="none"/>
        </w:rPr>
        <w:t>单位的</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项目采购活动提供本单位制造的货物（由本单位承担工程/提供服务），或者提供其他残疾人福利性单位制造的货物（不包括使用非残疾人福利性单位注册商标的货物）。</w:t>
      </w:r>
    </w:p>
    <w:p w14:paraId="6CB6977C">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本单位对上述声明的真实性负责。如有虚假，将依法承担相应责任。</w:t>
      </w:r>
    </w:p>
    <w:p w14:paraId="584A03BB">
      <w:pPr>
        <w:spacing w:line="360" w:lineRule="auto"/>
        <w:contextualSpacing/>
        <w:rPr>
          <w:rFonts w:ascii="宋体" w:hAnsi="宋体" w:cs="宋体"/>
          <w:sz w:val="24"/>
          <w:highlight w:val="none"/>
        </w:rPr>
      </w:pPr>
    </w:p>
    <w:p w14:paraId="1C1F3AD6">
      <w:pPr>
        <w:spacing w:line="360" w:lineRule="auto"/>
        <w:contextualSpacing/>
        <w:rPr>
          <w:rFonts w:ascii="宋体" w:hAnsi="宋体" w:cs="宋体"/>
          <w:sz w:val="24"/>
          <w:highlight w:val="none"/>
        </w:rPr>
      </w:pPr>
    </w:p>
    <w:p w14:paraId="40CDCD4D">
      <w:pPr>
        <w:spacing w:line="360" w:lineRule="auto"/>
        <w:contextualSpacing/>
        <w:rPr>
          <w:rFonts w:ascii="宋体" w:hAnsi="宋体" w:cs="宋体"/>
          <w:sz w:val="24"/>
          <w:highlight w:val="none"/>
        </w:rPr>
      </w:pPr>
    </w:p>
    <w:p w14:paraId="0A4E5C2F">
      <w:pPr>
        <w:spacing w:line="360" w:lineRule="auto"/>
        <w:ind w:firstLine="2400" w:firstLineChars="1000"/>
        <w:contextualSpacing/>
        <w:rPr>
          <w:rFonts w:ascii="宋体" w:hAnsi="宋体" w:cs="宋体"/>
          <w:sz w:val="24"/>
          <w:highlight w:val="none"/>
          <w:u w:val="single"/>
        </w:rPr>
      </w:pPr>
      <w:r>
        <w:rPr>
          <w:rFonts w:hint="eastAsia" w:ascii="宋体" w:hAnsi="宋体" w:cs="宋体"/>
          <w:sz w:val="24"/>
          <w:highlight w:val="none"/>
        </w:rPr>
        <w:t>单位名称（公章（CA签章））：</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14:paraId="53C38B2B">
      <w:pPr>
        <w:spacing w:line="360" w:lineRule="auto"/>
        <w:ind w:firstLine="3600" w:firstLineChars="1500"/>
        <w:contextualSpacing/>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14:paraId="5226292C">
      <w:pPr>
        <w:spacing w:line="360" w:lineRule="auto"/>
        <w:contextualSpacing/>
        <w:rPr>
          <w:rFonts w:ascii="宋体" w:hAnsi="宋体" w:cs="宋体"/>
          <w:sz w:val="24"/>
          <w:highlight w:val="none"/>
        </w:rPr>
      </w:pPr>
    </w:p>
    <w:p w14:paraId="769F6027">
      <w:pPr>
        <w:spacing w:line="360" w:lineRule="auto"/>
        <w:contextualSpacing/>
        <w:rPr>
          <w:rFonts w:ascii="宋体" w:hAnsi="宋体" w:cs="宋体"/>
          <w:sz w:val="24"/>
          <w:highlight w:val="none"/>
        </w:rPr>
      </w:pPr>
    </w:p>
    <w:p w14:paraId="792621B7">
      <w:pPr>
        <w:spacing w:line="360" w:lineRule="auto"/>
        <w:contextualSpacing/>
        <w:rPr>
          <w:rFonts w:ascii="宋体" w:hAnsi="宋体" w:cs="宋体"/>
          <w:sz w:val="24"/>
          <w:highlight w:val="none"/>
        </w:rPr>
      </w:pPr>
    </w:p>
    <w:p w14:paraId="2FE332E6">
      <w:pPr>
        <w:spacing w:line="360" w:lineRule="auto"/>
        <w:contextualSpacing/>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3844E6C4">
      <w:pPr>
        <w:spacing w:before="312" w:beforeLines="100" w:after="156" w:afterLines="50"/>
        <w:ind w:left="540"/>
        <w:jc w:val="center"/>
        <w:rPr>
          <w:rFonts w:ascii="宋体" w:hAnsi="宋体" w:cs="宋体"/>
          <w:b/>
          <w:sz w:val="32"/>
          <w:szCs w:val="32"/>
          <w:highlight w:val="none"/>
        </w:rPr>
      </w:pPr>
      <w:r>
        <w:rPr>
          <w:rFonts w:hint="eastAsia" w:ascii="宋体" w:hAnsi="宋体" w:cs="宋体"/>
          <w:sz w:val="24"/>
          <w:highlight w:val="none"/>
        </w:rPr>
        <w:br w:type="page"/>
      </w:r>
      <w:r>
        <w:rPr>
          <w:rFonts w:hint="eastAsia" w:ascii="宋体" w:hAnsi="宋体" w:cs="宋体"/>
          <w:b/>
          <w:bCs/>
          <w:sz w:val="24"/>
          <w:highlight w:val="none"/>
        </w:rPr>
        <w:t>法定代表人身份证明及法定代表人有效身份证正反面</w:t>
      </w:r>
    </w:p>
    <w:p w14:paraId="08366CFA">
      <w:pPr>
        <w:spacing w:line="360" w:lineRule="auto"/>
        <w:ind w:left="540"/>
        <w:contextualSpacing/>
        <w:rPr>
          <w:rFonts w:ascii="宋体" w:hAnsi="宋体" w:cs="宋体"/>
          <w:sz w:val="32"/>
          <w:szCs w:val="32"/>
          <w:highlight w:val="none"/>
        </w:rPr>
      </w:pPr>
    </w:p>
    <w:p w14:paraId="7A366E0F">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w:t>
      </w:r>
    </w:p>
    <w:p w14:paraId="2E35BCA1">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地    址：</w:t>
      </w:r>
      <w:r>
        <w:rPr>
          <w:rFonts w:hint="eastAsia" w:ascii="宋体" w:hAnsi="宋体" w:cs="宋体"/>
          <w:sz w:val="21"/>
          <w:szCs w:val="21"/>
          <w:highlight w:val="none"/>
          <w:u w:val="single"/>
        </w:rPr>
        <w:t xml:space="preserve">                                                        </w:t>
      </w:r>
    </w:p>
    <w:p w14:paraId="097AD99B">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姓    名：</w:t>
      </w:r>
      <w:r>
        <w:rPr>
          <w:rFonts w:hint="eastAsia" w:ascii="宋体" w:hAnsi="宋体" w:cs="宋体"/>
          <w:sz w:val="21"/>
          <w:szCs w:val="21"/>
          <w:highlight w:val="none"/>
          <w:u w:val="single"/>
        </w:rPr>
        <w:t xml:space="preserve">                </w:t>
      </w:r>
      <w:r>
        <w:rPr>
          <w:rFonts w:hint="eastAsia" w:ascii="宋体" w:hAnsi="宋体" w:cs="宋体"/>
          <w:sz w:val="21"/>
          <w:szCs w:val="21"/>
          <w:highlight w:val="none"/>
        </w:rPr>
        <w:t>性     别：</w:t>
      </w:r>
      <w:r>
        <w:rPr>
          <w:rFonts w:hint="eastAsia" w:ascii="宋体" w:hAnsi="宋体" w:cs="宋体"/>
          <w:sz w:val="21"/>
          <w:szCs w:val="21"/>
          <w:highlight w:val="none"/>
          <w:u w:val="single"/>
        </w:rPr>
        <w:t xml:space="preserve">                </w:t>
      </w:r>
    </w:p>
    <w:p w14:paraId="355B334D">
      <w:pPr>
        <w:spacing w:line="360" w:lineRule="auto"/>
        <w:ind w:left="540"/>
        <w:contextualSpacing/>
        <w:rPr>
          <w:rFonts w:ascii="宋体" w:hAnsi="宋体" w:cs="宋体"/>
          <w:sz w:val="21"/>
          <w:szCs w:val="21"/>
          <w:highlight w:val="none"/>
          <w:u w:val="single"/>
        </w:rPr>
      </w:pPr>
      <w:r>
        <w:rPr>
          <w:rFonts w:hint="eastAsia" w:ascii="宋体" w:hAnsi="宋体" w:cs="宋体"/>
          <w:sz w:val="21"/>
          <w:szCs w:val="21"/>
          <w:highlight w:val="none"/>
        </w:rPr>
        <w:t>年    龄：</w:t>
      </w:r>
      <w:r>
        <w:rPr>
          <w:rFonts w:hint="eastAsia" w:ascii="宋体" w:hAnsi="宋体" w:cs="宋体"/>
          <w:sz w:val="21"/>
          <w:szCs w:val="21"/>
          <w:highlight w:val="none"/>
          <w:u w:val="single"/>
        </w:rPr>
        <w:t xml:space="preserve">                </w:t>
      </w:r>
      <w:r>
        <w:rPr>
          <w:rFonts w:hint="eastAsia" w:ascii="宋体" w:hAnsi="宋体" w:cs="宋体"/>
          <w:sz w:val="21"/>
          <w:szCs w:val="21"/>
          <w:highlight w:val="none"/>
        </w:rPr>
        <w:t>职     务：</w:t>
      </w:r>
      <w:r>
        <w:rPr>
          <w:rFonts w:hint="eastAsia" w:ascii="宋体" w:hAnsi="宋体" w:cs="宋体"/>
          <w:sz w:val="21"/>
          <w:szCs w:val="21"/>
          <w:highlight w:val="none"/>
          <w:u w:val="single"/>
        </w:rPr>
        <w:t xml:space="preserve">                </w:t>
      </w:r>
    </w:p>
    <w:p w14:paraId="71FD55CE">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身份证号码：</w:t>
      </w:r>
      <w:r>
        <w:rPr>
          <w:rFonts w:hint="eastAsia" w:ascii="宋体" w:hAnsi="宋体" w:cs="宋体"/>
          <w:sz w:val="21"/>
          <w:szCs w:val="21"/>
          <w:highlight w:val="none"/>
          <w:u w:val="single"/>
        </w:rPr>
        <w:t xml:space="preserve">                                        </w:t>
      </w:r>
    </w:p>
    <w:p w14:paraId="778A23A5">
      <w:pPr>
        <w:spacing w:line="360" w:lineRule="auto"/>
        <w:ind w:firstLine="420" w:firstLineChars="200"/>
        <w:contextualSpacing/>
        <w:rPr>
          <w:rFonts w:ascii="宋体" w:hAnsi="宋体" w:cs="宋体"/>
          <w:sz w:val="21"/>
          <w:szCs w:val="21"/>
          <w:highlight w:val="none"/>
        </w:rPr>
      </w:pPr>
      <w:r>
        <w:rPr>
          <w:rFonts w:hint="eastAsia" w:ascii="宋体" w:hAnsi="宋体" w:cs="宋体"/>
          <w:sz w:val="21"/>
          <w:szCs w:val="21"/>
          <w:highlight w:val="none"/>
        </w:rPr>
        <w:t>系</w:t>
      </w:r>
      <w:r>
        <w:rPr>
          <w:rFonts w:hint="eastAsia" w:ascii="宋体" w:hAnsi="宋体" w:cs="宋体"/>
          <w:sz w:val="21"/>
          <w:szCs w:val="21"/>
          <w:highlight w:val="none"/>
          <w:u w:val="single"/>
        </w:rPr>
        <w:t>（供应商名称）</w:t>
      </w:r>
      <w:r>
        <w:rPr>
          <w:rFonts w:hint="eastAsia" w:ascii="宋体" w:hAnsi="宋体" w:cs="宋体"/>
          <w:sz w:val="21"/>
          <w:szCs w:val="21"/>
          <w:highlight w:val="none"/>
        </w:rPr>
        <w:t>的法定代表人。</w:t>
      </w:r>
    </w:p>
    <w:p w14:paraId="6EE104AB">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特此证明。</w:t>
      </w:r>
    </w:p>
    <w:p w14:paraId="25CC8845">
      <w:pPr>
        <w:spacing w:line="360" w:lineRule="auto"/>
        <w:ind w:left="540"/>
        <w:contextualSpacing/>
        <w:rPr>
          <w:rFonts w:ascii="宋体" w:hAnsi="宋体" w:cs="宋体"/>
          <w:sz w:val="21"/>
          <w:szCs w:val="21"/>
          <w:highlight w:val="none"/>
        </w:rPr>
      </w:pPr>
    </w:p>
    <w:p w14:paraId="2C6A6107">
      <w:pPr>
        <w:spacing w:line="360" w:lineRule="auto"/>
        <w:ind w:left="540"/>
        <w:contextualSpacing/>
        <w:rPr>
          <w:rFonts w:ascii="宋体" w:hAnsi="宋体" w:cs="宋体"/>
          <w:sz w:val="21"/>
          <w:szCs w:val="21"/>
          <w:highlight w:val="none"/>
        </w:rPr>
      </w:pPr>
    </w:p>
    <w:p w14:paraId="1A2D9814">
      <w:pPr>
        <w:spacing w:line="360" w:lineRule="auto"/>
        <w:ind w:left="540"/>
        <w:contextualSpacing/>
        <w:rPr>
          <w:rFonts w:ascii="宋体" w:hAnsi="宋体" w:cs="宋体"/>
          <w:sz w:val="21"/>
          <w:szCs w:val="21"/>
          <w:highlight w:val="none"/>
        </w:rPr>
      </w:pPr>
    </w:p>
    <w:p w14:paraId="093E0764">
      <w:pPr>
        <w:spacing w:line="360" w:lineRule="auto"/>
        <w:ind w:left="540"/>
        <w:contextualSpacing/>
        <w:rPr>
          <w:rFonts w:ascii="宋体" w:hAnsi="宋体" w:cs="宋体"/>
          <w:sz w:val="21"/>
          <w:szCs w:val="21"/>
          <w:highlight w:val="none"/>
        </w:rPr>
      </w:pPr>
      <w:r>
        <w:rPr>
          <w:rFonts w:hint="eastAsia" w:ascii="宋体" w:hAnsi="宋体" w:cs="宋体"/>
          <w:sz w:val="21"/>
          <w:szCs w:val="21"/>
          <w:highlight w:val="none"/>
        </w:rPr>
        <w:t>附件：法定代表人有效身份证正反面复印件</w:t>
      </w:r>
    </w:p>
    <w:p w14:paraId="2829713E">
      <w:pPr>
        <w:spacing w:line="360" w:lineRule="auto"/>
        <w:ind w:left="540"/>
        <w:contextualSpacing/>
        <w:rPr>
          <w:rFonts w:ascii="宋体" w:hAnsi="宋体" w:cs="宋体"/>
          <w:sz w:val="21"/>
          <w:szCs w:val="21"/>
          <w:highlight w:val="none"/>
        </w:rPr>
      </w:pPr>
    </w:p>
    <w:p w14:paraId="66BE9259">
      <w:pPr>
        <w:spacing w:line="360" w:lineRule="auto"/>
        <w:ind w:right="960" w:firstLine="3570" w:firstLineChars="1700"/>
        <w:contextualSpacing/>
        <w:rPr>
          <w:rFonts w:ascii="宋体" w:hAnsi="宋体" w:cs="宋体"/>
          <w:sz w:val="21"/>
          <w:szCs w:val="21"/>
          <w:highlight w:val="none"/>
          <w:u w:val="single"/>
        </w:rPr>
      </w:pPr>
      <w:r>
        <w:rPr>
          <w:rFonts w:hint="eastAsia" w:ascii="宋体" w:hAnsi="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p>
    <w:p w14:paraId="65B70D53">
      <w:pPr>
        <w:pStyle w:val="23"/>
        <w:rPr>
          <w:rFonts w:ascii="宋体" w:hAnsi="宋体" w:cs="宋体"/>
          <w:szCs w:val="21"/>
          <w:highlight w:val="none"/>
        </w:rPr>
      </w:pPr>
    </w:p>
    <w:p w14:paraId="5D3A7C28">
      <w:pPr>
        <w:spacing w:line="360" w:lineRule="auto"/>
        <w:ind w:firstLine="3570" w:firstLineChars="1700"/>
        <w:contextualSpacing/>
        <w:rPr>
          <w:rFonts w:ascii="宋体" w:hAnsi="宋体" w:cs="宋体"/>
          <w:sz w:val="21"/>
          <w:szCs w:val="21"/>
          <w:highlight w:val="none"/>
        </w:rPr>
      </w:pPr>
      <w:r>
        <w:rPr>
          <w:rFonts w:hint="eastAsia"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0812D10E">
      <w:pPr>
        <w:spacing w:line="360" w:lineRule="auto"/>
        <w:contextualSpacing/>
        <w:jc w:val="center"/>
        <w:rPr>
          <w:rFonts w:ascii="宋体" w:hAnsi="宋体" w:cs="宋体"/>
          <w:b/>
          <w:sz w:val="24"/>
          <w:highlight w:val="none"/>
        </w:rPr>
      </w:pPr>
    </w:p>
    <w:p w14:paraId="12FD4EA6">
      <w:pPr>
        <w:spacing w:line="360" w:lineRule="auto"/>
        <w:contextualSpacing/>
        <w:jc w:val="left"/>
        <w:rPr>
          <w:rFonts w:ascii="宋体" w:hAnsi="宋体" w:cs="宋体"/>
          <w:sz w:val="24"/>
          <w:highlight w:val="none"/>
        </w:rPr>
      </w:pPr>
    </w:p>
    <w:p w14:paraId="3DF26DF4">
      <w:pPr>
        <w:spacing w:line="360" w:lineRule="auto"/>
        <w:contextualSpacing/>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自然人参与竞争性磋商的无需提供，联合体参与竞争性磋商的只需牵头人出具。</w:t>
      </w:r>
    </w:p>
    <w:p w14:paraId="1FC520A0">
      <w:pPr>
        <w:adjustRightInd w:val="0"/>
        <w:snapToGrid w:val="0"/>
        <w:spacing w:line="300" w:lineRule="auto"/>
        <w:jc w:val="left"/>
        <w:rPr>
          <w:rFonts w:ascii="宋体" w:hAnsi="宋体" w:cs="宋体"/>
          <w:b/>
          <w:szCs w:val="21"/>
          <w:highlight w:val="none"/>
        </w:rPr>
      </w:pPr>
    </w:p>
    <w:p w14:paraId="12293F7E">
      <w:pPr>
        <w:spacing w:line="500" w:lineRule="exact"/>
        <w:jc w:val="center"/>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sz w:val="44"/>
          <w:szCs w:val="44"/>
          <w:highlight w:val="none"/>
        </w:rPr>
        <w:t xml:space="preserve"> </w:t>
      </w:r>
    </w:p>
    <w:p w14:paraId="43E5966A">
      <w:pPr>
        <w:jc w:val="center"/>
        <w:rPr>
          <w:rFonts w:ascii="宋体" w:hAnsi="宋体" w:cs="宋体"/>
          <w:b/>
          <w:sz w:val="28"/>
          <w:szCs w:val="28"/>
          <w:highlight w:val="none"/>
        </w:rPr>
      </w:pPr>
      <w:bookmarkStart w:id="41" w:name="_Hlk65853643"/>
      <w:r>
        <w:rPr>
          <w:rFonts w:hint="eastAsia" w:ascii="宋体" w:hAnsi="宋体" w:cs="宋体"/>
          <w:b/>
          <w:sz w:val="28"/>
          <w:szCs w:val="28"/>
          <w:highlight w:val="none"/>
        </w:rPr>
        <w:t>授权委托书</w:t>
      </w:r>
    </w:p>
    <w:p w14:paraId="3BF3E85B">
      <w:pPr>
        <w:jc w:val="center"/>
        <w:rPr>
          <w:rFonts w:ascii="宋体" w:hAnsi="宋体" w:cs="宋体"/>
          <w:sz w:val="28"/>
          <w:szCs w:val="28"/>
          <w:highlight w:val="none"/>
        </w:rPr>
      </w:pPr>
      <w:r>
        <w:rPr>
          <w:rFonts w:hint="eastAsia" w:ascii="宋体" w:hAnsi="宋体" w:cs="宋体"/>
          <w:sz w:val="28"/>
          <w:szCs w:val="28"/>
          <w:highlight w:val="none"/>
        </w:rPr>
        <w:t>（非联合体参与竞争性磋商格式）</w:t>
      </w:r>
    </w:p>
    <w:p w14:paraId="4A21B5A2">
      <w:pPr>
        <w:jc w:val="center"/>
        <w:rPr>
          <w:rFonts w:ascii="宋体" w:hAnsi="宋体" w:cs="宋体"/>
          <w:sz w:val="28"/>
          <w:szCs w:val="28"/>
          <w:highlight w:val="none"/>
        </w:rPr>
      </w:pPr>
      <w:r>
        <w:rPr>
          <w:rFonts w:hint="eastAsia" w:ascii="宋体" w:hAnsi="宋体" w:cs="宋体"/>
          <w:sz w:val="28"/>
          <w:szCs w:val="28"/>
          <w:highlight w:val="none"/>
        </w:rPr>
        <w:t>（如有委托时）</w:t>
      </w:r>
    </w:p>
    <w:p w14:paraId="1E03248C">
      <w:pPr>
        <w:spacing w:line="520" w:lineRule="exact"/>
        <w:rPr>
          <w:rFonts w:ascii="宋体" w:hAnsi="宋体" w:cs="宋体"/>
          <w:sz w:val="32"/>
          <w:szCs w:val="32"/>
          <w:highlight w:val="none"/>
        </w:rPr>
      </w:pPr>
    </w:p>
    <w:p w14:paraId="662A2AFF">
      <w:pPr>
        <w:spacing w:line="360" w:lineRule="auto"/>
        <w:rPr>
          <w:rFonts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u w:val="single"/>
        </w:rPr>
        <w:t>（采购人名称）</w:t>
      </w:r>
      <w:r>
        <w:rPr>
          <w:rFonts w:hint="eastAsia" w:ascii="宋体" w:hAnsi="宋体" w:cs="宋体"/>
          <w:sz w:val="21"/>
          <w:szCs w:val="21"/>
          <w:highlight w:val="none"/>
        </w:rPr>
        <w:t>：</w:t>
      </w:r>
    </w:p>
    <w:p w14:paraId="16D6330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我</w:t>
      </w:r>
      <w:r>
        <w:rPr>
          <w:rFonts w:hint="eastAsia" w:ascii="宋体" w:hAnsi="宋体" w:cs="宋体"/>
          <w:sz w:val="21"/>
          <w:szCs w:val="21"/>
          <w:highlight w:val="none"/>
          <w:u w:val="single"/>
        </w:rPr>
        <w:t xml:space="preserve">  （姓名）  </w:t>
      </w:r>
      <w:r>
        <w:rPr>
          <w:rFonts w:hint="eastAsia" w:ascii="宋体" w:hAnsi="宋体" w:cs="宋体"/>
          <w:sz w:val="21"/>
          <w:szCs w:val="21"/>
          <w:highlight w:val="none"/>
        </w:rPr>
        <w:t>系</w:t>
      </w:r>
      <w:r>
        <w:rPr>
          <w:rFonts w:hint="eastAsia" w:ascii="宋体" w:hAnsi="宋体" w:cs="宋体"/>
          <w:sz w:val="21"/>
          <w:szCs w:val="21"/>
          <w:highlight w:val="none"/>
          <w:u w:val="single"/>
        </w:rPr>
        <w:t xml:space="preserve">  （供应商名称）  </w:t>
      </w:r>
      <w:r>
        <w:rPr>
          <w:rFonts w:hint="eastAsia" w:ascii="宋体" w:hAnsi="宋体" w:cs="宋体"/>
          <w:sz w:val="21"/>
          <w:szCs w:val="21"/>
          <w:highlight w:val="none"/>
        </w:rPr>
        <w:t>的（</w:t>
      </w:r>
      <w:r>
        <w:rPr>
          <w:rFonts w:hint="eastAsia" w:ascii="宋体" w:hAnsi="宋体" w:cs="宋体"/>
          <w:sz w:val="21"/>
          <w:szCs w:val="21"/>
          <w:highlight w:val="none"/>
          <w:u w:val="single"/>
        </w:rPr>
        <w:t>法定代表人/负责人/自然人本人</w:t>
      </w:r>
      <w:r>
        <w:rPr>
          <w:rFonts w:hint="eastAsia" w:ascii="宋体" w:hAnsi="宋体" w:cs="宋体"/>
          <w:sz w:val="21"/>
          <w:szCs w:val="21"/>
          <w:highlight w:val="none"/>
        </w:rPr>
        <w:t>），现授权</w:t>
      </w:r>
      <w:r>
        <w:rPr>
          <w:rFonts w:hint="eastAsia" w:ascii="宋体" w:hAnsi="宋体" w:cs="宋体"/>
          <w:sz w:val="21"/>
          <w:szCs w:val="21"/>
          <w:highlight w:val="none"/>
          <w:u w:val="single"/>
        </w:rPr>
        <w:t xml:space="preserve"> （姓名） </w:t>
      </w:r>
      <w:r>
        <w:rPr>
          <w:rFonts w:hint="eastAsia" w:ascii="宋体" w:hAnsi="宋体" w:cs="宋体"/>
          <w:sz w:val="21"/>
          <w:szCs w:val="21"/>
          <w:highlight w:val="none"/>
        </w:rPr>
        <w:t>以我方的名义参加</w:t>
      </w:r>
      <w:r>
        <w:rPr>
          <w:rFonts w:hint="eastAsia" w:ascii="宋体" w:hAnsi="宋体" w:cs="宋体"/>
          <w:sz w:val="21"/>
          <w:szCs w:val="21"/>
          <w:highlight w:val="none"/>
          <w:u w:val="single"/>
        </w:rPr>
        <w:t xml:space="preserve">              </w:t>
      </w:r>
      <w:r>
        <w:rPr>
          <w:rFonts w:hint="eastAsia" w:ascii="宋体" w:hAnsi="宋体" w:cs="宋体"/>
          <w:sz w:val="21"/>
          <w:szCs w:val="21"/>
          <w:highlight w:val="none"/>
        </w:rPr>
        <w:t>项目的竞争性磋商活动，并代表我方全权办理针对上述项目的所有采购程序和环节的具体事务和签署相关文件。</w:t>
      </w:r>
    </w:p>
    <w:p w14:paraId="06F236CF">
      <w:pPr>
        <w:spacing w:line="360" w:lineRule="auto"/>
        <w:rPr>
          <w:rFonts w:ascii="宋体" w:hAnsi="宋体" w:cs="宋体"/>
          <w:sz w:val="21"/>
          <w:szCs w:val="21"/>
          <w:highlight w:val="none"/>
        </w:rPr>
      </w:pPr>
      <w:r>
        <w:rPr>
          <w:rFonts w:hint="eastAsia" w:ascii="宋体" w:hAnsi="宋体" w:cs="宋体"/>
          <w:sz w:val="21"/>
          <w:szCs w:val="21"/>
          <w:highlight w:val="none"/>
        </w:rPr>
        <w:t xml:space="preserve">    我方对委托代理人的签字事项负全部责任。</w:t>
      </w:r>
    </w:p>
    <w:p w14:paraId="52E21B4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本授权书自签署之日起生效，在撤销授权的书面通知以前，本授权书一直有效。委托代理人在授权书有效期内签署的所有文件不因授权的撤销而失效。</w:t>
      </w:r>
    </w:p>
    <w:p w14:paraId="5A42BBA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委托代理人无转委托权，特此委托。</w:t>
      </w:r>
    </w:p>
    <w:p w14:paraId="21D2DB3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附：委托代理人有效身份证正反面复印件</w:t>
      </w:r>
    </w:p>
    <w:p w14:paraId="307A17D6">
      <w:pPr>
        <w:spacing w:line="360" w:lineRule="auto"/>
        <w:rPr>
          <w:rFonts w:ascii="宋体" w:hAnsi="宋体" w:cs="宋体"/>
          <w:sz w:val="21"/>
          <w:szCs w:val="21"/>
          <w:highlight w:val="none"/>
        </w:rPr>
      </w:pPr>
    </w:p>
    <w:p w14:paraId="029B3244">
      <w:pPr>
        <w:spacing w:line="360" w:lineRule="auto"/>
        <w:rPr>
          <w:rFonts w:ascii="宋体" w:hAnsi="宋体" w:cs="宋体"/>
          <w:sz w:val="21"/>
          <w:szCs w:val="21"/>
          <w:highlight w:val="none"/>
        </w:rPr>
      </w:pPr>
      <w:r>
        <w:rPr>
          <w:rFonts w:hint="eastAsia" w:ascii="宋体" w:hAnsi="宋体" w:cs="宋体"/>
          <w:sz w:val="21"/>
          <w:szCs w:val="21"/>
          <w:highlight w:val="none"/>
        </w:rPr>
        <w:t>委托代理人（</w:t>
      </w:r>
      <w:r>
        <w:rPr>
          <w:rFonts w:hint="eastAsia" w:ascii="宋体" w:hAnsi="宋体" w:cs="宋体"/>
          <w:sz w:val="21"/>
          <w:szCs w:val="21"/>
          <w:highlight w:val="none"/>
          <w:lang w:eastAsia="zh-CN"/>
        </w:rPr>
        <w:t>签字或CA签章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法定代表人（</w:t>
      </w:r>
      <w:r>
        <w:rPr>
          <w:rFonts w:hint="eastAsia" w:ascii="宋体" w:hAnsi="宋体" w:cs="宋体"/>
          <w:sz w:val="21"/>
          <w:szCs w:val="21"/>
          <w:highlight w:val="none"/>
          <w:lang w:eastAsia="zh-CN"/>
        </w:rPr>
        <w:t>签字或CA签章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4B352C3C">
      <w:pPr>
        <w:spacing w:line="360" w:lineRule="auto"/>
        <w:rPr>
          <w:rFonts w:ascii="宋体" w:hAnsi="宋体" w:cs="宋体"/>
          <w:sz w:val="21"/>
          <w:szCs w:val="21"/>
          <w:highlight w:val="none"/>
        </w:rPr>
      </w:pPr>
      <w:r>
        <w:rPr>
          <w:rFonts w:hint="eastAsia" w:ascii="宋体" w:hAnsi="宋体" w:cs="宋体"/>
          <w:sz w:val="21"/>
          <w:szCs w:val="21"/>
          <w:highlight w:val="none"/>
        </w:rPr>
        <w:t>委托代理人身份证号码：</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1FE6954D">
      <w:pPr>
        <w:spacing w:line="360" w:lineRule="auto"/>
        <w:rPr>
          <w:rFonts w:ascii="宋体" w:hAnsi="宋体" w:cs="宋体"/>
          <w:sz w:val="21"/>
          <w:szCs w:val="21"/>
          <w:highlight w:val="none"/>
        </w:rPr>
      </w:pPr>
      <w:r>
        <w:rPr>
          <w:rFonts w:hint="eastAsia" w:ascii="宋体" w:hAnsi="宋体" w:cs="宋体"/>
          <w:sz w:val="21"/>
          <w:szCs w:val="21"/>
          <w:highlight w:val="none"/>
        </w:rPr>
        <w:t xml:space="preserve">                                </w:t>
      </w:r>
    </w:p>
    <w:p w14:paraId="345F85C9">
      <w:pPr>
        <w:spacing w:line="360" w:lineRule="auto"/>
        <w:rPr>
          <w:rFonts w:ascii="宋体" w:hAnsi="宋体" w:cs="宋体"/>
          <w:sz w:val="21"/>
          <w:szCs w:val="21"/>
          <w:highlight w:val="none"/>
        </w:rPr>
      </w:pPr>
      <w:r>
        <w:rPr>
          <w:rFonts w:hint="eastAsia" w:ascii="宋体" w:hAnsi="宋体" w:cs="宋体"/>
          <w:sz w:val="21"/>
          <w:szCs w:val="21"/>
          <w:highlight w:val="none"/>
        </w:rPr>
        <w:t xml:space="preserve">                         供应商（公章</w:t>
      </w:r>
      <w:r>
        <w:rPr>
          <w:rFonts w:hint="eastAsia" w:ascii="宋体" w:hAnsi="宋体" w:eastAsia="宋体" w:cs="宋体"/>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0BB34156">
      <w:pPr>
        <w:spacing w:line="360" w:lineRule="auto"/>
        <w:rPr>
          <w:rFonts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3E3E898B">
      <w:pPr>
        <w:spacing w:line="360" w:lineRule="auto"/>
        <w:rPr>
          <w:rFonts w:ascii="宋体" w:hAnsi="宋体" w:cs="宋体"/>
          <w:sz w:val="24"/>
          <w:highlight w:val="none"/>
        </w:rPr>
      </w:pPr>
    </w:p>
    <w:p w14:paraId="239A50D7">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1.法定代表人必须在授权委托书上签字或签章，委托代理人必须在授权委托书上签字或签章，</w:t>
      </w:r>
      <w:r>
        <w:rPr>
          <w:rFonts w:hint="eastAsia" w:ascii="宋体" w:hAnsi="宋体" w:eastAsia="宋体" w:cs="宋体"/>
          <w:b/>
          <w:sz w:val="21"/>
          <w:szCs w:val="21"/>
          <w:highlight w:val="none"/>
        </w:rPr>
        <w:t>否则其响应文件按无效响应处理。</w:t>
      </w:r>
    </w:p>
    <w:p w14:paraId="3C6B9BB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bookmarkStart w:id="42" w:name="_Hlk65853109"/>
      <w:bookmarkStart w:id="43" w:name="_Hlk65853542"/>
      <w:r>
        <w:rPr>
          <w:rFonts w:hint="eastAsia" w:ascii="宋体" w:hAnsi="宋体" w:eastAsia="宋体" w:cs="宋体"/>
          <w:sz w:val="21"/>
          <w:szCs w:val="21"/>
          <w:highlight w:val="none"/>
        </w:rPr>
        <w:t>法人、其他组织参与竞争性磋商时“我方”是指“我单位”，自然人参与竞争性磋商时“我方”是指“本人”。</w:t>
      </w:r>
      <w:bookmarkEnd w:id="42"/>
    </w:p>
    <w:bookmarkEnd w:id="43"/>
    <w:p w14:paraId="41EDB8B9">
      <w:pPr>
        <w:spacing w:line="360" w:lineRule="auto"/>
        <w:ind w:firstLine="420" w:firstLineChars="200"/>
        <w:jc w:val="left"/>
        <w:rPr>
          <w:rFonts w:ascii="宋体" w:hAnsi="宋体" w:cs="宋体"/>
          <w:szCs w:val="21"/>
          <w:highlight w:val="none"/>
        </w:rPr>
      </w:pPr>
    </w:p>
    <w:p w14:paraId="73C1E9D8">
      <w:pPr>
        <w:jc w:val="center"/>
        <w:rPr>
          <w:rFonts w:ascii="宋体" w:hAnsi="宋体" w:cs="宋体"/>
          <w:b/>
          <w:sz w:val="44"/>
          <w:szCs w:val="44"/>
          <w:highlight w:val="none"/>
        </w:rPr>
      </w:pPr>
      <w:r>
        <w:rPr>
          <w:rFonts w:hint="eastAsia" w:ascii="宋体" w:hAnsi="宋体" w:cs="宋体"/>
          <w:szCs w:val="21"/>
          <w:highlight w:val="none"/>
        </w:rPr>
        <w:br w:type="page"/>
      </w:r>
      <w:r>
        <w:rPr>
          <w:rFonts w:hint="eastAsia" w:ascii="宋体" w:hAnsi="宋体" w:cs="宋体"/>
          <w:b/>
          <w:sz w:val="44"/>
          <w:szCs w:val="44"/>
          <w:highlight w:val="none"/>
        </w:rPr>
        <w:t>授权委托书</w:t>
      </w:r>
    </w:p>
    <w:p w14:paraId="6E9E816C">
      <w:pPr>
        <w:jc w:val="center"/>
        <w:rPr>
          <w:rFonts w:ascii="宋体" w:hAnsi="宋体" w:cs="宋体"/>
          <w:sz w:val="32"/>
          <w:szCs w:val="32"/>
          <w:highlight w:val="none"/>
        </w:rPr>
      </w:pPr>
      <w:r>
        <w:rPr>
          <w:rFonts w:hint="eastAsia" w:ascii="宋体" w:hAnsi="宋体" w:cs="宋体"/>
          <w:sz w:val="32"/>
          <w:szCs w:val="32"/>
          <w:highlight w:val="none"/>
        </w:rPr>
        <w:t>（联合体参与竞争性磋商格式）</w:t>
      </w:r>
    </w:p>
    <w:p w14:paraId="6BBC9217">
      <w:pPr>
        <w:jc w:val="center"/>
        <w:rPr>
          <w:rFonts w:ascii="宋体" w:hAnsi="宋体" w:cs="宋体"/>
          <w:sz w:val="44"/>
          <w:szCs w:val="44"/>
          <w:highlight w:val="none"/>
        </w:rPr>
      </w:pPr>
      <w:r>
        <w:rPr>
          <w:rFonts w:hint="eastAsia" w:ascii="宋体" w:hAnsi="宋体" w:cs="宋体"/>
          <w:sz w:val="32"/>
          <w:szCs w:val="32"/>
          <w:highlight w:val="none"/>
        </w:rPr>
        <w:t>（如有委托时）</w:t>
      </w:r>
    </w:p>
    <w:p w14:paraId="5493AE3B">
      <w:pPr>
        <w:spacing w:line="500" w:lineRule="exact"/>
        <w:jc w:val="center"/>
        <w:rPr>
          <w:rFonts w:ascii="宋体" w:hAnsi="宋体" w:cs="宋体"/>
          <w:sz w:val="44"/>
          <w:szCs w:val="44"/>
          <w:highlight w:val="none"/>
        </w:rPr>
      </w:pPr>
    </w:p>
    <w:p w14:paraId="16D7B914">
      <w:pPr>
        <w:spacing w:line="500" w:lineRule="exact"/>
        <w:jc w:val="center"/>
        <w:rPr>
          <w:rFonts w:ascii="宋体" w:hAnsi="宋体" w:cs="宋体"/>
          <w:sz w:val="32"/>
          <w:szCs w:val="32"/>
          <w:highlight w:val="none"/>
        </w:rPr>
      </w:pPr>
    </w:p>
    <w:p w14:paraId="55A24696">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本授权委托书声明：根据</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（牵头人名称）与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（联合体其他成员名称）签订的《联合体参与竞争性磋商协议书》的内容，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（牵头人名称）的法定代表人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（姓名）现授权</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（姓名）为联合委托代理人，并代表我方全权办理针对上述项目的所有采购程序和环节的具体事务和签署相关文件。</w:t>
      </w:r>
    </w:p>
    <w:p w14:paraId="3C77818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我方对委托代理人的签字事项负全部责任。</w:t>
      </w:r>
    </w:p>
    <w:p w14:paraId="674631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本授权书自签署之日起生效，在撤销授权的书面通知以前，本授权书一直有效。委托代理人在授权书有效期内签署的所有文件不因授权的撤销而失效。</w:t>
      </w:r>
    </w:p>
    <w:p w14:paraId="1A75A5F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委托代理人无转委托权，特此委托。</w:t>
      </w:r>
    </w:p>
    <w:p w14:paraId="2E80392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附：法定代表人身份证明及委托代理人有效身份证正反面复印件</w:t>
      </w:r>
    </w:p>
    <w:p w14:paraId="645BB7BB">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牵头人法定代表人（签字或者盖章）：</w:t>
      </w:r>
    </w:p>
    <w:p w14:paraId="632A4011">
      <w:pPr>
        <w:spacing w:line="360" w:lineRule="auto"/>
        <w:ind w:firstLine="2730" w:firstLineChars="13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牵头人（公章</w:t>
      </w:r>
      <w:r>
        <w:rPr>
          <w:rFonts w:hint="eastAsia" w:ascii="宋体" w:hAnsi="宋体" w:eastAsia="宋体" w:cs="宋体"/>
          <w:color w:val="auto"/>
          <w:sz w:val="21"/>
          <w:szCs w:val="21"/>
          <w:highlight w:val="none"/>
          <w:lang w:eastAsia="zh-CN"/>
        </w:rPr>
        <w:t>（CA签章）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43A5D605">
      <w:pPr>
        <w:spacing w:line="360"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0C6B40BE">
      <w:pPr>
        <w:spacing w:line="360" w:lineRule="auto"/>
        <w:rPr>
          <w:rFonts w:hint="eastAsia" w:ascii="宋体" w:hAnsi="宋体" w:eastAsia="宋体" w:cs="宋体"/>
          <w:sz w:val="21"/>
          <w:szCs w:val="21"/>
          <w:highlight w:val="none"/>
        </w:rPr>
      </w:pPr>
    </w:p>
    <w:p w14:paraId="72394856">
      <w:pPr>
        <w:spacing w:line="360" w:lineRule="auto"/>
        <w:ind w:firstLine="2730" w:firstLineChars="13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被授权人（</w:t>
      </w:r>
      <w:r>
        <w:rPr>
          <w:rFonts w:hint="eastAsia" w:ascii="宋体" w:hAnsi="宋体" w:eastAsia="宋体" w:cs="宋体"/>
          <w:sz w:val="21"/>
          <w:szCs w:val="21"/>
          <w:highlight w:val="none"/>
          <w:lang w:eastAsia="zh-CN"/>
        </w:rPr>
        <w:t>签字或签章</w:t>
      </w:r>
      <w:r>
        <w:rPr>
          <w:rFonts w:hint="eastAsia" w:ascii="宋体" w:hAnsi="宋体" w:eastAsia="宋体" w:cs="宋体"/>
          <w:color w:val="auto"/>
          <w:sz w:val="21"/>
          <w:szCs w:val="21"/>
          <w:highlight w:val="none"/>
          <w:lang w:eastAsia="zh-CN"/>
        </w:rPr>
        <w:t>（CA签章）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5E76DDBE">
      <w:pPr>
        <w:spacing w:line="360"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3C29B50C">
      <w:pPr>
        <w:spacing w:line="360" w:lineRule="auto"/>
        <w:rPr>
          <w:rFonts w:hint="eastAsia" w:ascii="宋体" w:hAnsi="宋体" w:eastAsia="宋体" w:cs="宋体"/>
          <w:sz w:val="21"/>
          <w:szCs w:val="21"/>
          <w:highlight w:val="none"/>
        </w:rPr>
      </w:pPr>
    </w:p>
    <w:p w14:paraId="6170FC50">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sz w:val="21"/>
          <w:szCs w:val="21"/>
          <w:highlight w:val="none"/>
        </w:rPr>
        <w:t>1.法定代表人必须在授权委托书上签字或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rPr>
        <w:t>签章，委托代理人必须在授权委托书上签字或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rPr>
        <w:t>签章，</w:t>
      </w:r>
      <w:r>
        <w:rPr>
          <w:rFonts w:hint="eastAsia" w:ascii="宋体" w:hAnsi="宋体" w:eastAsia="宋体" w:cs="宋体"/>
          <w:b/>
          <w:sz w:val="21"/>
          <w:szCs w:val="21"/>
          <w:highlight w:val="none"/>
        </w:rPr>
        <w:t>否则其响应文件按无效响应处理。</w:t>
      </w:r>
    </w:p>
    <w:p w14:paraId="0E801F8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2.本授权委托书应由联合体牵头人的法定代表人按上述规定签署。</w:t>
      </w:r>
    </w:p>
    <w:p w14:paraId="78AFAC74">
      <w:pPr>
        <w:spacing w:line="360" w:lineRule="auto"/>
        <w:ind w:firstLine="420" w:firstLineChars="200"/>
        <w:jc w:val="left"/>
        <w:rPr>
          <w:rFonts w:hint="eastAsia" w:ascii="宋体" w:hAnsi="宋体" w:eastAsia="宋体" w:cs="宋体"/>
          <w:spacing w:val="-11"/>
          <w:sz w:val="21"/>
          <w:szCs w:val="21"/>
          <w:highlight w:val="none"/>
        </w:rPr>
      </w:pPr>
      <w:r>
        <w:rPr>
          <w:rFonts w:hint="eastAsia" w:ascii="宋体" w:hAnsi="宋体" w:eastAsia="宋体" w:cs="宋体"/>
          <w:sz w:val="21"/>
          <w:szCs w:val="21"/>
          <w:highlight w:val="none"/>
        </w:rPr>
        <w:t>3.</w:t>
      </w:r>
      <w:r>
        <w:rPr>
          <w:rFonts w:hint="eastAsia" w:ascii="宋体" w:hAnsi="宋体" w:eastAsia="宋体" w:cs="宋体"/>
          <w:spacing w:val="-11"/>
          <w:sz w:val="21"/>
          <w:szCs w:val="21"/>
          <w:highlight w:val="none"/>
        </w:rPr>
        <w:t>法人、其他组织</w:t>
      </w:r>
      <w:r>
        <w:rPr>
          <w:rFonts w:hint="eastAsia" w:ascii="宋体" w:hAnsi="宋体" w:eastAsia="宋体" w:cs="宋体"/>
          <w:sz w:val="21"/>
          <w:szCs w:val="21"/>
          <w:highlight w:val="none"/>
        </w:rPr>
        <w:t>参与竞争性磋商</w:t>
      </w:r>
      <w:r>
        <w:rPr>
          <w:rFonts w:hint="eastAsia" w:ascii="宋体" w:hAnsi="宋体" w:eastAsia="宋体" w:cs="宋体"/>
          <w:spacing w:val="-11"/>
          <w:sz w:val="21"/>
          <w:szCs w:val="21"/>
          <w:highlight w:val="none"/>
        </w:rPr>
        <w:t>时“我方”是指“我单位”，自然人</w:t>
      </w:r>
      <w:r>
        <w:rPr>
          <w:rFonts w:hint="eastAsia" w:ascii="宋体" w:hAnsi="宋体" w:eastAsia="宋体" w:cs="宋体"/>
          <w:sz w:val="21"/>
          <w:szCs w:val="21"/>
          <w:highlight w:val="none"/>
        </w:rPr>
        <w:t>参与竞争性磋商</w:t>
      </w:r>
      <w:r>
        <w:rPr>
          <w:rFonts w:hint="eastAsia" w:ascii="宋体" w:hAnsi="宋体" w:eastAsia="宋体" w:cs="宋体"/>
          <w:spacing w:val="-11"/>
          <w:sz w:val="21"/>
          <w:szCs w:val="21"/>
          <w:highlight w:val="none"/>
        </w:rPr>
        <w:t>时“我方”是指“本人”。</w:t>
      </w:r>
    </w:p>
    <w:bookmarkEnd w:id="41"/>
    <w:p w14:paraId="6C62AE3E">
      <w:pPr>
        <w:jc w:val="center"/>
        <w:rPr>
          <w:rFonts w:ascii="宋体" w:hAnsi="宋体" w:cs="宋体"/>
          <w:bCs/>
          <w:sz w:val="32"/>
          <w:szCs w:val="32"/>
          <w:highlight w:val="none"/>
        </w:rPr>
      </w:pPr>
      <w:r>
        <w:rPr>
          <w:rFonts w:hint="eastAsia" w:ascii="宋体" w:hAnsi="宋体" w:cs="宋体"/>
          <w:sz w:val="32"/>
          <w:szCs w:val="32"/>
          <w:highlight w:val="none"/>
        </w:rPr>
        <w:br w:type="page"/>
      </w:r>
      <w:r>
        <w:rPr>
          <w:rFonts w:hint="eastAsia" w:ascii="宋体" w:hAnsi="宋体" w:cs="宋体"/>
          <w:b/>
          <w:bCs/>
          <w:sz w:val="32"/>
          <w:szCs w:val="32"/>
          <w:highlight w:val="none"/>
        </w:rPr>
        <w:t>商务要求偏离表</w:t>
      </w:r>
      <w:r>
        <w:rPr>
          <w:rFonts w:hint="eastAsia" w:ascii="宋体" w:hAnsi="宋体" w:cs="宋体"/>
          <w:bCs/>
          <w:sz w:val="32"/>
          <w:szCs w:val="32"/>
          <w:highlight w:val="none"/>
        </w:rPr>
        <w:t>（格式）</w:t>
      </w:r>
    </w:p>
    <w:p w14:paraId="614B5213">
      <w:pPr>
        <w:spacing w:line="360" w:lineRule="auto"/>
        <w:contextualSpacing/>
        <w:jc w:val="left"/>
        <w:rPr>
          <w:rFonts w:ascii="宋体" w:hAnsi="宋体" w:cs="宋体"/>
          <w:sz w:val="24"/>
          <w:highlight w:val="none"/>
        </w:rPr>
      </w:pPr>
    </w:p>
    <w:p w14:paraId="234BC759">
      <w:pPr>
        <w:spacing w:line="360" w:lineRule="auto"/>
        <w:contextualSpacing/>
        <w:rPr>
          <w:rFonts w:ascii="宋体" w:hAnsi="宋体" w:cs="宋体"/>
          <w:sz w:val="21"/>
          <w:szCs w:val="21"/>
          <w:highlight w:val="none"/>
          <w:u w:val="single"/>
        </w:rPr>
      </w:pPr>
      <w:r>
        <w:rPr>
          <w:rFonts w:hint="eastAsia" w:ascii="宋体" w:hAnsi="宋体" w:cs="宋体"/>
          <w:sz w:val="21"/>
          <w:szCs w:val="21"/>
          <w:highlight w:val="none"/>
        </w:rPr>
        <w:t>采购项目编号：</w:t>
      </w:r>
      <w:r>
        <w:rPr>
          <w:rFonts w:hint="eastAsia" w:ascii="宋体" w:hAnsi="宋体" w:cs="宋体"/>
          <w:sz w:val="21"/>
          <w:szCs w:val="21"/>
          <w:highlight w:val="none"/>
          <w:u w:val="single"/>
        </w:rPr>
        <w:t xml:space="preserve">                 </w:t>
      </w:r>
    </w:p>
    <w:p w14:paraId="61288B6E">
      <w:pPr>
        <w:spacing w:line="360" w:lineRule="auto"/>
        <w:contextualSpacing/>
        <w:rPr>
          <w:rFonts w:ascii="宋体" w:hAnsi="宋体" w:cs="宋体"/>
          <w:sz w:val="21"/>
          <w:szCs w:val="21"/>
          <w:highlight w:val="none"/>
        </w:rPr>
      </w:pPr>
      <w:r>
        <w:rPr>
          <w:rFonts w:hint="eastAsia" w:ascii="宋体" w:hAnsi="宋体" w:cs="宋体"/>
          <w:sz w:val="21"/>
          <w:szCs w:val="21"/>
          <w:highlight w:val="none"/>
        </w:rPr>
        <w:t>采购项目名称：</w:t>
      </w:r>
      <w:r>
        <w:rPr>
          <w:rFonts w:hint="eastAsia" w:ascii="宋体" w:hAnsi="宋体" w:cs="宋体"/>
          <w:sz w:val="21"/>
          <w:szCs w:val="21"/>
          <w:highlight w:val="none"/>
          <w:u w:val="single"/>
        </w:rPr>
        <w:t xml:space="preserve">                 </w:t>
      </w:r>
    </w:p>
    <w:p w14:paraId="6049959E">
      <w:pPr>
        <w:spacing w:line="360" w:lineRule="auto"/>
        <w:contextualSpacing/>
        <w:rPr>
          <w:rFonts w:hAnsi="宋体" w:cs="宋体"/>
          <w:sz w:val="21"/>
          <w:szCs w:val="21"/>
          <w:highlight w:val="none"/>
        </w:rPr>
      </w:pPr>
      <w:r>
        <w:rPr>
          <w:rFonts w:hint="eastAsia" w:ascii="宋体" w:hAnsi="宋体" w:cs="宋体"/>
          <w:sz w:val="21"/>
          <w:szCs w:val="21"/>
          <w:highlight w:val="none"/>
        </w:rPr>
        <w:t>分标号：</w:t>
      </w:r>
      <w:r>
        <w:rPr>
          <w:rFonts w:hint="eastAsia" w:ascii="宋体" w:hAnsi="宋体" w:cs="宋体"/>
          <w:sz w:val="21"/>
          <w:szCs w:val="21"/>
          <w:highlight w:val="none"/>
          <w:u w:val="single"/>
        </w:rPr>
        <w:t xml:space="preserve">                       </w:t>
      </w:r>
    </w:p>
    <w:p w14:paraId="2085B70E">
      <w:pPr>
        <w:spacing w:line="360" w:lineRule="auto"/>
        <w:contextualSpacing/>
        <w:jc w:val="left"/>
        <w:rPr>
          <w:rFonts w:ascii="宋体" w:hAnsi="宋体" w:cs="宋体"/>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2607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A7E7749">
            <w:pPr>
              <w:spacing w:line="360" w:lineRule="auto"/>
              <w:contextualSpacing/>
              <w:jc w:val="center"/>
              <w:rPr>
                <w:rFonts w:ascii="宋体" w:hAnsi="宋体" w:cs="宋体"/>
                <w:sz w:val="21"/>
                <w:szCs w:val="21"/>
                <w:highlight w:val="none"/>
              </w:rPr>
            </w:pPr>
            <w:r>
              <w:rPr>
                <w:rFonts w:hint="eastAsia" w:ascii="宋体" w:hAnsi="宋体" w:cs="宋体"/>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C86E09E">
            <w:pPr>
              <w:spacing w:line="360" w:lineRule="auto"/>
              <w:contextualSpacing/>
              <w:jc w:val="center"/>
              <w:rPr>
                <w:rFonts w:ascii="宋体" w:hAnsi="宋体" w:cs="宋体"/>
                <w:sz w:val="21"/>
                <w:szCs w:val="21"/>
                <w:highlight w:val="none"/>
              </w:rPr>
            </w:pPr>
            <w:r>
              <w:rPr>
                <w:rFonts w:hint="eastAsia" w:ascii="宋体" w:hAnsi="宋体" w:cs="宋体"/>
                <w:sz w:val="21"/>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27F37A3">
            <w:pPr>
              <w:spacing w:line="360" w:lineRule="auto"/>
              <w:contextualSpacing/>
              <w:jc w:val="center"/>
              <w:rPr>
                <w:rFonts w:ascii="宋体" w:hAnsi="宋体" w:cs="宋体"/>
                <w:sz w:val="21"/>
                <w:szCs w:val="21"/>
                <w:highlight w:val="none"/>
              </w:rPr>
            </w:pPr>
            <w:r>
              <w:rPr>
                <w:rFonts w:hint="eastAsia" w:ascii="宋体" w:hAnsi="宋体" w:cs="宋体"/>
                <w:sz w:val="21"/>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0318E52">
            <w:pPr>
              <w:spacing w:line="360" w:lineRule="auto"/>
              <w:contextualSpacing/>
              <w:jc w:val="center"/>
              <w:rPr>
                <w:rFonts w:ascii="宋体" w:hAnsi="宋体" w:cs="宋体"/>
                <w:sz w:val="21"/>
                <w:szCs w:val="21"/>
                <w:highlight w:val="none"/>
              </w:rPr>
            </w:pPr>
            <w:r>
              <w:rPr>
                <w:rFonts w:hint="eastAsia" w:ascii="宋体" w:hAnsi="宋体" w:cs="宋体"/>
                <w:sz w:val="21"/>
                <w:szCs w:val="21"/>
                <w:highlight w:val="none"/>
              </w:rPr>
              <w:t>偏离说明</w:t>
            </w:r>
          </w:p>
        </w:tc>
      </w:tr>
      <w:tr w14:paraId="17F94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8E3FC45">
            <w:pPr>
              <w:jc w:val="center"/>
              <w:rPr>
                <w:rFonts w:ascii="宋体" w:hAnsi="宋体" w:cs="宋体"/>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E505EF5">
            <w:pPr>
              <w:spacing w:line="360" w:lineRule="auto"/>
              <w:contextualSpacing/>
              <w:jc w:val="center"/>
              <w:rPr>
                <w:rFonts w:ascii="宋体" w:hAnsi="宋体" w:cs="宋体"/>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118B236">
            <w:pPr>
              <w:spacing w:line="360" w:lineRule="auto"/>
              <w:contextualSpacing/>
              <w:jc w:val="center"/>
              <w:rPr>
                <w:rFonts w:ascii="宋体" w:hAnsi="宋体" w:cs="宋体"/>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D5A9AA4">
            <w:pPr>
              <w:spacing w:line="360" w:lineRule="auto"/>
              <w:contextualSpacing/>
              <w:jc w:val="center"/>
              <w:rPr>
                <w:rFonts w:ascii="宋体" w:hAnsi="宋体" w:cs="宋体"/>
                <w:sz w:val="21"/>
                <w:szCs w:val="21"/>
                <w:highlight w:val="none"/>
              </w:rPr>
            </w:pPr>
          </w:p>
        </w:tc>
      </w:tr>
      <w:tr w14:paraId="67042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195D23FB">
            <w:pPr>
              <w:jc w:val="center"/>
              <w:rPr>
                <w:rFonts w:ascii="宋体" w:hAnsi="宋体" w:cs="宋体"/>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F0113DD">
            <w:pPr>
              <w:spacing w:line="360" w:lineRule="auto"/>
              <w:contextualSpacing/>
              <w:jc w:val="center"/>
              <w:rPr>
                <w:rFonts w:ascii="宋体" w:hAnsi="宋体" w:cs="宋体"/>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AD487CB">
            <w:pPr>
              <w:spacing w:line="360" w:lineRule="auto"/>
              <w:ind w:left="43"/>
              <w:contextualSpacing/>
              <w:jc w:val="center"/>
              <w:rPr>
                <w:rFonts w:ascii="宋体" w:hAnsi="宋体" w:cs="宋体"/>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0587F33">
            <w:pPr>
              <w:spacing w:line="360" w:lineRule="auto"/>
              <w:ind w:left="43"/>
              <w:contextualSpacing/>
              <w:jc w:val="center"/>
              <w:rPr>
                <w:rFonts w:ascii="宋体" w:hAnsi="宋体" w:cs="宋体"/>
                <w:sz w:val="21"/>
                <w:szCs w:val="21"/>
                <w:highlight w:val="none"/>
              </w:rPr>
            </w:pPr>
          </w:p>
        </w:tc>
      </w:tr>
      <w:tr w14:paraId="68123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F07ED2D">
            <w:pPr>
              <w:spacing w:line="360" w:lineRule="auto"/>
              <w:contextualSpacing/>
              <w:jc w:val="center"/>
              <w:rPr>
                <w:rFonts w:ascii="宋体" w:hAnsi="宋体" w:cs="宋体"/>
                <w:sz w:val="21"/>
                <w:szCs w:val="21"/>
                <w:highlight w:val="none"/>
              </w:rPr>
            </w:pPr>
            <w:r>
              <w:rPr>
                <w:rFonts w:hint="eastAsia" w:ascii="宋体" w:hAnsi="宋体" w:cs="宋体"/>
                <w:sz w:val="21"/>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4626338">
            <w:pPr>
              <w:spacing w:line="360" w:lineRule="auto"/>
              <w:contextualSpacing/>
              <w:jc w:val="center"/>
              <w:rPr>
                <w:rFonts w:ascii="宋体" w:hAnsi="宋体" w:cs="宋体"/>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65EE775">
            <w:pPr>
              <w:spacing w:line="360" w:lineRule="auto"/>
              <w:contextualSpacing/>
              <w:jc w:val="center"/>
              <w:rPr>
                <w:rFonts w:ascii="宋体" w:hAnsi="宋体" w:cs="宋体"/>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FFC1297">
            <w:pPr>
              <w:spacing w:line="360" w:lineRule="auto"/>
              <w:contextualSpacing/>
              <w:jc w:val="center"/>
              <w:rPr>
                <w:rFonts w:ascii="宋体" w:hAnsi="宋体" w:cs="宋体"/>
                <w:sz w:val="21"/>
                <w:szCs w:val="21"/>
                <w:highlight w:val="none"/>
              </w:rPr>
            </w:pPr>
          </w:p>
        </w:tc>
      </w:tr>
    </w:tbl>
    <w:p w14:paraId="54FCCE3B">
      <w:pPr>
        <w:pStyle w:val="13"/>
        <w:spacing w:after="0" w:line="360" w:lineRule="auto"/>
        <w:contextualSpacing/>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w:t>
      </w:r>
    </w:p>
    <w:p w14:paraId="01206E77">
      <w:pPr>
        <w:pStyle w:val="13"/>
        <w:spacing w:after="0" w:line="360" w:lineRule="auto"/>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1.说明：应对照磋商文件“第三章 采购需求”中的商务要求逐条作出明确响应，并作出偏离说明。</w:t>
      </w:r>
    </w:p>
    <w:p w14:paraId="5BDFF2AE">
      <w:pPr>
        <w:spacing w:line="360" w:lineRule="auto"/>
        <w:contextualSpacing/>
        <w:jc w:val="left"/>
        <w:rPr>
          <w:rFonts w:hint="eastAsia" w:ascii="宋体" w:hAnsi="宋体" w:eastAsia="宋体" w:cs="宋体"/>
          <w:sz w:val="21"/>
          <w:szCs w:val="21"/>
          <w:highlight w:val="none"/>
          <w:u w:val="single"/>
        </w:rPr>
      </w:pPr>
      <w:r>
        <w:rPr>
          <w:rFonts w:hint="eastAsia" w:ascii="宋体" w:hAnsi="宋体" w:eastAsia="宋体" w:cs="宋体"/>
          <w:kern w:val="0"/>
          <w:sz w:val="21"/>
          <w:szCs w:val="21"/>
          <w:highlight w:val="none"/>
        </w:rPr>
        <w:t>2.供应商应根据自身的承诺，对照磋商文件要求在“偏离说明”中注明“正偏离”、“负偏离”或者“无偏离”。既不属于“正偏离”也不属于“负偏离”即为“无偏离”。</w:t>
      </w:r>
    </w:p>
    <w:p w14:paraId="70D7386F">
      <w:pPr>
        <w:spacing w:line="360" w:lineRule="auto"/>
        <w:ind w:right="-817" w:rightChars="-389"/>
        <w:contextualSpacing/>
        <w:rPr>
          <w:rFonts w:hint="eastAsia" w:ascii="宋体" w:hAnsi="宋体" w:eastAsia="宋体" w:cs="宋体"/>
          <w:sz w:val="21"/>
          <w:szCs w:val="21"/>
          <w:highlight w:val="none"/>
        </w:rPr>
      </w:pPr>
    </w:p>
    <w:p w14:paraId="61AA1190">
      <w:pPr>
        <w:spacing w:line="360" w:lineRule="auto"/>
        <w:ind w:right="-817" w:rightChars="-389" w:firstLine="840" w:firstLineChars="4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法定代表人或者委托代理人（</w:t>
      </w:r>
      <w:r>
        <w:rPr>
          <w:rFonts w:hint="eastAsia" w:ascii="宋体" w:hAnsi="宋体" w:eastAsia="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eastAsia="宋体" w:cs="宋体"/>
          <w:sz w:val="21"/>
          <w:szCs w:val="21"/>
          <w:highlight w:val="none"/>
          <w:lang w:eastAsia="zh-CN"/>
        </w:rPr>
        <w:t>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2F9D1AE7">
      <w:pPr>
        <w:spacing w:line="360" w:lineRule="auto"/>
        <w:ind w:right="-817" w:rightChars="-389" w:firstLine="2310" w:firstLineChars="11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4D47BEF6">
      <w:pPr>
        <w:spacing w:line="360" w:lineRule="auto"/>
        <w:ind w:right="-817" w:rightChars="-389" w:firstLine="3570" w:firstLineChars="1700"/>
        <w:contextualSpacing/>
        <w:rPr>
          <w:rFonts w:hint="eastAsia" w:ascii="宋体" w:hAnsi="宋体" w:eastAsia="宋体" w:cs="宋体"/>
          <w:b/>
          <w:sz w:val="21"/>
          <w:szCs w:val="21"/>
          <w:highlight w:val="none"/>
        </w:rPr>
      </w:pP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5C3A36FC">
      <w:pPr>
        <w:adjustRightInd w:val="0"/>
        <w:snapToGrid w:val="0"/>
        <w:spacing w:line="520" w:lineRule="exact"/>
        <w:ind w:firstLine="7040" w:firstLineChars="1600"/>
        <w:jc w:val="center"/>
        <w:rPr>
          <w:rFonts w:ascii="宋体" w:hAnsi="宋体" w:cs="宋体"/>
          <w:bCs/>
          <w:sz w:val="44"/>
          <w:szCs w:val="44"/>
          <w:highlight w:val="none"/>
        </w:rPr>
      </w:pPr>
    </w:p>
    <w:p w14:paraId="774F8559">
      <w:pPr>
        <w:adjustRightInd w:val="0"/>
        <w:snapToGrid w:val="0"/>
        <w:spacing w:line="520" w:lineRule="exact"/>
        <w:ind w:firstLine="7040" w:firstLineChars="1600"/>
        <w:jc w:val="center"/>
        <w:rPr>
          <w:rFonts w:ascii="宋体" w:hAnsi="宋体" w:cs="宋体"/>
          <w:bCs/>
          <w:sz w:val="44"/>
          <w:szCs w:val="44"/>
          <w:highlight w:val="none"/>
        </w:rPr>
      </w:pPr>
    </w:p>
    <w:p w14:paraId="71ABDAE2">
      <w:pPr>
        <w:adjustRightInd w:val="0"/>
        <w:snapToGrid w:val="0"/>
        <w:spacing w:line="520" w:lineRule="exact"/>
        <w:ind w:firstLine="7040" w:firstLineChars="1600"/>
        <w:jc w:val="center"/>
        <w:rPr>
          <w:rFonts w:ascii="宋体" w:hAnsi="宋体" w:cs="宋体"/>
          <w:bCs/>
          <w:sz w:val="44"/>
          <w:szCs w:val="44"/>
          <w:highlight w:val="none"/>
        </w:rPr>
      </w:pPr>
    </w:p>
    <w:p w14:paraId="749C2522">
      <w:pPr>
        <w:adjustRightInd w:val="0"/>
        <w:snapToGrid w:val="0"/>
        <w:spacing w:line="520" w:lineRule="exact"/>
        <w:ind w:firstLine="7040" w:firstLineChars="1600"/>
        <w:jc w:val="center"/>
        <w:rPr>
          <w:rFonts w:ascii="宋体" w:hAnsi="宋体" w:cs="宋体"/>
          <w:bCs/>
          <w:sz w:val="44"/>
          <w:szCs w:val="44"/>
          <w:highlight w:val="none"/>
        </w:rPr>
      </w:pPr>
    </w:p>
    <w:p w14:paraId="4F687D6B">
      <w:pPr>
        <w:adjustRightInd w:val="0"/>
        <w:snapToGrid w:val="0"/>
        <w:spacing w:line="520" w:lineRule="exact"/>
        <w:rPr>
          <w:rFonts w:ascii="宋体" w:hAnsi="宋体" w:cs="宋体"/>
          <w:szCs w:val="21"/>
          <w:highlight w:val="none"/>
          <w:u w:val="single"/>
        </w:rPr>
      </w:pPr>
    </w:p>
    <w:p w14:paraId="61ECBDFE">
      <w:pPr>
        <w:adjustRightInd w:val="0"/>
        <w:snapToGrid w:val="0"/>
        <w:spacing w:line="360" w:lineRule="auto"/>
        <w:jc w:val="center"/>
        <w:rPr>
          <w:rFonts w:ascii="宋体" w:hAnsi="宋体" w:cs="宋体"/>
          <w:bCs/>
          <w:sz w:val="32"/>
          <w:szCs w:val="32"/>
          <w:highlight w:val="none"/>
        </w:rPr>
      </w:pPr>
      <w:r>
        <w:rPr>
          <w:rFonts w:hint="eastAsia" w:ascii="宋体" w:hAnsi="宋体" w:cs="宋体"/>
          <w:bCs/>
          <w:sz w:val="44"/>
          <w:szCs w:val="44"/>
          <w:highlight w:val="none"/>
        </w:rPr>
        <w:br w:type="page"/>
      </w:r>
      <w:r>
        <w:rPr>
          <w:rFonts w:hint="eastAsia" w:ascii="宋体" w:hAnsi="宋体" w:cs="宋体"/>
          <w:b/>
          <w:bCs/>
          <w:sz w:val="32"/>
          <w:szCs w:val="32"/>
          <w:highlight w:val="none"/>
        </w:rPr>
        <w:t>服务要求偏离表</w:t>
      </w:r>
      <w:r>
        <w:rPr>
          <w:rFonts w:hint="eastAsia" w:ascii="宋体" w:hAnsi="宋体" w:cs="宋体"/>
          <w:bCs/>
          <w:sz w:val="32"/>
          <w:szCs w:val="32"/>
          <w:highlight w:val="none"/>
        </w:rPr>
        <w:t>（格式）</w:t>
      </w:r>
    </w:p>
    <w:p w14:paraId="2000A3C7">
      <w:pPr>
        <w:spacing w:line="360" w:lineRule="auto"/>
        <w:jc w:val="center"/>
        <w:rPr>
          <w:rFonts w:ascii="宋体" w:hAnsi="宋体" w:cs="宋体"/>
          <w:bCs/>
          <w:sz w:val="32"/>
          <w:szCs w:val="32"/>
          <w:highlight w:val="none"/>
        </w:rPr>
      </w:pPr>
      <w:r>
        <w:rPr>
          <w:rFonts w:hint="eastAsia" w:ascii="宋体" w:hAnsi="宋体" w:cs="宋体"/>
          <w:bCs/>
          <w:sz w:val="32"/>
          <w:szCs w:val="32"/>
          <w:highlight w:val="none"/>
        </w:rPr>
        <w:t>（注：按采购需求具体条款修改）</w:t>
      </w:r>
    </w:p>
    <w:p w14:paraId="1FE54D1B">
      <w:pPr>
        <w:spacing w:line="360" w:lineRule="auto"/>
        <w:contextualSpacing/>
        <w:rPr>
          <w:rFonts w:ascii="宋体" w:hAnsi="宋体" w:cs="宋体"/>
          <w:sz w:val="21"/>
          <w:szCs w:val="21"/>
          <w:highlight w:val="none"/>
        </w:rPr>
      </w:pPr>
      <w:r>
        <w:rPr>
          <w:rFonts w:hint="eastAsia" w:ascii="宋体" w:hAnsi="宋体" w:cs="宋体"/>
          <w:sz w:val="21"/>
          <w:szCs w:val="21"/>
          <w:highlight w:val="none"/>
        </w:rPr>
        <w:t>采购项目名称：</w:t>
      </w:r>
      <w:r>
        <w:rPr>
          <w:rFonts w:hint="eastAsia" w:ascii="宋体" w:hAnsi="宋体" w:cs="宋体"/>
          <w:sz w:val="21"/>
          <w:szCs w:val="21"/>
          <w:highlight w:val="none"/>
          <w:u w:val="single"/>
        </w:rPr>
        <w:t xml:space="preserve">                 </w:t>
      </w:r>
    </w:p>
    <w:p w14:paraId="3A9664C7">
      <w:pPr>
        <w:spacing w:line="360" w:lineRule="auto"/>
        <w:contextualSpacing/>
        <w:rPr>
          <w:rFonts w:ascii="宋体" w:hAnsi="宋体" w:cs="宋体"/>
          <w:sz w:val="21"/>
          <w:szCs w:val="21"/>
          <w:highlight w:val="none"/>
          <w:u w:val="single"/>
        </w:rPr>
      </w:pPr>
      <w:r>
        <w:rPr>
          <w:rFonts w:hint="eastAsia" w:ascii="宋体" w:hAnsi="宋体" w:cs="宋体"/>
          <w:sz w:val="21"/>
          <w:szCs w:val="21"/>
          <w:highlight w:val="none"/>
        </w:rPr>
        <w:t>采购项目编号：</w:t>
      </w:r>
      <w:r>
        <w:rPr>
          <w:rFonts w:hint="eastAsia" w:ascii="宋体" w:hAnsi="宋体" w:cs="宋体"/>
          <w:sz w:val="21"/>
          <w:szCs w:val="21"/>
          <w:highlight w:val="none"/>
          <w:u w:val="single"/>
        </w:rPr>
        <w:t xml:space="preserve">                 </w:t>
      </w:r>
    </w:p>
    <w:p w14:paraId="4AD7D8ED">
      <w:pPr>
        <w:spacing w:line="360" w:lineRule="auto"/>
        <w:contextualSpacing/>
        <w:rPr>
          <w:rFonts w:ascii="宋体" w:hAnsi="宋体" w:cs="宋体"/>
          <w:sz w:val="21"/>
          <w:szCs w:val="21"/>
          <w:highlight w:val="none"/>
          <w:u w:val="single"/>
        </w:rPr>
      </w:pPr>
      <w:r>
        <w:rPr>
          <w:rFonts w:hint="eastAsia" w:ascii="宋体" w:hAnsi="宋体" w:cs="宋体"/>
          <w:sz w:val="21"/>
          <w:szCs w:val="21"/>
          <w:highlight w:val="none"/>
        </w:rPr>
        <w:t>分标号：</w:t>
      </w:r>
      <w:r>
        <w:rPr>
          <w:rFonts w:hint="eastAsia" w:ascii="宋体" w:hAnsi="宋体" w:cs="宋体"/>
          <w:sz w:val="21"/>
          <w:szCs w:val="21"/>
          <w:highlight w:val="none"/>
          <w:u w:val="single"/>
        </w:rPr>
        <w:t xml:space="preserve">                       </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011D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D1F5386">
            <w:pPr>
              <w:pStyle w:val="15"/>
              <w:spacing w:line="360" w:lineRule="auto"/>
              <w:ind w:firstLine="0" w:firstLineChars="0"/>
              <w:contextualSpacing/>
              <w:jc w:val="center"/>
              <w:rPr>
                <w:rFonts w:ascii="宋体" w:hAnsi="宋体" w:eastAsia="宋体" w:cs="宋体"/>
                <w:kern w:val="2"/>
                <w:sz w:val="21"/>
                <w:szCs w:val="21"/>
                <w:highlight w:val="none"/>
              </w:rPr>
            </w:pPr>
            <w:bookmarkStart w:id="44" w:name="_Toc383699906"/>
            <w:bookmarkStart w:id="45" w:name="_Toc373333689"/>
            <w:bookmarkStart w:id="46" w:name="_Toc254970588"/>
            <w:bookmarkStart w:id="47" w:name="_Toc301781611"/>
            <w:bookmarkStart w:id="48" w:name="_Toc173211900"/>
            <w:bookmarkStart w:id="49" w:name="_Toc254970729"/>
            <w:bookmarkStart w:id="50" w:name="_Toc297193185"/>
            <w:bookmarkStart w:id="51" w:name="_Toc173066401"/>
            <w:bookmarkStart w:id="52" w:name="_Toc295404981"/>
            <w:r>
              <w:rPr>
                <w:rFonts w:hint="eastAsia" w:ascii="宋体" w:hAnsi="宋体" w:eastAsia="宋体" w:cs="宋体"/>
                <w:kern w:val="2"/>
                <w:sz w:val="21"/>
                <w:szCs w:val="21"/>
                <w:highlight w:val="none"/>
              </w:rPr>
              <w:t>序号</w:t>
            </w:r>
            <w:bookmarkEnd w:id="44"/>
            <w:bookmarkEnd w:id="45"/>
            <w:bookmarkEnd w:id="46"/>
            <w:bookmarkEnd w:id="47"/>
            <w:bookmarkEnd w:id="48"/>
            <w:bookmarkEnd w:id="49"/>
            <w:bookmarkEnd w:id="50"/>
            <w:bookmarkEnd w:id="51"/>
            <w:bookmarkEnd w:id="52"/>
          </w:p>
        </w:tc>
        <w:tc>
          <w:tcPr>
            <w:tcW w:w="992" w:type="dxa"/>
            <w:tcBorders>
              <w:right w:val="single" w:color="auto" w:sz="4" w:space="0"/>
            </w:tcBorders>
            <w:vAlign w:val="center"/>
          </w:tcPr>
          <w:p w14:paraId="14F88391">
            <w:pPr>
              <w:pStyle w:val="15"/>
              <w:spacing w:line="360" w:lineRule="auto"/>
              <w:ind w:firstLine="0" w:firstLineChars="0"/>
              <w:contextualSpacing/>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名称</w:t>
            </w:r>
          </w:p>
        </w:tc>
        <w:tc>
          <w:tcPr>
            <w:tcW w:w="3292" w:type="dxa"/>
            <w:tcBorders>
              <w:left w:val="single" w:color="auto" w:sz="4" w:space="0"/>
            </w:tcBorders>
            <w:vAlign w:val="center"/>
          </w:tcPr>
          <w:p w14:paraId="03AB6DF7">
            <w:pPr>
              <w:pStyle w:val="15"/>
              <w:spacing w:line="360" w:lineRule="auto"/>
              <w:ind w:firstLine="0" w:firstLineChars="0"/>
              <w:contextualSpacing/>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服务要求</w:t>
            </w:r>
          </w:p>
        </w:tc>
        <w:tc>
          <w:tcPr>
            <w:tcW w:w="2963" w:type="dxa"/>
            <w:vAlign w:val="center"/>
          </w:tcPr>
          <w:p w14:paraId="66EB6D7F">
            <w:pPr>
              <w:pStyle w:val="15"/>
              <w:spacing w:line="360" w:lineRule="auto"/>
              <w:ind w:firstLine="0" w:firstLineChars="0"/>
              <w:contextualSpacing/>
              <w:jc w:val="center"/>
              <w:rPr>
                <w:rFonts w:ascii="宋体" w:hAnsi="宋体" w:eastAsia="宋体" w:cs="宋体"/>
                <w:kern w:val="2"/>
                <w:sz w:val="21"/>
                <w:szCs w:val="21"/>
                <w:highlight w:val="none"/>
              </w:rPr>
            </w:pPr>
            <w:bookmarkStart w:id="53" w:name="_Toc254970731"/>
            <w:bookmarkStart w:id="54" w:name="_Toc173066403"/>
            <w:bookmarkStart w:id="55" w:name="_Toc301781613"/>
            <w:bookmarkStart w:id="56" w:name="_Toc373333691"/>
            <w:bookmarkStart w:id="57" w:name="_Toc383699908"/>
            <w:bookmarkStart w:id="58" w:name="_Toc297193187"/>
            <w:bookmarkStart w:id="59" w:name="_Toc295404983"/>
            <w:bookmarkStart w:id="60" w:name="_Toc254970590"/>
            <w:bookmarkStart w:id="61" w:name="_Toc173211902"/>
            <w:r>
              <w:rPr>
                <w:rFonts w:hint="eastAsia" w:ascii="宋体" w:hAnsi="宋体" w:eastAsia="宋体" w:cs="宋体"/>
                <w:kern w:val="2"/>
                <w:sz w:val="21"/>
                <w:szCs w:val="21"/>
                <w:highlight w:val="none"/>
              </w:rPr>
              <w:t>供应商的响应</w:t>
            </w:r>
            <w:bookmarkEnd w:id="53"/>
            <w:bookmarkEnd w:id="54"/>
            <w:bookmarkEnd w:id="55"/>
            <w:bookmarkEnd w:id="56"/>
            <w:bookmarkEnd w:id="57"/>
            <w:bookmarkEnd w:id="58"/>
            <w:bookmarkEnd w:id="59"/>
            <w:bookmarkEnd w:id="60"/>
            <w:bookmarkEnd w:id="61"/>
          </w:p>
        </w:tc>
        <w:tc>
          <w:tcPr>
            <w:tcW w:w="1616" w:type="dxa"/>
            <w:vAlign w:val="center"/>
          </w:tcPr>
          <w:p w14:paraId="45421D83">
            <w:pPr>
              <w:pStyle w:val="15"/>
              <w:spacing w:line="360" w:lineRule="auto"/>
              <w:ind w:firstLine="0" w:firstLineChars="0"/>
              <w:contextualSpacing/>
              <w:jc w:val="center"/>
              <w:rPr>
                <w:rFonts w:ascii="宋体" w:hAnsi="宋体" w:eastAsia="宋体" w:cs="宋体"/>
                <w:kern w:val="2"/>
                <w:sz w:val="21"/>
                <w:szCs w:val="21"/>
                <w:highlight w:val="none"/>
              </w:rPr>
            </w:pPr>
            <w:bookmarkStart w:id="62" w:name="_Toc295404984"/>
            <w:bookmarkStart w:id="63" w:name="_Toc173066404"/>
            <w:bookmarkStart w:id="64" w:name="_Toc297193188"/>
            <w:bookmarkStart w:id="65" w:name="_Toc254970732"/>
            <w:bookmarkStart w:id="66" w:name="_Toc254970591"/>
            <w:bookmarkStart w:id="67" w:name="_Toc383699909"/>
            <w:bookmarkStart w:id="68" w:name="_Toc373333692"/>
            <w:bookmarkStart w:id="69" w:name="_Toc301781614"/>
            <w:bookmarkStart w:id="70" w:name="_Toc173211903"/>
            <w:r>
              <w:rPr>
                <w:rFonts w:hint="eastAsia" w:ascii="宋体" w:hAnsi="宋体" w:eastAsia="宋体" w:cs="宋体"/>
                <w:kern w:val="2"/>
                <w:sz w:val="21"/>
                <w:szCs w:val="21"/>
                <w:highlight w:val="none"/>
              </w:rPr>
              <w:t>偏离</w:t>
            </w:r>
            <w:bookmarkEnd w:id="62"/>
            <w:bookmarkEnd w:id="63"/>
            <w:bookmarkEnd w:id="64"/>
            <w:bookmarkEnd w:id="65"/>
            <w:bookmarkEnd w:id="66"/>
            <w:bookmarkEnd w:id="67"/>
            <w:bookmarkEnd w:id="68"/>
            <w:bookmarkEnd w:id="69"/>
            <w:bookmarkEnd w:id="70"/>
            <w:bookmarkStart w:id="71" w:name="_Toc173066405"/>
            <w:bookmarkStart w:id="72" w:name="_Toc373333693"/>
            <w:bookmarkStart w:id="73" w:name="_Toc173211904"/>
            <w:bookmarkStart w:id="74" w:name="_Toc297193189"/>
            <w:bookmarkStart w:id="75" w:name="_Toc383699910"/>
            <w:bookmarkStart w:id="76" w:name="_Toc295404985"/>
            <w:bookmarkStart w:id="77" w:name="_Toc301781615"/>
            <w:bookmarkStart w:id="78" w:name="_Toc254970592"/>
            <w:bookmarkStart w:id="79" w:name="_Toc254970733"/>
            <w:r>
              <w:rPr>
                <w:rFonts w:hint="eastAsia" w:ascii="宋体" w:hAnsi="宋体" w:eastAsia="宋体" w:cs="宋体"/>
                <w:kern w:val="2"/>
                <w:sz w:val="21"/>
                <w:szCs w:val="21"/>
                <w:highlight w:val="none"/>
              </w:rPr>
              <w:t>说明</w:t>
            </w:r>
            <w:bookmarkEnd w:id="71"/>
            <w:bookmarkEnd w:id="72"/>
            <w:bookmarkEnd w:id="73"/>
            <w:bookmarkEnd w:id="74"/>
            <w:bookmarkEnd w:id="75"/>
            <w:bookmarkEnd w:id="76"/>
            <w:bookmarkEnd w:id="77"/>
            <w:bookmarkEnd w:id="78"/>
            <w:bookmarkEnd w:id="79"/>
          </w:p>
        </w:tc>
      </w:tr>
      <w:tr w14:paraId="13204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F88F81">
            <w:pPr>
              <w:pStyle w:val="15"/>
              <w:spacing w:line="360" w:lineRule="auto"/>
              <w:ind w:firstLine="0" w:firstLineChars="0"/>
              <w:contextualSpacing/>
              <w:jc w:val="center"/>
              <w:rPr>
                <w:rFonts w:ascii="宋体" w:hAnsi="宋体" w:eastAsia="宋体" w:cs="宋体"/>
                <w:kern w:val="2"/>
                <w:sz w:val="21"/>
                <w:szCs w:val="21"/>
                <w:highlight w:val="none"/>
              </w:rPr>
            </w:pPr>
            <w:bookmarkStart w:id="80" w:name="_Toc383699911"/>
            <w:bookmarkStart w:id="81" w:name="_Toc301781616"/>
            <w:bookmarkStart w:id="82" w:name="_Toc295404986"/>
            <w:bookmarkStart w:id="83" w:name="_Toc254970734"/>
            <w:bookmarkStart w:id="84" w:name="_Toc297193190"/>
            <w:bookmarkStart w:id="85" w:name="_Toc254970593"/>
            <w:bookmarkStart w:id="86" w:name="_Toc173211905"/>
            <w:bookmarkStart w:id="87" w:name="_Toc173066406"/>
            <w:bookmarkStart w:id="88" w:name="_Toc373333694"/>
            <w:r>
              <w:rPr>
                <w:rFonts w:hint="eastAsia" w:ascii="宋体" w:hAnsi="宋体" w:eastAsia="宋体" w:cs="宋体"/>
                <w:kern w:val="2"/>
                <w:sz w:val="21"/>
                <w:szCs w:val="21"/>
                <w:highlight w:val="none"/>
              </w:rPr>
              <w:t>1</w:t>
            </w:r>
            <w:bookmarkEnd w:id="80"/>
            <w:bookmarkEnd w:id="81"/>
            <w:bookmarkEnd w:id="82"/>
            <w:bookmarkEnd w:id="83"/>
            <w:bookmarkEnd w:id="84"/>
            <w:bookmarkEnd w:id="85"/>
            <w:bookmarkEnd w:id="86"/>
            <w:bookmarkEnd w:id="87"/>
            <w:bookmarkEnd w:id="88"/>
          </w:p>
        </w:tc>
        <w:tc>
          <w:tcPr>
            <w:tcW w:w="992" w:type="dxa"/>
            <w:tcBorders>
              <w:right w:val="single" w:color="auto" w:sz="4" w:space="0"/>
            </w:tcBorders>
            <w:vAlign w:val="center"/>
          </w:tcPr>
          <w:p w14:paraId="4A8DD9D9">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25F2FAF9">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3B546680">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vAlign w:val="center"/>
          </w:tcPr>
          <w:p w14:paraId="0BC83871">
            <w:pPr>
              <w:pStyle w:val="15"/>
              <w:spacing w:line="360" w:lineRule="auto"/>
              <w:ind w:firstLine="0" w:firstLineChars="0"/>
              <w:contextualSpacing/>
              <w:jc w:val="center"/>
              <w:rPr>
                <w:rFonts w:ascii="宋体" w:hAnsi="宋体" w:eastAsia="宋体" w:cs="宋体"/>
                <w:kern w:val="2"/>
                <w:sz w:val="21"/>
                <w:szCs w:val="21"/>
                <w:highlight w:val="none"/>
              </w:rPr>
            </w:pPr>
          </w:p>
        </w:tc>
      </w:tr>
      <w:tr w14:paraId="5A060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BED3E8E">
            <w:pPr>
              <w:pStyle w:val="15"/>
              <w:spacing w:line="360" w:lineRule="auto"/>
              <w:ind w:firstLine="0" w:firstLineChars="0"/>
              <w:contextualSpacing/>
              <w:jc w:val="center"/>
              <w:rPr>
                <w:rFonts w:ascii="宋体" w:hAnsi="宋体" w:eastAsia="宋体" w:cs="宋体"/>
                <w:kern w:val="2"/>
                <w:sz w:val="21"/>
                <w:szCs w:val="21"/>
                <w:highlight w:val="none"/>
              </w:rPr>
            </w:pPr>
            <w:bookmarkStart w:id="89" w:name="_Toc295404987"/>
            <w:bookmarkStart w:id="90" w:name="_Toc297193191"/>
            <w:bookmarkStart w:id="91" w:name="_Toc301781617"/>
            <w:bookmarkStart w:id="92" w:name="_Toc254970594"/>
            <w:bookmarkStart w:id="93" w:name="_Toc383699912"/>
            <w:bookmarkStart w:id="94" w:name="_Toc173066407"/>
            <w:bookmarkStart w:id="95" w:name="_Toc173211906"/>
            <w:bookmarkStart w:id="96" w:name="_Toc254970735"/>
            <w:bookmarkStart w:id="97" w:name="_Toc373333695"/>
            <w:r>
              <w:rPr>
                <w:rFonts w:hint="eastAsia" w:ascii="宋体" w:hAnsi="宋体" w:eastAsia="宋体" w:cs="宋体"/>
                <w:kern w:val="2"/>
                <w:sz w:val="21"/>
                <w:szCs w:val="21"/>
                <w:highlight w:val="none"/>
              </w:rPr>
              <w:t>2</w:t>
            </w:r>
            <w:bookmarkEnd w:id="89"/>
            <w:bookmarkEnd w:id="90"/>
            <w:bookmarkEnd w:id="91"/>
            <w:bookmarkEnd w:id="92"/>
            <w:bookmarkEnd w:id="93"/>
            <w:bookmarkEnd w:id="94"/>
            <w:bookmarkEnd w:id="95"/>
            <w:bookmarkEnd w:id="96"/>
            <w:bookmarkEnd w:id="97"/>
          </w:p>
        </w:tc>
        <w:tc>
          <w:tcPr>
            <w:tcW w:w="992" w:type="dxa"/>
            <w:tcBorders>
              <w:right w:val="single" w:color="auto" w:sz="4" w:space="0"/>
            </w:tcBorders>
            <w:vAlign w:val="center"/>
          </w:tcPr>
          <w:p w14:paraId="2E57A29F">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7669FCF6">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1ABF6BF5">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vAlign w:val="center"/>
          </w:tcPr>
          <w:p w14:paraId="28B4253B">
            <w:pPr>
              <w:pStyle w:val="15"/>
              <w:spacing w:line="360" w:lineRule="auto"/>
              <w:ind w:firstLine="0" w:firstLineChars="0"/>
              <w:contextualSpacing/>
              <w:jc w:val="center"/>
              <w:rPr>
                <w:rFonts w:ascii="宋体" w:hAnsi="宋体" w:eastAsia="宋体" w:cs="宋体"/>
                <w:kern w:val="2"/>
                <w:sz w:val="21"/>
                <w:szCs w:val="21"/>
                <w:highlight w:val="none"/>
              </w:rPr>
            </w:pPr>
          </w:p>
        </w:tc>
      </w:tr>
      <w:tr w14:paraId="637DD2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220086">
            <w:pPr>
              <w:pStyle w:val="15"/>
              <w:spacing w:line="360" w:lineRule="auto"/>
              <w:ind w:firstLine="0" w:firstLineChars="0"/>
              <w:contextualSpacing/>
              <w:jc w:val="center"/>
              <w:rPr>
                <w:rFonts w:ascii="宋体" w:hAnsi="宋体" w:eastAsia="宋体" w:cs="宋体"/>
                <w:kern w:val="2"/>
                <w:sz w:val="21"/>
                <w:szCs w:val="21"/>
                <w:highlight w:val="none"/>
              </w:rPr>
            </w:pPr>
            <w:bookmarkStart w:id="98" w:name="_Toc301781618"/>
            <w:bookmarkStart w:id="99" w:name="_Toc383699913"/>
            <w:bookmarkStart w:id="100" w:name="_Toc254970595"/>
            <w:bookmarkStart w:id="101" w:name="_Toc297193192"/>
            <w:bookmarkStart w:id="102" w:name="_Toc373333696"/>
            <w:bookmarkStart w:id="103" w:name="_Toc173066408"/>
            <w:bookmarkStart w:id="104" w:name="_Toc254970736"/>
            <w:bookmarkStart w:id="105" w:name="_Toc173211907"/>
            <w:bookmarkStart w:id="106" w:name="_Toc295404988"/>
            <w:r>
              <w:rPr>
                <w:rFonts w:hint="eastAsia" w:ascii="宋体" w:hAnsi="宋体" w:eastAsia="宋体" w:cs="宋体"/>
                <w:kern w:val="2"/>
                <w:sz w:val="21"/>
                <w:szCs w:val="21"/>
                <w:highlight w:val="none"/>
              </w:rPr>
              <w:t>3</w:t>
            </w:r>
            <w:bookmarkEnd w:id="98"/>
            <w:bookmarkEnd w:id="99"/>
            <w:bookmarkEnd w:id="100"/>
            <w:bookmarkEnd w:id="101"/>
            <w:bookmarkEnd w:id="102"/>
            <w:bookmarkEnd w:id="103"/>
            <w:bookmarkEnd w:id="104"/>
            <w:bookmarkEnd w:id="105"/>
            <w:bookmarkEnd w:id="106"/>
          </w:p>
        </w:tc>
        <w:tc>
          <w:tcPr>
            <w:tcW w:w="992" w:type="dxa"/>
            <w:tcBorders>
              <w:right w:val="single" w:color="auto" w:sz="4" w:space="0"/>
            </w:tcBorders>
            <w:vAlign w:val="center"/>
          </w:tcPr>
          <w:p w14:paraId="60AFE979">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4F032A81">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2F87500A">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vAlign w:val="center"/>
          </w:tcPr>
          <w:p w14:paraId="2595765C">
            <w:pPr>
              <w:pStyle w:val="15"/>
              <w:spacing w:line="360" w:lineRule="auto"/>
              <w:ind w:firstLine="0" w:firstLineChars="0"/>
              <w:contextualSpacing/>
              <w:jc w:val="center"/>
              <w:rPr>
                <w:rFonts w:ascii="宋体" w:hAnsi="宋体" w:eastAsia="宋体" w:cs="宋体"/>
                <w:kern w:val="2"/>
                <w:sz w:val="21"/>
                <w:szCs w:val="21"/>
                <w:highlight w:val="none"/>
              </w:rPr>
            </w:pPr>
          </w:p>
        </w:tc>
      </w:tr>
      <w:tr w14:paraId="12E76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FF6CB2A">
            <w:pPr>
              <w:pStyle w:val="15"/>
              <w:spacing w:line="360" w:lineRule="auto"/>
              <w:ind w:firstLine="0" w:firstLineChars="0"/>
              <w:contextualSpacing/>
              <w:jc w:val="center"/>
              <w:rPr>
                <w:rFonts w:ascii="宋体" w:hAnsi="宋体" w:eastAsia="宋体" w:cs="宋体"/>
                <w:kern w:val="2"/>
                <w:sz w:val="21"/>
                <w:szCs w:val="21"/>
                <w:highlight w:val="none"/>
              </w:rPr>
            </w:pPr>
            <w:bookmarkStart w:id="107" w:name="_Toc297193193"/>
            <w:bookmarkStart w:id="108" w:name="_Toc373333697"/>
            <w:bookmarkStart w:id="109" w:name="_Toc301781619"/>
            <w:bookmarkStart w:id="110" w:name="_Toc173211908"/>
            <w:bookmarkStart w:id="111" w:name="_Toc254970596"/>
            <w:bookmarkStart w:id="112" w:name="_Toc383699914"/>
            <w:bookmarkStart w:id="113" w:name="_Toc254970737"/>
            <w:bookmarkStart w:id="114" w:name="_Toc295404989"/>
            <w:bookmarkStart w:id="115" w:name="_Toc173066409"/>
            <w:r>
              <w:rPr>
                <w:rFonts w:hint="eastAsia" w:ascii="宋体" w:hAnsi="宋体" w:eastAsia="宋体" w:cs="宋体"/>
                <w:kern w:val="2"/>
                <w:sz w:val="21"/>
                <w:szCs w:val="21"/>
                <w:highlight w:val="none"/>
              </w:rPr>
              <w:t>4</w:t>
            </w:r>
            <w:bookmarkEnd w:id="107"/>
            <w:bookmarkEnd w:id="108"/>
            <w:bookmarkEnd w:id="109"/>
            <w:bookmarkEnd w:id="110"/>
            <w:bookmarkEnd w:id="111"/>
            <w:bookmarkEnd w:id="112"/>
            <w:bookmarkEnd w:id="113"/>
            <w:bookmarkEnd w:id="114"/>
            <w:bookmarkEnd w:id="115"/>
          </w:p>
        </w:tc>
        <w:tc>
          <w:tcPr>
            <w:tcW w:w="992" w:type="dxa"/>
            <w:tcBorders>
              <w:right w:val="single" w:color="auto" w:sz="4" w:space="0"/>
            </w:tcBorders>
            <w:vAlign w:val="center"/>
          </w:tcPr>
          <w:p w14:paraId="00965858">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4681F8E9">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6F4CFB34">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vAlign w:val="center"/>
          </w:tcPr>
          <w:p w14:paraId="61199E9E">
            <w:pPr>
              <w:pStyle w:val="15"/>
              <w:spacing w:line="360" w:lineRule="auto"/>
              <w:ind w:firstLine="0" w:firstLineChars="0"/>
              <w:contextualSpacing/>
              <w:jc w:val="center"/>
              <w:rPr>
                <w:rFonts w:ascii="宋体" w:hAnsi="宋体" w:eastAsia="宋体" w:cs="宋体"/>
                <w:kern w:val="2"/>
                <w:sz w:val="21"/>
                <w:szCs w:val="21"/>
                <w:highlight w:val="none"/>
              </w:rPr>
            </w:pPr>
          </w:p>
        </w:tc>
      </w:tr>
      <w:tr w14:paraId="12E73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98AB3A9">
            <w:pPr>
              <w:pStyle w:val="15"/>
              <w:spacing w:line="360" w:lineRule="auto"/>
              <w:ind w:firstLine="0" w:firstLineChars="0"/>
              <w:contextualSpacing/>
              <w:jc w:val="center"/>
              <w:rPr>
                <w:rFonts w:ascii="宋体" w:hAnsi="宋体" w:eastAsia="宋体" w:cs="宋体"/>
                <w:kern w:val="2"/>
                <w:sz w:val="21"/>
                <w:szCs w:val="21"/>
                <w:highlight w:val="none"/>
              </w:rPr>
            </w:pPr>
            <w:bookmarkStart w:id="116" w:name="_Toc295404990"/>
            <w:bookmarkStart w:id="117" w:name="_Toc173211909"/>
            <w:bookmarkStart w:id="118" w:name="_Toc254970597"/>
            <w:bookmarkStart w:id="119" w:name="_Toc297193194"/>
            <w:bookmarkStart w:id="120" w:name="_Toc301781620"/>
            <w:bookmarkStart w:id="121" w:name="_Toc373333698"/>
            <w:bookmarkStart w:id="122" w:name="_Toc383699915"/>
            <w:bookmarkStart w:id="123" w:name="_Toc173066410"/>
            <w:bookmarkStart w:id="124" w:name="_Toc254970738"/>
            <w:r>
              <w:rPr>
                <w:rFonts w:hint="eastAsia" w:ascii="宋体" w:hAnsi="宋体" w:eastAsia="宋体" w:cs="宋体"/>
                <w:kern w:val="2"/>
                <w:sz w:val="21"/>
                <w:szCs w:val="21"/>
                <w:highlight w:val="none"/>
              </w:rPr>
              <w:t>5</w:t>
            </w:r>
            <w:bookmarkEnd w:id="116"/>
            <w:bookmarkEnd w:id="117"/>
            <w:bookmarkEnd w:id="118"/>
            <w:bookmarkEnd w:id="119"/>
            <w:bookmarkEnd w:id="120"/>
            <w:bookmarkEnd w:id="121"/>
            <w:bookmarkEnd w:id="122"/>
            <w:bookmarkEnd w:id="123"/>
            <w:bookmarkEnd w:id="124"/>
          </w:p>
        </w:tc>
        <w:tc>
          <w:tcPr>
            <w:tcW w:w="992" w:type="dxa"/>
            <w:tcBorders>
              <w:right w:val="single" w:color="auto" w:sz="4" w:space="0"/>
            </w:tcBorders>
            <w:vAlign w:val="center"/>
          </w:tcPr>
          <w:p w14:paraId="17EA5B0C">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34A2FFC9">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09FDB802">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vAlign w:val="center"/>
          </w:tcPr>
          <w:p w14:paraId="4A637EDF">
            <w:pPr>
              <w:pStyle w:val="15"/>
              <w:spacing w:line="360" w:lineRule="auto"/>
              <w:ind w:firstLine="0" w:firstLineChars="0"/>
              <w:contextualSpacing/>
              <w:jc w:val="center"/>
              <w:rPr>
                <w:rFonts w:ascii="宋体" w:hAnsi="宋体" w:eastAsia="宋体" w:cs="宋体"/>
                <w:kern w:val="2"/>
                <w:sz w:val="21"/>
                <w:szCs w:val="21"/>
                <w:highlight w:val="none"/>
              </w:rPr>
            </w:pPr>
          </w:p>
        </w:tc>
      </w:tr>
      <w:tr w14:paraId="6422B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2BA5175F">
            <w:pPr>
              <w:pStyle w:val="15"/>
              <w:spacing w:line="360" w:lineRule="auto"/>
              <w:ind w:firstLine="0" w:firstLineChars="0"/>
              <w:contextualSpacing/>
              <w:jc w:val="center"/>
              <w:rPr>
                <w:rFonts w:ascii="宋体" w:hAnsi="宋体" w:eastAsia="宋体" w:cs="宋体"/>
                <w:kern w:val="2"/>
                <w:sz w:val="21"/>
                <w:szCs w:val="21"/>
                <w:highlight w:val="none"/>
              </w:rPr>
            </w:pPr>
            <w:bookmarkStart w:id="125" w:name="_Toc301781621"/>
            <w:bookmarkStart w:id="126" w:name="_Toc254970743"/>
            <w:bookmarkStart w:id="127" w:name="_Toc295404991"/>
            <w:bookmarkStart w:id="128" w:name="_Toc173066415"/>
            <w:bookmarkStart w:id="129" w:name="_Toc373333699"/>
            <w:bookmarkStart w:id="130" w:name="_Toc297193195"/>
            <w:bookmarkStart w:id="131" w:name="_Toc254970602"/>
            <w:bookmarkStart w:id="132" w:name="_Toc383699916"/>
            <w:bookmarkStart w:id="133" w:name="_Toc173211914"/>
            <w:r>
              <w:rPr>
                <w:rFonts w:hint="eastAsia" w:ascii="宋体" w:hAnsi="宋体" w:eastAsia="宋体" w:cs="宋体"/>
                <w:kern w:val="2"/>
                <w:sz w:val="21"/>
                <w:szCs w:val="21"/>
                <w:highlight w:val="none"/>
              </w:rPr>
              <w:t>…</w:t>
            </w:r>
            <w:bookmarkEnd w:id="125"/>
            <w:bookmarkEnd w:id="126"/>
            <w:bookmarkEnd w:id="127"/>
            <w:bookmarkEnd w:id="128"/>
            <w:bookmarkEnd w:id="129"/>
            <w:bookmarkEnd w:id="130"/>
            <w:bookmarkEnd w:id="131"/>
            <w:bookmarkEnd w:id="132"/>
            <w:bookmarkEnd w:id="133"/>
          </w:p>
        </w:tc>
        <w:tc>
          <w:tcPr>
            <w:tcW w:w="992" w:type="dxa"/>
            <w:tcBorders>
              <w:right w:val="single" w:color="auto" w:sz="4" w:space="0"/>
            </w:tcBorders>
            <w:vAlign w:val="center"/>
          </w:tcPr>
          <w:p w14:paraId="540EB0E0">
            <w:pPr>
              <w:pStyle w:val="15"/>
              <w:spacing w:line="360" w:lineRule="auto"/>
              <w:ind w:firstLine="0" w:firstLineChars="0"/>
              <w:contextualSpacing/>
              <w:jc w:val="center"/>
              <w:rPr>
                <w:rFonts w:ascii="宋体" w:hAnsi="宋体" w:eastAsia="宋体" w:cs="宋体"/>
                <w:kern w:val="2"/>
                <w:sz w:val="21"/>
                <w:szCs w:val="21"/>
                <w:highlight w:val="none"/>
              </w:rPr>
            </w:pPr>
          </w:p>
        </w:tc>
        <w:tc>
          <w:tcPr>
            <w:tcW w:w="3292" w:type="dxa"/>
            <w:tcBorders>
              <w:left w:val="single" w:color="auto" w:sz="4" w:space="0"/>
            </w:tcBorders>
            <w:vAlign w:val="center"/>
          </w:tcPr>
          <w:p w14:paraId="09C9244B">
            <w:pPr>
              <w:pStyle w:val="15"/>
              <w:spacing w:line="360" w:lineRule="auto"/>
              <w:ind w:firstLine="0" w:firstLineChars="0"/>
              <w:contextualSpacing/>
              <w:jc w:val="center"/>
              <w:rPr>
                <w:rFonts w:ascii="宋体" w:hAnsi="宋体" w:eastAsia="宋体" w:cs="宋体"/>
                <w:kern w:val="2"/>
                <w:sz w:val="21"/>
                <w:szCs w:val="21"/>
                <w:highlight w:val="none"/>
              </w:rPr>
            </w:pPr>
          </w:p>
        </w:tc>
        <w:tc>
          <w:tcPr>
            <w:tcW w:w="2963" w:type="dxa"/>
            <w:vAlign w:val="center"/>
          </w:tcPr>
          <w:p w14:paraId="5A820EFE">
            <w:pPr>
              <w:pStyle w:val="15"/>
              <w:spacing w:line="360" w:lineRule="auto"/>
              <w:ind w:firstLine="0" w:firstLineChars="0"/>
              <w:contextualSpacing/>
              <w:jc w:val="center"/>
              <w:rPr>
                <w:rFonts w:ascii="宋体" w:hAnsi="宋体" w:eastAsia="宋体" w:cs="宋体"/>
                <w:kern w:val="2"/>
                <w:sz w:val="21"/>
                <w:szCs w:val="21"/>
                <w:highlight w:val="none"/>
              </w:rPr>
            </w:pPr>
          </w:p>
        </w:tc>
        <w:tc>
          <w:tcPr>
            <w:tcW w:w="1616" w:type="dxa"/>
            <w:tcBorders>
              <w:right w:val="single" w:color="auto" w:sz="4" w:space="0"/>
            </w:tcBorders>
            <w:vAlign w:val="center"/>
          </w:tcPr>
          <w:p w14:paraId="43EECED1">
            <w:pPr>
              <w:pStyle w:val="15"/>
              <w:spacing w:line="360" w:lineRule="auto"/>
              <w:ind w:firstLine="0" w:firstLineChars="0"/>
              <w:contextualSpacing/>
              <w:jc w:val="center"/>
              <w:rPr>
                <w:rFonts w:ascii="宋体" w:hAnsi="宋体" w:eastAsia="宋体" w:cs="宋体"/>
                <w:kern w:val="2"/>
                <w:sz w:val="21"/>
                <w:szCs w:val="21"/>
                <w:highlight w:val="none"/>
              </w:rPr>
            </w:pPr>
          </w:p>
        </w:tc>
      </w:tr>
    </w:tbl>
    <w:p w14:paraId="6097F9DB">
      <w:pPr>
        <w:adjustRightInd w:val="0"/>
        <w:spacing w:line="360" w:lineRule="auto"/>
        <w:contextualSpacing/>
        <w:rPr>
          <w:rFonts w:ascii="宋体" w:hAnsi="宋体" w:cs="宋体"/>
          <w:sz w:val="21"/>
          <w:szCs w:val="21"/>
          <w:highlight w:val="none"/>
        </w:rPr>
      </w:pPr>
    </w:p>
    <w:p w14:paraId="264535BB">
      <w:pPr>
        <w:pStyle w:val="15"/>
        <w:spacing w:line="360" w:lineRule="auto"/>
        <w:ind w:firstLine="0" w:firstLineChars="0"/>
        <w:contextualSpacing/>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354AB4D4">
      <w:pPr>
        <w:pStyle w:val="15"/>
        <w:spacing w:line="360" w:lineRule="auto"/>
        <w:ind w:firstLine="0" w:firstLineChars="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1.说明：应对照磋商文件“第三章 采购需求”中的服务要求逐条作出明确响应，并作出偏离说明。</w:t>
      </w:r>
    </w:p>
    <w:p w14:paraId="122B02D1">
      <w:pPr>
        <w:pStyle w:val="15"/>
        <w:spacing w:line="360" w:lineRule="auto"/>
        <w:ind w:firstLine="0" w:firstLineChars="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2.供应商应根据自身的承诺，对照磋商文件要求，在“偏离说明”中注明“正偏离”、“负偏离”或者“无偏离”。既不属于“正偏离”也不属于“负偏离”即为“无偏离”。</w:t>
      </w:r>
    </w:p>
    <w:p w14:paraId="63940EDB">
      <w:pPr>
        <w:spacing w:line="360" w:lineRule="auto"/>
        <w:ind w:right="-817" w:rightChars="-389"/>
        <w:contextualSpacing/>
        <w:rPr>
          <w:rFonts w:ascii="宋体" w:hAnsi="宋体" w:cs="宋体"/>
          <w:sz w:val="21"/>
          <w:szCs w:val="21"/>
          <w:highlight w:val="none"/>
        </w:rPr>
      </w:pPr>
    </w:p>
    <w:p w14:paraId="521D5687">
      <w:pPr>
        <w:spacing w:line="360" w:lineRule="auto"/>
        <w:ind w:right="-817" w:rightChars="-389" w:firstLine="840" w:firstLineChars="400"/>
        <w:contextualSpacing/>
        <w:rPr>
          <w:rFonts w:ascii="宋体" w:hAnsi="宋体" w:cs="宋体"/>
          <w:sz w:val="21"/>
          <w:szCs w:val="21"/>
          <w:highlight w:val="none"/>
        </w:rPr>
      </w:pPr>
      <w:r>
        <w:rPr>
          <w:rFonts w:hint="eastAsia" w:ascii="宋体" w:hAnsi="宋体" w:cs="宋体"/>
          <w:sz w:val="21"/>
          <w:szCs w:val="21"/>
          <w:highlight w:val="none"/>
        </w:rPr>
        <w:t>法定代表人或者委托代理人（</w:t>
      </w:r>
      <w:r>
        <w:rPr>
          <w:rFonts w:hint="eastAsia" w:ascii="宋体" w:hAnsi="宋体" w:cs="宋体"/>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cs="宋体"/>
          <w:sz w:val="21"/>
          <w:szCs w:val="21"/>
          <w:highlight w:val="none"/>
          <w:lang w:eastAsia="zh-CN"/>
        </w:rPr>
        <w:t>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2AD78227">
      <w:pPr>
        <w:spacing w:line="360" w:lineRule="auto"/>
        <w:ind w:right="-817" w:rightChars="-389" w:firstLine="2310" w:firstLineChars="1100"/>
        <w:contextualSpacing/>
        <w:rPr>
          <w:rFonts w:ascii="宋体" w:hAnsi="宋体" w:cs="宋体"/>
          <w:sz w:val="21"/>
          <w:szCs w:val="21"/>
          <w:highlight w:val="none"/>
        </w:rPr>
      </w:pPr>
      <w:r>
        <w:rPr>
          <w:rFonts w:hint="eastAsia" w:ascii="宋体" w:hAnsi="宋体" w:cs="宋体"/>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z w:val="21"/>
          <w:szCs w:val="21"/>
          <w:highlight w:val="none"/>
        </w:rPr>
        <w:t>）：</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21660546">
      <w:pPr>
        <w:spacing w:line="360" w:lineRule="auto"/>
        <w:ind w:right="-817" w:rightChars="-389" w:firstLine="3570" w:firstLineChars="1700"/>
        <w:contextualSpacing/>
        <w:rPr>
          <w:rFonts w:ascii="宋体" w:hAnsi="宋体" w:cs="宋体"/>
          <w:sz w:val="21"/>
          <w:szCs w:val="21"/>
          <w:highlight w:val="none"/>
        </w:rPr>
      </w:pPr>
      <w:r>
        <w:rPr>
          <w:rFonts w:hint="eastAsia" w:ascii="宋体" w:hAnsi="宋体" w:cs="宋体"/>
          <w:sz w:val="21"/>
          <w:szCs w:val="21"/>
          <w:highlight w:val="none"/>
        </w:rPr>
        <w:t>日期：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p w14:paraId="07AC588B">
      <w:pPr>
        <w:snapToGrid w:val="0"/>
        <w:spacing w:before="156" w:beforeLines="50" w:after="50"/>
        <w:ind w:left="142"/>
        <w:jc w:val="left"/>
        <w:rPr>
          <w:rFonts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项目实施人员一览表格式</w:t>
      </w:r>
    </w:p>
    <w:p w14:paraId="6CF3D11F">
      <w:pPr>
        <w:snapToGrid w:val="0"/>
        <w:spacing w:before="156" w:beforeLines="50" w:after="50"/>
        <w:ind w:left="142"/>
        <w:jc w:val="left"/>
        <w:rPr>
          <w:rFonts w:ascii="宋体" w:hAnsi="宋体" w:cs="宋体"/>
          <w:b/>
          <w:sz w:val="24"/>
          <w:highlight w:val="none"/>
        </w:rPr>
      </w:pPr>
    </w:p>
    <w:p w14:paraId="79A735D8">
      <w:pPr>
        <w:spacing w:line="360" w:lineRule="auto"/>
        <w:ind w:left="142"/>
        <w:contextualSpacing/>
        <w:jc w:val="center"/>
        <w:rPr>
          <w:rFonts w:ascii="宋体" w:hAnsi="宋体" w:cs="宋体"/>
          <w:b/>
          <w:sz w:val="32"/>
          <w:szCs w:val="32"/>
          <w:highlight w:val="none"/>
        </w:rPr>
      </w:pPr>
      <w:r>
        <w:rPr>
          <w:rFonts w:hint="eastAsia" w:ascii="宋体" w:hAnsi="宋体" w:cs="宋体"/>
          <w:b/>
          <w:sz w:val="32"/>
          <w:szCs w:val="32"/>
          <w:highlight w:val="none"/>
        </w:rPr>
        <w:t>项目实施人员一览表</w:t>
      </w:r>
    </w:p>
    <w:p w14:paraId="6B4BE05E">
      <w:pPr>
        <w:spacing w:line="360" w:lineRule="auto"/>
        <w:contextualSpacing/>
        <w:rPr>
          <w:rFonts w:ascii="宋体" w:hAnsi="宋体" w:cs="宋体"/>
          <w:sz w:val="24"/>
          <w:highlight w:val="none"/>
        </w:rPr>
      </w:pPr>
      <w:r>
        <w:rPr>
          <w:rFonts w:hint="eastAsia" w:ascii="宋体" w:hAnsi="宋体" w:cs="宋体"/>
          <w:sz w:val="24"/>
          <w:highlight w:val="none"/>
        </w:rPr>
        <w:t>采购项目名称：</w:t>
      </w:r>
      <w:r>
        <w:rPr>
          <w:rFonts w:hint="eastAsia" w:ascii="宋体" w:hAnsi="宋体" w:cs="宋体"/>
          <w:sz w:val="24"/>
          <w:highlight w:val="none"/>
          <w:u w:val="single"/>
        </w:rPr>
        <w:t xml:space="preserve">                 </w:t>
      </w:r>
    </w:p>
    <w:p w14:paraId="37107C2D">
      <w:pPr>
        <w:spacing w:line="360" w:lineRule="auto"/>
        <w:contextualSpacing/>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single"/>
        </w:rPr>
        <w:t xml:space="preserve">                 </w:t>
      </w:r>
    </w:p>
    <w:p w14:paraId="4F841B88">
      <w:pPr>
        <w:pStyle w:val="17"/>
        <w:spacing w:line="360" w:lineRule="auto"/>
        <w:contextualSpacing/>
        <w:rPr>
          <w:rFonts w:hAnsi="宋体" w:cs="宋体"/>
          <w:sz w:val="24"/>
          <w:szCs w:val="24"/>
          <w:highlight w:val="none"/>
        </w:rPr>
      </w:pPr>
    </w:p>
    <w:tbl>
      <w:tblPr>
        <w:tblStyle w:val="30"/>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0E6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61D08511">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794" w:type="dxa"/>
            <w:vAlign w:val="center"/>
          </w:tcPr>
          <w:p w14:paraId="379C5A5F">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1907" w:type="dxa"/>
            <w:vAlign w:val="center"/>
          </w:tcPr>
          <w:p w14:paraId="21A5AB23">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专业技术资格（职称）或者职业资格或者执业资格证或者其他证书</w:t>
            </w:r>
          </w:p>
        </w:tc>
        <w:tc>
          <w:tcPr>
            <w:tcW w:w="1592" w:type="dxa"/>
            <w:vAlign w:val="center"/>
          </w:tcPr>
          <w:p w14:paraId="672CC10F">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证书编号</w:t>
            </w:r>
          </w:p>
        </w:tc>
        <w:tc>
          <w:tcPr>
            <w:tcW w:w="1903" w:type="dxa"/>
            <w:vAlign w:val="center"/>
          </w:tcPr>
          <w:p w14:paraId="5D51C51A">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参加本单位</w:t>
            </w:r>
          </w:p>
          <w:p w14:paraId="02F18B7B">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工作时间</w:t>
            </w:r>
          </w:p>
        </w:tc>
        <w:tc>
          <w:tcPr>
            <w:tcW w:w="2066" w:type="dxa"/>
            <w:vAlign w:val="center"/>
          </w:tcPr>
          <w:p w14:paraId="5512E48C">
            <w:pPr>
              <w:contextualSpacing/>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623E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32C3CFF">
            <w:pPr>
              <w:spacing w:line="360" w:lineRule="auto"/>
              <w:contextualSpacing/>
              <w:jc w:val="center"/>
              <w:rPr>
                <w:rFonts w:hint="eastAsia" w:ascii="宋体" w:hAnsi="宋体" w:eastAsia="宋体" w:cs="宋体"/>
                <w:sz w:val="21"/>
                <w:szCs w:val="21"/>
                <w:highlight w:val="none"/>
              </w:rPr>
            </w:pPr>
          </w:p>
        </w:tc>
        <w:tc>
          <w:tcPr>
            <w:tcW w:w="794" w:type="dxa"/>
            <w:vAlign w:val="center"/>
          </w:tcPr>
          <w:p w14:paraId="026D98E9">
            <w:pPr>
              <w:spacing w:line="360" w:lineRule="auto"/>
              <w:contextualSpacing/>
              <w:jc w:val="center"/>
              <w:rPr>
                <w:rFonts w:hint="eastAsia" w:ascii="宋体" w:hAnsi="宋体" w:eastAsia="宋体" w:cs="宋体"/>
                <w:sz w:val="21"/>
                <w:szCs w:val="21"/>
                <w:highlight w:val="none"/>
              </w:rPr>
            </w:pPr>
          </w:p>
        </w:tc>
        <w:tc>
          <w:tcPr>
            <w:tcW w:w="1907" w:type="dxa"/>
            <w:vAlign w:val="center"/>
          </w:tcPr>
          <w:p w14:paraId="0DC4FFA6">
            <w:pPr>
              <w:spacing w:line="360" w:lineRule="auto"/>
              <w:contextualSpacing/>
              <w:jc w:val="center"/>
              <w:rPr>
                <w:rFonts w:hint="eastAsia" w:ascii="宋体" w:hAnsi="宋体" w:eastAsia="宋体" w:cs="宋体"/>
                <w:sz w:val="21"/>
                <w:szCs w:val="21"/>
                <w:highlight w:val="none"/>
              </w:rPr>
            </w:pPr>
          </w:p>
        </w:tc>
        <w:tc>
          <w:tcPr>
            <w:tcW w:w="1592" w:type="dxa"/>
            <w:vAlign w:val="center"/>
          </w:tcPr>
          <w:p w14:paraId="1259011D">
            <w:pPr>
              <w:spacing w:line="360" w:lineRule="auto"/>
              <w:contextualSpacing/>
              <w:jc w:val="center"/>
              <w:rPr>
                <w:rFonts w:hint="eastAsia" w:ascii="宋体" w:hAnsi="宋体" w:eastAsia="宋体" w:cs="宋体"/>
                <w:sz w:val="21"/>
                <w:szCs w:val="21"/>
                <w:highlight w:val="none"/>
              </w:rPr>
            </w:pPr>
          </w:p>
        </w:tc>
        <w:tc>
          <w:tcPr>
            <w:tcW w:w="1903" w:type="dxa"/>
            <w:vAlign w:val="center"/>
          </w:tcPr>
          <w:p w14:paraId="3CCB9F16">
            <w:pPr>
              <w:spacing w:line="360" w:lineRule="auto"/>
              <w:contextualSpacing/>
              <w:jc w:val="center"/>
              <w:rPr>
                <w:rFonts w:hint="eastAsia" w:ascii="宋体" w:hAnsi="宋体" w:eastAsia="宋体" w:cs="宋体"/>
                <w:sz w:val="21"/>
                <w:szCs w:val="21"/>
                <w:highlight w:val="none"/>
              </w:rPr>
            </w:pPr>
          </w:p>
        </w:tc>
        <w:tc>
          <w:tcPr>
            <w:tcW w:w="2066" w:type="dxa"/>
            <w:vAlign w:val="center"/>
          </w:tcPr>
          <w:p w14:paraId="0B837B2C">
            <w:pPr>
              <w:spacing w:line="360" w:lineRule="auto"/>
              <w:contextualSpacing/>
              <w:jc w:val="center"/>
              <w:rPr>
                <w:rFonts w:hint="eastAsia" w:ascii="宋体" w:hAnsi="宋体" w:eastAsia="宋体" w:cs="宋体"/>
                <w:sz w:val="21"/>
                <w:szCs w:val="21"/>
                <w:highlight w:val="none"/>
              </w:rPr>
            </w:pPr>
          </w:p>
        </w:tc>
      </w:tr>
      <w:tr w14:paraId="3A70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50DAF6D6">
            <w:pPr>
              <w:spacing w:line="360" w:lineRule="auto"/>
              <w:contextualSpacing/>
              <w:jc w:val="center"/>
              <w:rPr>
                <w:rFonts w:hint="eastAsia" w:ascii="宋体" w:hAnsi="宋体" w:eastAsia="宋体" w:cs="宋体"/>
                <w:sz w:val="21"/>
                <w:szCs w:val="21"/>
                <w:highlight w:val="none"/>
              </w:rPr>
            </w:pPr>
          </w:p>
        </w:tc>
        <w:tc>
          <w:tcPr>
            <w:tcW w:w="794" w:type="dxa"/>
            <w:vAlign w:val="center"/>
          </w:tcPr>
          <w:p w14:paraId="2D00612D">
            <w:pPr>
              <w:spacing w:line="360" w:lineRule="auto"/>
              <w:contextualSpacing/>
              <w:jc w:val="center"/>
              <w:rPr>
                <w:rFonts w:hint="eastAsia" w:ascii="宋体" w:hAnsi="宋体" w:eastAsia="宋体" w:cs="宋体"/>
                <w:sz w:val="21"/>
                <w:szCs w:val="21"/>
                <w:highlight w:val="none"/>
              </w:rPr>
            </w:pPr>
          </w:p>
        </w:tc>
        <w:tc>
          <w:tcPr>
            <w:tcW w:w="1907" w:type="dxa"/>
            <w:vAlign w:val="center"/>
          </w:tcPr>
          <w:p w14:paraId="0535891D">
            <w:pPr>
              <w:spacing w:line="360" w:lineRule="auto"/>
              <w:contextualSpacing/>
              <w:jc w:val="center"/>
              <w:rPr>
                <w:rFonts w:hint="eastAsia" w:ascii="宋体" w:hAnsi="宋体" w:eastAsia="宋体" w:cs="宋体"/>
                <w:sz w:val="21"/>
                <w:szCs w:val="21"/>
                <w:highlight w:val="none"/>
              </w:rPr>
            </w:pPr>
          </w:p>
        </w:tc>
        <w:tc>
          <w:tcPr>
            <w:tcW w:w="1592" w:type="dxa"/>
            <w:vAlign w:val="center"/>
          </w:tcPr>
          <w:p w14:paraId="23365157">
            <w:pPr>
              <w:spacing w:line="360" w:lineRule="auto"/>
              <w:contextualSpacing/>
              <w:jc w:val="center"/>
              <w:rPr>
                <w:rFonts w:hint="eastAsia" w:ascii="宋体" w:hAnsi="宋体" w:eastAsia="宋体" w:cs="宋体"/>
                <w:sz w:val="21"/>
                <w:szCs w:val="21"/>
                <w:highlight w:val="none"/>
              </w:rPr>
            </w:pPr>
          </w:p>
        </w:tc>
        <w:tc>
          <w:tcPr>
            <w:tcW w:w="1903" w:type="dxa"/>
            <w:vAlign w:val="center"/>
          </w:tcPr>
          <w:p w14:paraId="5DF11A64">
            <w:pPr>
              <w:spacing w:line="360" w:lineRule="auto"/>
              <w:contextualSpacing/>
              <w:jc w:val="center"/>
              <w:rPr>
                <w:rFonts w:hint="eastAsia" w:ascii="宋体" w:hAnsi="宋体" w:eastAsia="宋体" w:cs="宋体"/>
                <w:sz w:val="21"/>
                <w:szCs w:val="21"/>
                <w:highlight w:val="none"/>
              </w:rPr>
            </w:pPr>
          </w:p>
        </w:tc>
        <w:tc>
          <w:tcPr>
            <w:tcW w:w="2066" w:type="dxa"/>
            <w:vAlign w:val="center"/>
          </w:tcPr>
          <w:p w14:paraId="2AACC2E7">
            <w:pPr>
              <w:spacing w:line="360" w:lineRule="auto"/>
              <w:contextualSpacing/>
              <w:jc w:val="center"/>
              <w:rPr>
                <w:rFonts w:hint="eastAsia" w:ascii="宋体" w:hAnsi="宋体" w:eastAsia="宋体" w:cs="宋体"/>
                <w:sz w:val="21"/>
                <w:szCs w:val="21"/>
                <w:highlight w:val="none"/>
              </w:rPr>
            </w:pPr>
          </w:p>
        </w:tc>
      </w:tr>
      <w:tr w14:paraId="3019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05E17021">
            <w:pPr>
              <w:spacing w:line="360" w:lineRule="auto"/>
              <w:contextualSpacing/>
              <w:jc w:val="center"/>
              <w:rPr>
                <w:rFonts w:hint="eastAsia" w:ascii="宋体" w:hAnsi="宋体" w:eastAsia="宋体" w:cs="宋体"/>
                <w:sz w:val="21"/>
                <w:szCs w:val="21"/>
                <w:highlight w:val="none"/>
              </w:rPr>
            </w:pPr>
          </w:p>
        </w:tc>
        <w:tc>
          <w:tcPr>
            <w:tcW w:w="794" w:type="dxa"/>
            <w:vAlign w:val="center"/>
          </w:tcPr>
          <w:p w14:paraId="77491084">
            <w:pPr>
              <w:spacing w:line="360" w:lineRule="auto"/>
              <w:contextualSpacing/>
              <w:jc w:val="center"/>
              <w:rPr>
                <w:rFonts w:hint="eastAsia" w:ascii="宋体" w:hAnsi="宋体" w:eastAsia="宋体" w:cs="宋体"/>
                <w:sz w:val="21"/>
                <w:szCs w:val="21"/>
                <w:highlight w:val="none"/>
              </w:rPr>
            </w:pPr>
          </w:p>
        </w:tc>
        <w:tc>
          <w:tcPr>
            <w:tcW w:w="1907" w:type="dxa"/>
            <w:vAlign w:val="center"/>
          </w:tcPr>
          <w:p w14:paraId="63897718">
            <w:pPr>
              <w:spacing w:line="360" w:lineRule="auto"/>
              <w:contextualSpacing/>
              <w:jc w:val="center"/>
              <w:rPr>
                <w:rFonts w:hint="eastAsia" w:ascii="宋体" w:hAnsi="宋体" w:eastAsia="宋体" w:cs="宋体"/>
                <w:sz w:val="21"/>
                <w:szCs w:val="21"/>
                <w:highlight w:val="none"/>
              </w:rPr>
            </w:pPr>
          </w:p>
        </w:tc>
        <w:tc>
          <w:tcPr>
            <w:tcW w:w="1592" w:type="dxa"/>
            <w:vAlign w:val="center"/>
          </w:tcPr>
          <w:p w14:paraId="34B25158">
            <w:pPr>
              <w:spacing w:line="360" w:lineRule="auto"/>
              <w:contextualSpacing/>
              <w:jc w:val="center"/>
              <w:rPr>
                <w:rFonts w:hint="eastAsia" w:ascii="宋体" w:hAnsi="宋体" w:eastAsia="宋体" w:cs="宋体"/>
                <w:sz w:val="21"/>
                <w:szCs w:val="21"/>
                <w:highlight w:val="none"/>
              </w:rPr>
            </w:pPr>
          </w:p>
        </w:tc>
        <w:tc>
          <w:tcPr>
            <w:tcW w:w="1903" w:type="dxa"/>
            <w:vAlign w:val="center"/>
          </w:tcPr>
          <w:p w14:paraId="62209E2B">
            <w:pPr>
              <w:spacing w:line="360" w:lineRule="auto"/>
              <w:contextualSpacing/>
              <w:jc w:val="center"/>
              <w:rPr>
                <w:rFonts w:hint="eastAsia" w:ascii="宋体" w:hAnsi="宋体" w:eastAsia="宋体" w:cs="宋体"/>
                <w:sz w:val="21"/>
                <w:szCs w:val="21"/>
                <w:highlight w:val="none"/>
              </w:rPr>
            </w:pPr>
          </w:p>
        </w:tc>
        <w:tc>
          <w:tcPr>
            <w:tcW w:w="2066" w:type="dxa"/>
            <w:vAlign w:val="center"/>
          </w:tcPr>
          <w:p w14:paraId="04883E41">
            <w:pPr>
              <w:spacing w:line="360" w:lineRule="auto"/>
              <w:contextualSpacing/>
              <w:jc w:val="center"/>
              <w:rPr>
                <w:rFonts w:hint="eastAsia" w:ascii="宋体" w:hAnsi="宋体" w:eastAsia="宋体" w:cs="宋体"/>
                <w:sz w:val="21"/>
                <w:szCs w:val="21"/>
                <w:highlight w:val="none"/>
              </w:rPr>
            </w:pPr>
          </w:p>
        </w:tc>
      </w:tr>
    </w:tbl>
    <w:p w14:paraId="56B7F591">
      <w:pPr>
        <w:spacing w:line="360" w:lineRule="auto"/>
        <w:contextualSpacing/>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注：</w:t>
      </w:r>
    </w:p>
    <w:p w14:paraId="02CF1E31">
      <w:pPr>
        <w:spacing w:line="360" w:lineRule="auto"/>
        <w:contextualSpacing/>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1.在填写时，如本表格不适合供应商的实际情况，可根据本表格式自行制表填写。</w:t>
      </w:r>
    </w:p>
    <w:p w14:paraId="5AFC8E0F">
      <w:pPr>
        <w:spacing w:line="360" w:lineRule="auto"/>
        <w:contextualSpacing/>
        <w:jc w:val="left"/>
        <w:rPr>
          <w:rFonts w:ascii="楷体" w:hAnsi="楷体" w:eastAsia="楷体" w:cs="宋体"/>
          <w:sz w:val="24"/>
          <w:szCs w:val="20"/>
          <w:highlight w:val="none"/>
        </w:rPr>
      </w:pPr>
      <w:r>
        <w:rPr>
          <w:rFonts w:hint="eastAsia" w:ascii="宋体" w:hAnsi="宋体" w:eastAsia="宋体" w:cs="宋体"/>
          <w:sz w:val="21"/>
          <w:szCs w:val="21"/>
          <w:highlight w:val="none"/>
        </w:rPr>
        <w:t>2.供应商应当附本表所列证书的复印件并加盖供应商公章。</w:t>
      </w:r>
    </w:p>
    <w:p w14:paraId="1E33DB2B">
      <w:pPr>
        <w:pStyle w:val="14"/>
        <w:rPr>
          <w:highlight w:val="none"/>
        </w:rPr>
      </w:pPr>
    </w:p>
    <w:p w14:paraId="0F4AC1AC">
      <w:pPr>
        <w:spacing w:line="360" w:lineRule="auto"/>
        <w:ind w:firstLine="2730" w:firstLineChars="1300"/>
        <w:contextualSpacing/>
        <w:rPr>
          <w:rFonts w:ascii="宋体" w:hAnsi="宋体" w:cs="宋体"/>
          <w:spacing w:val="20"/>
          <w:sz w:val="21"/>
          <w:szCs w:val="21"/>
          <w:highlight w:val="none"/>
          <w:u w:val="single"/>
        </w:rPr>
      </w:pPr>
      <w:r>
        <w:rPr>
          <w:rFonts w:hint="eastAsia" w:ascii="宋体" w:hAnsi="宋体" w:cs="宋体"/>
          <w:sz w:val="21"/>
          <w:szCs w:val="21"/>
          <w:highlight w:val="none"/>
        </w:rPr>
        <w:t>法定代表人或者委托代理人（</w:t>
      </w:r>
      <w:r>
        <w:rPr>
          <w:rFonts w:hint="eastAsia" w:ascii="宋体" w:hAnsi="宋体" w:cs="宋体"/>
          <w:spacing w:val="20"/>
          <w:sz w:val="21"/>
          <w:szCs w:val="21"/>
          <w:highlight w:val="none"/>
          <w:lang w:eastAsia="zh-CN"/>
        </w:rPr>
        <w:t>签字或</w:t>
      </w:r>
      <w:r>
        <w:rPr>
          <w:rFonts w:hint="eastAsia" w:ascii="宋体" w:hAnsi="宋体" w:eastAsia="宋体" w:cs="宋体"/>
          <w:color w:val="auto"/>
          <w:sz w:val="21"/>
          <w:szCs w:val="21"/>
          <w:highlight w:val="none"/>
          <w:lang w:eastAsia="zh-CN"/>
        </w:rPr>
        <w:t>CA</w:t>
      </w:r>
      <w:r>
        <w:rPr>
          <w:rFonts w:hint="eastAsia" w:ascii="宋体" w:hAnsi="宋体" w:cs="宋体"/>
          <w:spacing w:val="20"/>
          <w:sz w:val="21"/>
          <w:szCs w:val="21"/>
          <w:highlight w:val="none"/>
          <w:lang w:eastAsia="zh-CN"/>
        </w:rPr>
        <w:t>签章</w:t>
      </w:r>
      <w:r>
        <w:rPr>
          <w:rFonts w:hint="eastAsia" w:ascii="宋体" w:hAnsi="宋体" w:cs="宋体"/>
          <w:sz w:val="21"/>
          <w:szCs w:val="21"/>
          <w:highlight w:val="none"/>
        </w:rPr>
        <w:t>）</w:t>
      </w:r>
      <w:r>
        <w:rPr>
          <w:rFonts w:hint="eastAsia" w:ascii="宋体" w:hAnsi="宋体" w:cs="宋体"/>
          <w:spacing w:val="20"/>
          <w:sz w:val="21"/>
          <w:szCs w:val="21"/>
          <w:highlight w:val="none"/>
        </w:rPr>
        <w:t>：</w:t>
      </w:r>
      <w:r>
        <w:rPr>
          <w:rFonts w:hint="eastAsia" w:ascii="宋体" w:hAnsi="宋体" w:cs="宋体"/>
          <w:spacing w:val="20"/>
          <w:sz w:val="21"/>
          <w:szCs w:val="21"/>
          <w:highlight w:val="none"/>
          <w:u w:val="single"/>
        </w:rPr>
        <w:t xml:space="preserve">        </w:t>
      </w:r>
    </w:p>
    <w:p w14:paraId="208B8661">
      <w:pPr>
        <w:spacing w:line="360" w:lineRule="auto"/>
        <w:ind w:firstLine="2750" w:firstLineChars="1100"/>
        <w:contextualSpacing/>
        <w:jc w:val="left"/>
        <w:rPr>
          <w:rFonts w:ascii="宋体" w:hAnsi="宋体" w:cs="宋体"/>
          <w:spacing w:val="20"/>
          <w:sz w:val="21"/>
          <w:szCs w:val="21"/>
          <w:highlight w:val="none"/>
        </w:rPr>
      </w:pPr>
      <w:r>
        <w:rPr>
          <w:rFonts w:hint="eastAsia" w:ascii="宋体" w:hAnsi="宋体" w:cs="宋体"/>
          <w:spacing w:val="20"/>
          <w:sz w:val="21"/>
          <w:szCs w:val="21"/>
          <w:highlight w:val="none"/>
        </w:rPr>
        <w:t>供应商（公章</w:t>
      </w:r>
      <w:r>
        <w:rPr>
          <w:rFonts w:hint="eastAsia" w:ascii="宋体" w:hAnsi="宋体" w:eastAsia="宋体" w:cs="宋体"/>
          <w:color w:val="auto"/>
          <w:sz w:val="21"/>
          <w:szCs w:val="21"/>
          <w:highlight w:val="none"/>
          <w:lang w:eastAsia="zh-CN"/>
        </w:rPr>
        <w:t>（CA签章）</w:t>
      </w:r>
      <w:r>
        <w:rPr>
          <w:rFonts w:hint="eastAsia" w:ascii="宋体" w:hAnsi="宋体" w:cs="宋体"/>
          <w:spacing w:val="20"/>
          <w:sz w:val="21"/>
          <w:szCs w:val="21"/>
          <w:highlight w:val="none"/>
        </w:rPr>
        <w:t>）：</w:t>
      </w:r>
      <w:r>
        <w:rPr>
          <w:rFonts w:hint="eastAsia" w:ascii="宋体" w:hAnsi="宋体" w:cs="宋体"/>
          <w:spacing w:val="20"/>
          <w:sz w:val="21"/>
          <w:szCs w:val="21"/>
          <w:highlight w:val="none"/>
          <w:u w:val="single"/>
        </w:rPr>
        <w:t xml:space="preserve">            </w:t>
      </w:r>
      <w:r>
        <w:rPr>
          <w:rFonts w:hint="eastAsia" w:ascii="宋体" w:hAnsi="宋体" w:cs="宋体"/>
          <w:spacing w:val="20"/>
          <w:sz w:val="21"/>
          <w:szCs w:val="21"/>
          <w:highlight w:val="none"/>
        </w:rPr>
        <w:t xml:space="preserve">              </w:t>
      </w:r>
    </w:p>
    <w:p w14:paraId="72A97828">
      <w:pPr>
        <w:spacing w:line="360" w:lineRule="auto"/>
        <w:ind w:firstLine="2750" w:firstLineChars="1100"/>
        <w:contextualSpacing/>
        <w:jc w:val="left"/>
        <w:rPr>
          <w:rFonts w:ascii="宋体" w:hAnsi="宋体" w:cs="宋体"/>
          <w:sz w:val="21"/>
          <w:szCs w:val="21"/>
          <w:highlight w:val="none"/>
        </w:rPr>
      </w:pPr>
      <w:r>
        <w:rPr>
          <w:rFonts w:hint="eastAsia" w:ascii="宋体" w:hAnsi="宋体" w:cs="宋体"/>
          <w:spacing w:val="20"/>
          <w:sz w:val="21"/>
          <w:szCs w:val="21"/>
          <w:highlight w:val="none"/>
        </w:rPr>
        <w:t>日 期：</w:t>
      </w:r>
      <w:r>
        <w:rPr>
          <w:rFonts w:hint="eastAsia" w:ascii="宋体" w:hAnsi="宋体" w:cs="宋体"/>
          <w:spacing w:val="20"/>
          <w:sz w:val="21"/>
          <w:szCs w:val="21"/>
          <w:highlight w:val="none"/>
          <w:u w:val="single"/>
        </w:rPr>
        <w:t xml:space="preserve"> </w:t>
      </w:r>
      <w:r>
        <w:rPr>
          <w:rFonts w:ascii="宋体" w:hAnsi="宋体" w:cs="宋体"/>
          <w:spacing w:val="20"/>
          <w:sz w:val="21"/>
          <w:szCs w:val="21"/>
          <w:highlight w:val="none"/>
          <w:u w:val="single"/>
        </w:rPr>
        <w:t xml:space="preserve"> </w:t>
      </w:r>
      <w:r>
        <w:rPr>
          <w:rFonts w:hint="eastAsia" w:ascii="宋体" w:hAnsi="宋体" w:cs="宋体"/>
          <w:spacing w:val="20"/>
          <w:sz w:val="21"/>
          <w:szCs w:val="21"/>
          <w:highlight w:val="none"/>
        </w:rPr>
        <w:t>年</w:t>
      </w:r>
      <w:r>
        <w:rPr>
          <w:rFonts w:hint="eastAsia" w:ascii="宋体" w:hAnsi="宋体" w:cs="宋体"/>
          <w:spacing w:val="20"/>
          <w:sz w:val="21"/>
          <w:szCs w:val="21"/>
          <w:highlight w:val="none"/>
          <w:u w:val="single"/>
        </w:rPr>
        <w:t xml:space="preserve"> </w:t>
      </w:r>
      <w:r>
        <w:rPr>
          <w:rFonts w:ascii="宋体" w:hAnsi="宋体" w:cs="宋体"/>
          <w:spacing w:val="20"/>
          <w:sz w:val="21"/>
          <w:szCs w:val="21"/>
          <w:highlight w:val="none"/>
          <w:u w:val="single"/>
        </w:rPr>
        <w:t xml:space="preserve"> </w:t>
      </w:r>
      <w:r>
        <w:rPr>
          <w:rFonts w:hint="eastAsia" w:ascii="宋体" w:hAnsi="宋体" w:cs="宋体"/>
          <w:spacing w:val="20"/>
          <w:sz w:val="21"/>
          <w:szCs w:val="21"/>
          <w:highlight w:val="none"/>
        </w:rPr>
        <w:t>月</w:t>
      </w:r>
      <w:r>
        <w:rPr>
          <w:rFonts w:hint="eastAsia" w:ascii="宋体" w:hAnsi="宋体" w:cs="宋体"/>
          <w:spacing w:val="20"/>
          <w:sz w:val="21"/>
          <w:szCs w:val="21"/>
          <w:highlight w:val="none"/>
          <w:u w:val="single"/>
        </w:rPr>
        <w:t xml:space="preserve"> </w:t>
      </w:r>
      <w:r>
        <w:rPr>
          <w:rFonts w:ascii="宋体" w:hAnsi="宋体" w:cs="宋体"/>
          <w:spacing w:val="20"/>
          <w:sz w:val="21"/>
          <w:szCs w:val="21"/>
          <w:highlight w:val="none"/>
          <w:u w:val="single"/>
        </w:rPr>
        <w:t xml:space="preserve"> </w:t>
      </w:r>
      <w:r>
        <w:rPr>
          <w:rFonts w:hint="eastAsia" w:ascii="宋体" w:hAnsi="宋体" w:cs="宋体"/>
          <w:spacing w:val="20"/>
          <w:sz w:val="21"/>
          <w:szCs w:val="21"/>
          <w:highlight w:val="none"/>
        </w:rPr>
        <w:t>日</w:t>
      </w:r>
    </w:p>
    <w:p w14:paraId="2AFE6BAC">
      <w:pPr>
        <w:snapToGrid w:val="0"/>
        <w:spacing w:before="50" w:after="156" w:afterLines="50"/>
        <w:jc w:val="left"/>
        <w:rPr>
          <w:rFonts w:ascii="宋体" w:hAnsi="宋体" w:cs="宋体"/>
          <w:sz w:val="24"/>
          <w:szCs w:val="20"/>
          <w:highlight w:val="none"/>
        </w:rPr>
      </w:pPr>
    </w:p>
    <w:p w14:paraId="5C897191">
      <w:pPr>
        <w:snapToGrid w:val="0"/>
        <w:spacing w:before="50" w:after="50" w:line="360" w:lineRule="auto"/>
        <w:ind w:right="-817" w:rightChars="-389" w:firstLine="5461" w:firstLineChars="1700"/>
        <w:rPr>
          <w:rFonts w:ascii="宋体" w:hAnsi="宋体" w:cs="宋体"/>
          <w:b/>
          <w:sz w:val="32"/>
          <w:szCs w:val="32"/>
          <w:highlight w:val="none"/>
        </w:rPr>
      </w:pPr>
    </w:p>
    <w:p w14:paraId="299CA6A4">
      <w:pPr>
        <w:rPr>
          <w:rFonts w:ascii="宋体" w:hAnsi="宋体" w:cs="宋体"/>
          <w:szCs w:val="21"/>
          <w:highlight w:val="none"/>
        </w:rPr>
      </w:pPr>
      <w:r>
        <w:rPr>
          <w:rFonts w:hint="eastAsia" w:ascii="宋体" w:hAnsi="宋体" w:cs="宋体"/>
          <w:b/>
          <w:bCs/>
          <w:sz w:val="24"/>
          <w:highlight w:val="none"/>
        </w:rPr>
        <w:br w:type="page"/>
      </w:r>
      <w:r>
        <w:rPr>
          <w:rFonts w:hint="eastAsia" w:ascii="宋体" w:hAnsi="宋体" w:cs="宋体"/>
          <w:b/>
          <w:bCs/>
          <w:sz w:val="24"/>
          <w:highlight w:val="none"/>
        </w:rPr>
        <w:t>其他文书、文件格式</w:t>
      </w:r>
    </w:p>
    <w:p w14:paraId="4E81190B">
      <w:pPr>
        <w:spacing w:line="360" w:lineRule="auto"/>
        <w:jc w:val="center"/>
        <w:rPr>
          <w:rFonts w:ascii="宋体" w:hAnsi="宋体" w:cs="宋体"/>
          <w:b/>
          <w:bCs/>
          <w:sz w:val="28"/>
          <w:szCs w:val="28"/>
          <w:highlight w:val="none"/>
        </w:rPr>
      </w:pPr>
      <w:r>
        <w:rPr>
          <w:rFonts w:hint="eastAsia" w:ascii="宋体" w:hAnsi="宋体" w:cs="宋体"/>
          <w:b/>
          <w:sz w:val="28"/>
          <w:szCs w:val="28"/>
          <w:highlight w:val="none"/>
        </w:rPr>
        <w:t>质疑函</w:t>
      </w:r>
      <w:r>
        <w:rPr>
          <w:rFonts w:hint="eastAsia" w:ascii="宋体" w:hAnsi="宋体" w:cs="宋体"/>
          <w:sz w:val="28"/>
          <w:szCs w:val="28"/>
          <w:highlight w:val="none"/>
        </w:rPr>
        <w:t>（格式）</w:t>
      </w:r>
    </w:p>
    <w:p w14:paraId="5E8AEC8F">
      <w:pPr>
        <w:pStyle w:val="17"/>
        <w:spacing w:line="360" w:lineRule="auto"/>
        <w:ind w:firstLine="422" w:firstLineChars="200"/>
        <w:contextualSpacing/>
        <w:rPr>
          <w:rFonts w:hAnsi="宋体" w:cs="宋体"/>
          <w:b/>
          <w:bCs/>
          <w:sz w:val="21"/>
          <w:szCs w:val="21"/>
          <w:highlight w:val="none"/>
        </w:rPr>
      </w:pPr>
      <w:r>
        <w:rPr>
          <w:rFonts w:hint="eastAsia" w:hAnsi="宋体" w:cs="宋体"/>
          <w:b/>
          <w:bCs/>
          <w:sz w:val="21"/>
          <w:szCs w:val="21"/>
          <w:highlight w:val="none"/>
        </w:rPr>
        <w:t>一、质疑供应商基本信息：</w:t>
      </w:r>
    </w:p>
    <w:p w14:paraId="33454DCE">
      <w:pPr>
        <w:pStyle w:val="17"/>
        <w:spacing w:line="360" w:lineRule="auto"/>
        <w:ind w:firstLine="420" w:firstLineChars="200"/>
        <w:contextualSpacing/>
        <w:rPr>
          <w:rFonts w:hAnsi="宋体" w:cs="宋体"/>
          <w:bCs/>
          <w:sz w:val="21"/>
          <w:szCs w:val="21"/>
          <w:highlight w:val="none"/>
          <w:u w:val="single"/>
        </w:rPr>
      </w:pPr>
      <w:r>
        <w:rPr>
          <w:rFonts w:hint="eastAsia" w:hAnsi="宋体" w:cs="宋体"/>
          <w:bCs/>
          <w:sz w:val="21"/>
          <w:szCs w:val="21"/>
          <w:highlight w:val="none"/>
        </w:rPr>
        <w:t>质疑供应商：</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67CB855C">
      <w:pPr>
        <w:pStyle w:val="17"/>
        <w:spacing w:line="360" w:lineRule="auto"/>
        <w:ind w:firstLine="420" w:firstLineChars="200"/>
        <w:contextualSpacing/>
        <w:rPr>
          <w:rFonts w:hAnsi="宋体" w:cs="宋体"/>
          <w:bCs/>
          <w:sz w:val="21"/>
          <w:szCs w:val="21"/>
          <w:highlight w:val="non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r>
        <w:rPr>
          <w:rFonts w:hint="eastAsia" w:hAnsi="宋体" w:cs="宋体"/>
          <w:bCs/>
          <w:sz w:val="21"/>
          <w:szCs w:val="21"/>
          <w:highlight w:val="none"/>
        </w:rPr>
        <w:t>邮编：</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0AF5A381">
      <w:pPr>
        <w:pStyle w:val="17"/>
        <w:spacing w:line="360" w:lineRule="auto"/>
        <w:ind w:firstLine="420" w:firstLineChars="200"/>
        <w:contextualSpacing/>
        <w:rPr>
          <w:rFonts w:hAnsi="宋体" w:cs="宋体"/>
          <w:bCs/>
          <w:sz w:val="21"/>
          <w:szCs w:val="21"/>
          <w:highlight w:val="none"/>
        </w:rPr>
      </w:pPr>
      <w:r>
        <w:rPr>
          <w:rFonts w:hint="eastAsia" w:hAnsi="宋体" w:cs="宋体"/>
          <w:bCs/>
          <w:sz w:val="21"/>
          <w:szCs w:val="21"/>
          <w:highlight w:val="none"/>
        </w:rPr>
        <w:t>联系人：</w:t>
      </w:r>
      <w:r>
        <w:rPr>
          <w:rFonts w:hint="eastAsia" w:hAnsi="宋体" w:cs="宋体"/>
          <w:bCs/>
          <w:sz w:val="21"/>
          <w:szCs w:val="21"/>
          <w:highlight w:val="none"/>
          <w:u w:val="single"/>
        </w:rPr>
        <w:t xml:space="preserve">                     </w:t>
      </w:r>
      <w:r>
        <w:rPr>
          <w:rFonts w:hint="eastAsia" w:hAnsi="宋体" w:cs="宋体"/>
          <w:bCs/>
          <w:sz w:val="21"/>
          <w:szCs w:val="21"/>
          <w:highlight w:val="none"/>
        </w:rPr>
        <w:t>联系电话：</w:t>
      </w:r>
      <w:r>
        <w:rPr>
          <w:rFonts w:hint="eastAsia" w:hAnsi="宋体" w:cs="宋体"/>
          <w:bCs/>
          <w:sz w:val="21"/>
          <w:szCs w:val="21"/>
          <w:highlight w:val="none"/>
          <w:u w:val="single"/>
        </w:rPr>
        <w:t xml:space="preserve">                 </w:t>
      </w:r>
    </w:p>
    <w:p w14:paraId="4A6D0DF3">
      <w:pPr>
        <w:pStyle w:val="17"/>
        <w:spacing w:line="360" w:lineRule="auto"/>
        <w:ind w:firstLine="420" w:firstLineChars="200"/>
        <w:contextualSpacing/>
        <w:rPr>
          <w:rFonts w:hAnsi="宋体" w:cs="宋体"/>
          <w:bCs/>
          <w:sz w:val="21"/>
          <w:szCs w:val="21"/>
          <w:highlight w:val="none"/>
        </w:rPr>
      </w:pPr>
      <w:r>
        <w:rPr>
          <w:rFonts w:hint="eastAsia" w:hAnsi="宋体" w:cs="宋体"/>
          <w:bCs/>
          <w:sz w:val="21"/>
          <w:szCs w:val="21"/>
          <w:highlight w:val="none"/>
        </w:rPr>
        <w:t>授权代表：</w:t>
      </w:r>
      <w:r>
        <w:rPr>
          <w:rFonts w:hint="eastAsia" w:hAnsi="宋体" w:cs="宋体"/>
          <w:bCs/>
          <w:sz w:val="21"/>
          <w:szCs w:val="21"/>
          <w:highlight w:val="none"/>
          <w:u w:val="single"/>
        </w:rPr>
        <w:t xml:space="preserve">                      </w:t>
      </w:r>
    </w:p>
    <w:p w14:paraId="7484A4EC">
      <w:pPr>
        <w:pStyle w:val="17"/>
        <w:spacing w:line="360" w:lineRule="auto"/>
        <w:ind w:firstLine="420" w:firstLineChars="200"/>
        <w:contextualSpacing/>
        <w:rPr>
          <w:rFonts w:hAnsi="宋体" w:cs="宋体"/>
          <w:bCs/>
          <w:sz w:val="21"/>
          <w:szCs w:val="21"/>
          <w:highlight w:val="none"/>
          <w:u w:val="single"/>
        </w:rPr>
      </w:pPr>
      <w:r>
        <w:rPr>
          <w:rFonts w:hint="eastAsia" w:hAnsi="宋体" w:cs="宋体"/>
          <w:bCs/>
          <w:sz w:val="21"/>
          <w:szCs w:val="21"/>
          <w:highlight w:val="none"/>
        </w:rPr>
        <w:t>联系电话：</w:t>
      </w:r>
      <w:r>
        <w:rPr>
          <w:rFonts w:hint="eastAsia" w:hAnsi="宋体" w:cs="宋体"/>
          <w:bCs/>
          <w:sz w:val="21"/>
          <w:szCs w:val="21"/>
          <w:highlight w:val="none"/>
          <w:u w:val="single"/>
        </w:rPr>
        <w:t xml:space="preserve">                      </w:t>
      </w:r>
    </w:p>
    <w:p w14:paraId="0E95B41B">
      <w:pPr>
        <w:pStyle w:val="17"/>
        <w:spacing w:line="360" w:lineRule="auto"/>
        <w:ind w:firstLine="420" w:firstLineChars="200"/>
        <w:contextualSpacing/>
        <w:rPr>
          <w:rFonts w:hAnsi="宋体" w:cs="宋体"/>
          <w:bCs/>
          <w:sz w:val="21"/>
          <w:szCs w:val="21"/>
          <w:highlight w:val="non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r>
        <w:rPr>
          <w:rFonts w:hint="eastAsia" w:hAnsi="宋体" w:cs="宋体"/>
          <w:bCs/>
          <w:sz w:val="21"/>
          <w:szCs w:val="21"/>
          <w:highlight w:val="none"/>
        </w:rPr>
        <w:t>邮编：</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237FA498">
      <w:pPr>
        <w:pStyle w:val="17"/>
        <w:spacing w:line="360" w:lineRule="auto"/>
        <w:ind w:firstLine="422" w:firstLineChars="200"/>
        <w:contextualSpacing/>
        <w:rPr>
          <w:rFonts w:hAnsi="宋体" w:cs="宋体"/>
          <w:b/>
          <w:bCs/>
          <w:sz w:val="21"/>
          <w:szCs w:val="21"/>
          <w:highlight w:val="none"/>
        </w:rPr>
      </w:pPr>
      <w:r>
        <w:rPr>
          <w:rFonts w:hint="eastAsia" w:hAnsi="宋体" w:cs="宋体"/>
          <w:b/>
          <w:bCs/>
          <w:sz w:val="21"/>
          <w:szCs w:val="21"/>
          <w:highlight w:val="none"/>
        </w:rPr>
        <w:t>二、质疑项目基本情况：</w:t>
      </w:r>
    </w:p>
    <w:p w14:paraId="7F3AF37C">
      <w:pPr>
        <w:pStyle w:val="17"/>
        <w:spacing w:line="360" w:lineRule="auto"/>
        <w:ind w:left="25" w:leftChars="12" w:firstLine="413" w:firstLineChars="197"/>
        <w:contextualSpacing/>
        <w:rPr>
          <w:rFonts w:hAnsi="宋体" w:cs="宋体"/>
          <w:sz w:val="21"/>
          <w:szCs w:val="21"/>
          <w:highlight w:val="none"/>
        </w:rPr>
      </w:pPr>
      <w:r>
        <w:rPr>
          <w:rFonts w:hint="eastAsia" w:hAnsi="宋体" w:cs="宋体"/>
          <w:bCs/>
          <w:sz w:val="21"/>
          <w:szCs w:val="21"/>
          <w:highlight w:val="none"/>
        </w:rPr>
        <w:t>质疑</w:t>
      </w:r>
      <w:r>
        <w:rPr>
          <w:rFonts w:hint="eastAsia" w:hAnsi="宋体" w:cs="宋体"/>
          <w:sz w:val="21"/>
          <w:szCs w:val="21"/>
          <w:highlight w:val="none"/>
        </w:rPr>
        <w:t>项目的名称：</w:t>
      </w:r>
      <w:r>
        <w:rPr>
          <w:rFonts w:hint="eastAsia" w:hAnsi="宋体" w:cs="宋体"/>
          <w:bCs/>
          <w:sz w:val="21"/>
          <w:szCs w:val="21"/>
          <w:highlight w:val="none"/>
          <w:u w:val="single"/>
        </w:rPr>
        <w:t xml:space="preserve">                                     </w:t>
      </w:r>
    </w:p>
    <w:p w14:paraId="15B78099">
      <w:pPr>
        <w:pStyle w:val="17"/>
        <w:spacing w:line="360" w:lineRule="auto"/>
        <w:ind w:left="25" w:leftChars="12" w:firstLine="413" w:firstLineChars="197"/>
        <w:contextualSpacing/>
        <w:rPr>
          <w:rFonts w:hAnsi="宋体" w:cs="宋体"/>
          <w:sz w:val="21"/>
          <w:szCs w:val="21"/>
          <w:highlight w:val="none"/>
        </w:rPr>
      </w:pPr>
      <w:r>
        <w:rPr>
          <w:rFonts w:hint="eastAsia" w:hAnsi="宋体" w:cs="宋体"/>
          <w:bCs/>
          <w:sz w:val="21"/>
          <w:szCs w:val="21"/>
          <w:highlight w:val="none"/>
        </w:rPr>
        <w:t>质疑</w:t>
      </w:r>
      <w:r>
        <w:rPr>
          <w:rFonts w:hint="eastAsia" w:hAnsi="宋体" w:cs="宋体"/>
          <w:sz w:val="21"/>
          <w:szCs w:val="21"/>
          <w:highlight w:val="none"/>
        </w:rPr>
        <w:t>项目的编号：</w:t>
      </w:r>
      <w:r>
        <w:rPr>
          <w:rFonts w:hint="eastAsia" w:hAnsi="宋体" w:cs="宋体"/>
          <w:bCs/>
          <w:sz w:val="21"/>
          <w:szCs w:val="21"/>
          <w:highlight w:val="none"/>
          <w:u w:val="single"/>
        </w:rPr>
        <w:t xml:space="preserve">                                     </w:t>
      </w:r>
    </w:p>
    <w:p w14:paraId="482E471E">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采购人名称：</w:t>
      </w:r>
      <w:r>
        <w:rPr>
          <w:rFonts w:hint="eastAsia" w:hAnsi="宋体" w:cs="宋体"/>
          <w:bCs/>
          <w:sz w:val="21"/>
          <w:szCs w:val="21"/>
          <w:highlight w:val="none"/>
          <w:u w:val="single"/>
        </w:rPr>
        <w:t xml:space="preserve">                                         </w:t>
      </w:r>
    </w:p>
    <w:p w14:paraId="0D4263B5">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质疑事项：</w:t>
      </w:r>
    </w:p>
    <w:p w14:paraId="44EFDAD3">
      <w:pPr>
        <w:pStyle w:val="17"/>
        <w:spacing w:line="360" w:lineRule="auto"/>
        <w:ind w:left="25" w:leftChars="12" w:firstLine="308" w:firstLineChars="147"/>
        <w:contextualSpacing/>
        <w:rPr>
          <w:rFonts w:hAnsi="宋体" w:cs="宋体"/>
          <w:sz w:val="21"/>
          <w:szCs w:val="21"/>
          <w:highlight w:val="none"/>
        </w:rPr>
      </w:pPr>
      <w:r>
        <w:rPr>
          <w:rFonts w:hint="eastAsia" w:hAnsi="宋体" w:cs="宋体"/>
          <w:sz w:val="21"/>
          <w:szCs w:val="21"/>
          <w:highlight w:val="none"/>
        </w:rPr>
        <w:t>□采购文件   采购文件获取日期：</w:t>
      </w:r>
      <w:r>
        <w:rPr>
          <w:rFonts w:hint="eastAsia" w:hAnsi="宋体" w:cs="宋体"/>
          <w:bCs/>
          <w:sz w:val="21"/>
          <w:szCs w:val="21"/>
          <w:highlight w:val="none"/>
          <w:u w:val="single"/>
        </w:rPr>
        <w:t xml:space="preserve">                                   </w:t>
      </w:r>
    </w:p>
    <w:p w14:paraId="1D84712F">
      <w:pPr>
        <w:pStyle w:val="17"/>
        <w:spacing w:line="360" w:lineRule="auto"/>
        <w:ind w:left="25" w:leftChars="12" w:firstLine="308" w:firstLineChars="147"/>
        <w:contextualSpacing/>
        <w:rPr>
          <w:rFonts w:hAnsi="宋体" w:cs="宋体"/>
          <w:sz w:val="21"/>
          <w:szCs w:val="21"/>
          <w:highlight w:val="none"/>
        </w:rPr>
      </w:pPr>
      <w:r>
        <w:rPr>
          <w:rFonts w:hint="eastAsia" w:hAnsi="宋体" w:cs="宋体"/>
          <w:sz w:val="21"/>
          <w:szCs w:val="21"/>
          <w:highlight w:val="none"/>
        </w:rPr>
        <w:t xml:space="preserve">□采购过程   </w:t>
      </w:r>
    </w:p>
    <w:p w14:paraId="444D586F">
      <w:pPr>
        <w:pStyle w:val="17"/>
        <w:spacing w:line="360" w:lineRule="auto"/>
        <w:ind w:left="25" w:leftChars="12" w:firstLine="308" w:firstLineChars="147"/>
        <w:contextualSpacing/>
        <w:rPr>
          <w:rFonts w:hAnsi="宋体" w:cs="宋体"/>
          <w:bCs/>
          <w:sz w:val="21"/>
          <w:szCs w:val="21"/>
          <w:highlight w:val="none"/>
          <w:u w:val="single"/>
        </w:rPr>
      </w:pPr>
      <w:r>
        <w:rPr>
          <w:rFonts w:hint="eastAsia" w:hAnsi="宋体" w:cs="宋体"/>
          <w:sz w:val="21"/>
          <w:szCs w:val="21"/>
          <w:highlight w:val="none"/>
        </w:rPr>
        <w:t xml:space="preserve">□成交结果   </w:t>
      </w:r>
    </w:p>
    <w:p w14:paraId="1566CBB0">
      <w:pPr>
        <w:pStyle w:val="17"/>
        <w:spacing w:line="360" w:lineRule="auto"/>
        <w:ind w:left="25" w:leftChars="12" w:firstLine="413" w:firstLineChars="196"/>
        <w:contextualSpacing/>
        <w:rPr>
          <w:rFonts w:hAnsi="宋体" w:cs="宋体"/>
          <w:b/>
          <w:sz w:val="21"/>
          <w:szCs w:val="21"/>
          <w:highlight w:val="none"/>
        </w:rPr>
      </w:pPr>
      <w:r>
        <w:rPr>
          <w:rFonts w:hint="eastAsia" w:hAnsi="宋体" w:cs="宋体"/>
          <w:b/>
          <w:sz w:val="21"/>
          <w:szCs w:val="21"/>
          <w:highlight w:val="none"/>
        </w:rPr>
        <w:t>三、质疑事项具体内容</w:t>
      </w:r>
    </w:p>
    <w:p w14:paraId="3FA50FCF">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质疑事项1：</w:t>
      </w:r>
      <w:r>
        <w:rPr>
          <w:rFonts w:hint="eastAsia" w:hAnsi="宋体" w:cs="宋体"/>
          <w:bCs/>
          <w:sz w:val="21"/>
          <w:szCs w:val="21"/>
          <w:highlight w:val="none"/>
          <w:u w:val="single"/>
        </w:rPr>
        <w:t xml:space="preserve">                                                                    </w:t>
      </w:r>
    </w:p>
    <w:p w14:paraId="55766515">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事实依据：</w:t>
      </w:r>
      <w:r>
        <w:rPr>
          <w:rFonts w:hint="eastAsia" w:hAnsi="宋体" w:cs="宋体"/>
          <w:bCs/>
          <w:sz w:val="21"/>
          <w:szCs w:val="21"/>
          <w:highlight w:val="none"/>
          <w:u w:val="single"/>
        </w:rPr>
        <w:t xml:space="preserve">                                                                      </w:t>
      </w:r>
    </w:p>
    <w:p w14:paraId="020ADC84">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法律依据：</w:t>
      </w:r>
      <w:r>
        <w:rPr>
          <w:rFonts w:hint="eastAsia" w:hAnsi="宋体" w:cs="宋体"/>
          <w:sz w:val="21"/>
          <w:szCs w:val="21"/>
          <w:highlight w:val="none"/>
          <w:u w:val="single"/>
        </w:rPr>
        <w:t xml:space="preserve">                                                        </w:t>
      </w:r>
      <w:r>
        <w:rPr>
          <w:rFonts w:hint="eastAsia" w:hAnsi="宋体" w:cs="宋体"/>
          <w:bCs/>
          <w:sz w:val="21"/>
          <w:szCs w:val="21"/>
          <w:highlight w:val="none"/>
          <w:u w:val="single"/>
        </w:rPr>
        <w:t xml:space="preserve">               </w:t>
      </w:r>
    </w:p>
    <w:p w14:paraId="40BAD880">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质疑事项2</w:t>
      </w:r>
    </w:p>
    <w:p w14:paraId="7CB7A23C">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w:t>
      </w:r>
    </w:p>
    <w:p w14:paraId="69C57818">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四、与质疑事项相关的质疑请求：</w:t>
      </w:r>
    </w:p>
    <w:p w14:paraId="7D4EC582">
      <w:pPr>
        <w:pStyle w:val="17"/>
        <w:spacing w:line="360" w:lineRule="auto"/>
        <w:ind w:left="25" w:leftChars="12" w:firstLine="413" w:firstLineChars="197"/>
        <w:contextualSpacing/>
        <w:rPr>
          <w:rFonts w:hAnsi="宋体" w:cs="宋体"/>
          <w:sz w:val="21"/>
          <w:szCs w:val="21"/>
          <w:highlight w:val="none"/>
        </w:rPr>
      </w:pPr>
      <w:r>
        <w:rPr>
          <w:rFonts w:hint="eastAsia" w:hAnsi="宋体" w:cs="宋体"/>
          <w:sz w:val="21"/>
          <w:szCs w:val="21"/>
          <w:highlight w:val="none"/>
        </w:rPr>
        <w:t>请求：</w:t>
      </w:r>
      <w:r>
        <w:rPr>
          <w:rFonts w:hint="eastAsia" w:hAnsi="宋体" w:cs="宋体"/>
          <w:bCs/>
          <w:sz w:val="21"/>
          <w:szCs w:val="21"/>
          <w:highlight w:val="none"/>
          <w:u w:val="single"/>
        </w:rPr>
        <w:t xml:space="preserve">                                                                </w:t>
      </w:r>
    </w:p>
    <w:p w14:paraId="49E8A55B">
      <w:pPr>
        <w:pStyle w:val="17"/>
        <w:spacing w:line="360" w:lineRule="auto"/>
        <w:ind w:left="25" w:leftChars="12" w:firstLine="308" w:firstLineChars="147"/>
        <w:contextualSpacing/>
        <w:rPr>
          <w:rFonts w:hAnsi="宋体" w:cs="宋体"/>
          <w:sz w:val="21"/>
          <w:szCs w:val="21"/>
          <w:highlight w:val="none"/>
        </w:rPr>
      </w:pPr>
    </w:p>
    <w:p w14:paraId="38000E3A">
      <w:pPr>
        <w:pStyle w:val="17"/>
        <w:spacing w:line="360" w:lineRule="auto"/>
        <w:ind w:left="25" w:leftChars="12" w:firstLine="413" w:firstLineChars="197"/>
        <w:contextualSpacing/>
        <w:rPr>
          <w:rFonts w:hAnsi="宋体" w:cs="宋体"/>
          <w:sz w:val="21"/>
          <w:szCs w:val="21"/>
          <w:highlight w:val="none"/>
          <w:u w:val="single"/>
        </w:rPr>
      </w:pPr>
      <w:r>
        <w:rPr>
          <w:rFonts w:hint="eastAsia" w:hAnsi="宋体" w:cs="宋体"/>
          <w:sz w:val="21"/>
          <w:szCs w:val="21"/>
          <w:highlight w:val="none"/>
        </w:rPr>
        <w:t>签字（签章）：</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 xml:space="preserve">                           公章：</w:t>
      </w:r>
      <w:r>
        <w:rPr>
          <w:rFonts w:hint="eastAsia" w:hAnsi="宋体" w:cs="宋体"/>
          <w:sz w:val="21"/>
          <w:szCs w:val="21"/>
          <w:highlight w:val="none"/>
          <w:u w:val="single"/>
        </w:rPr>
        <w:t xml:space="preserve"> </w:t>
      </w:r>
      <w:r>
        <w:rPr>
          <w:rFonts w:hAnsi="宋体" w:cs="宋体"/>
          <w:sz w:val="21"/>
          <w:szCs w:val="21"/>
          <w:highlight w:val="none"/>
          <w:u w:val="single"/>
        </w:rPr>
        <w:t xml:space="preserve">              </w:t>
      </w:r>
    </w:p>
    <w:p w14:paraId="1F711320">
      <w:pPr>
        <w:pStyle w:val="17"/>
        <w:spacing w:line="360" w:lineRule="auto"/>
        <w:ind w:firstLine="420" w:firstLineChars="200"/>
        <w:contextualSpacing/>
        <w:rPr>
          <w:rFonts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年</w:t>
      </w:r>
      <w:r>
        <w:rPr>
          <w:rFonts w:hAnsi="宋体" w:cs="宋体"/>
          <w:sz w:val="21"/>
          <w:szCs w:val="21"/>
          <w:highlight w:val="none"/>
          <w:u w:val="single"/>
        </w:rPr>
        <w:t xml:space="preserve">     </w:t>
      </w:r>
      <w:r>
        <w:rPr>
          <w:rFonts w:hint="eastAsia" w:hAnsi="宋体" w:cs="宋体"/>
          <w:sz w:val="21"/>
          <w:szCs w:val="21"/>
          <w:highlight w:val="none"/>
        </w:rPr>
        <w:t>月</w:t>
      </w:r>
      <w:r>
        <w:rPr>
          <w:rFonts w:hAnsi="宋体" w:cs="宋体"/>
          <w:sz w:val="21"/>
          <w:szCs w:val="21"/>
          <w:highlight w:val="none"/>
          <w:u w:val="single"/>
        </w:rPr>
        <w:t xml:space="preserve">    </w:t>
      </w:r>
      <w:r>
        <w:rPr>
          <w:rFonts w:hint="eastAsia" w:hAnsi="宋体" w:cs="宋体"/>
          <w:sz w:val="21"/>
          <w:szCs w:val="21"/>
          <w:highlight w:val="none"/>
        </w:rPr>
        <w:t>日</w:t>
      </w:r>
    </w:p>
    <w:p w14:paraId="58C45338">
      <w:pPr>
        <w:rPr>
          <w:highlight w:val="none"/>
        </w:rPr>
      </w:pPr>
    </w:p>
    <w:p w14:paraId="26878964">
      <w:pPr>
        <w:pStyle w:val="14"/>
        <w:rPr>
          <w:highlight w:val="none"/>
        </w:rPr>
      </w:pPr>
    </w:p>
    <w:p w14:paraId="37F49C45">
      <w:pPr>
        <w:pStyle w:val="17"/>
        <w:spacing w:line="360" w:lineRule="auto"/>
        <w:ind w:firstLine="482" w:firstLineChars="200"/>
        <w:contextualSpacing/>
        <w:rPr>
          <w:rFonts w:ascii="楷体" w:hAnsi="楷体" w:eastAsia="楷体" w:cs="宋体"/>
          <w:b/>
          <w:sz w:val="24"/>
          <w:szCs w:val="24"/>
          <w:highlight w:val="none"/>
        </w:rPr>
      </w:pPr>
      <w:r>
        <w:rPr>
          <w:rFonts w:hint="eastAsia" w:ascii="楷体" w:hAnsi="楷体" w:eastAsia="楷体" w:cs="宋体"/>
          <w:b/>
          <w:sz w:val="24"/>
          <w:szCs w:val="24"/>
          <w:highlight w:val="none"/>
        </w:rPr>
        <w:t>说明：</w:t>
      </w:r>
    </w:p>
    <w:p w14:paraId="156597D4">
      <w:pPr>
        <w:pStyle w:val="17"/>
        <w:spacing w:line="360" w:lineRule="auto"/>
        <w:ind w:left="25" w:leftChars="12" w:firstLine="354" w:firstLineChars="147"/>
        <w:contextualSpacing/>
        <w:rPr>
          <w:rFonts w:ascii="楷体" w:hAnsi="楷体" w:eastAsia="楷体" w:cs="宋体"/>
          <w:b/>
          <w:bCs/>
          <w:sz w:val="24"/>
          <w:szCs w:val="24"/>
          <w:highlight w:val="none"/>
        </w:rPr>
      </w:pPr>
      <w:r>
        <w:rPr>
          <w:rFonts w:ascii="楷体" w:hAnsi="楷体" w:eastAsia="楷体" w:cs="宋体"/>
          <w:b/>
          <w:sz w:val="24"/>
          <w:szCs w:val="24"/>
          <w:highlight w:val="none"/>
        </w:rPr>
        <w:t>1.供应商提出质疑时，应提交质疑函和必要的证明材料</w:t>
      </w:r>
      <w:r>
        <w:rPr>
          <w:rFonts w:hint="eastAsia" w:ascii="楷体" w:hAnsi="楷体" w:eastAsia="楷体" w:cs="宋体"/>
          <w:b/>
          <w:bCs/>
          <w:sz w:val="24"/>
          <w:szCs w:val="24"/>
          <w:highlight w:val="none"/>
        </w:rPr>
        <w:t>。</w:t>
      </w:r>
    </w:p>
    <w:p w14:paraId="4435A117">
      <w:pPr>
        <w:pStyle w:val="17"/>
        <w:spacing w:line="360" w:lineRule="auto"/>
        <w:ind w:left="25" w:leftChars="12" w:firstLine="354" w:firstLineChars="147"/>
        <w:contextualSpacing/>
        <w:rPr>
          <w:rFonts w:ascii="楷体" w:hAnsi="楷体" w:eastAsia="楷体" w:cs="宋体"/>
          <w:b/>
          <w:sz w:val="24"/>
          <w:szCs w:val="24"/>
          <w:highlight w:val="none"/>
        </w:rPr>
      </w:pPr>
      <w:r>
        <w:rPr>
          <w:rFonts w:ascii="楷体" w:hAnsi="楷体" w:eastAsia="楷体" w:cs="宋体"/>
          <w:b/>
          <w:sz w:val="24"/>
          <w:szCs w:val="24"/>
          <w:highlight w:val="none"/>
        </w:rPr>
        <w:t>2.质疑供应商若委托代理人进行质疑的，</w:t>
      </w:r>
      <w:r>
        <w:rPr>
          <w:rFonts w:hint="eastAsia" w:ascii="楷体" w:hAnsi="楷体" w:eastAsia="楷体" w:cs="宋体"/>
          <w:b/>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55310795">
      <w:pPr>
        <w:pStyle w:val="17"/>
        <w:spacing w:line="360" w:lineRule="auto"/>
        <w:ind w:left="25" w:leftChars="12" w:firstLine="354" w:firstLineChars="147"/>
        <w:contextualSpacing/>
        <w:rPr>
          <w:rFonts w:ascii="楷体" w:hAnsi="楷体" w:eastAsia="楷体" w:cs="宋体"/>
          <w:b/>
          <w:sz w:val="24"/>
          <w:szCs w:val="24"/>
          <w:highlight w:val="none"/>
        </w:rPr>
      </w:pPr>
      <w:r>
        <w:rPr>
          <w:rFonts w:ascii="楷体" w:hAnsi="楷体" w:eastAsia="楷体" w:cs="宋体"/>
          <w:b/>
          <w:sz w:val="24"/>
          <w:szCs w:val="24"/>
          <w:highlight w:val="none"/>
        </w:rPr>
        <w:t>3.质疑函的质疑事项应具体、明确，并有必要的事实依据和法律依据。</w:t>
      </w:r>
    </w:p>
    <w:p w14:paraId="78681492">
      <w:pPr>
        <w:pStyle w:val="17"/>
        <w:spacing w:line="360" w:lineRule="auto"/>
        <w:ind w:left="25" w:leftChars="12" w:firstLine="354" w:firstLineChars="147"/>
        <w:contextualSpacing/>
        <w:rPr>
          <w:rFonts w:ascii="楷体" w:hAnsi="楷体" w:eastAsia="楷体" w:cs="宋体"/>
          <w:b/>
          <w:sz w:val="24"/>
          <w:szCs w:val="24"/>
          <w:highlight w:val="none"/>
        </w:rPr>
      </w:pPr>
      <w:r>
        <w:rPr>
          <w:rFonts w:ascii="楷体" w:hAnsi="楷体" w:eastAsia="楷体" w:cs="宋体"/>
          <w:b/>
          <w:sz w:val="24"/>
          <w:szCs w:val="24"/>
          <w:highlight w:val="none"/>
        </w:rPr>
        <w:t>4.质疑函的质疑请求应与质疑事项相关。</w:t>
      </w:r>
    </w:p>
    <w:p w14:paraId="1CEE04AA">
      <w:pPr>
        <w:pStyle w:val="17"/>
        <w:spacing w:line="360" w:lineRule="auto"/>
        <w:ind w:left="25" w:leftChars="12" w:firstLine="354" w:firstLineChars="147"/>
        <w:contextualSpacing/>
        <w:rPr>
          <w:rFonts w:ascii="楷体" w:hAnsi="楷体" w:eastAsia="楷体" w:cs="宋体"/>
          <w:b/>
          <w:sz w:val="24"/>
          <w:szCs w:val="24"/>
          <w:highlight w:val="none"/>
        </w:rPr>
      </w:pPr>
      <w:r>
        <w:rPr>
          <w:rFonts w:ascii="楷体" w:hAnsi="楷体" w:eastAsia="楷体" w:cs="宋体"/>
          <w:b/>
          <w:sz w:val="24"/>
          <w:szCs w:val="24"/>
          <w:highlight w:val="none"/>
        </w:rPr>
        <w:t>5.质疑供应商为法人或者其他组织的，</w:t>
      </w:r>
      <w:r>
        <w:rPr>
          <w:rFonts w:hint="eastAsia" w:ascii="楷体" w:hAnsi="楷体" w:eastAsia="楷体" w:cs="宋体"/>
          <w:b/>
          <w:sz w:val="24"/>
          <w:szCs w:val="24"/>
          <w:highlight w:val="none"/>
        </w:rPr>
        <w:t>质疑函应由法定代表人、主要负责人，或者其授权代表签字或者盖章，并加盖公章。</w:t>
      </w:r>
    </w:p>
    <w:p w14:paraId="63BAB70B">
      <w:pPr>
        <w:pStyle w:val="17"/>
        <w:snapToGrid w:val="0"/>
        <w:rPr>
          <w:rFonts w:hAnsi="宋体" w:cs="宋体"/>
          <w:b/>
          <w:sz w:val="24"/>
          <w:szCs w:val="24"/>
          <w:highlight w:val="none"/>
        </w:rPr>
      </w:pPr>
    </w:p>
    <w:p w14:paraId="0FD4A571">
      <w:pPr>
        <w:rPr>
          <w:rFonts w:ascii="宋体" w:hAnsi="宋体" w:cs="宋体"/>
          <w:sz w:val="32"/>
          <w:szCs w:val="40"/>
          <w:highlight w:val="none"/>
        </w:rPr>
      </w:pPr>
    </w:p>
    <w:p w14:paraId="3302BC3C">
      <w:pPr>
        <w:rPr>
          <w:rFonts w:ascii="宋体" w:hAnsi="宋体" w:cs="宋体"/>
          <w:sz w:val="32"/>
          <w:szCs w:val="40"/>
          <w:highlight w:val="none"/>
        </w:rPr>
      </w:pPr>
    </w:p>
    <w:p w14:paraId="45BE15D4">
      <w:pPr>
        <w:rPr>
          <w:rFonts w:ascii="宋体" w:hAnsi="宋体" w:cs="宋体"/>
          <w:sz w:val="32"/>
          <w:szCs w:val="40"/>
          <w:highlight w:val="none"/>
        </w:rPr>
      </w:pPr>
    </w:p>
    <w:p w14:paraId="5653176B">
      <w:pPr>
        <w:rPr>
          <w:rFonts w:ascii="宋体" w:hAnsi="宋体" w:cs="宋体"/>
          <w:sz w:val="32"/>
          <w:szCs w:val="40"/>
          <w:highlight w:val="none"/>
        </w:rPr>
      </w:pPr>
    </w:p>
    <w:p w14:paraId="6F7D29F3">
      <w:pPr>
        <w:rPr>
          <w:rFonts w:ascii="宋体" w:hAnsi="宋体" w:cs="宋体"/>
          <w:sz w:val="32"/>
          <w:szCs w:val="40"/>
          <w:highlight w:val="none"/>
        </w:rPr>
      </w:pPr>
    </w:p>
    <w:p w14:paraId="2D695D97">
      <w:pPr>
        <w:rPr>
          <w:rFonts w:ascii="宋体" w:hAnsi="宋体" w:cs="宋体"/>
          <w:sz w:val="32"/>
          <w:szCs w:val="40"/>
          <w:highlight w:val="none"/>
        </w:rPr>
      </w:pPr>
    </w:p>
    <w:p w14:paraId="7C9917B5">
      <w:pPr>
        <w:rPr>
          <w:rFonts w:ascii="宋体" w:hAnsi="宋体" w:cs="宋体"/>
          <w:sz w:val="32"/>
          <w:szCs w:val="40"/>
          <w:highlight w:val="none"/>
        </w:rPr>
      </w:pPr>
    </w:p>
    <w:p w14:paraId="2A6593B9">
      <w:pPr>
        <w:rPr>
          <w:rFonts w:ascii="宋体" w:hAnsi="宋体" w:cs="宋体"/>
          <w:sz w:val="32"/>
          <w:szCs w:val="40"/>
          <w:highlight w:val="none"/>
        </w:rPr>
      </w:pPr>
    </w:p>
    <w:p w14:paraId="0B7CC1A5">
      <w:pPr>
        <w:rPr>
          <w:rFonts w:ascii="宋体" w:hAnsi="宋体" w:cs="宋体"/>
          <w:sz w:val="32"/>
          <w:szCs w:val="40"/>
          <w:highlight w:val="none"/>
        </w:rPr>
      </w:pPr>
    </w:p>
    <w:p w14:paraId="06E14488">
      <w:pPr>
        <w:rPr>
          <w:rFonts w:ascii="宋体" w:hAnsi="宋体" w:cs="宋体"/>
          <w:sz w:val="32"/>
          <w:szCs w:val="40"/>
          <w:highlight w:val="none"/>
        </w:rPr>
      </w:pPr>
    </w:p>
    <w:p w14:paraId="35085C0B">
      <w:pPr>
        <w:rPr>
          <w:rFonts w:ascii="宋体" w:hAnsi="宋体" w:cs="宋体"/>
          <w:sz w:val="32"/>
          <w:szCs w:val="40"/>
          <w:highlight w:val="none"/>
        </w:rPr>
      </w:pPr>
    </w:p>
    <w:p w14:paraId="20DB6363">
      <w:pPr>
        <w:rPr>
          <w:rFonts w:ascii="宋体" w:hAnsi="宋体" w:cs="宋体"/>
          <w:sz w:val="32"/>
          <w:szCs w:val="40"/>
          <w:highlight w:val="none"/>
        </w:rPr>
      </w:pPr>
    </w:p>
    <w:p w14:paraId="0F2D521C">
      <w:pPr>
        <w:rPr>
          <w:rFonts w:ascii="宋体" w:hAnsi="宋体" w:cs="宋体"/>
          <w:sz w:val="32"/>
          <w:szCs w:val="40"/>
          <w:highlight w:val="none"/>
        </w:rPr>
      </w:pPr>
    </w:p>
    <w:p w14:paraId="4E769620">
      <w:pPr>
        <w:rPr>
          <w:rFonts w:ascii="宋体" w:hAnsi="宋体" w:cs="宋体"/>
          <w:sz w:val="32"/>
          <w:szCs w:val="40"/>
          <w:highlight w:val="none"/>
        </w:rPr>
      </w:pPr>
    </w:p>
    <w:p w14:paraId="4702FE21">
      <w:pPr>
        <w:spacing w:line="360" w:lineRule="auto"/>
        <w:jc w:val="center"/>
        <w:rPr>
          <w:rFonts w:ascii="宋体" w:hAnsi="宋体" w:cs="宋体"/>
          <w:sz w:val="28"/>
          <w:szCs w:val="28"/>
          <w:highlight w:val="none"/>
        </w:rPr>
      </w:pPr>
      <w:r>
        <w:rPr>
          <w:rFonts w:hint="eastAsia" w:ascii="宋体" w:hAnsi="宋体" w:cs="宋体"/>
          <w:sz w:val="44"/>
          <w:szCs w:val="44"/>
          <w:highlight w:val="none"/>
        </w:rPr>
        <w:br w:type="page"/>
      </w:r>
      <w:r>
        <w:rPr>
          <w:rFonts w:hint="eastAsia" w:ascii="宋体" w:hAnsi="宋体" w:cs="宋体"/>
          <w:sz w:val="28"/>
          <w:szCs w:val="28"/>
          <w:highlight w:val="none"/>
        </w:rPr>
        <w:t>投诉书（格式）</w:t>
      </w:r>
    </w:p>
    <w:p w14:paraId="3D32C532">
      <w:pPr>
        <w:pStyle w:val="17"/>
        <w:snapToGrid w:val="0"/>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一、投诉相关主体基本情况：</w:t>
      </w:r>
    </w:p>
    <w:p w14:paraId="28519F54">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供应商：</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606953B9">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r>
        <w:rPr>
          <w:rFonts w:hint="eastAsia" w:hAnsi="宋体" w:cs="宋体"/>
          <w:bCs/>
          <w:sz w:val="21"/>
          <w:szCs w:val="21"/>
          <w:highlight w:val="none"/>
        </w:rPr>
        <w:t>邮编：</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17081977">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法定代表人/主要负责人：</w:t>
      </w:r>
      <w:r>
        <w:rPr>
          <w:rFonts w:hint="eastAsia" w:hAnsi="宋体" w:cs="宋体"/>
          <w:bCs/>
          <w:sz w:val="21"/>
          <w:szCs w:val="21"/>
          <w:highlight w:val="none"/>
          <w:u w:val="single"/>
        </w:rPr>
        <w:t xml:space="preserve">                                                         </w:t>
      </w:r>
    </w:p>
    <w:p w14:paraId="162371D7">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联系电话：</w:t>
      </w:r>
      <w:r>
        <w:rPr>
          <w:rFonts w:hint="eastAsia" w:hAnsi="宋体" w:cs="宋体"/>
          <w:bCs/>
          <w:sz w:val="21"/>
          <w:szCs w:val="21"/>
          <w:highlight w:val="none"/>
          <w:u w:val="single"/>
        </w:rPr>
        <w:t xml:space="preserve">                                         </w:t>
      </w:r>
    </w:p>
    <w:p w14:paraId="47A46864">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授权代表：</w:t>
      </w:r>
      <w:r>
        <w:rPr>
          <w:rFonts w:hint="eastAsia" w:hAnsi="宋体" w:cs="宋体"/>
          <w:bCs/>
          <w:sz w:val="21"/>
          <w:szCs w:val="21"/>
          <w:highlight w:val="none"/>
          <w:u w:val="single"/>
        </w:rPr>
        <w:t xml:space="preserve">                                         </w:t>
      </w:r>
      <w:r>
        <w:rPr>
          <w:rFonts w:hint="eastAsia" w:hAnsi="宋体" w:cs="宋体"/>
          <w:bCs/>
          <w:sz w:val="21"/>
          <w:szCs w:val="21"/>
          <w:highlight w:val="none"/>
        </w:rPr>
        <w:t>联系电话：</w:t>
      </w:r>
      <w:r>
        <w:rPr>
          <w:rFonts w:hint="eastAsia" w:hAnsi="宋体" w:cs="宋体"/>
          <w:bCs/>
          <w:sz w:val="21"/>
          <w:szCs w:val="21"/>
          <w:highlight w:val="none"/>
          <w:u w:val="single"/>
        </w:rPr>
        <w:t xml:space="preserve">                   </w:t>
      </w:r>
    </w:p>
    <w:p w14:paraId="72353056">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p>
    <w:p w14:paraId="3D01ADAE">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邮编：</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21FF7057">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被投诉人1：</w:t>
      </w:r>
    </w:p>
    <w:p w14:paraId="2A9A6FFB">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p>
    <w:p w14:paraId="24131489">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邮编：</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26CFD93B">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联系人：</w:t>
      </w:r>
      <w:r>
        <w:rPr>
          <w:rFonts w:hint="eastAsia" w:hAnsi="宋体" w:cs="宋体"/>
          <w:bCs/>
          <w:sz w:val="21"/>
          <w:szCs w:val="21"/>
          <w:highlight w:val="none"/>
          <w:u w:val="single"/>
        </w:rPr>
        <w:t xml:space="preserve">                                                </w:t>
      </w:r>
      <w:r>
        <w:rPr>
          <w:rFonts w:hint="eastAsia" w:hAnsi="宋体" w:cs="宋体"/>
          <w:bCs/>
          <w:sz w:val="21"/>
          <w:szCs w:val="21"/>
          <w:highlight w:val="none"/>
        </w:rPr>
        <w:t>联系电话：</w:t>
      </w:r>
      <w:r>
        <w:rPr>
          <w:rFonts w:hint="eastAsia" w:hAnsi="宋体" w:cs="宋体"/>
          <w:bCs/>
          <w:sz w:val="21"/>
          <w:szCs w:val="21"/>
          <w:highlight w:val="none"/>
          <w:u w:val="single"/>
        </w:rPr>
        <w:t xml:space="preserve">                </w:t>
      </w:r>
    </w:p>
    <w:p w14:paraId="72EE8C9B">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被投诉人2：</w:t>
      </w:r>
    </w:p>
    <w:p w14:paraId="28A0EA5D">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w:t>
      </w:r>
    </w:p>
    <w:p w14:paraId="45E85916">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相关供应商：</w:t>
      </w:r>
      <w:r>
        <w:rPr>
          <w:rFonts w:hint="eastAsia" w:hAnsi="宋体" w:cs="宋体"/>
          <w:bCs/>
          <w:sz w:val="21"/>
          <w:szCs w:val="21"/>
          <w:highlight w:val="none"/>
          <w:u w:val="single"/>
        </w:rPr>
        <w:t xml:space="preserve">                                                                       </w:t>
      </w:r>
    </w:p>
    <w:p w14:paraId="4AE27E08">
      <w:pPr>
        <w:pStyle w:val="17"/>
        <w:snapToGrid w:val="0"/>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地址：</w:t>
      </w:r>
      <w:r>
        <w:rPr>
          <w:rFonts w:hint="eastAsia" w:hAnsi="宋体" w:cs="宋体"/>
          <w:bCs/>
          <w:sz w:val="21"/>
          <w:szCs w:val="21"/>
          <w:highlight w:val="none"/>
          <w:u w:val="single"/>
        </w:rPr>
        <w:t xml:space="preserve">                                              </w:t>
      </w:r>
      <w:r>
        <w:rPr>
          <w:rFonts w:hint="eastAsia" w:hAnsi="宋体" w:cs="宋体"/>
          <w:bCs/>
          <w:sz w:val="21"/>
          <w:szCs w:val="21"/>
          <w:highlight w:val="none"/>
        </w:rPr>
        <w:t>邮编：</w:t>
      </w:r>
      <w:r>
        <w:rPr>
          <w:rFonts w:hint="eastAsia" w:hAnsi="宋体" w:cs="宋体"/>
          <w:bCs/>
          <w:sz w:val="21"/>
          <w:szCs w:val="21"/>
          <w:highlight w:val="none"/>
          <w:u w:val="single"/>
        </w:rPr>
        <w:t xml:space="preserve">                         </w:t>
      </w:r>
    </w:p>
    <w:p w14:paraId="7D8E03D2">
      <w:pPr>
        <w:pStyle w:val="17"/>
        <w:snapToGrid w:val="0"/>
        <w:spacing w:line="360" w:lineRule="auto"/>
        <w:ind w:firstLine="420" w:firstLineChars="200"/>
        <w:rPr>
          <w:rFonts w:hAnsi="宋体" w:cs="宋体"/>
          <w:bCs/>
          <w:sz w:val="21"/>
          <w:szCs w:val="21"/>
          <w:highlight w:val="none"/>
        </w:rPr>
      </w:pPr>
      <w:r>
        <w:rPr>
          <w:rFonts w:hint="eastAsia" w:hAnsi="宋体" w:cs="宋体"/>
          <w:bCs/>
          <w:sz w:val="21"/>
          <w:szCs w:val="21"/>
          <w:highlight w:val="none"/>
        </w:rPr>
        <w:t>联系人：</w:t>
      </w:r>
      <w:r>
        <w:rPr>
          <w:rFonts w:hint="eastAsia" w:hAnsi="宋体" w:cs="宋体"/>
          <w:bCs/>
          <w:sz w:val="21"/>
          <w:szCs w:val="21"/>
          <w:highlight w:val="none"/>
          <w:u w:val="single"/>
        </w:rPr>
        <w:t xml:space="preserve">                                            </w:t>
      </w:r>
      <w:r>
        <w:rPr>
          <w:rFonts w:hint="eastAsia" w:hAnsi="宋体" w:cs="宋体"/>
          <w:bCs/>
          <w:sz w:val="21"/>
          <w:szCs w:val="21"/>
          <w:highlight w:val="none"/>
        </w:rPr>
        <w:t>联系电话：</w:t>
      </w:r>
      <w:r>
        <w:rPr>
          <w:rFonts w:hint="eastAsia" w:hAnsi="宋体" w:cs="宋体"/>
          <w:bCs/>
          <w:sz w:val="21"/>
          <w:szCs w:val="21"/>
          <w:highlight w:val="none"/>
          <w:u w:val="single"/>
        </w:rPr>
        <w:t xml:space="preserve">                     </w:t>
      </w:r>
      <w:r>
        <w:rPr>
          <w:rFonts w:hint="eastAsia" w:hAnsi="宋体" w:cs="宋体"/>
          <w:bCs/>
          <w:sz w:val="21"/>
          <w:szCs w:val="21"/>
          <w:highlight w:val="none"/>
        </w:rPr>
        <w:t xml:space="preserve">                </w:t>
      </w:r>
    </w:p>
    <w:p w14:paraId="72AF55A2">
      <w:pPr>
        <w:pStyle w:val="17"/>
        <w:snapToGrid w:val="0"/>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二、投诉项目基本情况：</w:t>
      </w:r>
    </w:p>
    <w:p w14:paraId="72FE1A0F">
      <w:pPr>
        <w:pStyle w:val="17"/>
        <w:spacing w:line="360" w:lineRule="auto"/>
        <w:ind w:left="25" w:leftChars="12" w:firstLine="413" w:firstLineChars="197"/>
        <w:rPr>
          <w:rFonts w:hAnsi="宋体" w:cs="宋体"/>
          <w:sz w:val="21"/>
          <w:szCs w:val="21"/>
          <w:highlight w:val="none"/>
        </w:rPr>
      </w:pPr>
      <w:r>
        <w:rPr>
          <w:rFonts w:hint="eastAsia" w:hAnsi="宋体" w:cs="宋体"/>
          <w:bCs/>
          <w:sz w:val="21"/>
          <w:szCs w:val="21"/>
          <w:highlight w:val="none"/>
        </w:rPr>
        <w:t>采购</w:t>
      </w:r>
      <w:r>
        <w:rPr>
          <w:rFonts w:hint="eastAsia" w:hAnsi="宋体" w:cs="宋体"/>
          <w:sz w:val="21"/>
          <w:szCs w:val="21"/>
          <w:highlight w:val="none"/>
        </w:rPr>
        <w:t>项目的名称：</w:t>
      </w:r>
      <w:r>
        <w:rPr>
          <w:rFonts w:hint="eastAsia" w:hAnsi="宋体" w:cs="宋体"/>
          <w:bCs/>
          <w:sz w:val="21"/>
          <w:szCs w:val="21"/>
          <w:highlight w:val="none"/>
          <w:u w:val="single"/>
        </w:rPr>
        <w:t xml:space="preserve">                                                                   </w:t>
      </w:r>
    </w:p>
    <w:p w14:paraId="7B1C9C12">
      <w:pPr>
        <w:pStyle w:val="17"/>
        <w:spacing w:line="360" w:lineRule="auto"/>
        <w:ind w:left="25" w:leftChars="12" w:firstLine="413" w:firstLineChars="197"/>
        <w:rPr>
          <w:rFonts w:hAnsi="宋体" w:cs="宋体"/>
          <w:sz w:val="21"/>
          <w:szCs w:val="21"/>
          <w:highlight w:val="none"/>
        </w:rPr>
      </w:pPr>
      <w:r>
        <w:rPr>
          <w:rFonts w:hint="eastAsia" w:hAnsi="宋体" w:cs="宋体"/>
          <w:bCs/>
          <w:sz w:val="21"/>
          <w:szCs w:val="21"/>
          <w:highlight w:val="none"/>
        </w:rPr>
        <w:t>采购</w:t>
      </w:r>
      <w:r>
        <w:rPr>
          <w:rFonts w:hint="eastAsia" w:hAnsi="宋体" w:cs="宋体"/>
          <w:sz w:val="21"/>
          <w:szCs w:val="21"/>
          <w:highlight w:val="none"/>
        </w:rPr>
        <w:t>项目的编号：</w:t>
      </w:r>
      <w:r>
        <w:rPr>
          <w:rFonts w:hint="eastAsia" w:hAnsi="宋体" w:cs="宋体"/>
          <w:bCs/>
          <w:sz w:val="21"/>
          <w:szCs w:val="21"/>
          <w:highlight w:val="none"/>
          <w:u w:val="single"/>
        </w:rPr>
        <w:t xml:space="preserve">                                          </w:t>
      </w:r>
    </w:p>
    <w:p w14:paraId="0971A68B">
      <w:pPr>
        <w:pStyle w:val="17"/>
        <w:spacing w:line="360" w:lineRule="auto"/>
        <w:ind w:left="25" w:leftChars="12" w:firstLine="413" w:firstLineChars="197"/>
        <w:rPr>
          <w:rFonts w:hAnsi="宋体" w:cs="宋体"/>
          <w:bCs/>
          <w:sz w:val="21"/>
          <w:szCs w:val="21"/>
          <w:highlight w:val="none"/>
          <w:u w:val="single"/>
        </w:rPr>
      </w:pPr>
      <w:r>
        <w:rPr>
          <w:rFonts w:hint="eastAsia" w:hAnsi="宋体" w:cs="宋体"/>
          <w:sz w:val="21"/>
          <w:szCs w:val="21"/>
          <w:highlight w:val="none"/>
        </w:rPr>
        <w:t>采购人名称：</w:t>
      </w:r>
      <w:r>
        <w:rPr>
          <w:rFonts w:hint="eastAsia" w:hAnsi="宋体" w:cs="宋体"/>
          <w:bCs/>
          <w:sz w:val="21"/>
          <w:szCs w:val="21"/>
          <w:highlight w:val="none"/>
          <w:u w:val="single"/>
        </w:rPr>
        <w:t xml:space="preserve">                                                                        </w:t>
      </w:r>
    </w:p>
    <w:p w14:paraId="1AE1B811">
      <w:pPr>
        <w:pStyle w:val="17"/>
        <w:spacing w:line="360" w:lineRule="auto"/>
        <w:ind w:left="25" w:leftChars="12" w:firstLine="413" w:firstLineChars="197"/>
        <w:rPr>
          <w:rFonts w:hAnsi="宋体" w:cs="宋体"/>
          <w:bCs/>
          <w:sz w:val="21"/>
          <w:szCs w:val="21"/>
          <w:highlight w:val="none"/>
          <w:u w:val="single"/>
        </w:rPr>
      </w:pPr>
      <w:r>
        <w:rPr>
          <w:rFonts w:hint="eastAsia" w:hAnsi="宋体" w:cs="宋体"/>
          <w:sz w:val="21"/>
          <w:szCs w:val="21"/>
          <w:highlight w:val="none"/>
        </w:rPr>
        <w:t>代理机构名称：</w:t>
      </w:r>
      <w:r>
        <w:rPr>
          <w:rFonts w:hint="eastAsia" w:hAnsi="宋体" w:cs="宋体"/>
          <w:bCs/>
          <w:sz w:val="21"/>
          <w:szCs w:val="21"/>
          <w:highlight w:val="none"/>
          <w:u w:val="single"/>
        </w:rPr>
        <w:t xml:space="preserve">                                                                      </w:t>
      </w:r>
    </w:p>
    <w:p w14:paraId="5F89829F">
      <w:pPr>
        <w:pStyle w:val="17"/>
        <w:spacing w:line="360" w:lineRule="auto"/>
        <w:ind w:left="25" w:leftChars="12" w:firstLine="413" w:firstLineChars="197"/>
        <w:rPr>
          <w:rFonts w:hAnsi="宋体" w:cs="宋体"/>
          <w:bCs/>
          <w:sz w:val="21"/>
          <w:szCs w:val="21"/>
          <w:highlight w:val="none"/>
          <w:u w:val="single"/>
        </w:rPr>
      </w:pPr>
      <w:r>
        <w:rPr>
          <w:rFonts w:hint="eastAsia" w:hAnsi="宋体" w:cs="宋体"/>
          <w:bCs/>
          <w:sz w:val="21"/>
          <w:szCs w:val="21"/>
          <w:highlight w:val="none"/>
        </w:rPr>
        <w:t>竞争性磋商文件公告：</w:t>
      </w:r>
      <w:r>
        <w:rPr>
          <w:rFonts w:hint="eastAsia" w:hAnsi="宋体" w:cs="宋体"/>
          <w:bCs/>
          <w:sz w:val="21"/>
          <w:szCs w:val="21"/>
          <w:highlight w:val="none"/>
          <w:u w:val="single"/>
        </w:rPr>
        <w:t>是/否</w:t>
      </w:r>
      <w:r>
        <w:rPr>
          <w:rFonts w:hint="eastAsia" w:hAnsi="宋体" w:cs="宋体"/>
          <w:bCs/>
          <w:sz w:val="21"/>
          <w:szCs w:val="21"/>
          <w:highlight w:val="none"/>
        </w:rPr>
        <w:t>公告期限：</w:t>
      </w:r>
      <w:r>
        <w:rPr>
          <w:rFonts w:hint="eastAsia" w:hAnsi="宋体" w:cs="宋体"/>
          <w:bCs/>
          <w:sz w:val="21"/>
          <w:szCs w:val="21"/>
          <w:highlight w:val="none"/>
          <w:u w:val="single"/>
        </w:rPr>
        <w:t xml:space="preserve">                                                       </w:t>
      </w:r>
    </w:p>
    <w:p w14:paraId="2677856D">
      <w:pPr>
        <w:pStyle w:val="17"/>
        <w:spacing w:line="360" w:lineRule="auto"/>
        <w:ind w:left="25" w:leftChars="12" w:firstLine="413" w:firstLineChars="197"/>
        <w:rPr>
          <w:rFonts w:hAnsi="宋体" w:cs="宋体"/>
          <w:b/>
          <w:sz w:val="21"/>
          <w:szCs w:val="21"/>
          <w:highlight w:val="none"/>
        </w:rPr>
      </w:pPr>
      <w:r>
        <w:rPr>
          <w:rFonts w:hint="eastAsia" w:hAnsi="宋体" w:cs="宋体"/>
          <w:bCs/>
          <w:sz w:val="21"/>
          <w:szCs w:val="21"/>
          <w:highlight w:val="none"/>
        </w:rPr>
        <w:t>采购结果公告：</w:t>
      </w:r>
      <w:r>
        <w:rPr>
          <w:rFonts w:hint="eastAsia" w:hAnsi="宋体" w:cs="宋体"/>
          <w:bCs/>
          <w:sz w:val="21"/>
          <w:szCs w:val="21"/>
          <w:highlight w:val="none"/>
          <w:u w:val="single"/>
        </w:rPr>
        <w:t>是/否</w:t>
      </w:r>
      <w:r>
        <w:rPr>
          <w:rFonts w:hint="eastAsia" w:hAnsi="宋体" w:cs="宋体"/>
          <w:bCs/>
          <w:sz w:val="21"/>
          <w:szCs w:val="21"/>
          <w:highlight w:val="none"/>
        </w:rPr>
        <w:t>公告期限：</w:t>
      </w:r>
      <w:r>
        <w:rPr>
          <w:rFonts w:hint="eastAsia" w:hAnsi="宋体" w:cs="宋体"/>
          <w:bCs/>
          <w:sz w:val="21"/>
          <w:szCs w:val="21"/>
          <w:highlight w:val="none"/>
          <w:u w:val="single"/>
        </w:rPr>
        <w:t xml:space="preserve">                                                       </w:t>
      </w:r>
    </w:p>
    <w:p w14:paraId="7933A5BC">
      <w:pPr>
        <w:pStyle w:val="17"/>
        <w:spacing w:line="360" w:lineRule="auto"/>
        <w:ind w:left="25" w:leftChars="12" w:firstLine="413" w:firstLineChars="196"/>
        <w:rPr>
          <w:rFonts w:hAnsi="宋体" w:cs="宋体"/>
          <w:b/>
          <w:sz w:val="21"/>
          <w:szCs w:val="21"/>
          <w:highlight w:val="none"/>
        </w:rPr>
      </w:pPr>
      <w:r>
        <w:rPr>
          <w:rFonts w:hint="eastAsia" w:hAnsi="宋体" w:cs="宋体"/>
          <w:b/>
          <w:sz w:val="21"/>
          <w:szCs w:val="21"/>
          <w:highlight w:val="none"/>
        </w:rPr>
        <w:t>三、质疑基本情况</w:t>
      </w:r>
    </w:p>
    <w:p w14:paraId="231529C0">
      <w:pPr>
        <w:pStyle w:val="17"/>
        <w:spacing w:line="360" w:lineRule="auto"/>
        <w:ind w:firstLine="420" w:firstLineChars="200"/>
        <w:rPr>
          <w:rFonts w:hAnsi="宋体" w:cs="宋体"/>
          <w:sz w:val="21"/>
          <w:szCs w:val="21"/>
          <w:highlight w:val="none"/>
        </w:rPr>
      </w:pPr>
      <w:r>
        <w:rPr>
          <w:rFonts w:hint="eastAsia" w:hAnsi="宋体" w:cs="宋体"/>
          <w:sz w:val="21"/>
          <w:szCs w:val="21"/>
          <w:highlight w:val="none"/>
        </w:rPr>
        <w:t>投诉人于</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日，向</w:t>
      </w:r>
      <w:r>
        <w:rPr>
          <w:rFonts w:hint="eastAsia" w:hAnsi="宋体" w:cs="宋体"/>
          <w:sz w:val="21"/>
          <w:szCs w:val="21"/>
          <w:highlight w:val="none"/>
          <w:u w:val="single"/>
        </w:rPr>
        <w:t xml:space="preserve">                                </w:t>
      </w:r>
      <w:r>
        <w:rPr>
          <w:rFonts w:hint="eastAsia" w:hAnsi="宋体" w:cs="宋体"/>
          <w:sz w:val="21"/>
          <w:szCs w:val="21"/>
          <w:highlight w:val="none"/>
        </w:rPr>
        <w:t>提出质疑，质疑事项为：</w:t>
      </w:r>
    </w:p>
    <w:p w14:paraId="081ED18A">
      <w:pPr>
        <w:pStyle w:val="17"/>
        <w:spacing w:line="360" w:lineRule="auto"/>
        <w:ind w:firstLine="241"/>
        <w:rPr>
          <w:rFonts w:hAnsi="宋体" w:cs="宋体"/>
          <w:bCs/>
          <w:sz w:val="21"/>
          <w:szCs w:val="21"/>
          <w:highlight w:val="none"/>
          <w:u w:val="single"/>
        </w:rPr>
      </w:pPr>
      <w:r>
        <w:rPr>
          <w:rFonts w:hint="eastAsia" w:hAnsi="宋体" w:cs="宋体"/>
          <w:sz w:val="21"/>
          <w:szCs w:val="21"/>
          <w:highlight w:val="none"/>
        </w:rPr>
        <w:t xml:space="preserve">    </w:t>
      </w:r>
      <w:r>
        <w:rPr>
          <w:rFonts w:hint="eastAsia" w:hAnsi="宋体" w:cs="宋体"/>
          <w:bCs/>
          <w:sz w:val="21"/>
          <w:szCs w:val="21"/>
          <w:highlight w:val="none"/>
          <w:u w:val="single"/>
        </w:rPr>
        <w:t xml:space="preserve">                                                                                      </w:t>
      </w:r>
    </w:p>
    <w:p w14:paraId="63B40056">
      <w:pPr>
        <w:pStyle w:val="17"/>
        <w:spacing w:line="360" w:lineRule="auto"/>
        <w:ind w:firstLine="241"/>
        <w:rPr>
          <w:rFonts w:hAnsi="宋体" w:cs="宋体"/>
          <w:bCs/>
          <w:sz w:val="21"/>
          <w:szCs w:val="21"/>
          <w:highlight w:val="none"/>
          <w:u w:val="single"/>
        </w:rPr>
      </w:pPr>
      <w:r>
        <w:rPr>
          <w:rFonts w:hint="eastAsia" w:hAnsi="宋体" w:cs="宋体"/>
          <w:bCs/>
          <w:sz w:val="21"/>
          <w:szCs w:val="21"/>
          <w:highlight w:val="none"/>
        </w:rPr>
        <w:t xml:space="preserve">    </w:t>
      </w:r>
      <w:r>
        <w:rPr>
          <w:rFonts w:hint="eastAsia" w:hAnsi="宋体" w:cs="宋体"/>
          <w:bCs/>
          <w:sz w:val="21"/>
          <w:szCs w:val="21"/>
          <w:highlight w:val="none"/>
          <w:u w:val="single"/>
        </w:rPr>
        <w:t xml:space="preserve">                                                                                      </w:t>
      </w:r>
    </w:p>
    <w:p w14:paraId="4946BE19">
      <w:pPr>
        <w:pStyle w:val="17"/>
        <w:spacing w:line="360" w:lineRule="auto"/>
        <w:ind w:firstLine="420" w:firstLineChars="200"/>
        <w:rPr>
          <w:rFonts w:hAnsi="宋体" w:cs="宋体"/>
          <w:sz w:val="21"/>
          <w:szCs w:val="21"/>
          <w:highlight w:val="none"/>
        </w:rPr>
      </w:pPr>
      <w:r>
        <w:rPr>
          <w:rFonts w:hint="eastAsia" w:hAnsi="宋体" w:cs="宋体"/>
          <w:bCs/>
          <w:sz w:val="21"/>
          <w:szCs w:val="21"/>
          <w:highlight w:val="none"/>
          <w:u w:val="single"/>
        </w:rPr>
        <w:t>采购人/代理机构</w:t>
      </w:r>
      <w:r>
        <w:rPr>
          <w:rFonts w:hint="eastAsia" w:hAnsi="宋体" w:cs="宋体"/>
          <w:bCs/>
          <w:sz w:val="21"/>
          <w:szCs w:val="21"/>
          <w:highlight w:val="none"/>
        </w:rPr>
        <w:t>于</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r>
        <w:rPr>
          <w:rFonts w:hint="eastAsia" w:hAnsi="宋体" w:cs="宋体"/>
          <w:bCs/>
          <w:sz w:val="21"/>
          <w:szCs w:val="21"/>
          <w:highlight w:val="none"/>
        </w:rPr>
        <w:t xml:space="preserve">就质疑事项作出了答复/没有在法定期限内作出答复。                                                                                             </w:t>
      </w:r>
    </w:p>
    <w:p w14:paraId="6CCFCAAB">
      <w:pPr>
        <w:pStyle w:val="17"/>
        <w:spacing w:line="360" w:lineRule="auto"/>
        <w:ind w:left="25" w:leftChars="12" w:firstLine="413" w:firstLineChars="196"/>
        <w:rPr>
          <w:rFonts w:hAnsi="宋体" w:cs="宋体"/>
          <w:b/>
          <w:sz w:val="21"/>
          <w:szCs w:val="21"/>
          <w:highlight w:val="none"/>
        </w:rPr>
      </w:pPr>
      <w:r>
        <w:rPr>
          <w:rFonts w:hint="eastAsia" w:hAnsi="宋体" w:cs="宋体"/>
          <w:b/>
          <w:sz w:val="21"/>
          <w:szCs w:val="21"/>
          <w:highlight w:val="none"/>
        </w:rPr>
        <w:t>四、投诉事项具体内容</w:t>
      </w:r>
    </w:p>
    <w:p w14:paraId="5F64A9B2">
      <w:pPr>
        <w:pStyle w:val="17"/>
        <w:spacing w:line="360" w:lineRule="auto"/>
        <w:ind w:left="25" w:leftChars="12" w:firstLine="413" w:firstLineChars="197"/>
        <w:rPr>
          <w:rFonts w:hAnsi="宋体" w:cs="宋体"/>
          <w:bCs/>
          <w:sz w:val="21"/>
          <w:szCs w:val="21"/>
          <w:highlight w:val="none"/>
          <w:u w:val="single"/>
        </w:rPr>
      </w:pPr>
      <w:r>
        <w:rPr>
          <w:rFonts w:hint="eastAsia" w:hAnsi="宋体" w:cs="宋体"/>
          <w:sz w:val="21"/>
          <w:szCs w:val="21"/>
          <w:highlight w:val="none"/>
        </w:rPr>
        <w:t>投诉事项1：</w:t>
      </w:r>
      <w:r>
        <w:rPr>
          <w:rFonts w:hint="eastAsia" w:hAnsi="宋体" w:cs="宋体"/>
          <w:bCs/>
          <w:sz w:val="21"/>
          <w:szCs w:val="21"/>
          <w:highlight w:val="none"/>
          <w:u w:val="single"/>
        </w:rPr>
        <w:t xml:space="preserve">                                                                           </w:t>
      </w:r>
    </w:p>
    <w:p w14:paraId="2734974C">
      <w:pPr>
        <w:pStyle w:val="17"/>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事实依据：</w:t>
      </w:r>
      <w:r>
        <w:rPr>
          <w:rFonts w:hint="eastAsia" w:hAnsi="宋体" w:cs="宋体"/>
          <w:sz w:val="21"/>
          <w:szCs w:val="21"/>
          <w:highlight w:val="none"/>
        </w:rPr>
        <w:t xml:space="preserve"> </w:t>
      </w:r>
      <w:r>
        <w:rPr>
          <w:rFonts w:hint="eastAsia" w:hAnsi="宋体" w:cs="宋体"/>
          <w:bCs/>
          <w:sz w:val="21"/>
          <w:szCs w:val="21"/>
          <w:highlight w:val="none"/>
          <w:u w:val="single"/>
        </w:rPr>
        <w:t xml:space="preserve">                                                                                      </w:t>
      </w:r>
    </w:p>
    <w:p w14:paraId="1FC4D217">
      <w:pPr>
        <w:pStyle w:val="17"/>
        <w:spacing w:line="360" w:lineRule="auto"/>
        <w:ind w:left="25" w:leftChars="12" w:firstLine="413" w:firstLineChars="197"/>
        <w:rPr>
          <w:rFonts w:hAnsi="宋体" w:cs="宋体"/>
          <w:sz w:val="21"/>
          <w:szCs w:val="21"/>
          <w:highlight w:val="none"/>
        </w:rPr>
      </w:pPr>
      <w:r>
        <w:rPr>
          <w:rFonts w:hint="eastAsia" w:hAnsi="宋体" w:cs="宋体"/>
          <w:bCs/>
          <w:sz w:val="21"/>
          <w:szCs w:val="21"/>
          <w:highlight w:val="none"/>
          <w:u w:val="single"/>
        </w:rPr>
        <w:t xml:space="preserve">                                                                                        </w:t>
      </w:r>
    </w:p>
    <w:p w14:paraId="2FBC97F2">
      <w:pPr>
        <w:pStyle w:val="17"/>
        <w:spacing w:line="360" w:lineRule="auto"/>
        <w:ind w:firstLine="420" w:firstLineChars="200"/>
        <w:rPr>
          <w:rFonts w:hAnsi="宋体" w:cs="宋体"/>
          <w:bCs/>
          <w:sz w:val="21"/>
          <w:szCs w:val="21"/>
          <w:highlight w:val="none"/>
          <w:u w:val="single"/>
        </w:rPr>
      </w:pPr>
      <w:r>
        <w:rPr>
          <w:rFonts w:hint="eastAsia" w:hAnsi="宋体" w:cs="宋体"/>
          <w:bCs/>
          <w:sz w:val="21"/>
          <w:szCs w:val="21"/>
          <w:highlight w:val="none"/>
        </w:rPr>
        <w:t>法律依据：</w:t>
      </w:r>
      <w:r>
        <w:rPr>
          <w:rFonts w:hint="eastAsia" w:hAnsi="宋体" w:cs="宋体"/>
          <w:sz w:val="21"/>
          <w:szCs w:val="21"/>
          <w:highlight w:val="none"/>
        </w:rPr>
        <w:t xml:space="preserve"> </w:t>
      </w:r>
      <w:r>
        <w:rPr>
          <w:rFonts w:hint="eastAsia" w:hAnsi="宋体" w:cs="宋体"/>
          <w:bCs/>
          <w:sz w:val="21"/>
          <w:szCs w:val="21"/>
          <w:highlight w:val="none"/>
          <w:u w:val="single"/>
        </w:rPr>
        <w:t xml:space="preserve">                                                                                      </w:t>
      </w:r>
    </w:p>
    <w:p w14:paraId="68D896A3">
      <w:pPr>
        <w:pStyle w:val="17"/>
        <w:spacing w:line="360" w:lineRule="auto"/>
        <w:ind w:left="25" w:leftChars="12" w:firstLine="308" w:firstLineChars="147"/>
        <w:rPr>
          <w:rFonts w:hAnsi="宋体" w:cs="宋体"/>
          <w:bCs/>
          <w:sz w:val="21"/>
          <w:szCs w:val="21"/>
          <w:highlight w:val="none"/>
          <w:u w:val="single"/>
        </w:rPr>
      </w:pPr>
      <w:r>
        <w:rPr>
          <w:rFonts w:hint="eastAsia" w:hAnsi="宋体" w:cs="宋体"/>
          <w:bCs/>
          <w:sz w:val="21"/>
          <w:szCs w:val="21"/>
          <w:highlight w:val="none"/>
        </w:rPr>
        <w:t xml:space="preserve"> </w:t>
      </w:r>
      <w:r>
        <w:rPr>
          <w:rFonts w:hint="eastAsia" w:hAnsi="宋体" w:cs="宋体"/>
          <w:bCs/>
          <w:sz w:val="21"/>
          <w:szCs w:val="21"/>
          <w:highlight w:val="none"/>
          <w:u w:val="single"/>
        </w:rPr>
        <w:t xml:space="preserve">                                                                                        </w:t>
      </w:r>
    </w:p>
    <w:p w14:paraId="71164129">
      <w:pPr>
        <w:pStyle w:val="17"/>
        <w:spacing w:line="360" w:lineRule="auto"/>
        <w:ind w:left="25" w:leftChars="12" w:firstLine="413" w:firstLineChars="197"/>
        <w:rPr>
          <w:rFonts w:hAnsi="宋体" w:cs="宋体"/>
          <w:bCs/>
          <w:sz w:val="21"/>
          <w:szCs w:val="21"/>
          <w:highlight w:val="none"/>
        </w:rPr>
      </w:pPr>
      <w:r>
        <w:rPr>
          <w:rFonts w:hint="eastAsia" w:hAnsi="宋体" w:cs="宋体"/>
          <w:sz w:val="21"/>
          <w:szCs w:val="21"/>
          <w:highlight w:val="none"/>
        </w:rPr>
        <w:t xml:space="preserve">投诉事项2  </w:t>
      </w:r>
      <w:r>
        <w:rPr>
          <w:rFonts w:hint="eastAsia" w:hAnsi="宋体" w:cs="宋体"/>
          <w:bCs/>
          <w:sz w:val="21"/>
          <w:szCs w:val="21"/>
          <w:highlight w:val="none"/>
        </w:rPr>
        <w:t xml:space="preserve">   </w:t>
      </w:r>
    </w:p>
    <w:p w14:paraId="43D7A064">
      <w:pPr>
        <w:pStyle w:val="17"/>
        <w:spacing w:line="360" w:lineRule="auto"/>
        <w:ind w:left="25" w:leftChars="12" w:firstLine="413" w:firstLineChars="197"/>
        <w:rPr>
          <w:rFonts w:hAnsi="宋体" w:cs="宋体"/>
          <w:bCs/>
          <w:sz w:val="21"/>
          <w:szCs w:val="21"/>
          <w:highlight w:val="none"/>
        </w:rPr>
      </w:pPr>
      <w:r>
        <w:rPr>
          <w:rFonts w:hint="eastAsia" w:hAnsi="宋体" w:cs="宋体"/>
          <w:bCs/>
          <w:sz w:val="21"/>
          <w:szCs w:val="21"/>
          <w:highlight w:val="none"/>
        </w:rPr>
        <w:t>……</w:t>
      </w:r>
    </w:p>
    <w:p w14:paraId="4400009E">
      <w:pPr>
        <w:pStyle w:val="17"/>
        <w:spacing w:line="360" w:lineRule="auto"/>
        <w:ind w:left="25" w:leftChars="12" w:firstLine="413" w:firstLineChars="196"/>
        <w:rPr>
          <w:rFonts w:hAnsi="宋体" w:cs="宋体"/>
          <w:b/>
          <w:sz w:val="21"/>
          <w:szCs w:val="21"/>
          <w:highlight w:val="none"/>
        </w:rPr>
      </w:pPr>
      <w:r>
        <w:rPr>
          <w:rFonts w:hint="eastAsia" w:hAnsi="宋体" w:cs="宋体"/>
          <w:b/>
          <w:sz w:val="21"/>
          <w:szCs w:val="21"/>
          <w:highlight w:val="none"/>
        </w:rPr>
        <w:t>五、与投诉事项相关的投诉请求：</w:t>
      </w:r>
    </w:p>
    <w:p w14:paraId="490B71C1">
      <w:pPr>
        <w:pStyle w:val="17"/>
        <w:spacing w:line="360" w:lineRule="auto"/>
        <w:ind w:left="25" w:leftChars="12" w:firstLine="413" w:firstLineChars="197"/>
        <w:rPr>
          <w:rFonts w:hAnsi="宋体" w:cs="宋体"/>
          <w:sz w:val="21"/>
          <w:szCs w:val="21"/>
          <w:highlight w:val="none"/>
        </w:rPr>
      </w:pPr>
      <w:r>
        <w:rPr>
          <w:rFonts w:hint="eastAsia" w:hAnsi="宋体" w:cs="宋体"/>
          <w:sz w:val="21"/>
          <w:szCs w:val="21"/>
          <w:highlight w:val="none"/>
        </w:rPr>
        <w:t>请求：</w:t>
      </w:r>
      <w:r>
        <w:rPr>
          <w:rFonts w:hint="eastAsia" w:hAnsi="宋体" w:cs="宋体"/>
          <w:bCs/>
          <w:sz w:val="21"/>
          <w:szCs w:val="21"/>
          <w:highlight w:val="none"/>
          <w:u w:val="single"/>
        </w:rPr>
        <w:t xml:space="preserve">                                                                                 </w:t>
      </w:r>
    </w:p>
    <w:p w14:paraId="6D579DEB">
      <w:pPr>
        <w:pStyle w:val="17"/>
        <w:spacing w:line="360" w:lineRule="auto"/>
        <w:ind w:left="25" w:leftChars="12" w:firstLine="308" w:firstLineChars="147"/>
        <w:rPr>
          <w:rFonts w:hAnsi="宋体" w:cs="宋体"/>
          <w:sz w:val="21"/>
          <w:szCs w:val="21"/>
          <w:highlight w:val="none"/>
        </w:rPr>
      </w:pPr>
    </w:p>
    <w:p w14:paraId="09C9247E">
      <w:pPr>
        <w:pStyle w:val="17"/>
        <w:spacing w:line="360" w:lineRule="auto"/>
        <w:ind w:left="25" w:leftChars="12" w:firstLine="413" w:firstLineChars="197"/>
        <w:rPr>
          <w:rFonts w:hAnsi="宋体" w:cs="宋体"/>
          <w:sz w:val="21"/>
          <w:szCs w:val="21"/>
          <w:highlight w:val="none"/>
          <w:u w:val="single"/>
        </w:rPr>
      </w:pPr>
      <w:r>
        <w:rPr>
          <w:rFonts w:hint="eastAsia" w:hAnsi="宋体" w:cs="宋体"/>
          <w:sz w:val="21"/>
          <w:szCs w:val="21"/>
          <w:highlight w:val="none"/>
        </w:rPr>
        <w:t>签字（签章）：</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 xml:space="preserve">                        公章：</w:t>
      </w:r>
      <w:r>
        <w:rPr>
          <w:rFonts w:hint="eastAsia" w:hAnsi="宋体" w:cs="宋体"/>
          <w:sz w:val="21"/>
          <w:szCs w:val="21"/>
          <w:highlight w:val="none"/>
          <w:u w:val="single"/>
        </w:rPr>
        <w:t xml:space="preserve"> </w:t>
      </w:r>
      <w:r>
        <w:rPr>
          <w:rFonts w:hAnsi="宋体" w:cs="宋体"/>
          <w:sz w:val="21"/>
          <w:szCs w:val="21"/>
          <w:highlight w:val="none"/>
          <w:u w:val="single"/>
        </w:rPr>
        <w:t xml:space="preserve">         </w:t>
      </w:r>
    </w:p>
    <w:p w14:paraId="5B5E2E5B">
      <w:pPr>
        <w:pStyle w:val="17"/>
        <w:spacing w:line="360" w:lineRule="auto"/>
        <w:ind w:left="25" w:leftChars="12" w:firstLine="308" w:firstLineChars="147"/>
        <w:rPr>
          <w:rFonts w:hAnsi="宋体" w:cs="宋体"/>
          <w:sz w:val="21"/>
          <w:szCs w:val="21"/>
          <w:highlight w:val="none"/>
        </w:rPr>
      </w:pPr>
    </w:p>
    <w:p w14:paraId="6740F1AC">
      <w:pPr>
        <w:pStyle w:val="17"/>
        <w:spacing w:line="360" w:lineRule="auto"/>
        <w:ind w:left="25" w:leftChars="12" w:firstLine="413" w:firstLineChars="197"/>
        <w:rPr>
          <w:rFonts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rPr>
        <w:t>日</w:t>
      </w:r>
    </w:p>
    <w:p w14:paraId="00A7ABB1">
      <w:pPr>
        <w:pStyle w:val="17"/>
        <w:spacing w:line="360" w:lineRule="auto"/>
        <w:ind w:left="25" w:leftChars="12" w:firstLine="413" w:firstLineChars="197"/>
        <w:rPr>
          <w:rFonts w:hAnsi="宋体" w:cs="宋体"/>
          <w:b/>
          <w:sz w:val="21"/>
          <w:szCs w:val="21"/>
          <w:highlight w:val="none"/>
        </w:rPr>
      </w:pPr>
      <w:r>
        <w:rPr>
          <w:rFonts w:hint="eastAsia" w:hAnsi="宋体" w:cs="宋体"/>
          <w:bCs/>
          <w:sz w:val="21"/>
          <w:szCs w:val="21"/>
          <w:highlight w:val="none"/>
        </w:rPr>
        <w:t xml:space="preserve">                                                                                 </w:t>
      </w:r>
    </w:p>
    <w:p w14:paraId="6D2365DD">
      <w:pPr>
        <w:pStyle w:val="17"/>
        <w:snapToGrid w:val="0"/>
        <w:spacing w:line="360" w:lineRule="auto"/>
        <w:rPr>
          <w:rFonts w:ascii="楷体" w:hAnsi="楷体" w:eastAsia="楷体" w:cs="宋体"/>
          <w:b/>
          <w:sz w:val="21"/>
          <w:szCs w:val="21"/>
          <w:highlight w:val="none"/>
        </w:rPr>
      </w:pPr>
      <w:r>
        <w:rPr>
          <w:rFonts w:hint="eastAsia" w:ascii="楷体" w:hAnsi="楷体" w:eastAsia="楷体" w:cs="宋体"/>
          <w:b/>
          <w:sz w:val="21"/>
          <w:szCs w:val="21"/>
          <w:highlight w:val="none"/>
        </w:rPr>
        <w:t>说明：</w:t>
      </w:r>
    </w:p>
    <w:p w14:paraId="4E8BD2C0">
      <w:pPr>
        <w:pStyle w:val="17"/>
        <w:spacing w:line="360" w:lineRule="auto"/>
        <w:ind w:left="25" w:leftChars="12" w:firstLine="310" w:firstLineChars="147"/>
        <w:rPr>
          <w:rFonts w:ascii="楷体" w:hAnsi="楷体" w:eastAsia="楷体" w:cs="宋体"/>
          <w:b/>
          <w:bCs/>
          <w:sz w:val="21"/>
          <w:szCs w:val="21"/>
          <w:highlight w:val="none"/>
        </w:rPr>
      </w:pPr>
      <w:r>
        <w:rPr>
          <w:rFonts w:ascii="楷体" w:hAnsi="楷体" w:eastAsia="楷体" w:cs="宋体"/>
          <w:b/>
          <w:sz w:val="21"/>
          <w:szCs w:val="21"/>
          <w:highlight w:val="none"/>
        </w:rPr>
        <w:t>1.投诉人提起投诉时，应当提交投诉书和必要的证明材料，并按照被投诉人和与投诉事项有关的供应商数量提供投诉书副本</w:t>
      </w:r>
      <w:r>
        <w:rPr>
          <w:rFonts w:hint="eastAsia" w:ascii="楷体" w:hAnsi="楷体" w:eastAsia="楷体" w:cs="宋体"/>
          <w:b/>
          <w:bCs/>
          <w:sz w:val="21"/>
          <w:szCs w:val="21"/>
          <w:highlight w:val="none"/>
        </w:rPr>
        <w:t>。</w:t>
      </w:r>
    </w:p>
    <w:p w14:paraId="77D28C5E">
      <w:pPr>
        <w:pStyle w:val="17"/>
        <w:spacing w:line="360" w:lineRule="auto"/>
        <w:ind w:left="25" w:leftChars="12" w:firstLine="310" w:firstLineChars="147"/>
        <w:rPr>
          <w:rFonts w:ascii="楷体" w:hAnsi="楷体" w:eastAsia="楷体" w:cs="宋体"/>
          <w:b/>
          <w:sz w:val="21"/>
          <w:szCs w:val="21"/>
          <w:highlight w:val="none"/>
        </w:rPr>
      </w:pPr>
      <w:r>
        <w:rPr>
          <w:rFonts w:ascii="楷体" w:hAnsi="楷体" w:eastAsia="楷体" w:cs="宋体"/>
          <w:b/>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45FD07">
      <w:pPr>
        <w:pStyle w:val="17"/>
        <w:spacing w:line="360" w:lineRule="auto"/>
        <w:ind w:left="25" w:leftChars="12" w:firstLine="310" w:firstLineChars="147"/>
        <w:rPr>
          <w:rFonts w:ascii="楷体" w:hAnsi="楷体" w:eastAsia="楷体" w:cs="宋体"/>
          <w:b/>
          <w:sz w:val="21"/>
          <w:szCs w:val="21"/>
          <w:highlight w:val="none"/>
        </w:rPr>
      </w:pPr>
      <w:r>
        <w:rPr>
          <w:rFonts w:ascii="楷体" w:hAnsi="楷体" w:eastAsia="楷体" w:cs="宋体"/>
          <w:b/>
          <w:sz w:val="21"/>
          <w:szCs w:val="21"/>
          <w:highlight w:val="none"/>
        </w:rPr>
        <w:t>3.投诉书应简要列明质疑事项，质疑函、质疑答复等作为附件材料提供。</w:t>
      </w:r>
    </w:p>
    <w:p w14:paraId="79FD320A">
      <w:pPr>
        <w:pStyle w:val="17"/>
        <w:spacing w:line="360" w:lineRule="auto"/>
        <w:ind w:left="25" w:leftChars="12" w:firstLine="310" w:firstLineChars="147"/>
        <w:rPr>
          <w:rFonts w:ascii="楷体" w:hAnsi="楷体" w:eastAsia="楷体" w:cs="宋体"/>
          <w:b/>
          <w:sz w:val="21"/>
          <w:szCs w:val="21"/>
          <w:highlight w:val="none"/>
        </w:rPr>
      </w:pPr>
      <w:r>
        <w:rPr>
          <w:rFonts w:ascii="楷体" w:hAnsi="楷体" w:eastAsia="楷体" w:cs="宋体"/>
          <w:b/>
          <w:sz w:val="21"/>
          <w:szCs w:val="21"/>
          <w:highlight w:val="none"/>
        </w:rPr>
        <w:t>4.投诉书的投诉事项应具体、明确，并有必要的事实依据和法律依据。</w:t>
      </w:r>
    </w:p>
    <w:p w14:paraId="2E6E48A2">
      <w:pPr>
        <w:pStyle w:val="17"/>
        <w:spacing w:line="360" w:lineRule="auto"/>
        <w:ind w:left="25" w:leftChars="12" w:firstLine="310" w:firstLineChars="147"/>
        <w:rPr>
          <w:rFonts w:ascii="楷体" w:hAnsi="楷体" w:eastAsia="楷体" w:cs="宋体"/>
          <w:b/>
          <w:sz w:val="21"/>
          <w:szCs w:val="21"/>
          <w:highlight w:val="none"/>
        </w:rPr>
      </w:pPr>
      <w:r>
        <w:rPr>
          <w:rFonts w:ascii="楷体" w:hAnsi="楷体" w:eastAsia="楷体" w:cs="宋体"/>
          <w:b/>
          <w:sz w:val="21"/>
          <w:szCs w:val="21"/>
          <w:highlight w:val="none"/>
        </w:rPr>
        <w:t>5.投诉书的投诉请求应与投诉事项相关。</w:t>
      </w:r>
    </w:p>
    <w:p w14:paraId="2DBD1B06">
      <w:pPr>
        <w:pStyle w:val="17"/>
        <w:spacing w:line="360" w:lineRule="auto"/>
        <w:ind w:left="25" w:leftChars="12" w:firstLine="310" w:firstLineChars="147"/>
        <w:rPr>
          <w:rFonts w:ascii="楷体" w:hAnsi="楷体" w:eastAsia="楷体" w:cs="宋体"/>
          <w:b/>
          <w:sz w:val="21"/>
          <w:szCs w:val="21"/>
          <w:highlight w:val="none"/>
        </w:rPr>
      </w:pPr>
      <w:r>
        <w:rPr>
          <w:rFonts w:ascii="楷体" w:hAnsi="楷体" w:eastAsia="楷体" w:cs="宋体"/>
          <w:b/>
          <w:sz w:val="21"/>
          <w:szCs w:val="21"/>
          <w:highlight w:val="none"/>
        </w:rPr>
        <w:t>6.投诉人为法人或者其他组织的，投诉书应由法定代表人、主要负责人，或者其授权代表签字或者盖章，并加盖公章。</w:t>
      </w:r>
    </w:p>
    <w:p w14:paraId="795FA85C">
      <w:pPr>
        <w:pStyle w:val="17"/>
        <w:spacing w:line="360" w:lineRule="auto"/>
        <w:ind w:left="25" w:leftChars="12" w:firstLine="352" w:firstLineChars="147"/>
        <w:rPr>
          <w:rFonts w:hAnsi="宋体" w:cs="宋体"/>
          <w:sz w:val="24"/>
          <w:szCs w:val="24"/>
          <w:highlight w:val="none"/>
        </w:rPr>
      </w:pPr>
    </w:p>
    <w:p w14:paraId="68471277">
      <w:pPr>
        <w:rPr>
          <w:rFonts w:hint="eastAsia" w:ascii="宋体" w:hAnsi="宋体" w:cs="宋体"/>
          <w:highlight w:val="none"/>
        </w:rPr>
      </w:pPr>
      <w:bookmarkStart w:id="134" w:name="_Toc12223"/>
      <w:r>
        <w:rPr>
          <w:rFonts w:hint="eastAsia" w:ascii="宋体" w:hAnsi="宋体" w:cs="宋体"/>
          <w:highlight w:val="none"/>
        </w:rPr>
        <w:br w:type="page"/>
      </w:r>
    </w:p>
    <w:p w14:paraId="585522F6">
      <w:pPr>
        <w:pStyle w:val="2"/>
        <w:spacing w:before="0" w:after="0" w:line="460" w:lineRule="exact"/>
        <w:jc w:val="center"/>
        <w:rPr>
          <w:rFonts w:ascii="宋体" w:hAnsi="宋体" w:cs="宋体"/>
          <w:highlight w:val="none"/>
        </w:rPr>
      </w:pPr>
      <w:r>
        <w:rPr>
          <w:rFonts w:hint="eastAsia" w:ascii="宋体" w:hAnsi="宋体" w:cs="宋体"/>
          <w:highlight w:val="none"/>
        </w:rPr>
        <w:t>第六章 拟签订的合同文本</w:t>
      </w:r>
      <w:bookmarkEnd w:id="134"/>
    </w:p>
    <w:p w14:paraId="58723F0E">
      <w:pPr>
        <w:jc w:val="center"/>
        <w:rPr>
          <w:b/>
          <w:bCs/>
          <w:kern w:val="44"/>
          <w:sz w:val="44"/>
          <w:szCs w:val="44"/>
          <w:highlight w:val="none"/>
        </w:rPr>
      </w:pPr>
    </w:p>
    <w:p w14:paraId="7CBDE182">
      <w:pPr>
        <w:spacing w:line="240" w:lineRule="auto"/>
        <w:ind w:firstLine="0" w:firstLineChars="0"/>
        <w:rPr>
          <w:rFonts w:ascii="宋体" w:hAnsi="宋体"/>
          <w:sz w:val="24"/>
          <w:szCs w:val="32"/>
          <w:highlight w:val="none"/>
        </w:rPr>
      </w:pPr>
      <w:r>
        <w:rPr>
          <w:rFonts w:ascii="宋体" w:hAnsi="宋体"/>
          <w:sz w:val="24"/>
          <w:szCs w:val="32"/>
          <w:highlight w:val="none"/>
        </w:rPr>
        <w:br w:type="page"/>
      </w:r>
    </w:p>
    <w:p w14:paraId="2E1DE3DF">
      <w:pPr>
        <w:spacing w:before="100" w:beforeAutospacing="1" w:after="100" w:afterAutospacing="1"/>
        <w:jc w:val="center"/>
        <w:outlineLvl w:val="0"/>
        <w:rPr>
          <w:rFonts w:ascii="宋体" w:hAnsi="宋体"/>
          <w:b/>
          <w:kern w:val="0"/>
          <w:sz w:val="36"/>
          <w:szCs w:val="36"/>
          <w:highlight w:val="none"/>
        </w:rPr>
      </w:pPr>
      <w:r>
        <w:rPr>
          <w:rFonts w:hint="eastAsia" w:ascii="宋体" w:hAnsi="宋体"/>
          <w:b/>
          <w:kern w:val="0"/>
          <w:sz w:val="36"/>
          <w:szCs w:val="36"/>
          <w:highlight w:val="none"/>
        </w:rPr>
        <w:t>医用织物洗涤（含消毒等）服务合同</w:t>
      </w:r>
    </w:p>
    <w:p w14:paraId="734F2069">
      <w:pPr>
        <w:spacing w:line="340" w:lineRule="exact"/>
        <w:rPr>
          <w:rFonts w:ascii="宋体" w:hAnsi="宋体"/>
          <w:kern w:val="0"/>
          <w:highlight w:val="none"/>
        </w:rPr>
      </w:pPr>
    </w:p>
    <w:p w14:paraId="5CFBD105">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highlight w:val="none"/>
        </w:rPr>
        <w:t>医用织物洗涤（含消毒等）服务</w:t>
      </w:r>
    </w:p>
    <w:p w14:paraId="71DC7D53">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项目编</w:t>
      </w:r>
      <w:r>
        <w:rPr>
          <w:rFonts w:hint="eastAsia" w:ascii="宋体" w:hAnsi="宋体" w:cs="宋体"/>
          <w:highlight w:val="none"/>
        </w:rPr>
        <w:t>号：</w:t>
      </w:r>
    </w:p>
    <w:p w14:paraId="1D2ED13B">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甲方：（</w:t>
      </w:r>
      <w:r>
        <w:rPr>
          <w:rFonts w:hint="eastAsia" w:ascii="宋体" w:hAnsi="宋体" w:cs="宋体"/>
          <w:szCs w:val="21"/>
          <w:highlight w:val="none"/>
          <w:lang w:val="en-US" w:eastAsia="zh-CN"/>
        </w:rPr>
        <w:t>采购</w:t>
      </w:r>
      <w:r>
        <w:rPr>
          <w:rFonts w:hint="eastAsia" w:ascii="宋体" w:hAnsi="宋体" w:cs="宋体"/>
          <w:szCs w:val="21"/>
          <w:highlight w:val="none"/>
        </w:rPr>
        <w:t>人）桂林市中西医结合医院</w:t>
      </w:r>
    </w:p>
    <w:p w14:paraId="5D4C7511">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highlight w:val="none"/>
        </w:rPr>
        <w:t>乙方：（</w:t>
      </w:r>
      <w:r>
        <w:rPr>
          <w:rFonts w:hint="eastAsia" w:ascii="宋体" w:hAnsi="宋体" w:cs="宋体"/>
          <w:szCs w:val="21"/>
          <w:highlight w:val="none"/>
          <w:lang w:val="en-US" w:eastAsia="zh-CN"/>
        </w:rPr>
        <w:t>成交</w:t>
      </w:r>
      <w:r>
        <w:rPr>
          <w:rFonts w:hint="eastAsia" w:ascii="宋体" w:hAnsi="宋体" w:cs="宋体"/>
          <w:szCs w:val="21"/>
          <w:highlight w:val="none"/>
        </w:rPr>
        <w:t>人）</w:t>
      </w:r>
    </w:p>
    <w:p w14:paraId="73DFF240">
      <w:pPr>
        <w:adjustRightInd w:val="0"/>
        <w:snapToGrid w:val="0"/>
        <w:spacing w:line="360" w:lineRule="exact"/>
        <w:ind w:left="1680" w:right="1680" w:firstLine="420"/>
        <w:jc w:val="left"/>
        <w:textAlignment w:val="baseline"/>
        <w:rPr>
          <w:rFonts w:ascii="宋体" w:hAnsi="宋体" w:cs="宋体"/>
          <w:szCs w:val="21"/>
          <w:highlight w:val="none"/>
        </w:rPr>
      </w:pPr>
    </w:p>
    <w:p w14:paraId="272A45DD">
      <w:pPr>
        <w:spacing w:line="360" w:lineRule="exact"/>
        <w:ind w:firstLine="420" w:firstLineChars="200"/>
        <w:rPr>
          <w:rFonts w:ascii="宋体" w:hAnsi="宋体"/>
          <w:szCs w:val="21"/>
          <w:highlight w:val="none"/>
        </w:rPr>
      </w:pPr>
      <w:r>
        <w:rPr>
          <w:rFonts w:hint="eastAsia" w:ascii="宋体" w:hAnsi="宋体"/>
          <w:szCs w:val="21"/>
          <w:highlight w:val="none"/>
        </w:rPr>
        <w:t>根据《中华人民共和国民法典》等法律、法规规定，按照</w:t>
      </w:r>
      <w:r>
        <w:rPr>
          <w:rFonts w:hint="eastAsia" w:ascii="宋体" w:hAnsi="宋体"/>
          <w:szCs w:val="21"/>
          <w:highlight w:val="none"/>
          <w:lang w:val="en-US" w:eastAsia="zh-CN"/>
        </w:rPr>
        <w:t>竞争性磋商</w:t>
      </w:r>
      <w:r>
        <w:rPr>
          <w:rFonts w:hint="eastAsia" w:ascii="宋体" w:hAnsi="宋体"/>
          <w:szCs w:val="21"/>
          <w:highlight w:val="none"/>
        </w:rPr>
        <w:t>文件规定的条款和乙方</w:t>
      </w:r>
      <w:r>
        <w:rPr>
          <w:rFonts w:hint="eastAsia" w:ascii="宋体" w:hAnsi="宋体"/>
          <w:szCs w:val="21"/>
          <w:highlight w:val="none"/>
          <w:lang w:val="en-US" w:eastAsia="zh-CN"/>
        </w:rPr>
        <w:t>磋商</w:t>
      </w:r>
      <w:r>
        <w:rPr>
          <w:rFonts w:hint="eastAsia" w:ascii="宋体" w:hAnsi="宋体"/>
          <w:szCs w:val="21"/>
          <w:highlight w:val="none"/>
        </w:rPr>
        <w:t>承诺，甲乙双方签订本合同。</w:t>
      </w:r>
    </w:p>
    <w:p w14:paraId="4AE313E8">
      <w:pPr>
        <w:snapToGrid w:val="0"/>
        <w:spacing w:line="360" w:lineRule="exact"/>
        <w:ind w:firstLine="422" w:firstLineChars="200"/>
        <w:rPr>
          <w:rFonts w:ascii="宋体" w:hAnsi="宋体"/>
          <w:b/>
          <w:szCs w:val="21"/>
          <w:highlight w:val="none"/>
        </w:rPr>
      </w:pPr>
      <w:r>
        <w:rPr>
          <w:rFonts w:hint="eastAsia" w:ascii="宋体" w:hAnsi="宋体"/>
          <w:b/>
          <w:szCs w:val="21"/>
          <w:highlight w:val="none"/>
        </w:rPr>
        <w:t>第一条  合同文件</w:t>
      </w:r>
    </w:p>
    <w:p w14:paraId="0DFB237E">
      <w:pPr>
        <w:snapToGrid w:val="0"/>
        <w:spacing w:line="360" w:lineRule="exact"/>
        <w:ind w:firstLine="420" w:firstLineChars="200"/>
        <w:rPr>
          <w:rFonts w:ascii="宋体" w:hAnsi="宋体"/>
          <w:szCs w:val="21"/>
          <w:highlight w:val="none"/>
        </w:rPr>
      </w:pPr>
      <w:r>
        <w:rPr>
          <w:rFonts w:hint="eastAsia" w:ascii="宋体" w:hAnsi="宋体"/>
          <w:szCs w:val="21"/>
          <w:highlight w:val="none"/>
        </w:rPr>
        <w:t>本合同所附下列文件是构成本合同不可分割的部分：</w:t>
      </w:r>
    </w:p>
    <w:p w14:paraId="2EE0F416">
      <w:pPr>
        <w:snapToGrid w:val="0"/>
        <w:spacing w:line="36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竞争性磋商</w:t>
      </w:r>
      <w:r>
        <w:rPr>
          <w:rFonts w:hint="eastAsia" w:ascii="宋体" w:hAnsi="宋体"/>
          <w:szCs w:val="21"/>
          <w:highlight w:val="none"/>
        </w:rPr>
        <w:t>文件；</w:t>
      </w:r>
    </w:p>
    <w:p w14:paraId="737CA926">
      <w:pPr>
        <w:snapToGrid w:val="0"/>
        <w:spacing w:line="360" w:lineRule="exact"/>
        <w:ind w:firstLine="420" w:firstLineChars="200"/>
        <w:rPr>
          <w:rFonts w:ascii="宋体" w:hAnsi="宋体"/>
          <w:szCs w:val="21"/>
          <w:highlight w:val="none"/>
        </w:rPr>
      </w:pPr>
      <w:r>
        <w:rPr>
          <w:rFonts w:hint="eastAsia" w:ascii="宋体" w:hAnsi="宋体"/>
          <w:szCs w:val="21"/>
          <w:highlight w:val="none"/>
        </w:rPr>
        <w:t>2.乙方</w:t>
      </w:r>
      <w:r>
        <w:rPr>
          <w:rFonts w:hint="eastAsia" w:ascii="宋体" w:hAnsi="宋体"/>
          <w:szCs w:val="21"/>
          <w:highlight w:val="none"/>
          <w:lang w:val="en-US" w:eastAsia="zh-CN"/>
        </w:rPr>
        <w:t>响应</w:t>
      </w:r>
      <w:r>
        <w:rPr>
          <w:rFonts w:hint="eastAsia" w:ascii="宋体" w:hAnsi="宋体"/>
          <w:szCs w:val="21"/>
          <w:highlight w:val="none"/>
        </w:rPr>
        <w:t>文件中的</w:t>
      </w:r>
      <w:r>
        <w:rPr>
          <w:rFonts w:hint="eastAsia" w:ascii="宋体" w:hAnsi="宋体" w:eastAsia="宋体" w:cs="宋体"/>
          <w:sz w:val="21"/>
          <w:szCs w:val="21"/>
          <w:highlight w:val="none"/>
        </w:rPr>
        <w:t>参与竞争性磋商声明</w:t>
      </w:r>
      <w:r>
        <w:rPr>
          <w:rFonts w:hint="eastAsia" w:ascii="宋体" w:hAnsi="宋体"/>
          <w:szCs w:val="21"/>
          <w:highlight w:val="none"/>
        </w:rPr>
        <w:t>、</w:t>
      </w:r>
      <w:r>
        <w:rPr>
          <w:rFonts w:hint="eastAsia" w:ascii="宋体" w:hAnsi="宋体"/>
          <w:szCs w:val="21"/>
          <w:highlight w:val="none"/>
          <w:lang w:val="en-US" w:eastAsia="zh-CN"/>
        </w:rPr>
        <w:t>竞争性磋商</w:t>
      </w:r>
      <w:r>
        <w:rPr>
          <w:rFonts w:hint="eastAsia" w:ascii="宋体" w:hAnsi="宋体"/>
          <w:szCs w:val="21"/>
          <w:highlight w:val="none"/>
        </w:rPr>
        <w:t>报价表、</w:t>
      </w:r>
      <w:r>
        <w:rPr>
          <w:rFonts w:hint="eastAsia" w:ascii="宋体" w:hAnsi="宋体" w:cs="宋体"/>
          <w:kern w:val="0"/>
          <w:szCs w:val="21"/>
          <w:highlight w:val="none"/>
        </w:rPr>
        <w:t>服务内容及要求、商务要求响应表</w:t>
      </w:r>
      <w:r>
        <w:rPr>
          <w:rFonts w:hint="eastAsia" w:ascii="宋体" w:hAnsi="宋体"/>
          <w:szCs w:val="21"/>
          <w:highlight w:val="none"/>
        </w:rPr>
        <w:t>、</w:t>
      </w:r>
      <w:r>
        <w:rPr>
          <w:rFonts w:hint="eastAsia" w:ascii="宋体" w:hAnsi="宋体" w:cs="宋体"/>
          <w:bCs/>
          <w:szCs w:val="21"/>
          <w:highlight w:val="none"/>
        </w:rPr>
        <w:t>项目实施方案</w:t>
      </w:r>
      <w:r>
        <w:rPr>
          <w:rFonts w:hint="eastAsia" w:ascii="宋体" w:hAnsi="宋体"/>
          <w:szCs w:val="21"/>
          <w:highlight w:val="none"/>
        </w:rPr>
        <w:t>、服务方案；</w:t>
      </w:r>
    </w:p>
    <w:p w14:paraId="3A96D9C3">
      <w:pPr>
        <w:snapToGrid w:val="0"/>
        <w:spacing w:line="360" w:lineRule="exact"/>
        <w:ind w:firstLine="420" w:firstLineChars="200"/>
        <w:rPr>
          <w:rFonts w:ascii="宋体" w:hAnsi="宋体"/>
          <w:szCs w:val="21"/>
          <w:highlight w:val="none"/>
        </w:rPr>
      </w:pPr>
      <w:r>
        <w:rPr>
          <w:rFonts w:hint="eastAsia" w:ascii="宋体" w:hAnsi="宋体"/>
          <w:szCs w:val="21"/>
          <w:highlight w:val="none"/>
        </w:rPr>
        <w:t>3.乙方的</w:t>
      </w:r>
      <w:r>
        <w:rPr>
          <w:rFonts w:hint="eastAsia" w:ascii="宋体" w:hAnsi="宋体"/>
          <w:szCs w:val="21"/>
          <w:highlight w:val="none"/>
          <w:lang w:val="en-US" w:eastAsia="zh-CN"/>
        </w:rPr>
        <w:t>成交</w:t>
      </w:r>
      <w:r>
        <w:rPr>
          <w:rFonts w:hint="eastAsia" w:ascii="宋体" w:hAnsi="宋体"/>
          <w:szCs w:val="21"/>
          <w:highlight w:val="none"/>
        </w:rPr>
        <w:t>通知书。</w:t>
      </w:r>
    </w:p>
    <w:p w14:paraId="0F71E606">
      <w:pPr>
        <w:spacing w:line="360" w:lineRule="exact"/>
        <w:ind w:firstLine="413" w:firstLineChars="196"/>
        <w:rPr>
          <w:rFonts w:ascii="宋体" w:hAnsi="宋体"/>
          <w:b/>
          <w:szCs w:val="21"/>
          <w:highlight w:val="none"/>
        </w:rPr>
      </w:pPr>
      <w:r>
        <w:rPr>
          <w:rFonts w:hint="eastAsia" w:ascii="宋体" w:hAnsi="宋体"/>
          <w:b/>
          <w:szCs w:val="21"/>
          <w:highlight w:val="none"/>
        </w:rPr>
        <w:t>第二条 合同标的及合同金额</w:t>
      </w:r>
    </w:p>
    <w:p w14:paraId="31AF9317">
      <w:pPr>
        <w:snapToGrid w:val="0"/>
        <w:spacing w:line="360" w:lineRule="exact"/>
        <w:ind w:firstLine="420" w:firstLineChars="200"/>
        <w:rPr>
          <w:rFonts w:ascii="宋体" w:hAnsi="宋体"/>
          <w:szCs w:val="21"/>
          <w:highlight w:val="none"/>
        </w:rPr>
      </w:pPr>
      <w:r>
        <w:rPr>
          <w:rFonts w:hint="eastAsia" w:ascii="宋体" w:hAnsi="宋体"/>
          <w:szCs w:val="21"/>
          <w:highlight w:val="none"/>
        </w:rPr>
        <w:t>1.医用织物洗涤（含消毒等）服务1项。</w:t>
      </w:r>
    </w:p>
    <w:p w14:paraId="65B33915">
      <w:pPr>
        <w:snapToGrid w:val="0"/>
        <w:spacing w:line="360" w:lineRule="exact"/>
        <w:ind w:firstLine="420" w:firstLineChars="200"/>
        <w:rPr>
          <w:rFonts w:ascii="宋体" w:hAnsi="宋体"/>
          <w:highlight w:val="none"/>
        </w:rPr>
      </w:pPr>
      <w:r>
        <w:rPr>
          <w:rFonts w:hint="eastAsia" w:ascii="宋体" w:hAnsi="宋体"/>
          <w:szCs w:val="21"/>
          <w:highlight w:val="none"/>
        </w:rPr>
        <w:t>2.各类医用织物洗涤（含消毒等）</w:t>
      </w:r>
      <w:r>
        <w:rPr>
          <w:rFonts w:ascii="宋体" w:hAnsi="宋体"/>
          <w:highlight w:val="none"/>
        </w:rPr>
        <w:t>单价最高限价，详见下表。</w:t>
      </w:r>
    </w:p>
    <w:p w14:paraId="3ACA7727">
      <w:pPr>
        <w:spacing w:line="360" w:lineRule="exact"/>
        <w:ind w:firstLine="413" w:firstLineChars="196"/>
        <w:rPr>
          <w:rFonts w:hint="eastAsia" w:ascii="宋体" w:hAnsi="宋体"/>
          <w:b/>
          <w:szCs w:val="21"/>
          <w:highlight w:val="none"/>
        </w:rPr>
      </w:pPr>
      <w:r>
        <w:rPr>
          <w:rFonts w:hint="eastAsia" w:ascii="宋体" w:hAnsi="宋体"/>
          <w:b/>
          <w:szCs w:val="21"/>
          <w:highlight w:val="none"/>
        </w:rPr>
        <w:t>各类医用织物洗涤（含消毒等）单价最高限价明细表</w:t>
      </w:r>
    </w:p>
    <w:tbl>
      <w:tblPr>
        <w:tblStyle w:val="30"/>
        <w:tblW w:w="6705" w:type="dxa"/>
        <w:tblInd w:w="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2700"/>
        <w:gridCol w:w="2760"/>
      </w:tblGrid>
      <w:tr w14:paraId="1F13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974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6C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医用织物名称</w:t>
            </w:r>
          </w:p>
        </w:tc>
        <w:tc>
          <w:tcPr>
            <w:tcW w:w="2760" w:type="dxa"/>
            <w:tcBorders>
              <w:top w:val="single" w:color="000000" w:sz="4" w:space="0"/>
              <w:left w:val="single" w:color="000000" w:sz="4" w:space="0"/>
              <w:bottom w:val="nil"/>
              <w:right w:val="single" w:color="000000" w:sz="4" w:space="0"/>
            </w:tcBorders>
            <w:shd w:val="clear" w:color="auto" w:fill="auto"/>
            <w:vAlign w:val="center"/>
          </w:tcPr>
          <w:p w14:paraId="0630231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rPr>
              <w:t>最高限价</w:t>
            </w:r>
          </w:p>
        </w:tc>
      </w:tr>
      <w:tr w14:paraId="0564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A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被套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78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w:t>
            </w:r>
          </w:p>
        </w:tc>
      </w:tr>
      <w:tr w14:paraId="2928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BB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0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45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3277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7C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EF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枕套、枕巾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4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0.65</w:t>
            </w:r>
          </w:p>
        </w:tc>
      </w:tr>
      <w:tr w14:paraId="1E97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9E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F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0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5BE0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EC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病裤</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CA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7A30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11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C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手术衣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7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r>
      <w:tr w14:paraId="5F56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2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5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52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7329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B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CF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洗手裤</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28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32A3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6B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3A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大中孔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2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w:t>
            </w:r>
          </w:p>
        </w:tc>
      </w:tr>
      <w:tr w14:paraId="15FC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89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A2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小孔</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18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0.9</w:t>
            </w:r>
          </w:p>
        </w:tc>
      </w:tr>
      <w:tr w14:paraId="20A8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F9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F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A6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7E79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35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1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胶单</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F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w:t>
            </w:r>
          </w:p>
        </w:tc>
      </w:tr>
      <w:tr w14:paraId="0D1F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E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裤套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4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2D32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1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6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连衣裙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CA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r>
      <w:tr w14:paraId="7D6C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1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9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治疗巾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9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4D87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D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0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三角巾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4A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5AFD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C3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36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大包布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8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r>
      <w:tr w14:paraId="4524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4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5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小包布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9D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620A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2C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0C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围帘、床帘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E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w:t>
            </w:r>
          </w:p>
        </w:tc>
      </w:tr>
      <w:tr w14:paraId="6C4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A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68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台布</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9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0785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FB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2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毛毛衣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5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092C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1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53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毛毛被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AC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4626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4F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1F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小毛巾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C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w:t>
            </w:r>
          </w:p>
        </w:tc>
      </w:tr>
      <w:tr w14:paraId="3308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0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5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牵引带腹带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A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700E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3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96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大窗帘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F5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2.7</w:t>
            </w:r>
          </w:p>
        </w:tc>
      </w:tr>
      <w:tr w14:paraId="5253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42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14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小窗帘</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C4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1FBA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4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BE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席子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77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1190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3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37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蚊帐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A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r>
      <w:tr w14:paraId="0F85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C1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5E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3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0.8</w:t>
            </w:r>
          </w:p>
        </w:tc>
      </w:tr>
      <w:tr w14:paraId="4E2F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9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C8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工衣</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A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2.1</w:t>
            </w:r>
          </w:p>
        </w:tc>
      </w:tr>
      <w:tr w14:paraId="11B3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85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C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工裤</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4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r>
      <w:tr w14:paraId="6CE9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BD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E9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毛巾被</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4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2.6</w:t>
            </w:r>
          </w:p>
        </w:tc>
      </w:tr>
      <w:tr w14:paraId="2B9A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9C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7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毛毯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E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6.8</w:t>
            </w:r>
          </w:p>
        </w:tc>
      </w:tr>
      <w:tr w14:paraId="42C4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3D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F1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拖把头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9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0466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E5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C9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绑、腹带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B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0440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23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A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帽子</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F8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0.7</w:t>
            </w:r>
          </w:p>
        </w:tc>
      </w:tr>
      <w:tr w14:paraId="571A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0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F6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枕芯</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2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r>
      <w:tr w14:paraId="04C0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00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22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布袋</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6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0.67</w:t>
            </w:r>
          </w:p>
        </w:tc>
      </w:tr>
      <w:tr w14:paraId="2EC4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2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浴巾</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8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0.8</w:t>
            </w:r>
          </w:p>
        </w:tc>
      </w:tr>
    </w:tbl>
    <w:p w14:paraId="696E763C">
      <w:pPr>
        <w:spacing w:line="360" w:lineRule="exact"/>
        <w:ind w:firstLine="411" w:firstLineChars="196"/>
        <w:rPr>
          <w:rFonts w:hint="default" w:ascii="宋体" w:hAnsi="宋体" w:eastAsia="宋体" w:cs="宋体"/>
          <w:kern w:val="0"/>
          <w:szCs w:val="21"/>
          <w:highlight w:val="none"/>
          <w:u w:val="single"/>
          <w:lang w:val="en-US" w:eastAsia="zh-CN"/>
        </w:rPr>
      </w:pPr>
      <w:r>
        <w:rPr>
          <w:rFonts w:hint="eastAsia" w:ascii="宋体" w:hAnsi="宋体" w:cs="宋体"/>
          <w:kern w:val="0"/>
          <w:szCs w:val="21"/>
          <w:highlight w:val="none"/>
        </w:rPr>
        <w:t>3.各类医用织物洗涤（含消毒等）综合折扣率（即</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综合折扣率）：</w:t>
      </w:r>
      <w:r>
        <w:rPr>
          <w:rFonts w:hint="eastAsia" w:ascii="宋体" w:hAnsi="宋体" w:cs="宋体"/>
          <w:kern w:val="0"/>
          <w:szCs w:val="21"/>
          <w:highlight w:val="none"/>
          <w:u w:val="single"/>
          <w:lang w:val="en-US" w:eastAsia="zh-CN"/>
        </w:rPr>
        <w:t xml:space="preserve">       </w:t>
      </w:r>
    </w:p>
    <w:p w14:paraId="1CF5B95C">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说明：</w:t>
      </w:r>
    </w:p>
    <w:p w14:paraId="052FA66D">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（1）“综合折扣率”是指各类医用织物洗涤（含消毒等）服务单价最高限价的百分比。</w:t>
      </w:r>
    </w:p>
    <w:p w14:paraId="61972973">
      <w:pPr>
        <w:spacing w:line="360" w:lineRule="exact"/>
        <w:ind w:firstLine="420" w:firstLineChars="200"/>
        <w:rPr>
          <w:rFonts w:hint="eastAsia" w:hAnsi="宋体" w:cs="宋体"/>
          <w:highlight w:val="none"/>
        </w:rPr>
      </w:pPr>
      <w:r>
        <w:rPr>
          <w:rFonts w:hint="eastAsia" w:hAnsi="宋体" w:cs="宋体"/>
          <w:highlight w:val="none"/>
        </w:rPr>
        <w:t>（</w:t>
      </w:r>
      <w:r>
        <w:rPr>
          <w:rFonts w:hAnsi="宋体" w:cs="宋体"/>
          <w:highlight w:val="none"/>
        </w:rPr>
        <w:t>2</w:t>
      </w:r>
      <w:r>
        <w:rPr>
          <w:rFonts w:hint="eastAsia" w:hAnsi="宋体" w:cs="宋体"/>
          <w:highlight w:val="none"/>
        </w:rPr>
        <w:t>）综合折扣率包含本次服务范围的所有收集费、运送费、清洗费、消毒费、缝补费、熨烫费、折叠费、保管费、管理费</w:t>
      </w:r>
      <w:r>
        <w:rPr>
          <w:rFonts w:hint="eastAsia" w:hAnsi="宋体" w:cs="宋体"/>
          <w:highlight w:val="none"/>
        </w:rPr>
        <w:t>、人工费用、差旅费、交通费、税金、利润等所有成本费用。合同实施时，甲方将不予支付完成本项目必须的但乙方没有列入</w:t>
      </w:r>
      <w:r>
        <w:rPr>
          <w:rFonts w:hint="eastAsia" w:hAnsi="宋体" w:cs="宋体"/>
          <w:highlight w:val="none"/>
          <w:lang w:val="en-US" w:eastAsia="zh-CN"/>
        </w:rPr>
        <w:t>竞争性磋商</w:t>
      </w:r>
      <w:r>
        <w:rPr>
          <w:rFonts w:hint="eastAsia" w:hAnsi="宋体" w:cs="宋体"/>
          <w:highlight w:val="none"/>
        </w:rPr>
        <w:t>报价（综合折扣率）的费用，并认为此费用已包括在综合折扣率中。</w:t>
      </w:r>
    </w:p>
    <w:p w14:paraId="44D808DC">
      <w:pPr>
        <w:spacing w:line="360" w:lineRule="exact"/>
        <w:ind w:firstLine="422" w:firstLineChars="200"/>
        <w:rPr>
          <w:rFonts w:hint="eastAsia" w:hAnsi="宋体" w:cs="宋体"/>
          <w:szCs w:val="21"/>
          <w:highlight w:val="none"/>
        </w:rPr>
      </w:pPr>
      <w:r>
        <w:rPr>
          <w:rFonts w:hint="eastAsia" w:ascii="宋体" w:hAnsi="宋体" w:cs="宋体"/>
          <w:b/>
          <w:kern w:val="0"/>
          <w:sz w:val="21"/>
          <w:szCs w:val="21"/>
          <w:highlight w:val="none"/>
        </w:rPr>
        <w:t>每月工人人工费用：3名工人每月人工费为固定金额人民币柒仟贰佰元整（¥7200.00）</w:t>
      </w:r>
      <w:r>
        <w:rPr>
          <w:rFonts w:ascii="宋体" w:hAnsi="宋体" w:eastAsia="宋体" w:cs="宋体"/>
          <w:sz w:val="21"/>
          <w:szCs w:val="21"/>
          <w:highlight w:val="none"/>
        </w:rPr>
        <w:t>。</w:t>
      </w:r>
    </w:p>
    <w:p w14:paraId="148422D8">
      <w:pPr>
        <w:spacing w:line="360" w:lineRule="exact"/>
        <w:ind w:firstLine="422" w:firstLineChars="200"/>
        <w:rPr>
          <w:rFonts w:ascii="宋体" w:hAnsi="宋体"/>
          <w:b/>
          <w:kern w:val="0"/>
          <w:szCs w:val="21"/>
          <w:highlight w:val="none"/>
        </w:rPr>
      </w:pPr>
      <w:r>
        <w:rPr>
          <w:rFonts w:hint="eastAsia" w:ascii="宋体" w:hAnsi="宋体"/>
          <w:b/>
          <w:szCs w:val="21"/>
          <w:highlight w:val="none"/>
        </w:rPr>
        <w:t xml:space="preserve">第三条  </w:t>
      </w:r>
      <w:r>
        <w:rPr>
          <w:rFonts w:hint="eastAsia" w:ascii="宋体" w:hAnsi="宋体" w:cs="宋体"/>
          <w:b/>
          <w:kern w:val="0"/>
          <w:szCs w:val="21"/>
          <w:highlight w:val="none"/>
        </w:rPr>
        <w:t>服务内容及要求</w:t>
      </w:r>
    </w:p>
    <w:p w14:paraId="742AB8B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（一）服务内容：</w:t>
      </w:r>
    </w:p>
    <w:p w14:paraId="412C3178">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乙方于服务期限内，负责甲方医用织物的收集、运送、清洗、消毒、缝补、熨烫、折叠、保管等服务。具体洗涤（含消毒等）数量以合同履行过程中实际产生的数量为准。乙方须足额配置人员并按时到岗，甲方可通过签到、巡查、视频等核验出勤；人员缺岗的，甲方按实际缺岗人数扣减对应人工费。</w:t>
      </w:r>
    </w:p>
    <w:p w14:paraId="796F6D11">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（二）服务要求</w:t>
      </w:r>
    </w:p>
    <w:p w14:paraId="43D9F128">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1.厂房环境、设施及管理要求</w:t>
      </w:r>
    </w:p>
    <w:p w14:paraId="410AC0AF">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（1）符合国家环保、工商、卫生、防疫等部门的有关要求。</w:t>
      </w:r>
    </w:p>
    <w:p w14:paraId="448A3850">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（2）乙方洗涤工厂要求符合国家WS/T508-2016《医院医用织物洗涤消毒技术规范》文件要求。</w:t>
      </w:r>
    </w:p>
    <w:p w14:paraId="04BB8499">
      <w:pPr>
        <w:adjustRightInd w:val="0"/>
        <w:snapToGrid w:val="0"/>
        <w:spacing w:line="380" w:lineRule="exact"/>
        <w:ind w:firstLine="420" w:firstLineChars="200"/>
        <w:rPr>
          <w:rFonts w:hint="eastAsia" w:ascii="宋体" w:hAnsi="宋体" w:cs="宋体"/>
          <w:kern w:val="0"/>
          <w:szCs w:val="20"/>
          <w:highlight w:val="none"/>
        </w:rPr>
      </w:pPr>
      <w:r>
        <w:rPr>
          <w:rFonts w:hint="eastAsia" w:ascii="宋体" w:hAnsi="宋体" w:cs="宋体"/>
          <w:kern w:val="0"/>
          <w:szCs w:val="20"/>
          <w:highlight w:val="none"/>
        </w:rPr>
        <w:t>（3）乙方具有洗涤（含消毒等）医用织物要求的设施[包括加热（最高温度达90℃）功能的专用洗涤和烘干设备、烫平等]和专业技术能力。</w:t>
      </w:r>
    </w:p>
    <w:p w14:paraId="1ECE43C3">
      <w:pPr>
        <w:adjustRightInd w:val="0"/>
        <w:snapToGrid w:val="0"/>
        <w:spacing w:line="380" w:lineRule="exact"/>
        <w:ind w:firstLine="420" w:firstLineChars="200"/>
        <w:rPr>
          <w:rFonts w:ascii="宋体" w:hAnsi="宋体" w:eastAsia="宋体" w:cs="宋体"/>
          <w:sz w:val="21"/>
          <w:szCs w:val="21"/>
          <w:highlight w:val="none"/>
        </w:rPr>
      </w:pPr>
      <w:r>
        <w:rPr>
          <w:rFonts w:ascii="宋体" w:hAnsi="宋体" w:eastAsia="宋体" w:cs="宋体"/>
          <w:sz w:val="21"/>
          <w:szCs w:val="21"/>
          <w:highlight w:val="none"/>
        </w:rPr>
        <w:t>（4）乙方洗涤厂区必须设置</w:t>
      </w:r>
      <w:r>
        <w:rPr>
          <w:rStyle w:val="33"/>
          <w:rFonts w:ascii="宋体" w:hAnsi="宋体" w:eastAsia="宋体" w:cs="宋体"/>
          <w:b/>
          <w:bCs/>
          <w:color w:val="1F2329"/>
          <w:sz w:val="21"/>
          <w:szCs w:val="21"/>
          <w:highlight w:val="none"/>
        </w:rPr>
        <w:t>污染区、清洁区</w:t>
      </w:r>
      <w:r>
        <w:rPr>
          <w:rFonts w:ascii="宋体" w:hAnsi="宋体" w:eastAsia="宋体" w:cs="宋体"/>
          <w:sz w:val="21"/>
          <w:szCs w:val="21"/>
          <w:highlight w:val="none"/>
        </w:rPr>
        <w:t>，两区之间设置</w:t>
      </w:r>
      <w:r>
        <w:rPr>
          <w:rStyle w:val="33"/>
          <w:rFonts w:ascii="宋体" w:hAnsi="宋体" w:eastAsia="宋体" w:cs="宋体"/>
          <w:b/>
          <w:bCs/>
          <w:color w:val="1F2329"/>
          <w:sz w:val="21"/>
          <w:szCs w:val="21"/>
          <w:highlight w:val="none"/>
        </w:rPr>
        <w:t>完全物理隔离屏障</w:t>
      </w:r>
      <w:r>
        <w:rPr>
          <w:rFonts w:ascii="宋体" w:hAnsi="宋体" w:eastAsia="宋体" w:cs="宋体"/>
          <w:sz w:val="21"/>
          <w:szCs w:val="21"/>
          <w:highlight w:val="none"/>
        </w:rPr>
        <w:t>，洁污通道独立、无交叉。</w:t>
      </w:r>
    </w:p>
    <w:p w14:paraId="26DF7A75">
      <w:pPr>
        <w:adjustRightInd w:val="0"/>
        <w:snapToGrid w:val="0"/>
        <w:spacing w:line="380" w:lineRule="exact"/>
        <w:ind w:firstLine="420" w:firstLineChars="200"/>
        <w:rPr>
          <w:rFonts w:ascii="宋体" w:hAnsi="宋体" w:eastAsia="宋体" w:cs="宋体"/>
          <w:sz w:val="21"/>
          <w:szCs w:val="21"/>
          <w:highlight w:val="none"/>
        </w:rPr>
      </w:pPr>
      <w:r>
        <w:rPr>
          <w:rFonts w:ascii="宋体" w:hAnsi="宋体" w:eastAsia="宋体" w:cs="宋体"/>
          <w:sz w:val="21"/>
          <w:szCs w:val="21"/>
          <w:highlight w:val="none"/>
        </w:rPr>
        <w:t>（5）乙方必须执行</w:t>
      </w:r>
      <w:r>
        <w:rPr>
          <w:rStyle w:val="33"/>
          <w:rFonts w:ascii="宋体" w:hAnsi="宋体" w:eastAsia="宋体" w:cs="宋体"/>
          <w:b/>
          <w:bCs/>
          <w:color w:val="1F2329"/>
          <w:sz w:val="21"/>
          <w:szCs w:val="21"/>
          <w:highlight w:val="none"/>
        </w:rPr>
        <w:t>专机洗涤</w:t>
      </w:r>
      <w:r>
        <w:rPr>
          <w:rFonts w:ascii="宋体" w:hAnsi="宋体" w:eastAsia="宋体" w:cs="宋体"/>
          <w:sz w:val="21"/>
          <w:szCs w:val="21"/>
          <w:highlight w:val="none"/>
        </w:rPr>
        <w:t>：感染性医用织物、手术室医用织物、新生儿科医用织物须专机洗涤，患者与医务人员使用后的医用织物分机洗涤，严禁混洗。</w:t>
      </w:r>
    </w:p>
    <w:p w14:paraId="452B17ED">
      <w:pPr>
        <w:adjustRightInd w:val="0"/>
        <w:snapToGrid w:val="0"/>
        <w:spacing w:line="380" w:lineRule="exact"/>
        <w:ind w:firstLine="420" w:firstLineChars="200"/>
        <w:rPr>
          <w:rFonts w:hint="eastAsia" w:ascii="宋体" w:hAnsi="宋体" w:cs="宋体"/>
          <w:kern w:val="0"/>
          <w:szCs w:val="21"/>
          <w:highlight w:val="none"/>
        </w:rPr>
      </w:pPr>
      <w:r>
        <w:rPr>
          <w:rFonts w:ascii="宋体" w:hAnsi="宋体" w:eastAsia="宋体" w:cs="宋体"/>
          <w:sz w:val="21"/>
          <w:szCs w:val="21"/>
          <w:highlight w:val="none"/>
        </w:rPr>
        <w:t>（6）耐热医用织物必须执行</w:t>
      </w:r>
      <w:r>
        <w:rPr>
          <w:rStyle w:val="33"/>
          <w:rFonts w:ascii="宋体" w:hAnsi="宋体" w:eastAsia="宋体" w:cs="宋体"/>
          <w:b/>
          <w:bCs/>
          <w:color w:val="1F2329"/>
          <w:sz w:val="21"/>
          <w:szCs w:val="21"/>
          <w:highlight w:val="none"/>
        </w:rPr>
        <w:t>热力消毒强制参数</w:t>
      </w:r>
      <w:r>
        <w:rPr>
          <w:rFonts w:ascii="宋体" w:hAnsi="宋体" w:eastAsia="宋体" w:cs="宋体"/>
          <w:sz w:val="21"/>
          <w:szCs w:val="21"/>
          <w:highlight w:val="none"/>
        </w:rPr>
        <w:t>：</w:t>
      </w:r>
      <w:r>
        <w:rPr>
          <w:rStyle w:val="33"/>
          <w:rFonts w:ascii="宋体" w:hAnsi="宋体" w:eastAsia="宋体" w:cs="宋体"/>
          <w:b/>
          <w:bCs/>
          <w:color w:val="1F2329"/>
          <w:sz w:val="21"/>
          <w:szCs w:val="21"/>
          <w:highlight w:val="none"/>
        </w:rPr>
        <w:t>75℃≥30min</w:t>
      </w:r>
      <w:r>
        <w:rPr>
          <w:rFonts w:ascii="宋体" w:hAnsi="宋体" w:eastAsia="宋体" w:cs="宋体"/>
          <w:sz w:val="21"/>
          <w:szCs w:val="21"/>
          <w:highlight w:val="none"/>
        </w:rPr>
        <w:t xml:space="preserve"> 或 </w:t>
      </w:r>
      <w:r>
        <w:rPr>
          <w:rStyle w:val="33"/>
          <w:rFonts w:ascii="宋体" w:hAnsi="宋体" w:eastAsia="宋体" w:cs="宋体"/>
          <w:b/>
          <w:bCs/>
          <w:color w:val="1F2329"/>
          <w:sz w:val="21"/>
          <w:szCs w:val="21"/>
          <w:highlight w:val="none"/>
        </w:rPr>
        <w:t>80℃≥10min</w:t>
      </w:r>
      <w:r>
        <w:rPr>
          <w:rFonts w:ascii="宋体" w:hAnsi="宋体" w:eastAsia="宋体" w:cs="宋体"/>
          <w:sz w:val="21"/>
          <w:szCs w:val="21"/>
          <w:highlight w:val="none"/>
        </w:rPr>
        <w:t>，设备须留存温度、时间记录备查。</w:t>
      </w:r>
    </w:p>
    <w:p w14:paraId="04C4529D">
      <w:pPr>
        <w:adjustRightInd w:val="0"/>
        <w:snapToGrid w:val="0"/>
        <w:spacing w:line="380" w:lineRule="exact"/>
        <w:ind w:firstLine="420" w:firstLineChars="200"/>
        <w:rPr>
          <w:rFonts w:hint="eastAsia" w:ascii="宋体" w:hAnsi="宋体" w:cs="宋体"/>
          <w:kern w:val="0"/>
          <w:szCs w:val="20"/>
          <w:highlight w:val="none"/>
        </w:rPr>
      </w:pPr>
      <w:r>
        <w:rPr>
          <w:rFonts w:hint="eastAsia" w:ascii="宋体" w:hAnsi="宋体" w:cs="宋体"/>
          <w:kern w:val="0"/>
          <w:szCs w:val="20"/>
          <w:highlight w:val="none"/>
        </w:rPr>
        <w:t>2.感染性医用织物要求</w:t>
      </w:r>
    </w:p>
    <w:p w14:paraId="70DFB047">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0" w:after="0" w:afterAutospacing="0" w:line="360" w:lineRule="auto"/>
        <w:ind w:left="0" w:right="0" w:firstLine="420" w:firstLineChars="200"/>
        <w:jc w:val="left"/>
        <w:rPr>
          <w:rFonts w:hint="eastAsia" w:ascii="宋体" w:hAnsi="宋体" w:cs="宋体"/>
          <w:color w:val="1F2329"/>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Style w:val="33"/>
          <w:rFonts w:hint="eastAsia" w:ascii="宋体" w:hAnsi="宋体" w:cs="宋体"/>
          <w:b/>
          <w:bCs/>
          <w:color w:val="1F2329"/>
          <w:sz w:val="21"/>
          <w:szCs w:val="21"/>
          <w:highlight w:val="none"/>
        </w:rPr>
        <w:t>双层包装</w:t>
      </w:r>
      <w:r>
        <w:rPr>
          <w:rFonts w:hint="eastAsia" w:ascii="宋体" w:hAnsi="宋体" w:cs="宋体"/>
          <w:color w:val="1F2329"/>
          <w:sz w:val="21"/>
          <w:szCs w:val="21"/>
          <w:highlight w:val="none"/>
        </w:rPr>
        <w:t>：感染性医用织物采用</w:t>
      </w:r>
      <w:r>
        <w:rPr>
          <w:rStyle w:val="33"/>
          <w:rFonts w:hint="eastAsia" w:ascii="宋体" w:hAnsi="宋体" w:cs="宋体"/>
          <w:b/>
          <w:bCs/>
          <w:color w:val="1F2329"/>
          <w:sz w:val="21"/>
          <w:szCs w:val="21"/>
          <w:highlight w:val="none"/>
        </w:rPr>
        <w:t>双层黄色医疗废物袋</w:t>
      </w:r>
      <w:r>
        <w:rPr>
          <w:rFonts w:hint="eastAsia" w:ascii="宋体" w:hAnsi="宋体" w:cs="宋体"/>
          <w:color w:val="1F2329"/>
          <w:sz w:val="21"/>
          <w:szCs w:val="21"/>
          <w:highlight w:val="none"/>
        </w:rPr>
        <w:t>密封包装，粘贴红色 “感染性医用织物” 标识，全程密闭、不得拆封。</w:t>
      </w:r>
    </w:p>
    <w:p w14:paraId="712B7D7A">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0" w:after="0" w:afterAutospacing="0" w:line="360" w:lineRule="auto"/>
        <w:ind w:left="0" w:right="0" w:firstLine="420" w:firstLineChars="200"/>
        <w:jc w:val="left"/>
        <w:rPr>
          <w:rFonts w:hint="eastAsia" w:ascii="宋体" w:hAnsi="宋体" w:cs="宋体"/>
          <w:color w:val="1F2329"/>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Style w:val="33"/>
          <w:rFonts w:hint="eastAsia" w:ascii="宋体" w:hAnsi="宋体" w:cs="宋体"/>
          <w:b/>
          <w:bCs/>
          <w:color w:val="1F2329"/>
          <w:sz w:val="21"/>
          <w:szCs w:val="21"/>
          <w:highlight w:val="none"/>
        </w:rPr>
        <w:t>密闭转运</w:t>
      </w:r>
      <w:r>
        <w:rPr>
          <w:rFonts w:hint="eastAsia" w:ascii="宋体" w:hAnsi="宋体" w:cs="宋体"/>
          <w:color w:val="1F2329"/>
          <w:sz w:val="21"/>
          <w:szCs w:val="21"/>
          <w:highlight w:val="none"/>
        </w:rPr>
        <w:t>：使用</w:t>
      </w:r>
      <w:r>
        <w:rPr>
          <w:rStyle w:val="33"/>
          <w:rFonts w:hint="eastAsia" w:ascii="宋体" w:hAnsi="宋体" w:cs="宋体"/>
          <w:b/>
          <w:bCs/>
          <w:color w:val="1F2329"/>
          <w:sz w:val="21"/>
          <w:szCs w:val="21"/>
          <w:highlight w:val="none"/>
        </w:rPr>
        <w:t>专用密闭容器/车辆</w:t>
      </w:r>
      <w:r>
        <w:rPr>
          <w:rFonts w:hint="eastAsia" w:ascii="宋体" w:hAnsi="宋体" w:cs="宋体"/>
          <w:color w:val="1F2329"/>
          <w:sz w:val="21"/>
          <w:szCs w:val="21"/>
          <w:highlight w:val="none"/>
        </w:rPr>
        <w:t>单独转运，严禁与清洁织物混装、混运，转运工具一用一消毒。</w:t>
      </w:r>
    </w:p>
    <w:p w14:paraId="6264ACFE">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0" w:after="0" w:afterAutospacing="0" w:line="360" w:lineRule="auto"/>
        <w:ind w:left="0" w:right="0" w:firstLine="420" w:firstLineChars="200"/>
        <w:jc w:val="left"/>
        <w:rPr>
          <w:rFonts w:hint="eastAsia" w:ascii="宋体" w:hAnsi="宋体" w:cs="宋体"/>
          <w:color w:val="1F2329"/>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Style w:val="33"/>
          <w:rFonts w:hint="eastAsia" w:ascii="宋体" w:hAnsi="宋体" w:cs="宋体"/>
          <w:b/>
          <w:bCs/>
          <w:color w:val="1F2329"/>
          <w:sz w:val="21"/>
          <w:szCs w:val="21"/>
          <w:highlight w:val="none"/>
        </w:rPr>
        <w:t>专机专洗</w:t>
      </w:r>
      <w:r>
        <w:rPr>
          <w:rFonts w:hint="eastAsia" w:ascii="宋体" w:hAnsi="宋体" w:cs="宋体"/>
          <w:color w:val="1F2329"/>
          <w:sz w:val="21"/>
          <w:szCs w:val="21"/>
          <w:highlight w:val="none"/>
        </w:rPr>
        <w:t>：感染性医用织物必须</w:t>
      </w:r>
      <w:r>
        <w:rPr>
          <w:rStyle w:val="33"/>
          <w:rFonts w:hint="eastAsia" w:ascii="宋体" w:hAnsi="宋体" w:cs="宋体"/>
          <w:b/>
          <w:bCs/>
          <w:color w:val="1F2329"/>
          <w:sz w:val="21"/>
          <w:szCs w:val="21"/>
          <w:highlight w:val="none"/>
        </w:rPr>
        <w:t>专机洗涤</w:t>
      </w:r>
      <w:r>
        <w:rPr>
          <w:rFonts w:hint="eastAsia" w:ascii="宋体" w:hAnsi="宋体" w:cs="宋体"/>
          <w:color w:val="1F2329"/>
          <w:sz w:val="21"/>
          <w:szCs w:val="21"/>
          <w:highlight w:val="none"/>
        </w:rPr>
        <w:t>，严禁与其他医用织物混洗，严禁手工洗涤。</w:t>
      </w:r>
    </w:p>
    <w:p w14:paraId="4E2EDDAC">
      <w:pPr>
        <w:adjustRightInd w:val="0"/>
        <w:snapToGrid w:val="0"/>
        <w:spacing w:line="380" w:lineRule="exact"/>
        <w:ind w:firstLine="420" w:firstLineChars="200"/>
        <w:rPr>
          <w:rFonts w:hint="eastAsia" w:ascii="宋体" w:hAnsi="宋体" w:cs="宋体"/>
          <w:kern w:val="0"/>
          <w:szCs w:val="20"/>
          <w:highlight w:val="none"/>
        </w:rPr>
      </w:pPr>
      <w:r>
        <w:rPr>
          <w:rFonts w:hint="eastAsia" w:ascii="宋体" w:hAnsi="宋体" w:cs="宋体"/>
          <w:kern w:val="0"/>
          <w:szCs w:val="20"/>
          <w:highlight w:val="none"/>
          <w:lang w:val="en-US" w:eastAsia="zh-CN"/>
        </w:rPr>
        <w:t>3.</w:t>
      </w:r>
      <w:r>
        <w:rPr>
          <w:rFonts w:hint="eastAsia" w:ascii="宋体" w:hAnsi="宋体" w:cs="宋体"/>
          <w:kern w:val="0"/>
          <w:szCs w:val="20"/>
          <w:highlight w:val="none"/>
        </w:rPr>
        <w:t>服务人员配置及要求：根据甲方目前工作量需求，乙方派遣</w:t>
      </w:r>
      <w:r>
        <w:rPr>
          <w:rFonts w:ascii="宋体" w:hAnsi="宋体" w:cs="宋体"/>
          <w:kern w:val="0"/>
          <w:szCs w:val="20"/>
          <w:highlight w:val="none"/>
        </w:rPr>
        <w:t>3</w:t>
      </w:r>
      <w:r>
        <w:rPr>
          <w:rFonts w:hint="eastAsia" w:ascii="宋体" w:hAnsi="宋体" w:cs="宋体"/>
          <w:kern w:val="0"/>
          <w:szCs w:val="20"/>
          <w:highlight w:val="none"/>
        </w:rPr>
        <w:t>名工人负责甲方院内医用织物的分类、收送等工作。甲方固定负责3名工人人工费用人民币7200元/月（3名工人年人工费用=7200元/月×12个月=86400.00元（该项费用作为不可竞争费用），由甲方每月将该3名工人人工费用转至乙方指定账户，由乙方向该3名工人发放工资，其余工人的人工费用由乙方自行承担。人员的人事关系、人员工资、日常排班由乙方负责，如不按规定配备，按缺岗人数扣发乙方人工费。</w:t>
      </w:r>
    </w:p>
    <w:p w14:paraId="2C4D5DE5">
      <w:pPr>
        <w:adjustRightInd w:val="0"/>
        <w:snapToGrid w:val="0"/>
        <w:spacing w:line="380" w:lineRule="exact"/>
        <w:ind w:firstLine="422" w:firstLineChars="200"/>
        <w:rPr>
          <w:rStyle w:val="33"/>
          <w:rFonts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val="en-US" w:eastAsia="zh-CN"/>
        </w:rPr>
        <w:t>4.</w:t>
      </w:r>
      <w:r>
        <w:rPr>
          <w:rStyle w:val="33"/>
          <w:rFonts w:ascii="宋体" w:hAnsi="宋体" w:eastAsia="宋体" w:cs="宋体"/>
          <w:b/>
          <w:bCs/>
          <w:color w:val="1F2329"/>
          <w:sz w:val="21"/>
          <w:szCs w:val="21"/>
          <w:highlight w:val="none"/>
        </w:rPr>
        <w:t>质量标准要求</w:t>
      </w:r>
    </w:p>
    <w:p w14:paraId="38497FC7">
      <w:pPr>
        <w:adjustRightInd w:val="0"/>
        <w:snapToGrid w:val="0"/>
        <w:spacing w:line="380" w:lineRule="exact"/>
        <w:ind w:firstLine="420" w:firstLineChars="200"/>
        <w:rPr>
          <w:rFonts w:hint="eastAsia" w:ascii="宋体" w:hAnsi="宋体" w:cs="宋体"/>
          <w:kern w:val="0"/>
          <w:szCs w:val="21"/>
          <w:highlight w:val="none"/>
        </w:rPr>
      </w:pPr>
      <w:r>
        <w:rPr>
          <w:rFonts w:ascii="宋体" w:hAnsi="宋体" w:eastAsia="宋体" w:cs="宋体"/>
          <w:sz w:val="21"/>
          <w:szCs w:val="21"/>
          <w:highlight w:val="none"/>
        </w:rPr>
        <w:t>乙方服务必须严格执行</w:t>
      </w:r>
      <w:r>
        <w:rPr>
          <w:rStyle w:val="33"/>
          <w:rFonts w:ascii="宋体" w:hAnsi="宋体" w:eastAsia="宋体" w:cs="宋体"/>
          <w:b/>
          <w:bCs/>
          <w:color w:val="1F2329"/>
          <w:sz w:val="21"/>
          <w:szCs w:val="21"/>
          <w:highlight w:val="none"/>
        </w:rPr>
        <w:t>WS/T 508-2016《医院医用织物洗涤消毒技术规范》</w:t>
      </w:r>
      <w:r>
        <w:rPr>
          <w:rFonts w:ascii="宋体" w:hAnsi="宋体" w:eastAsia="宋体" w:cs="宋体"/>
          <w:sz w:val="21"/>
          <w:szCs w:val="21"/>
          <w:highlight w:val="none"/>
        </w:rPr>
        <w:t>，满足清洁医用织物 pH 值 6.5～7.5、微生物指标合格的强制要求；</w:t>
      </w:r>
      <w:r>
        <w:rPr>
          <w:rFonts w:ascii="宋体" w:hAnsi="宋体" w:eastAsia="宋体" w:cs="宋体"/>
          <w:sz w:val="21"/>
          <w:szCs w:val="21"/>
          <w:highlight w:val="none"/>
        </w:rPr>
        <w:t>每</w:t>
      </w:r>
      <w:r>
        <w:rPr>
          <w:rFonts w:hint="eastAsia" w:ascii="宋体" w:hAnsi="宋体" w:eastAsia="宋体" w:cs="宋体"/>
          <w:sz w:val="21"/>
          <w:szCs w:val="21"/>
          <w:highlight w:val="none"/>
          <w:lang w:val="en-US" w:eastAsia="zh-CN"/>
        </w:rPr>
        <w:t>半年</w:t>
      </w:r>
      <w:r>
        <w:rPr>
          <w:rFonts w:ascii="宋体" w:hAnsi="宋体" w:eastAsia="宋体" w:cs="宋体"/>
          <w:sz w:val="21"/>
          <w:szCs w:val="21"/>
          <w:highlight w:val="none"/>
        </w:rPr>
        <w:t>度</w:t>
      </w:r>
      <w:r>
        <w:rPr>
          <w:rFonts w:ascii="宋体" w:hAnsi="宋体" w:eastAsia="宋体" w:cs="宋体"/>
          <w:sz w:val="21"/>
          <w:szCs w:val="21"/>
          <w:highlight w:val="none"/>
        </w:rPr>
        <w:t>主动提供疾病预防控制中心出具的合格检测报告，检测费用由乙方承担。</w:t>
      </w:r>
    </w:p>
    <w:p w14:paraId="45242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rFonts w:hint="eastAsia" w:ascii="宋体" w:hAnsi="宋体" w:cs="宋体"/>
          <w:color w:val="1F2329"/>
          <w:sz w:val="21"/>
          <w:szCs w:val="21"/>
          <w:highlight w:val="none"/>
        </w:rPr>
      </w:pPr>
      <w:r>
        <w:rPr>
          <w:rFonts w:hint="eastAsia" w:ascii="宋体" w:hAnsi="宋体" w:eastAsia="宋体" w:cs="宋体"/>
          <w:color w:val="1F2329"/>
          <w:kern w:val="0"/>
          <w:sz w:val="21"/>
          <w:szCs w:val="21"/>
          <w:highlight w:val="none"/>
          <w:lang w:val="en-US" w:eastAsia="zh-CN" w:bidi="ar"/>
        </w:rPr>
        <w:t>5.</w:t>
      </w:r>
      <w:r>
        <w:rPr>
          <w:rFonts w:ascii="宋体" w:hAnsi="宋体" w:eastAsia="宋体" w:cs="宋体"/>
          <w:color w:val="1F2329"/>
          <w:kern w:val="0"/>
          <w:sz w:val="21"/>
          <w:szCs w:val="21"/>
          <w:highlight w:val="none"/>
          <w:lang w:val="en-US" w:eastAsia="zh-CN" w:bidi="ar"/>
        </w:rPr>
        <w:t>乙方须严格执行</w:t>
      </w:r>
      <w:r>
        <w:rPr>
          <w:rStyle w:val="33"/>
          <w:rFonts w:ascii="宋体" w:hAnsi="宋体" w:eastAsia="宋体" w:cs="宋体"/>
          <w:b/>
          <w:bCs/>
          <w:color w:val="1F2329"/>
          <w:kern w:val="0"/>
          <w:sz w:val="21"/>
          <w:szCs w:val="21"/>
          <w:highlight w:val="none"/>
          <w:lang w:val="en-US" w:eastAsia="zh-CN" w:bidi="ar"/>
        </w:rPr>
        <w:t>重大疫情、批量污染、织物丢失破损</w:t>
      </w:r>
      <w:r>
        <w:rPr>
          <w:rFonts w:ascii="宋体" w:hAnsi="宋体" w:eastAsia="宋体" w:cs="宋体"/>
          <w:color w:val="1F2329"/>
          <w:kern w:val="0"/>
          <w:sz w:val="21"/>
          <w:szCs w:val="21"/>
          <w:highlight w:val="none"/>
          <w:lang w:val="en-US" w:eastAsia="zh-CN" w:bidi="ar"/>
        </w:rPr>
        <w:t>专项应急预案。</w:t>
      </w:r>
    </w:p>
    <w:p w14:paraId="3AF3E7C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2" w:firstLineChars="200"/>
        <w:jc w:val="left"/>
        <w:rPr>
          <w:rStyle w:val="33"/>
          <w:rFonts w:hint="eastAsia" w:ascii="宋体" w:hAnsi="宋体" w:eastAsia="宋体" w:cs="宋体"/>
          <w:b/>
          <w:bCs/>
          <w:color w:val="1F2329"/>
          <w:sz w:val="21"/>
          <w:szCs w:val="21"/>
          <w:highlight w:val="none"/>
        </w:rPr>
      </w:pPr>
      <w:r>
        <w:rPr>
          <w:rStyle w:val="33"/>
          <w:rFonts w:hint="eastAsia" w:ascii="宋体" w:hAnsi="宋体" w:cs="宋体"/>
          <w:b/>
          <w:bCs/>
          <w:color w:val="1F2329"/>
          <w:sz w:val="21"/>
          <w:szCs w:val="21"/>
          <w:highlight w:val="none"/>
          <w:lang w:eastAsia="zh-CN"/>
        </w:rPr>
        <w:t>（</w:t>
      </w:r>
      <w:r>
        <w:rPr>
          <w:rStyle w:val="33"/>
          <w:rFonts w:hint="eastAsia" w:ascii="宋体" w:hAnsi="宋体" w:cs="宋体"/>
          <w:b/>
          <w:bCs/>
          <w:color w:val="1F2329"/>
          <w:sz w:val="21"/>
          <w:szCs w:val="21"/>
          <w:highlight w:val="none"/>
          <w:lang w:val="en-US" w:eastAsia="zh-CN"/>
        </w:rPr>
        <w:t>1</w:t>
      </w:r>
      <w:r>
        <w:rPr>
          <w:rStyle w:val="33"/>
          <w:rFonts w:hint="eastAsia" w:ascii="宋体" w:hAnsi="宋体" w:cs="宋体"/>
          <w:b/>
          <w:bCs/>
          <w:color w:val="1F2329"/>
          <w:sz w:val="21"/>
          <w:szCs w:val="21"/>
          <w:highlight w:val="none"/>
          <w:lang w:eastAsia="zh-CN"/>
        </w:rPr>
        <w:t>）</w:t>
      </w:r>
      <w:r>
        <w:rPr>
          <w:rStyle w:val="33"/>
          <w:rFonts w:hint="eastAsia" w:ascii="宋体" w:hAnsi="宋体" w:cs="宋体"/>
          <w:b/>
          <w:bCs/>
          <w:color w:val="1F2329"/>
          <w:sz w:val="21"/>
          <w:szCs w:val="21"/>
          <w:highlight w:val="none"/>
        </w:rPr>
        <w:t>重大疫情应急</w:t>
      </w:r>
    </w:p>
    <w:p w14:paraId="14097E8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rFonts w:hint="eastAsia" w:ascii="宋体" w:hAnsi="宋体" w:cs="宋体"/>
          <w:color w:val="1F2329"/>
          <w:sz w:val="21"/>
          <w:szCs w:val="21"/>
          <w:highlight w:val="none"/>
        </w:rPr>
      </w:pPr>
      <w:r>
        <w:rPr>
          <w:rFonts w:hint="eastAsia" w:ascii="宋体" w:hAnsi="宋体" w:cs="宋体"/>
          <w:color w:val="1F2329"/>
          <w:sz w:val="21"/>
          <w:szCs w:val="21"/>
          <w:highlight w:val="none"/>
        </w:rPr>
        <w:t>发生重大疫情时，乙方须立即启动闭环管控，强化消毒与防护，保障织物不间断供应，1 小时内向甲方报备处置方案。</w:t>
      </w:r>
    </w:p>
    <w:p w14:paraId="31D13AD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420" w:leftChars="200" w:right="0" w:firstLine="0" w:firstLineChars="0"/>
        <w:jc w:val="left"/>
        <w:rPr>
          <w:rStyle w:val="33"/>
          <w:rFonts w:hint="eastAsia"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eastAsia="zh-CN"/>
        </w:rPr>
        <w:t>（</w:t>
      </w:r>
      <w:r>
        <w:rPr>
          <w:rStyle w:val="33"/>
          <w:rFonts w:hint="eastAsia" w:ascii="宋体" w:hAnsi="宋体" w:eastAsia="宋体" w:cs="宋体"/>
          <w:b/>
          <w:bCs/>
          <w:color w:val="1F2329"/>
          <w:sz w:val="21"/>
          <w:szCs w:val="21"/>
          <w:highlight w:val="none"/>
          <w:lang w:val="en-US" w:eastAsia="zh-CN"/>
        </w:rPr>
        <w:t>2</w:t>
      </w:r>
      <w:r>
        <w:rPr>
          <w:rStyle w:val="33"/>
          <w:rFonts w:hint="eastAsia" w:ascii="宋体" w:hAnsi="宋体" w:eastAsia="宋体" w:cs="宋体"/>
          <w:b/>
          <w:bCs/>
          <w:color w:val="1F2329"/>
          <w:sz w:val="21"/>
          <w:szCs w:val="21"/>
          <w:highlight w:val="none"/>
          <w:lang w:eastAsia="zh-CN"/>
        </w:rPr>
        <w:t>）</w:t>
      </w:r>
      <w:r>
        <w:rPr>
          <w:rStyle w:val="33"/>
          <w:rFonts w:hint="eastAsia" w:ascii="宋体" w:hAnsi="宋体" w:cs="宋体"/>
          <w:b/>
          <w:bCs/>
          <w:color w:val="1F2329"/>
          <w:sz w:val="21"/>
          <w:szCs w:val="21"/>
          <w:highlight w:val="none"/>
        </w:rPr>
        <w:t>批量污染应急</w:t>
      </w:r>
    </w:p>
    <w:p w14:paraId="6A3626F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rFonts w:hint="eastAsia" w:ascii="宋体" w:hAnsi="宋体" w:cs="宋体"/>
          <w:color w:val="1F2329"/>
          <w:sz w:val="21"/>
          <w:szCs w:val="21"/>
          <w:highlight w:val="none"/>
        </w:rPr>
      </w:pPr>
      <w:r>
        <w:rPr>
          <w:rFonts w:hint="eastAsia" w:ascii="宋体" w:hAnsi="宋体" w:cs="宋体"/>
          <w:color w:val="1F2329"/>
          <w:sz w:val="21"/>
          <w:szCs w:val="21"/>
          <w:highlight w:val="none"/>
        </w:rPr>
        <w:t>发生批量污染时，乙方须即刻隔离、密闭转运、专机专洗、终末消毒，4 小时内完成处置与溯源，杜绝院感风险。</w:t>
      </w:r>
    </w:p>
    <w:p w14:paraId="515081C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420" w:leftChars="200" w:right="0" w:firstLine="0" w:firstLineChars="0"/>
        <w:jc w:val="left"/>
        <w:rPr>
          <w:rStyle w:val="33"/>
          <w:rFonts w:hint="eastAsia" w:ascii="宋体" w:hAnsi="宋体" w:eastAsia="宋体" w:cs="宋体"/>
          <w:b/>
          <w:bCs/>
          <w:color w:val="1F2329"/>
          <w:sz w:val="21"/>
          <w:szCs w:val="21"/>
          <w:highlight w:val="none"/>
        </w:rPr>
      </w:pPr>
      <w:r>
        <w:rPr>
          <w:rStyle w:val="33"/>
          <w:rFonts w:hint="eastAsia" w:ascii="宋体" w:hAnsi="宋体" w:eastAsia="宋体" w:cs="宋体"/>
          <w:b/>
          <w:bCs/>
          <w:color w:val="1F2329"/>
          <w:sz w:val="21"/>
          <w:szCs w:val="21"/>
          <w:highlight w:val="none"/>
          <w:lang w:eastAsia="zh-CN"/>
        </w:rPr>
        <w:t>（</w:t>
      </w:r>
      <w:r>
        <w:rPr>
          <w:rStyle w:val="33"/>
          <w:rFonts w:hint="eastAsia" w:ascii="宋体" w:hAnsi="宋体" w:eastAsia="宋体" w:cs="宋体"/>
          <w:b/>
          <w:bCs/>
          <w:color w:val="1F2329"/>
          <w:sz w:val="21"/>
          <w:szCs w:val="21"/>
          <w:highlight w:val="none"/>
          <w:lang w:val="en-US" w:eastAsia="zh-CN"/>
        </w:rPr>
        <w:t>3</w:t>
      </w:r>
      <w:r>
        <w:rPr>
          <w:rStyle w:val="33"/>
          <w:rFonts w:hint="eastAsia" w:ascii="宋体" w:hAnsi="宋体" w:eastAsia="宋体" w:cs="宋体"/>
          <w:b/>
          <w:bCs/>
          <w:color w:val="1F2329"/>
          <w:sz w:val="21"/>
          <w:szCs w:val="21"/>
          <w:highlight w:val="none"/>
          <w:lang w:eastAsia="zh-CN"/>
        </w:rPr>
        <w:t>）</w:t>
      </w:r>
      <w:r>
        <w:rPr>
          <w:rStyle w:val="33"/>
          <w:rFonts w:hint="eastAsia" w:ascii="宋体" w:hAnsi="宋体" w:cs="宋体"/>
          <w:b/>
          <w:bCs/>
          <w:color w:val="1F2329"/>
          <w:sz w:val="21"/>
          <w:szCs w:val="21"/>
          <w:highlight w:val="none"/>
        </w:rPr>
        <w:t>织物丢失破损应急</w:t>
      </w:r>
    </w:p>
    <w:p w14:paraId="2C69BCE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leftChars="0" w:right="0" w:firstLine="420" w:firstLineChars="200"/>
        <w:jc w:val="left"/>
        <w:rPr>
          <w:highlight w:val="none"/>
        </w:rPr>
      </w:pPr>
      <w:r>
        <w:rPr>
          <w:rFonts w:hint="eastAsia" w:ascii="宋体" w:hAnsi="宋体" w:cs="宋体"/>
          <w:color w:val="1F2329"/>
          <w:sz w:val="21"/>
          <w:szCs w:val="21"/>
          <w:highlight w:val="none"/>
        </w:rPr>
        <w:t>发生织物丢失、批量破损时，乙方须 1 小时内核查、2 小时内补齐应急织物，按约定即时赔付，完善台账管控。</w:t>
      </w:r>
    </w:p>
    <w:p w14:paraId="5845C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color w:val="1F2329"/>
          <w:sz w:val="21"/>
          <w:szCs w:val="21"/>
          <w:highlight w:val="none"/>
        </w:rPr>
      </w:pPr>
      <w:r>
        <w:rPr>
          <w:rFonts w:hint="eastAsia" w:ascii="宋体" w:hAnsi="宋体" w:eastAsia="宋体" w:cs="宋体"/>
          <w:color w:val="1F2329"/>
          <w:kern w:val="0"/>
          <w:sz w:val="21"/>
          <w:szCs w:val="21"/>
          <w:highlight w:val="none"/>
          <w:lang w:val="en-US" w:eastAsia="zh-CN" w:bidi="ar"/>
        </w:rPr>
        <w:t>5.</w:t>
      </w:r>
      <w:r>
        <w:rPr>
          <w:rFonts w:ascii="宋体" w:hAnsi="宋体" w:eastAsia="宋体" w:cs="宋体"/>
          <w:color w:val="1F2329"/>
          <w:kern w:val="0"/>
          <w:sz w:val="21"/>
          <w:szCs w:val="21"/>
          <w:highlight w:val="none"/>
          <w:lang w:val="en-US" w:eastAsia="zh-CN" w:bidi="ar"/>
        </w:rPr>
        <w:t>疾控中心抽检不合格处置</w:t>
      </w:r>
    </w:p>
    <w:p w14:paraId="2D23017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color w:val="1F2329"/>
          <w:sz w:val="21"/>
          <w:szCs w:val="21"/>
          <w:highlight w:val="none"/>
        </w:rPr>
      </w:pPr>
      <w:r>
        <w:rPr>
          <w:rFonts w:hint="eastAsia"/>
          <w:color w:val="1F2329"/>
          <w:sz w:val="21"/>
          <w:szCs w:val="21"/>
          <w:highlight w:val="none"/>
          <w:lang w:eastAsia="zh-CN"/>
        </w:rPr>
        <w:t>（</w:t>
      </w:r>
      <w:r>
        <w:rPr>
          <w:rFonts w:hint="eastAsia"/>
          <w:color w:val="1F2329"/>
          <w:sz w:val="21"/>
          <w:szCs w:val="21"/>
          <w:highlight w:val="none"/>
          <w:lang w:val="en-US" w:eastAsia="zh-CN"/>
        </w:rPr>
        <w:t>1</w:t>
      </w:r>
      <w:r>
        <w:rPr>
          <w:rFonts w:hint="eastAsia"/>
          <w:color w:val="1F2329"/>
          <w:sz w:val="21"/>
          <w:szCs w:val="21"/>
          <w:highlight w:val="none"/>
          <w:lang w:eastAsia="zh-CN"/>
        </w:rPr>
        <w:t>）</w:t>
      </w:r>
      <w:r>
        <w:rPr>
          <w:color w:val="1F2329"/>
          <w:sz w:val="21"/>
          <w:szCs w:val="21"/>
          <w:highlight w:val="none"/>
        </w:rPr>
        <w:t>首次抽检不合格：乙方须</w:t>
      </w:r>
      <w:r>
        <w:rPr>
          <w:rStyle w:val="33"/>
          <w:b/>
          <w:bCs/>
          <w:color w:val="1F2329"/>
          <w:sz w:val="21"/>
          <w:szCs w:val="21"/>
          <w:highlight w:val="none"/>
        </w:rPr>
        <w:t>立即暂停服务</w:t>
      </w:r>
      <w:r>
        <w:rPr>
          <w:color w:val="1F2329"/>
          <w:sz w:val="21"/>
          <w:szCs w:val="21"/>
          <w:highlight w:val="none"/>
        </w:rPr>
        <w:t>，24 小时内上报整改方案，7 日内整改到位；承担应急织物费用，赔付当季洗涤服务费 20%。</w:t>
      </w:r>
    </w:p>
    <w:p w14:paraId="7AEF4C1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color w:val="1F2329"/>
          <w:sz w:val="21"/>
          <w:szCs w:val="21"/>
          <w:highlight w:val="none"/>
        </w:rPr>
      </w:pPr>
      <w:r>
        <w:rPr>
          <w:rFonts w:hint="eastAsia"/>
          <w:color w:val="1F2329"/>
          <w:sz w:val="21"/>
          <w:szCs w:val="21"/>
          <w:highlight w:val="none"/>
          <w:lang w:eastAsia="zh-CN"/>
        </w:rPr>
        <w:t>（</w:t>
      </w:r>
      <w:r>
        <w:rPr>
          <w:rFonts w:hint="eastAsia"/>
          <w:color w:val="1F2329"/>
          <w:sz w:val="21"/>
          <w:szCs w:val="21"/>
          <w:highlight w:val="none"/>
          <w:lang w:val="en-US" w:eastAsia="zh-CN"/>
        </w:rPr>
        <w:t>2</w:t>
      </w:r>
      <w:r>
        <w:rPr>
          <w:rFonts w:hint="eastAsia"/>
          <w:color w:val="1F2329"/>
          <w:sz w:val="21"/>
          <w:szCs w:val="21"/>
          <w:highlight w:val="none"/>
          <w:lang w:eastAsia="zh-CN"/>
        </w:rPr>
        <w:t>）</w:t>
      </w:r>
      <w:r>
        <w:rPr>
          <w:color w:val="1F2329"/>
          <w:sz w:val="21"/>
          <w:szCs w:val="21"/>
          <w:highlight w:val="none"/>
        </w:rPr>
        <w:t>复检不合格：乙方</w:t>
      </w:r>
      <w:r>
        <w:rPr>
          <w:rStyle w:val="33"/>
          <w:b/>
          <w:bCs/>
          <w:color w:val="1F2329"/>
          <w:sz w:val="21"/>
          <w:szCs w:val="21"/>
          <w:highlight w:val="none"/>
        </w:rPr>
        <w:t>全面暂停服务</w:t>
      </w:r>
      <w:r>
        <w:rPr>
          <w:color w:val="1F2329"/>
          <w:sz w:val="21"/>
          <w:szCs w:val="21"/>
          <w:highlight w:val="none"/>
        </w:rPr>
        <w:t>，15 日内完成整改；赔付合同总金额 5%，承担全部损失。</w:t>
      </w:r>
    </w:p>
    <w:p w14:paraId="7FDB218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20" w:firstLineChars="200"/>
        <w:jc w:val="left"/>
        <w:rPr>
          <w:color w:val="1F2329"/>
          <w:sz w:val="21"/>
          <w:szCs w:val="21"/>
          <w:highlight w:val="none"/>
        </w:rPr>
      </w:pPr>
      <w:r>
        <w:rPr>
          <w:rFonts w:hint="eastAsia"/>
          <w:color w:val="1F2329"/>
          <w:sz w:val="21"/>
          <w:szCs w:val="21"/>
          <w:highlight w:val="none"/>
          <w:lang w:eastAsia="zh-CN"/>
        </w:rPr>
        <w:t>（</w:t>
      </w:r>
      <w:r>
        <w:rPr>
          <w:rFonts w:hint="eastAsia"/>
          <w:color w:val="1F2329"/>
          <w:sz w:val="21"/>
          <w:szCs w:val="21"/>
          <w:highlight w:val="none"/>
          <w:lang w:val="en-US" w:eastAsia="zh-CN"/>
        </w:rPr>
        <w:t>3</w:t>
      </w:r>
      <w:r>
        <w:rPr>
          <w:rFonts w:hint="eastAsia"/>
          <w:color w:val="1F2329"/>
          <w:sz w:val="21"/>
          <w:szCs w:val="21"/>
          <w:highlight w:val="none"/>
          <w:lang w:eastAsia="zh-CN"/>
        </w:rPr>
        <w:t>）</w:t>
      </w:r>
      <w:r>
        <w:rPr>
          <w:rFonts w:hint="eastAsia"/>
          <w:color w:val="1F2329"/>
          <w:sz w:val="21"/>
          <w:szCs w:val="21"/>
          <w:highlight w:val="none"/>
        </w:rPr>
        <w:t>复检计入累计次数，累计复检两次不合格，</w:t>
      </w:r>
      <w:r>
        <w:rPr>
          <w:color w:val="1F2329"/>
          <w:sz w:val="21"/>
          <w:szCs w:val="21"/>
          <w:highlight w:val="none"/>
        </w:rPr>
        <w:t>甲方有权</w:t>
      </w:r>
      <w:r>
        <w:rPr>
          <w:rStyle w:val="33"/>
          <w:b/>
          <w:bCs/>
          <w:color w:val="1F2329"/>
          <w:sz w:val="21"/>
          <w:szCs w:val="21"/>
          <w:highlight w:val="none"/>
        </w:rPr>
        <w:t>单方解除合同</w:t>
      </w:r>
      <w:r>
        <w:rPr>
          <w:color w:val="1F2329"/>
          <w:sz w:val="21"/>
          <w:szCs w:val="21"/>
          <w:highlight w:val="none"/>
        </w:rPr>
        <w:t>，乙方赔付全部损失，并无条件退出服务</w:t>
      </w:r>
      <w:r>
        <w:rPr>
          <w:rFonts w:hint="eastAsia"/>
          <w:color w:val="1F2329"/>
          <w:sz w:val="21"/>
          <w:szCs w:val="21"/>
          <w:highlight w:val="none"/>
          <w:lang w:eastAsia="zh-CN"/>
        </w:rPr>
        <w:t>。</w:t>
      </w:r>
    </w:p>
    <w:p w14:paraId="32EE764F">
      <w:pPr>
        <w:spacing w:line="360" w:lineRule="exact"/>
        <w:ind w:firstLine="422" w:firstLineChars="200"/>
        <w:rPr>
          <w:rFonts w:ascii="宋体" w:hAnsi="宋体"/>
          <w:b/>
          <w:szCs w:val="21"/>
          <w:highlight w:val="none"/>
        </w:rPr>
      </w:pPr>
      <w:r>
        <w:rPr>
          <w:rFonts w:hint="eastAsia" w:ascii="宋体" w:hAnsi="宋体"/>
          <w:b/>
          <w:szCs w:val="21"/>
          <w:highlight w:val="none"/>
        </w:rPr>
        <w:t>第四条 服务期限及地点：</w:t>
      </w:r>
    </w:p>
    <w:p w14:paraId="4507AF7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1.服务期限：自签订合同之日起2年。</w:t>
      </w:r>
      <w:r>
        <w:rPr>
          <w:rFonts w:hint="eastAsia" w:ascii="宋体" w:hAnsi="宋体" w:cs="宋体"/>
          <w:szCs w:val="21"/>
          <w:highlight w:val="none"/>
        </w:rPr>
        <w:t>自</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日起至</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日止。</w:t>
      </w:r>
    </w:p>
    <w:p w14:paraId="4C2612B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2.服务地点：桂林市中西医结合医院、桂林市七星区七星社区卫生服务中心、桂林市七星区东江社区卫生服务中心及医院指定地点。</w:t>
      </w:r>
    </w:p>
    <w:p w14:paraId="403A41E5">
      <w:pPr>
        <w:adjustRightInd w:val="0"/>
        <w:snapToGrid w:val="0"/>
        <w:spacing w:line="360" w:lineRule="exact"/>
        <w:ind w:firstLine="422" w:firstLineChars="200"/>
        <w:rPr>
          <w:rFonts w:ascii="宋体" w:hAnsi="宋体" w:cs="宋体"/>
          <w:b/>
          <w:szCs w:val="21"/>
          <w:highlight w:val="none"/>
        </w:rPr>
      </w:pPr>
      <w:r>
        <w:rPr>
          <w:rFonts w:hint="eastAsia" w:ascii="宋体" w:hAnsi="宋体"/>
          <w:b/>
          <w:szCs w:val="21"/>
          <w:highlight w:val="none"/>
        </w:rPr>
        <w:t>第五条  结算</w:t>
      </w:r>
      <w:r>
        <w:rPr>
          <w:rFonts w:hint="eastAsia" w:ascii="宋体" w:hAnsi="宋体"/>
          <w:b/>
          <w:szCs w:val="21"/>
          <w:highlight w:val="none"/>
          <w:lang w:val="en-US" w:eastAsia="zh-CN"/>
        </w:rPr>
        <w:t>方</w:t>
      </w:r>
      <w:r>
        <w:rPr>
          <w:rFonts w:hint="eastAsia" w:ascii="宋体" w:hAnsi="宋体"/>
          <w:b/>
          <w:szCs w:val="21"/>
          <w:highlight w:val="none"/>
        </w:rPr>
        <w:t>法及</w:t>
      </w:r>
      <w:r>
        <w:rPr>
          <w:rFonts w:hint="eastAsia" w:ascii="宋体" w:hAnsi="宋体" w:cs="宋体"/>
          <w:b/>
          <w:szCs w:val="21"/>
          <w:highlight w:val="none"/>
        </w:rPr>
        <w:t>付</w:t>
      </w:r>
      <w:r>
        <w:rPr>
          <w:rFonts w:ascii="宋体" w:hAnsi="宋体" w:cs="宋体"/>
          <w:b/>
          <w:szCs w:val="21"/>
          <w:highlight w:val="none"/>
        </w:rPr>
        <w:t>款</w:t>
      </w:r>
      <w:r>
        <w:rPr>
          <w:rFonts w:hint="eastAsia" w:ascii="宋体" w:hAnsi="宋体" w:cs="宋体"/>
          <w:b/>
          <w:szCs w:val="21"/>
          <w:highlight w:val="none"/>
          <w:lang w:val="en-US" w:eastAsia="zh-CN"/>
        </w:rPr>
        <w:t>方式</w:t>
      </w:r>
    </w:p>
    <w:p w14:paraId="7232B45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（一）结算</w:t>
      </w:r>
      <w:r>
        <w:rPr>
          <w:rFonts w:hint="eastAsia" w:ascii="宋体" w:hAnsi="宋体" w:cs="宋体"/>
          <w:kern w:val="0"/>
          <w:szCs w:val="20"/>
          <w:highlight w:val="none"/>
          <w:lang w:val="en-US" w:eastAsia="zh-CN"/>
        </w:rPr>
        <w:t>方</w:t>
      </w:r>
      <w:r>
        <w:rPr>
          <w:rFonts w:hint="eastAsia" w:ascii="宋体" w:hAnsi="宋体" w:cs="宋体"/>
          <w:kern w:val="0"/>
          <w:szCs w:val="20"/>
          <w:highlight w:val="none"/>
        </w:rPr>
        <w:t>法</w:t>
      </w:r>
    </w:p>
    <w:p w14:paraId="562D8291">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甲方按月结算支付乙方的每月服务费用，包含以下两部分费用【即：每月服务费用</w:t>
      </w:r>
      <w:r>
        <w:rPr>
          <w:rFonts w:ascii="宋体" w:hAnsi="宋体" w:cs="宋体"/>
          <w:kern w:val="0"/>
          <w:szCs w:val="20"/>
          <w:highlight w:val="none"/>
        </w:rPr>
        <w:t>=</w:t>
      </w:r>
      <w:r>
        <w:rPr>
          <w:rFonts w:hint="eastAsia" w:ascii="宋体" w:hAnsi="宋体" w:cs="宋体"/>
          <w:kern w:val="0"/>
          <w:szCs w:val="20"/>
          <w:highlight w:val="none"/>
        </w:rPr>
        <w:t>每月医用织物洗涤（含消毒等）费用</w:t>
      </w:r>
      <w:r>
        <w:rPr>
          <w:rFonts w:ascii="宋体" w:hAnsi="宋体" w:cs="宋体"/>
          <w:kern w:val="0"/>
          <w:szCs w:val="20"/>
          <w:highlight w:val="none"/>
        </w:rPr>
        <w:t>+</w:t>
      </w:r>
      <w:r>
        <w:rPr>
          <w:rFonts w:hint="eastAsia" w:ascii="宋体" w:hAnsi="宋体" w:cs="宋体"/>
          <w:kern w:val="0"/>
          <w:szCs w:val="20"/>
          <w:highlight w:val="none"/>
        </w:rPr>
        <w:t>每月工人人工费用】：</w:t>
      </w:r>
    </w:p>
    <w:p w14:paraId="58DA923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（1）每月医用织物洗涤（含消毒等）费用：甲方将根据每月实际发生的医用织物洗涤（含消毒等）量进行结算，即：每月医用织物洗涤（含消毒等）费用=∑【各类医用织物每月实际发生的洗涤（含消毒等）量×</w:t>
      </w:r>
      <w:r>
        <w:rPr>
          <w:rFonts w:hint="eastAsia" w:ascii="宋体" w:hAnsi="宋体" w:cs="宋体"/>
          <w:kern w:val="0"/>
          <w:szCs w:val="20"/>
          <w:highlight w:val="none"/>
          <w:lang w:val="en-US" w:eastAsia="zh-CN"/>
        </w:rPr>
        <w:t>采购</w:t>
      </w:r>
      <w:r>
        <w:rPr>
          <w:rFonts w:hint="eastAsia" w:ascii="宋体" w:hAnsi="宋体" w:cs="宋体"/>
          <w:kern w:val="0"/>
          <w:szCs w:val="20"/>
          <w:highlight w:val="none"/>
        </w:rPr>
        <w:t>文件“</w:t>
      </w:r>
      <w:r>
        <w:rPr>
          <w:rFonts w:hint="eastAsia" w:ascii="宋体" w:hAnsi="宋体" w:cs="宋体"/>
          <w:kern w:val="0"/>
          <w:szCs w:val="20"/>
          <w:highlight w:val="none"/>
          <w:lang w:val="en-US" w:eastAsia="zh-CN"/>
        </w:rPr>
        <w:t>采购</w:t>
      </w:r>
      <w:r>
        <w:rPr>
          <w:rFonts w:hint="eastAsia" w:ascii="宋体" w:hAnsi="宋体" w:cs="宋体"/>
          <w:kern w:val="0"/>
          <w:szCs w:val="20"/>
          <w:highlight w:val="none"/>
        </w:rPr>
        <w:t>需求”中“各类医用织物洗涤（含消毒等）单价最高限价明细表”中相应的单价最高限价×</w:t>
      </w:r>
      <w:r>
        <w:rPr>
          <w:rFonts w:hint="eastAsia" w:ascii="宋体" w:hAnsi="宋体" w:cs="宋体"/>
          <w:kern w:val="0"/>
          <w:szCs w:val="20"/>
          <w:highlight w:val="none"/>
          <w:lang w:val="en-US" w:eastAsia="zh-CN"/>
        </w:rPr>
        <w:t>成交</w:t>
      </w:r>
      <w:r>
        <w:rPr>
          <w:rFonts w:hint="eastAsia" w:ascii="宋体" w:hAnsi="宋体" w:cs="宋体"/>
          <w:kern w:val="0"/>
          <w:szCs w:val="20"/>
          <w:highlight w:val="none"/>
        </w:rPr>
        <w:t>综合折扣率】；</w:t>
      </w:r>
    </w:p>
    <w:p w14:paraId="5391917C">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注：其中∑表示将各相应医用织物实际发生的洗涤（含消毒等）量结算后的金额进行相加汇总。</w:t>
      </w:r>
    </w:p>
    <w:p w14:paraId="74443466">
      <w:pPr>
        <w:adjustRightInd w:val="0"/>
        <w:snapToGrid w:val="0"/>
        <w:spacing w:line="380" w:lineRule="exact"/>
        <w:ind w:firstLine="420" w:firstLineChars="200"/>
        <w:rPr>
          <w:rFonts w:hint="eastAsia" w:ascii="宋体" w:hAnsi="宋体" w:cs="宋体"/>
          <w:kern w:val="0"/>
          <w:szCs w:val="20"/>
          <w:highlight w:val="none"/>
        </w:rPr>
      </w:pPr>
      <w:r>
        <w:rPr>
          <w:rFonts w:hint="eastAsia" w:ascii="宋体" w:hAnsi="宋体" w:cs="宋体"/>
          <w:kern w:val="0"/>
          <w:szCs w:val="20"/>
          <w:highlight w:val="none"/>
        </w:rPr>
        <w:t>（2）</w:t>
      </w:r>
      <w:r>
        <w:rPr>
          <w:rFonts w:hint="eastAsia" w:hAnsi="宋体" w:cs="宋体"/>
          <w:b/>
          <w:sz w:val="21"/>
          <w:szCs w:val="21"/>
          <w:highlight w:val="none"/>
        </w:rPr>
        <w:t>每月工人人工费用：3名工人每月人工费为固定金额人民币柒仟贰佰元整（¥7200.00）。</w:t>
      </w:r>
    </w:p>
    <w:p w14:paraId="7BE27155">
      <w:pPr>
        <w:adjustRightInd w:val="0"/>
        <w:snapToGrid w:val="0"/>
        <w:spacing w:line="380" w:lineRule="exact"/>
        <w:ind w:firstLine="420" w:firstLineChars="200"/>
        <w:rPr>
          <w:rFonts w:hint="eastAsia" w:ascii="宋体" w:hAnsi="宋体" w:eastAsia="宋体" w:cs="宋体"/>
          <w:kern w:val="0"/>
          <w:szCs w:val="20"/>
          <w:highlight w:val="none"/>
          <w:lang w:eastAsia="zh-CN"/>
        </w:rPr>
      </w:pPr>
      <w:r>
        <w:rPr>
          <w:rFonts w:hint="eastAsia" w:ascii="宋体" w:hAnsi="宋体" w:cs="宋体"/>
          <w:kern w:val="0"/>
          <w:szCs w:val="20"/>
          <w:highlight w:val="none"/>
        </w:rPr>
        <w:t>（二）付款</w:t>
      </w:r>
      <w:r>
        <w:rPr>
          <w:rFonts w:hint="eastAsia" w:ascii="宋体" w:hAnsi="宋体" w:cs="宋体"/>
          <w:kern w:val="0"/>
          <w:szCs w:val="20"/>
          <w:highlight w:val="none"/>
          <w:lang w:val="en-US" w:eastAsia="zh-CN"/>
        </w:rPr>
        <w:t>方式</w:t>
      </w:r>
    </w:p>
    <w:p w14:paraId="6B51B5B0">
      <w:pPr>
        <w:adjustRightInd w:val="0"/>
        <w:snapToGrid w:val="0"/>
        <w:spacing w:line="380" w:lineRule="exact"/>
        <w:ind w:firstLine="420" w:firstLineChars="200"/>
        <w:rPr>
          <w:rFonts w:ascii="宋体" w:hAnsi="宋体" w:cs="宋体"/>
          <w:kern w:val="0"/>
          <w:szCs w:val="20"/>
          <w:highlight w:val="none"/>
        </w:rPr>
      </w:pPr>
      <w:r>
        <w:rPr>
          <w:rFonts w:ascii="宋体" w:hAnsi="宋体" w:cs="宋体"/>
          <w:kern w:val="0"/>
          <w:szCs w:val="20"/>
          <w:highlight w:val="none"/>
        </w:rPr>
        <w:t>1.</w:t>
      </w:r>
      <w:r>
        <w:rPr>
          <w:rFonts w:hint="eastAsia" w:ascii="宋体" w:hAnsi="宋体" w:cs="宋体"/>
          <w:kern w:val="0"/>
          <w:szCs w:val="20"/>
          <w:highlight w:val="none"/>
        </w:rPr>
        <w:t>甲乙双方应在每月</w:t>
      </w:r>
      <w:r>
        <w:rPr>
          <w:rFonts w:ascii="宋体" w:hAnsi="宋体" w:cs="宋体"/>
          <w:kern w:val="0"/>
          <w:szCs w:val="20"/>
          <w:highlight w:val="none"/>
        </w:rPr>
        <w:t>8</w:t>
      </w:r>
      <w:r>
        <w:rPr>
          <w:rFonts w:hint="eastAsia" w:ascii="宋体" w:hAnsi="宋体" w:cs="宋体"/>
          <w:kern w:val="0"/>
          <w:szCs w:val="20"/>
          <w:highlight w:val="none"/>
        </w:rPr>
        <w:t>日前核对上月的洗涤消毒费用清单，且应在甲方支付时间之前完成。</w:t>
      </w:r>
    </w:p>
    <w:p w14:paraId="6A209111">
      <w:pPr>
        <w:adjustRightInd w:val="0"/>
        <w:snapToGrid w:val="0"/>
        <w:spacing w:line="380" w:lineRule="exact"/>
        <w:ind w:firstLine="420" w:firstLineChars="200"/>
        <w:rPr>
          <w:rFonts w:ascii="宋体" w:hAnsi="宋体" w:cs="宋体"/>
          <w:color w:val="FF0000"/>
          <w:kern w:val="0"/>
          <w:szCs w:val="20"/>
          <w:highlight w:val="none"/>
        </w:rPr>
      </w:pPr>
      <w:r>
        <w:rPr>
          <w:rFonts w:ascii="宋体" w:hAnsi="宋体" w:cs="宋体"/>
          <w:kern w:val="0"/>
          <w:szCs w:val="20"/>
          <w:highlight w:val="none"/>
        </w:rPr>
        <w:t>2</w:t>
      </w:r>
      <w:r>
        <w:rPr>
          <w:rFonts w:hint="eastAsia" w:ascii="宋体" w:hAnsi="宋体" w:cs="宋体"/>
          <w:kern w:val="0"/>
          <w:szCs w:val="20"/>
          <w:highlight w:val="none"/>
        </w:rPr>
        <w:t>.服务费用实行按月支付（服务期满前2个月的服务费用除外），即：每月</w:t>
      </w:r>
      <w:r>
        <w:rPr>
          <w:rFonts w:hint="eastAsia" w:ascii="宋体" w:hAnsi="宋体" w:cs="宋体"/>
          <w:kern w:val="0"/>
          <w:szCs w:val="20"/>
          <w:highlight w:val="none"/>
          <w:lang w:val="en-US" w:eastAsia="zh-CN"/>
        </w:rPr>
        <w:t>30</w:t>
      </w:r>
      <w:r>
        <w:rPr>
          <w:rFonts w:hint="eastAsia" w:ascii="宋体" w:hAnsi="宋体" w:cs="宋体"/>
          <w:kern w:val="0"/>
          <w:szCs w:val="20"/>
          <w:highlight w:val="none"/>
        </w:rPr>
        <w:t>日以前（遇休息日或法定节假日则顺延）甲方以转账方式支付上月的医用织物洗涤（含消毒等）费用</w:t>
      </w:r>
      <w:r>
        <w:rPr>
          <w:rFonts w:hint="eastAsia" w:ascii="宋体" w:hAnsi="宋体" w:cs="宋体"/>
          <w:kern w:val="0"/>
          <w:szCs w:val="20"/>
          <w:highlight w:val="none"/>
        </w:rPr>
        <w:t>【按上月实际送交的洗涤（含消毒等）物品品种、数量、价格及甲方与乙方双方签单为结算凭证】和3名工人人工费用转至乙方指定账户，转账前乙方将甲方考核后产生的实际的洗涤（含消毒等）费发票交给甲方，否则，甲方有权拒绝付费且不承担任何责任。（桂林市七星区东江社区卫生服务中心单独结算）</w:t>
      </w:r>
    </w:p>
    <w:p w14:paraId="4D7325F3">
      <w:pPr>
        <w:adjustRightInd w:val="0"/>
        <w:snapToGrid w:val="0"/>
        <w:spacing w:line="380" w:lineRule="exact"/>
        <w:ind w:firstLine="420" w:firstLineChars="200"/>
        <w:rPr>
          <w:rFonts w:ascii="宋体" w:hAnsi="宋体" w:cs="宋体"/>
          <w:kern w:val="0"/>
          <w:szCs w:val="20"/>
          <w:highlight w:val="none"/>
        </w:rPr>
      </w:pPr>
      <w:r>
        <w:rPr>
          <w:rFonts w:ascii="宋体" w:hAnsi="宋体" w:cs="宋体"/>
          <w:kern w:val="0"/>
          <w:szCs w:val="20"/>
          <w:highlight w:val="none"/>
        </w:rPr>
        <w:t>3</w:t>
      </w:r>
      <w:r>
        <w:rPr>
          <w:rFonts w:hint="eastAsia" w:ascii="宋体" w:hAnsi="宋体" w:cs="宋体"/>
          <w:kern w:val="0"/>
          <w:szCs w:val="20"/>
          <w:highlight w:val="none"/>
        </w:rPr>
        <w:t>.服务期满前2个月的服务费用，待甲方确定乙方按约定的服务标准及合同规定履约完毕并无其他违约情况后，甲方于服务期满后的1个月内支付相应的服务费用。</w:t>
      </w:r>
    </w:p>
    <w:p w14:paraId="62C77804">
      <w:pPr>
        <w:tabs>
          <w:tab w:val="left" w:pos="900"/>
        </w:tabs>
        <w:spacing w:line="360" w:lineRule="exact"/>
        <w:ind w:firstLine="422" w:firstLineChars="200"/>
        <w:rPr>
          <w:rFonts w:ascii="宋体" w:hAnsi="宋体"/>
          <w:b/>
          <w:kern w:val="0"/>
          <w:szCs w:val="21"/>
          <w:highlight w:val="none"/>
        </w:rPr>
      </w:pPr>
      <w:r>
        <w:rPr>
          <w:rFonts w:hint="eastAsia" w:ascii="宋体" w:hAnsi="宋体"/>
          <w:b/>
          <w:szCs w:val="21"/>
          <w:highlight w:val="none"/>
        </w:rPr>
        <w:t xml:space="preserve">第六条 </w:t>
      </w:r>
      <w:r>
        <w:rPr>
          <w:rFonts w:hint="eastAsia" w:ascii="宋体" w:hAnsi="宋体"/>
          <w:b/>
          <w:kern w:val="0"/>
          <w:szCs w:val="21"/>
          <w:highlight w:val="none"/>
        </w:rPr>
        <w:t>双方权利与义务</w:t>
      </w:r>
    </w:p>
    <w:p w14:paraId="768630C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（一）甲方的权利、义务</w:t>
      </w:r>
    </w:p>
    <w:p w14:paraId="3B10872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1.甲方科室按</w:t>
      </w:r>
      <w:r>
        <w:rPr>
          <w:rFonts w:hint="eastAsia" w:ascii="宋体" w:hAnsi="宋体" w:cs="宋体"/>
          <w:kern w:val="0"/>
          <w:szCs w:val="20"/>
          <w:highlight w:val="none"/>
          <w:lang w:val="en-US" w:eastAsia="zh-CN"/>
        </w:rPr>
        <w:t>采购</w:t>
      </w:r>
      <w:r>
        <w:rPr>
          <w:rFonts w:hint="eastAsia" w:ascii="宋体" w:hAnsi="宋体" w:cs="宋体"/>
          <w:kern w:val="0"/>
          <w:szCs w:val="20"/>
          <w:highlight w:val="none"/>
        </w:rPr>
        <w:t>文件“</w:t>
      </w:r>
      <w:r>
        <w:rPr>
          <w:rFonts w:hint="eastAsia" w:ascii="宋体" w:hAnsi="宋体" w:cs="宋体"/>
          <w:kern w:val="0"/>
          <w:szCs w:val="20"/>
          <w:highlight w:val="none"/>
          <w:lang w:val="en-US" w:eastAsia="zh-CN"/>
        </w:rPr>
        <w:t>采购</w:t>
      </w:r>
      <w:r>
        <w:rPr>
          <w:rFonts w:hint="eastAsia" w:ascii="宋体" w:hAnsi="宋体" w:cs="宋体"/>
          <w:kern w:val="0"/>
          <w:szCs w:val="20"/>
          <w:highlight w:val="none"/>
        </w:rPr>
        <w:t>需求” “附件二《医用织物洗涤管理规定》”存放、收集等，负责安排人员在指定时间内与乙方员工进行医用织物清点交接。</w:t>
      </w:r>
    </w:p>
    <w:p w14:paraId="41035A60">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2.甲方为乙方提供洗涤布类堆放分发场所。</w:t>
      </w:r>
    </w:p>
    <w:p w14:paraId="5B22BED9">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3.甲方医用织物应有医院标记、科室标记、工作服编号，标明启用年月。</w:t>
      </w:r>
    </w:p>
    <w:p w14:paraId="32F66AAC">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4.为保障甲方诊疗工作正常进行，甲方科室应备足一定的清洁被服库存量（按床物1:2.5-3比例，即1张病床配置2.5-3套病床用品，手术医用织物按日均使用量的3倍配置，以备急需所用。</w:t>
      </w:r>
    </w:p>
    <w:p w14:paraId="20EEFAC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5.甲方保证乙方运输医用织物的车辆在医院范围出入顺畅。</w:t>
      </w:r>
    </w:p>
    <w:p w14:paraId="19ED802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6.甲方管理部门及使用科室有权监督检查乙方的医用织务洗涤、消毒等服务质量，每月根据“附件三《医用织物洗涤质量考核标准》”对乙方进行考核，考核扣罚金额从当月洗涤（含消毒等）服务费中扣除。</w:t>
      </w:r>
    </w:p>
    <w:p w14:paraId="0EB75D3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7.甲方有权要求修改不合理的工作职责和流程。</w:t>
      </w:r>
    </w:p>
    <w:p w14:paraId="3790A949">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8.确定因布料质地因素而造成褪色、缩水，确定由甲方科室原因在送洗前接触其他化学物品的而导致洗涤（含消毒等）过程中破损的，均由甲方科室负责，乙方不承担责任。</w:t>
      </w:r>
    </w:p>
    <w:p w14:paraId="63FF0261">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9.科室或部门收到已洗涤（含消毒等）医用织物后，若发现有破损、未洗净污渍等现象，应在第二天乙方上门收集医用织物时通知乙方，以便重洗。</w:t>
      </w:r>
    </w:p>
    <w:p w14:paraId="3086273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10.全新被套、大单、枕套、工作服、机罩等使用周期二年，病衣裤、纱卡手术医用织物使用周期一年，原白布使用周期为半年，超过使用周期的医用织物经自然损耗后应增补。</w:t>
      </w:r>
    </w:p>
    <w:p w14:paraId="2C8C60C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11.甲方应按时支付乙方的洗涤（含消毒等）费和人工费。</w:t>
      </w:r>
    </w:p>
    <w:p w14:paraId="12C4F44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（二）乙方的权利、义务</w:t>
      </w:r>
    </w:p>
    <w:p w14:paraId="21E7057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1.乙方洗涤厂必须符合国家环保、工商、卫生、防疫等部门的有关要求。</w:t>
      </w:r>
    </w:p>
    <w:p w14:paraId="387E60C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乙方具有完善的管理制度、职责、流程及服务规范等，不合理的制度、职责流程及服务规范等必须及时修订。必须遵守国家有关法律法规，《医院医用织物洗涤消毒技术规范》（WS/T508-2016）、《卫生健康委关于印发医疗消毒供应中心等三类医疗机构基本标准和管理规范（试行）的通知》等行业规范、《医用织物洗涤管理规定》（详见招标文件“项目需求”“附件二”）、《医用织物收发工人岗位职责》（详见招标文件“项目需求”“附件四”）、《发送清洁医用织物工作流程》（详见招标文件“项目需求”“附件五”）、《回收脏污医用织物工作流程》（详见招标文件“项目需求”“附件六”）等各项规章制度、规定、规范及流程，认真履行合同及职责。</w:t>
      </w:r>
    </w:p>
    <w:p w14:paraId="42B557C9">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3.乙方保证医院医用织物的应急保障，要求在距离医院50公里内设置洗涤工厂或应急储备仓库，所有医用织物的供应响应时间在2小时以内。</w:t>
      </w:r>
    </w:p>
    <w:p w14:paraId="04168BD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4.如乙方同时承接传染病医院洗涤（含消毒等）业务的，必须承诺不与甲方织物混洗、混车运输，如混洗或运输过程中造成污染的，所有责任由乙方承招标文件中进行说明。</w:t>
      </w:r>
    </w:p>
    <w:p w14:paraId="1487F29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5.乙方负责医用织物分发场地的清洁消毒，保持场地整洁，物品摆放整齐有序。</w:t>
      </w:r>
    </w:p>
    <w:p w14:paraId="6063521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 xml:space="preserve">6.乙方委派一名大专及以上学历的驻院管理人员（姓名： </w:t>
      </w:r>
      <w:r>
        <w:rPr>
          <w:rFonts w:ascii="宋体" w:hAnsi="宋体" w:cs="宋体"/>
          <w:kern w:val="0"/>
          <w:szCs w:val="20"/>
          <w:highlight w:val="none"/>
        </w:rPr>
        <w:t xml:space="preserve">       </w:t>
      </w:r>
      <w:r>
        <w:rPr>
          <w:rFonts w:hint="eastAsia" w:ascii="宋体" w:hAnsi="宋体" w:cs="宋体"/>
          <w:kern w:val="0"/>
          <w:szCs w:val="20"/>
          <w:highlight w:val="none"/>
        </w:rPr>
        <w:t xml:space="preserve">身份证号： </w:t>
      </w:r>
      <w:r>
        <w:rPr>
          <w:rFonts w:ascii="宋体" w:hAnsi="宋体" w:cs="宋体"/>
          <w:kern w:val="0"/>
          <w:szCs w:val="20"/>
          <w:highlight w:val="none"/>
        </w:rPr>
        <w:t xml:space="preserve">          </w:t>
      </w:r>
      <w:r>
        <w:rPr>
          <w:rFonts w:hint="eastAsia" w:ascii="宋体" w:hAnsi="宋体" w:cs="宋体"/>
          <w:kern w:val="0"/>
          <w:szCs w:val="20"/>
          <w:highlight w:val="none"/>
        </w:rPr>
        <w:t>），负责管理、协调、质控及培训等工作，即时处理甲方投诉，并做好与甲方负责人的联系工作；负责新聘用员工的法律法规、制度、服务规范、安全教育、业务技术等培训，考核合格后方能上岗，并定期组织员工进行相关内容的培训，强化服务态度和责任心，提高业务水平及服务意识。</w:t>
      </w:r>
    </w:p>
    <w:p w14:paraId="333CFFD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7.在服务期内，乙方员工因劳动纠纷引发的各种经济赔偿或因乙方原因出现安全事故，完全由乙方负责，甲方不负任何责任（因甲方原因或不可抗力除外），甲方有义务协助乙方办理。</w:t>
      </w:r>
    </w:p>
    <w:p w14:paraId="5042A469">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8.乙方提供统一着装、服务牌及院内洁污运输工具，污衣袋等。</w:t>
      </w:r>
    </w:p>
    <w:p w14:paraId="45F4839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9.乙方负责完成缝补工作，但缝补所需的三分带、松紧带、线及扣子、布料等材料由甲方提供。</w:t>
      </w:r>
    </w:p>
    <w:p w14:paraId="69AE105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10.乙方负责每天到甲方科室收、送洗涤（含消毒等）医用织物1-2次，手术医用织物收送3-4次（遇法定节假日及医院大型检查等特殊情况，与甲方主管部门协商安排），具体医用织物收送要求按附件二《医用织物洗涤管理规定》执行。</w:t>
      </w:r>
    </w:p>
    <w:p w14:paraId="09AF63AA">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11.甲方造成的顽固污渍，乙方须尽力进行技术处理。</w:t>
      </w:r>
    </w:p>
    <w:p w14:paraId="4AD259B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12.保证洗涤（含消毒等）服务后的医用织物无污渍（老、旧床单除外）、无异味、无变色、串色等现象；熨烫平整，按规范整理叠好；因洗涤（含消毒等）方面造成的质量问题，乙方负责返工重洗，不得再计费。</w:t>
      </w:r>
    </w:p>
    <w:p w14:paraId="4A85360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13.乙方服从甲方的管理，并接受甲方的定期考核，对甲方职工、相关管理部门提出的合理意见、建议要及时整改并有成效。</w:t>
      </w:r>
    </w:p>
    <w:p w14:paraId="4A4D642D">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14.乙方在洗涤（含消毒等）过程中发现甲方物件等，应及时归还，随意丢弃或损坏甲方物件，应负责赔偿。</w:t>
      </w:r>
    </w:p>
    <w:p w14:paraId="2B2B5C9C">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15.因在运输、洗涤（含消毒等）过程中造成医用织物损坏、丢失，乙方应负责赔偿，并建立损坏、丢失记录本，相关部门定期统计。对使用1个月内的洗涤（含消毒等）医用织物，乙方按该物品的100%赔偿；对使用1个月以上至半年（含半年）的洗涤（含消毒等）医用织物，乙方按该物品的80%赔偿；对使用半年以上1年以内的洗涤（含消毒等）医用织物，乙方按该物品的60%赔偿；对使用1年以上2年以内的洗涤（含消毒等）医用织物，乙方按该物品的50%赔偿；超过使用周期继续洗涤（含消毒等）的医用织物，如丢失则按原价的40%赔偿；如过使用年限，则按自然耗损报废。</w:t>
      </w:r>
    </w:p>
    <w:p w14:paraId="5EF8907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16.乙方负责每天到甲方科室收、送洗涤（含消毒等）医用织物1-2次，手术医用织物收送3-4次（遇法定节假日及医院大型检查等特殊情况，与甲方主管部门协商安排）来医院收取洗涤物品，乙方在收取后第二天完成洗涤消毒并送回，如遇特殊情况由双方协商处理。乙方因收送不及时，严重影响甲方诊疗工作及医疗秩序，出现第一次罚款人民币1000元，出现第二次罚款人民币5000元，出现第三次罚款人民币10000元，并解除合同。因被服收、送、洗涤（含消毒等）等原因造成的医疗纠纷（经济、民事等）均由乙方承担。</w:t>
      </w:r>
    </w:p>
    <w:p w14:paraId="1CA6E5F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17.乙方按规定时间及时以书面或电子版形式上交甲方有关资料（质量控制资料、工作计划及工作完成情况或总结等）。</w:t>
      </w:r>
    </w:p>
    <w:p w14:paraId="07FD8EE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18.乙方向甲方提供疾病控制中心对医用织物洗涤（含消毒等）抽查报告，抽检报告符合要求。</w:t>
      </w:r>
    </w:p>
    <w:p w14:paraId="7E9A359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19.在各上级部门检查中，因乙方原因，导致媒体曝光或点名批评，甲方根据情节轻重予以乙方人民币500元至5000元的处罚，并负责挽回不良影响。</w:t>
      </w:r>
    </w:p>
    <w:p w14:paraId="31ADAA6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20.乙方不许在甲方场地内聚集闹事，如因聚集闹事影响工作，出现第一次，视情节轻重罚款人民币500元至1000元，出现第二次罚款人民币5000元，出现第三次罚款人民币10000元，并解除合同。</w:t>
      </w:r>
    </w:p>
    <w:p w14:paraId="264F052C">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21.乙方要维护甲方一切公共设施，如有挪用、失窃、人为损坏则照价赔偿，行为严重者移交司法机关处理；注意节约水、电、气，乙方员工不许在更衣室、休息室等非允许的范围内，使用电炉、热得快等电器及煮饭等，发现一次视情节轻重，罚款人民币200至500元。</w:t>
      </w:r>
    </w:p>
    <w:p w14:paraId="02B4FBC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22.在服务期内，乙方不得以任何理由追加费用。</w:t>
      </w:r>
    </w:p>
    <w:p w14:paraId="5C7D07A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23.乙方必须按国家法律法规开展各项服务及经营，并按时足额发放员工工资、福利、缴纳社保。</w:t>
      </w:r>
    </w:p>
    <w:p w14:paraId="054C912C">
      <w:pPr>
        <w:keepNext w:val="0"/>
        <w:keepLines w:val="0"/>
        <w:widowControl/>
        <w:suppressLineNumbers w:val="0"/>
        <w:pBdr>
          <w:top w:val="none" w:color="auto" w:sz="0" w:space="0"/>
          <w:left w:val="none" w:color="auto" w:sz="0" w:space="0"/>
          <w:right w:val="none" w:color="auto" w:sz="0" w:space="0"/>
        </w:pBdr>
        <w:tabs>
          <w:tab w:val="left" w:pos="1305"/>
        </w:tabs>
        <w:spacing w:before="0" w:beforeAutospacing="0" w:after="0" w:afterAutospacing="0" w:line="360" w:lineRule="exact"/>
        <w:ind w:left="0" w:right="0" w:firstLine="424" w:firstLineChars="201"/>
        <w:rPr>
          <w:rFonts w:hint="eastAsia" w:ascii="宋体" w:hAnsi="宋体" w:eastAsia="宋体" w:cs="Times New Roman"/>
          <w:b/>
          <w:bCs w:val="0"/>
          <w:kern w:val="2"/>
          <w:sz w:val="21"/>
          <w:szCs w:val="21"/>
          <w:highlight w:val="none"/>
          <w:lang w:bidi="ar-SA"/>
        </w:rPr>
      </w:pPr>
      <w:r>
        <w:rPr>
          <w:rFonts w:hint="eastAsia" w:ascii="宋体" w:hAnsi="宋体" w:eastAsia="宋体" w:cs="Times New Roman"/>
          <w:b/>
          <w:bCs w:val="0"/>
          <w:kern w:val="2"/>
          <w:sz w:val="21"/>
          <w:szCs w:val="21"/>
          <w:highlight w:val="none"/>
          <w:lang w:bidi="ar-SA"/>
        </w:rPr>
        <w:t>24.乙方派遣3名工人负责甲方院内医用织物的分类、收送等工作，并制定相关工作制度；乙方需按时到岗，甲方进行监督和抽查，出现缺岗的按150元/次/人从洗涤费用中扣除。</w:t>
      </w:r>
    </w:p>
    <w:p w14:paraId="49782656">
      <w:pPr>
        <w:keepNext w:val="0"/>
        <w:keepLines w:val="0"/>
        <w:widowControl/>
        <w:suppressLineNumbers w:val="0"/>
        <w:pBdr>
          <w:top w:val="none" w:color="auto" w:sz="0" w:space="0"/>
          <w:left w:val="none" w:color="auto" w:sz="0" w:space="0"/>
          <w:right w:val="none" w:color="auto" w:sz="0" w:space="0"/>
        </w:pBdr>
        <w:tabs>
          <w:tab w:val="left" w:pos="1305"/>
        </w:tabs>
        <w:spacing w:before="0" w:beforeAutospacing="0" w:after="0" w:afterAutospacing="0" w:line="360" w:lineRule="exact"/>
        <w:ind w:left="0" w:right="0" w:firstLine="424" w:firstLineChars="201"/>
        <w:rPr>
          <w:rFonts w:ascii="宋体" w:hAnsi="宋体" w:eastAsia="宋体" w:cs="Times New Roman"/>
          <w:b/>
          <w:bCs w:val="0"/>
          <w:color w:val="1F2329"/>
          <w:kern w:val="2"/>
          <w:sz w:val="21"/>
          <w:szCs w:val="21"/>
          <w:highlight w:val="none"/>
          <w:lang w:bidi="ar-SA"/>
        </w:rPr>
      </w:pPr>
      <w:r>
        <w:rPr>
          <w:rFonts w:hint="eastAsia" w:ascii="宋体" w:hAnsi="宋体" w:eastAsia="宋体" w:cs="Times New Roman"/>
          <w:b/>
          <w:bCs w:val="0"/>
          <w:kern w:val="2"/>
          <w:sz w:val="21"/>
          <w:szCs w:val="21"/>
          <w:highlight w:val="none"/>
          <w:lang w:bidi="ar-SA"/>
        </w:rPr>
        <w:t xml:space="preserve">第七条 </w:t>
      </w:r>
      <w:r>
        <w:rPr>
          <w:rFonts w:ascii="宋体" w:hAnsi="宋体" w:eastAsia="宋体" w:cs="Times New Roman"/>
          <w:b/>
          <w:bCs w:val="0"/>
          <w:color w:val="1F2329"/>
          <w:kern w:val="2"/>
          <w:sz w:val="21"/>
          <w:szCs w:val="21"/>
          <w:highlight w:val="none"/>
          <w:lang w:bidi="ar-SA"/>
        </w:rPr>
        <w:t>验收与质量管控</w:t>
      </w:r>
    </w:p>
    <w:p w14:paraId="4E6D843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80" w:lineRule="exact"/>
        <w:ind w:left="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1.</w:t>
      </w:r>
      <w:r>
        <w:rPr>
          <w:rStyle w:val="33"/>
          <w:rFonts w:hint="eastAsia" w:ascii="宋体" w:hAnsi="宋体" w:cs="宋体"/>
          <w:b/>
          <w:bCs/>
          <w:color w:val="1F2329"/>
          <w:sz w:val="21"/>
          <w:szCs w:val="21"/>
          <w:highlight w:val="none"/>
        </w:rPr>
        <w:t>验收组织</w:t>
      </w:r>
      <w:r>
        <w:rPr>
          <w:rFonts w:hint="eastAsia" w:ascii="宋体" w:hAnsi="宋体" w:cs="宋体"/>
          <w:color w:val="1F2329"/>
          <w:sz w:val="21"/>
          <w:szCs w:val="21"/>
          <w:highlight w:val="none"/>
        </w:rPr>
        <w:t>：甲方成立由总务科、院感管理科、护理部、使用科室代表组成的验收小组，院感管理科负责洗涤消毒质量最终判定。</w:t>
      </w:r>
    </w:p>
    <w:p w14:paraId="0F4E2D8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80" w:lineRule="exact"/>
        <w:ind w:left="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2.</w:t>
      </w:r>
      <w:r>
        <w:rPr>
          <w:rStyle w:val="33"/>
          <w:rFonts w:hint="eastAsia" w:ascii="宋体" w:hAnsi="宋体" w:cs="宋体"/>
          <w:b/>
          <w:bCs/>
          <w:color w:val="1F2329"/>
          <w:sz w:val="21"/>
          <w:szCs w:val="21"/>
          <w:highlight w:val="none"/>
        </w:rPr>
        <w:t>验收执行</w:t>
      </w:r>
      <w:r>
        <w:rPr>
          <w:rFonts w:hint="eastAsia" w:ascii="宋体" w:hAnsi="宋体" w:cs="宋体"/>
          <w:color w:val="1F2329"/>
          <w:sz w:val="21"/>
          <w:szCs w:val="21"/>
          <w:highlight w:val="none"/>
        </w:rPr>
        <w:t>：按照本合同采购</w:t>
      </w:r>
      <w:r>
        <w:rPr>
          <w:rFonts w:hint="eastAsia" w:ascii="宋体" w:hAnsi="宋体" w:cs="宋体"/>
          <w:color w:val="auto"/>
          <w:kern w:val="0"/>
          <w:sz w:val="21"/>
          <w:szCs w:val="21"/>
          <w:highlight w:val="none"/>
        </w:rPr>
        <w:t>需</w:t>
      </w:r>
      <w:r>
        <w:rPr>
          <w:rFonts w:hint="eastAsia" w:ascii="宋体" w:hAnsi="宋体" w:cs="宋体"/>
          <w:color w:val="1F2329"/>
          <w:sz w:val="21"/>
          <w:szCs w:val="21"/>
          <w:highlight w:val="none"/>
        </w:rPr>
        <w:t>求约定的验收频次、抽样规则、判定标准执行每日批次验收、月度验收、</w:t>
      </w:r>
      <w:r>
        <w:rPr>
          <w:rFonts w:hint="eastAsia" w:ascii="宋体" w:hAnsi="宋体" w:cs="宋体"/>
          <w:color w:val="1F2329"/>
          <w:sz w:val="21"/>
          <w:szCs w:val="21"/>
          <w:highlight w:val="none"/>
          <w:lang w:val="en-US" w:eastAsia="zh-CN"/>
        </w:rPr>
        <w:t>半年</w:t>
      </w:r>
      <w:r>
        <w:rPr>
          <w:rFonts w:hint="eastAsia" w:ascii="宋体" w:hAnsi="宋体" w:cs="宋体"/>
          <w:color w:val="1F2329"/>
          <w:sz w:val="21"/>
          <w:szCs w:val="21"/>
          <w:highlight w:val="none"/>
        </w:rPr>
        <w:t>度第三方</w:t>
      </w:r>
      <w:r>
        <w:rPr>
          <w:rFonts w:hint="eastAsia" w:ascii="宋体" w:hAnsi="宋体" w:cs="宋体"/>
          <w:color w:val="auto"/>
          <w:kern w:val="0"/>
          <w:sz w:val="21"/>
          <w:szCs w:val="21"/>
          <w:highlight w:val="none"/>
        </w:rPr>
        <w:t>检</w:t>
      </w:r>
      <w:r>
        <w:rPr>
          <w:rFonts w:hint="eastAsia" w:ascii="宋体" w:hAnsi="宋体" w:cs="宋体"/>
          <w:color w:val="1F2329"/>
          <w:sz w:val="21"/>
          <w:szCs w:val="21"/>
          <w:highlight w:val="none"/>
        </w:rPr>
        <w:t>测、年度总验收。</w:t>
      </w:r>
    </w:p>
    <w:p w14:paraId="3B137C5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80" w:lineRule="exact"/>
        <w:ind w:left="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3.</w:t>
      </w:r>
      <w:r>
        <w:rPr>
          <w:rStyle w:val="33"/>
          <w:rFonts w:hint="eastAsia" w:ascii="宋体" w:hAnsi="宋体" w:cs="宋体"/>
          <w:b/>
          <w:bCs/>
          <w:color w:val="1F2329"/>
          <w:sz w:val="21"/>
          <w:szCs w:val="21"/>
          <w:highlight w:val="none"/>
        </w:rPr>
        <w:t>质量责任</w:t>
      </w:r>
      <w:r>
        <w:rPr>
          <w:rFonts w:hint="eastAsia" w:ascii="宋体" w:hAnsi="宋体" w:cs="宋体"/>
          <w:color w:val="1F2329"/>
          <w:sz w:val="21"/>
          <w:szCs w:val="21"/>
          <w:highlight w:val="none"/>
        </w:rPr>
        <w:t>：因</w:t>
      </w:r>
      <w:r>
        <w:rPr>
          <w:rFonts w:hint="eastAsia" w:ascii="宋体" w:hAnsi="宋体" w:cs="宋体"/>
          <w:color w:val="auto"/>
          <w:kern w:val="0"/>
          <w:sz w:val="21"/>
          <w:szCs w:val="21"/>
          <w:highlight w:val="none"/>
        </w:rPr>
        <w:t>洗涤</w:t>
      </w:r>
      <w:r>
        <w:rPr>
          <w:rFonts w:hint="eastAsia" w:ascii="宋体" w:hAnsi="宋体" w:cs="宋体"/>
          <w:color w:val="1F2329"/>
          <w:sz w:val="21"/>
          <w:szCs w:val="21"/>
          <w:highlight w:val="none"/>
        </w:rPr>
        <w:t>消毒质量不合格引发的医院感染、医疗纠纷、经济损失，全部由乙方承担。</w:t>
      </w:r>
    </w:p>
    <w:p w14:paraId="1D804BA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80" w:lineRule="exact"/>
        <w:ind w:left="0" w:right="0" w:firstLine="422" w:firstLineChars="200"/>
        <w:jc w:val="left"/>
        <w:rPr>
          <w:rFonts w:hint="eastAsia" w:ascii="宋体" w:hAnsi="宋体" w:cs="宋体"/>
          <w:color w:val="1F2329"/>
          <w:sz w:val="21"/>
          <w:szCs w:val="21"/>
          <w:highlight w:val="none"/>
        </w:rPr>
      </w:pPr>
      <w:r>
        <w:rPr>
          <w:rStyle w:val="33"/>
          <w:rFonts w:hint="eastAsia" w:ascii="宋体" w:hAnsi="宋体" w:cs="宋体"/>
          <w:b/>
          <w:bCs/>
          <w:color w:val="1F2329"/>
          <w:sz w:val="21"/>
          <w:szCs w:val="21"/>
          <w:highlight w:val="none"/>
          <w:lang w:val="en-US" w:eastAsia="zh-CN"/>
        </w:rPr>
        <w:t>4.</w:t>
      </w:r>
      <w:r>
        <w:rPr>
          <w:rStyle w:val="33"/>
          <w:rFonts w:hint="eastAsia" w:ascii="宋体" w:hAnsi="宋体" w:cs="宋体"/>
          <w:b/>
          <w:bCs/>
          <w:color w:val="1F2329"/>
          <w:sz w:val="21"/>
          <w:szCs w:val="21"/>
          <w:highlight w:val="none"/>
        </w:rPr>
        <w:t>不合格处理</w:t>
      </w:r>
      <w:r>
        <w:rPr>
          <w:rFonts w:hint="eastAsia" w:ascii="宋体" w:hAnsi="宋体" w:cs="宋体"/>
          <w:color w:val="1F2329"/>
          <w:sz w:val="21"/>
          <w:szCs w:val="21"/>
          <w:highlight w:val="none"/>
        </w:rPr>
        <w:t>：严格按照采购需求约定的阶梯式处置规则执行，不合格织物由乙方免费返工、赔偿损失。</w:t>
      </w:r>
    </w:p>
    <w:p w14:paraId="3789CD37">
      <w:pPr>
        <w:tabs>
          <w:tab w:val="left" w:pos="1305"/>
        </w:tabs>
        <w:spacing w:line="360" w:lineRule="exact"/>
        <w:ind w:firstLine="424" w:firstLineChars="201"/>
        <w:rPr>
          <w:rFonts w:ascii="宋体" w:hAnsi="宋体"/>
          <w:b/>
          <w:szCs w:val="21"/>
          <w:highlight w:val="none"/>
        </w:rPr>
      </w:pPr>
      <w:r>
        <w:rPr>
          <w:rFonts w:hint="eastAsia" w:ascii="宋体" w:hAnsi="宋体"/>
          <w:b/>
          <w:szCs w:val="21"/>
          <w:highlight w:val="none"/>
          <w:lang w:val="en-US" w:eastAsia="zh-CN"/>
        </w:rPr>
        <w:t xml:space="preserve">第八条 </w:t>
      </w:r>
      <w:r>
        <w:rPr>
          <w:rFonts w:hint="eastAsia" w:ascii="宋体" w:hAnsi="宋体"/>
          <w:b/>
          <w:szCs w:val="21"/>
          <w:highlight w:val="none"/>
        </w:rPr>
        <w:t>履约保证金</w:t>
      </w:r>
    </w:p>
    <w:p w14:paraId="1C7C09F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1.本项目履约保证金金额</w:t>
      </w:r>
      <w:r>
        <w:rPr>
          <w:rFonts w:hint="eastAsia" w:ascii="宋体" w:hAnsi="宋体" w:cs="宋体"/>
          <w:kern w:val="0"/>
          <w:szCs w:val="20"/>
          <w:highlight w:val="none"/>
          <w:lang w:val="en-US" w:eastAsia="zh-CN"/>
        </w:rPr>
        <w:t>为</w:t>
      </w:r>
      <w:r>
        <w:rPr>
          <w:rFonts w:hint="eastAsia" w:ascii="宋体" w:hAnsi="宋体" w:cs="宋体"/>
          <w:kern w:val="0"/>
          <w:szCs w:val="20"/>
          <w:highlight w:val="none"/>
        </w:rPr>
        <w:t>人民币</w:t>
      </w:r>
      <w:r>
        <w:rPr>
          <w:rFonts w:hint="eastAsia" w:ascii="宋体" w:hAnsi="宋体" w:cs="宋体"/>
          <w:kern w:val="0"/>
          <w:szCs w:val="20"/>
          <w:highlight w:val="none"/>
          <w:u w:val="single"/>
          <w:lang w:val="en-US" w:eastAsia="zh-CN"/>
        </w:rPr>
        <w:t xml:space="preserve">    </w:t>
      </w:r>
      <w:r>
        <w:rPr>
          <w:rFonts w:hint="eastAsia" w:ascii="宋体" w:hAnsi="宋体" w:cs="宋体"/>
          <w:kern w:val="0"/>
          <w:szCs w:val="20"/>
          <w:highlight w:val="none"/>
          <w:u w:val="single"/>
        </w:rPr>
        <w:t>（</w:t>
      </w:r>
      <w:r>
        <w:rPr>
          <w:rFonts w:hint="eastAsia" w:ascii="宋体" w:hAnsi="宋体"/>
          <w:kern w:val="0"/>
          <w:sz w:val="20"/>
          <w:szCs w:val="21"/>
          <w:highlight w:val="none"/>
          <w:u w:val="single"/>
        </w:rPr>
        <w:t>¥</w:t>
      </w:r>
      <w:r>
        <w:rPr>
          <w:rFonts w:hint="eastAsia" w:ascii="宋体" w:hAnsi="宋体" w:cs="宋体"/>
          <w:kern w:val="0"/>
          <w:szCs w:val="20"/>
          <w:highlight w:val="none"/>
          <w:u w:val="single"/>
          <w:lang w:val="en-US" w:eastAsia="zh-CN"/>
        </w:rPr>
        <w:t xml:space="preserve">     </w:t>
      </w:r>
      <w:r>
        <w:rPr>
          <w:rFonts w:hint="eastAsia" w:ascii="宋体" w:hAnsi="宋体" w:cs="宋体"/>
          <w:kern w:val="0"/>
          <w:szCs w:val="20"/>
          <w:highlight w:val="none"/>
          <w:u w:val="single"/>
        </w:rPr>
        <w:t>）</w:t>
      </w:r>
      <w:r>
        <w:rPr>
          <w:rFonts w:hint="eastAsia" w:ascii="宋体" w:hAnsi="宋体" w:cs="宋体"/>
          <w:kern w:val="0"/>
          <w:szCs w:val="20"/>
          <w:highlight w:val="none"/>
        </w:rPr>
        <w:t>。乙方</w:t>
      </w:r>
      <w:r>
        <w:rPr>
          <w:rFonts w:hint="eastAsia" w:ascii="宋体" w:hAnsi="宋体" w:cs="宋体"/>
          <w:kern w:val="0"/>
          <w:szCs w:val="20"/>
          <w:highlight w:val="none"/>
        </w:rPr>
        <w:t>在</w:t>
      </w:r>
      <w:r>
        <w:rPr>
          <w:rFonts w:hint="eastAsia" w:ascii="宋体" w:hAnsi="宋体" w:cs="宋体"/>
          <w:kern w:val="0"/>
          <w:szCs w:val="20"/>
          <w:highlight w:val="none"/>
          <w:lang w:val="en-US" w:eastAsia="zh-CN"/>
        </w:rPr>
        <w:t>成交</w:t>
      </w:r>
      <w:r>
        <w:rPr>
          <w:rFonts w:hint="eastAsia" w:ascii="宋体" w:hAnsi="宋体" w:cs="宋体"/>
          <w:kern w:val="0"/>
          <w:szCs w:val="20"/>
          <w:highlight w:val="none"/>
        </w:rPr>
        <w:t>通知书发出之日</w:t>
      </w:r>
      <w:r>
        <w:rPr>
          <w:rFonts w:hint="eastAsia" w:ascii="宋体" w:hAnsi="宋体" w:cs="宋体"/>
          <w:kern w:val="0"/>
          <w:szCs w:val="20"/>
          <w:highlight w:val="none"/>
        </w:rPr>
        <w:t>起</w:t>
      </w:r>
      <w:r>
        <w:rPr>
          <w:rFonts w:hint="eastAsia" w:ascii="宋体" w:hAnsi="宋体" w:cs="宋体"/>
          <w:kern w:val="0"/>
          <w:szCs w:val="20"/>
          <w:highlight w:val="none"/>
          <w:lang w:val="en-US" w:eastAsia="zh-CN"/>
        </w:rPr>
        <w:t>8个工作</w:t>
      </w:r>
      <w:r>
        <w:rPr>
          <w:rFonts w:hint="eastAsia" w:ascii="宋体" w:hAnsi="宋体" w:cs="宋体"/>
          <w:kern w:val="0"/>
          <w:szCs w:val="20"/>
          <w:highlight w:val="none"/>
        </w:rPr>
        <w:t>日</w:t>
      </w:r>
      <w:r>
        <w:rPr>
          <w:rFonts w:hint="eastAsia" w:ascii="宋体" w:hAnsi="宋体" w:cs="宋体"/>
          <w:kern w:val="0"/>
          <w:szCs w:val="20"/>
          <w:highlight w:val="none"/>
        </w:rPr>
        <w:t>内(但必须在签订合同前)将履约保证金以支票、汇票、本票或者金融机构、担保机构出具的保函等非现金形式提交至甲方指定的账户，并应书面通知甲方合同签订条件已达成并附上履约保证金交纳凭证，否则不予签订合同。</w:t>
      </w:r>
    </w:p>
    <w:p w14:paraId="69A8AFB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2.如果乙方没能按上述第1款规定执行，甲方有权取消中标资格，并有权授予第二</w:t>
      </w:r>
      <w:r>
        <w:rPr>
          <w:rFonts w:hint="eastAsia" w:ascii="宋体" w:hAnsi="宋体" w:cs="宋体"/>
          <w:kern w:val="0"/>
          <w:szCs w:val="20"/>
          <w:highlight w:val="none"/>
          <w:lang w:val="en-US" w:eastAsia="zh-CN"/>
        </w:rPr>
        <w:t>成交</w:t>
      </w:r>
      <w:r>
        <w:rPr>
          <w:rFonts w:hint="eastAsia" w:ascii="宋体" w:hAnsi="宋体" w:cs="宋体"/>
          <w:kern w:val="0"/>
          <w:szCs w:val="20"/>
          <w:highlight w:val="none"/>
        </w:rPr>
        <w:t>候选人为乙方资格或重新组织招标。</w:t>
      </w:r>
    </w:p>
    <w:p w14:paraId="1659DD1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3.乙方履行完合同约定权利义务事项后，凭《项目合同验收书》和履约保证金缴纳凭证向甲方申请办理退还手续，甲方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p>
    <w:p w14:paraId="54AF8F0D">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4.在履约保证金到期退还前，若乙方的开户名称、开户银行、账号有变动的，以书面形式通知甲方，否则由此产生的后果由乙方自行承担。</w:t>
      </w:r>
    </w:p>
    <w:p w14:paraId="57695F3F">
      <w:pPr>
        <w:spacing w:line="360" w:lineRule="exact"/>
        <w:ind w:firstLine="422" w:firstLineChars="200"/>
        <w:rPr>
          <w:rFonts w:ascii="宋体" w:hAnsi="宋体"/>
          <w:b/>
          <w:kern w:val="0"/>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 xml:space="preserve">条 </w:t>
      </w:r>
      <w:r>
        <w:rPr>
          <w:rFonts w:hint="eastAsia" w:ascii="宋体" w:hAnsi="宋体"/>
          <w:b/>
          <w:kern w:val="0"/>
          <w:szCs w:val="21"/>
          <w:highlight w:val="none"/>
        </w:rPr>
        <w:t>违约责任</w:t>
      </w:r>
    </w:p>
    <w:p w14:paraId="7D54F5F7">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1.乙方提供的服务如侵犯了第三方合法权益或面临该等风险的，除须由乙方负责交涉并承担全部责任外，甲方有权解除本合同，乙方须返还甲方已支付服务费，并按合同结算总价款的20％支付违约金。</w:t>
      </w:r>
    </w:p>
    <w:p w14:paraId="7BBB5CC8">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2.乙方未按本合同和投标文件中规定的服务承诺提供服务的，每次按照当月实际结算的服务费的10%支付违约金。</w:t>
      </w:r>
    </w:p>
    <w:p w14:paraId="305F28B8">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4.除本协议另有约定外，乙方若出现任何违约情形，且经甲方催告限期内未予整改的，每逾期一日，乙方按照当月实际结算的服务费的10%支付违约金；若逾期超过10日，甲方有权解除本合同。</w:t>
      </w:r>
    </w:p>
    <w:p w14:paraId="28F06BB8">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5.若因乙方违约须承担违约责任的，甲方有权自应付服务款中予以直接扣减，不足另补。</w:t>
      </w:r>
    </w:p>
    <w:p w14:paraId="23B034B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6.若任一方出现违约情形，除须依约承担相应的违约责任外，还应承担对方为维护权利而支付的费用，包括但不限于律师费、诉讼费、保全费、保险费、鉴定费等费用。</w:t>
      </w:r>
    </w:p>
    <w:p w14:paraId="2958644D">
      <w:pPr>
        <w:spacing w:line="360" w:lineRule="exact"/>
        <w:ind w:firstLine="422" w:firstLineChars="200"/>
        <w:rPr>
          <w:rFonts w:ascii="宋体" w:hAnsi="宋体" w:cs="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十</w:t>
      </w:r>
      <w:r>
        <w:rPr>
          <w:rFonts w:hint="eastAsia" w:ascii="宋体" w:hAnsi="宋体"/>
          <w:b/>
          <w:szCs w:val="21"/>
          <w:highlight w:val="none"/>
        </w:rPr>
        <w:t xml:space="preserve">条 </w:t>
      </w:r>
      <w:r>
        <w:rPr>
          <w:rFonts w:hint="eastAsia" w:ascii="宋体" w:hAnsi="宋体" w:cs="宋体"/>
          <w:b/>
          <w:szCs w:val="21"/>
          <w:highlight w:val="none"/>
        </w:rPr>
        <w:t>合同中止或终止</w:t>
      </w:r>
    </w:p>
    <w:p w14:paraId="6E422ED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1.本合同一经签订，甲乙双方不得擅自变更，中止或终止。</w:t>
      </w:r>
    </w:p>
    <w:p w14:paraId="2069BC24">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2.合同期内，未经甲方同意，乙方义务不得转让给第三人，否则，甲方可以单方解除本合同。本合同项下乙方收取款项的权利，未经甲方同意，不得转让。</w:t>
      </w:r>
    </w:p>
    <w:p w14:paraId="17EEB9F3">
      <w:pPr>
        <w:adjustRightInd w:val="0"/>
        <w:snapToGrid w:val="0"/>
        <w:spacing w:line="380" w:lineRule="exact"/>
        <w:ind w:firstLine="420" w:firstLineChars="200"/>
        <w:rPr>
          <w:rFonts w:ascii="宋体" w:hAnsi="宋体" w:cs="宋体"/>
          <w:color w:val="FF0000"/>
          <w:kern w:val="0"/>
          <w:szCs w:val="20"/>
          <w:highlight w:val="none"/>
        </w:rPr>
      </w:pPr>
      <w:r>
        <w:rPr>
          <w:rFonts w:hint="eastAsia" w:ascii="宋体" w:hAnsi="宋体" w:cs="宋体"/>
          <w:kern w:val="0"/>
          <w:szCs w:val="20"/>
          <w:highlight w:val="none"/>
        </w:rPr>
        <w:t>3.乙方不得未经甲方书面同意，擅自转让其应履行的合同义务。违反此条款的，甲方有权解除合同，并要求乙方承担本合同已履行产生的结算总金额20%的违约责任。</w:t>
      </w:r>
    </w:p>
    <w:p w14:paraId="7D148192">
      <w:pPr>
        <w:spacing w:line="360" w:lineRule="exact"/>
        <w:ind w:firstLine="422" w:firstLineChars="200"/>
        <w:rPr>
          <w:rFonts w:ascii="宋体" w:hAnsi="宋体"/>
          <w:b/>
          <w:kern w:val="0"/>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一</w:t>
      </w:r>
      <w:r>
        <w:rPr>
          <w:rFonts w:hint="eastAsia" w:ascii="宋体" w:hAnsi="宋体"/>
          <w:b/>
          <w:szCs w:val="21"/>
          <w:highlight w:val="none"/>
        </w:rPr>
        <w:t xml:space="preserve">条 </w:t>
      </w:r>
      <w:r>
        <w:rPr>
          <w:rFonts w:hint="eastAsia" w:ascii="宋体" w:hAnsi="宋体"/>
          <w:b/>
          <w:kern w:val="0"/>
          <w:szCs w:val="21"/>
          <w:highlight w:val="none"/>
        </w:rPr>
        <w:t>不可抗力事件处理</w:t>
      </w:r>
    </w:p>
    <w:p w14:paraId="3CB825B4">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1.合同期内，因不可抗力因素致使合同无法履行时，双方互不追究对方违约责任，并按有关法律法规友好协商处理。</w:t>
      </w:r>
    </w:p>
    <w:p w14:paraId="498AD7D0">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2.本项目招、投标文件作为本合同的组成部分，与本合同具有同等法律效力，如招、投标文件相关内容与本合同约定不一致，以本合同为准。</w:t>
      </w:r>
    </w:p>
    <w:p w14:paraId="3CDAAFCC">
      <w:pPr>
        <w:spacing w:line="360" w:lineRule="exact"/>
        <w:ind w:firstLine="422" w:firstLineChars="200"/>
        <w:rPr>
          <w:rFonts w:ascii="宋体" w:hAnsi="宋体"/>
          <w:b/>
          <w:highlight w:val="none"/>
        </w:rPr>
      </w:pPr>
      <w:r>
        <w:rPr>
          <w:rFonts w:hint="eastAsia" w:ascii="宋体" w:hAnsi="宋体"/>
          <w:b/>
          <w:szCs w:val="21"/>
          <w:highlight w:val="none"/>
        </w:rPr>
        <w:t>第十</w:t>
      </w:r>
      <w:r>
        <w:rPr>
          <w:rFonts w:hint="eastAsia" w:ascii="宋体" w:hAnsi="宋体"/>
          <w:b/>
          <w:szCs w:val="21"/>
          <w:highlight w:val="none"/>
          <w:lang w:val="en-US" w:eastAsia="zh-CN"/>
        </w:rPr>
        <w:t>二</w:t>
      </w:r>
      <w:r>
        <w:rPr>
          <w:rFonts w:hint="eastAsia" w:ascii="宋体" w:hAnsi="宋体"/>
          <w:b/>
          <w:szCs w:val="21"/>
          <w:highlight w:val="none"/>
        </w:rPr>
        <w:t>条保密条款</w:t>
      </w:r>
    </w:p>
    <w:p w14:paraId="1D8DF2FB">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1.甲、乙双方对本次合作及本协议的具体内容负有保密责任，非因本协议履行需要、法律法规要求或社会公众利益要求，未经一方事先书面同意，另一方不得将双方的合作及本协议的具体内容披露给任何第三方。</w:t>
      </w:r>
    </w:p>
    <w:p w14:paraId="5BFE6EA2">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2.本协议约定的保密义务不因本协议的失效或终止而解除，本协议终止后保密约定继续有效。</w:t>
      </w:r>
    </w:p>
    <w:p w14:paraId="7DB5E076">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3.甲乙双方有责任对通过本协议业务获得的所有用户资料予以保密。</w:t>
      </w:r>
    </w:p>
    <w:p w14:paraId="4D792ECB">
      <w:pPr>
        <w:spacing w:line="360" w:lineRule="exact"/>
        <w:ind w:firstLine="422" w:firstLineChars="200"/>
        <w:rPr>
          <w:rFonts w:ascii="宋体" w:hAnsi="宋体"/>
          <w:b/>
          <w:kern w:val="0"/>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三</w:t>
      </w:r>
      <w:r>
        <w:rPr>
          <w:rFonts w:hint="eastAsia" w:ascii="宋体" w:hAnsi="宋体"/>
          <w:b/>
          <w:szCs w:val="21"/>
          <w:highlight w:val="none"/>
        </w:rPr>
        <w:t>条</w:t>
      </w:r>
      <w:r>
        <w:rPr>
          <w:rFonts w:hint="eastAsia" w:ascii="宋体" w:hAnsi="宋体"/>
          <w:b/>
          <w:kern w:val="0"/>
          <w:szCs w:val="21"/>
          <w:highlight w:val="none"/>
        </w:rPr>
        <w:t xml:space="preserve"> 争议及其解决      </w:t>
      </w:r>
    </w:p>
    <w:p w14:paraId="060B5D15">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本合同在履行中如发生争议，双方应通过协商解决。如协商或调解不成的，应向甲方所在地人民法院提起诉讼。诉讼期间，本合同继续履行。</w:t>
      </w:r>
    </w:p>
    <w:p w14:paraId="1BE36C5A">
      <w:pPr>
        <w:adjustRightInd w:val="0"/>
        <w:snapToGrid w:val="0"/>
        <w:spacing w:line="360" w:lineRule="exact"/>
        <w:ind w:firstLine="422" w:firstLineChars="200"/>
        <w:rPr>
          <w:rFonts w:ascii="宋体" w:hAnsi="宋体" w:cs="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四</w:t>
      </w:r>
      <w:r>
        <w:rPr>
          <w:rFonts w:hint="eastAsia" w:ascii="宋体" w:hAnsi="宋体"/>
          <w:b/>
          <w:szCs w:val="21"/>
          <w:highlight w:val="none"/>
        </w:rPr>
        <w:t>条</w:t>
      </w:r>
      <w:r>
        <w:rPr>
          <w:rFonts w:hint="eastAsia" w:ascii="宋体" w:hAnsi="宋体" w:cs="宋体"/>
          <w:b/>
          <w:szCs w:val="21"/>
          <w:highlight w:val="none"/>
        </w:rPr>
        <w:t xml:space="preserve"> 其他</w:t>
      </w:r>
    </w:p>
    <w:p w14:paraId="4778982D">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1.本合同的所有附件是本合同不可分割的一部分，与本合同具有同等法律效力，本合同及附件和补充协议中未规定的事宜，均遵照中华人民共和国有关法律、法规执行。</w:t>
      </w:r>
    </w:p>
    <w:p w14:paraId="626F28E1">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2.因办公需要，甲方变更了办公场所或新增场所，本合同同样适用于新更改（或新增）区域。</w:t>
      </w:r>
    </w:p>
    <w:p w14:paraId="5ED3575E">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3.未尽事宜，双方协商可对本合同的条款进行补充，以书面形式签订补充协议，补充协议与本合同具有同等法律效力。</w:t>
      </w:r>
    </w:p>
    <w:p w14:paraId="6D908280">
      <w:pPr>
        <w:adjustRightInd w:val="0"/>
        <w:snapToGrid w:val="0"/>
        <w:spacing w:line="380" w:lineRule="exact"/>
        <w:ind w:firstLine="420" w:firstLineChars="200"/>
        <w:rPr>
          <w:rFonts w:ascii="宋体" w:hAnsi="宋体" w:cs="宋体"/>
          <w:kern w:val="0"/>
          <w:szCs w:val="20"/>
          <w:highlight w:val="none"/>
        </w:rPr>
      </w:pPr>
      <w:r>
        <w:rPr>
          <w:rFonts w:hint="eastAsia" w:ascii="宋体" w:hAnsi="宋体" w:cs="宋体"/>
          <w:kern w:val="0"/>
          <w:szCs w:val="20"/>
          <w:highlight w:val="none"/>
        </w:rPr>
        <w:t>4.本合同自甲乙双方签字盖章之日起生效，一式柒份，具有同等法律效力，甲方肆份、乙方执贰份、代理机构壹份，合同双方自签订之日起七个工作日内将合同原件壹份交招标代理机构存档。</w:t>
      </w:r>
    </w:p>
    <w:p w14:paraId="5A4E9808">
      <w:pPr>
        <w:spacing w:line="360" w:lineRule="exact"/>
        <w:rPr>
          <w:rFonts w:ascii="宋体" w:hAnsi="宋体"/>
          <w:szCs w:val="21"/>
          <w:highlight w:val="none"/>
        </w:rPr>
      </w:pPr>
    </w:p>
    <w:p w14:paraId="6A844278">
      <w:pPr>
        <w:spacing w:line="360" w:lineRule="exact"/>
        <w:rPr>
          <w:rFonts w:ascii="宋体" w:hAnsi="宋体"/>
          <w:szCs w:val="21"/>
          <w:highlight w:val="none"/>
        </w:rPr>
      </w:pPr>
    </w:p>
    <w:p w14:paraId="19CE9F15">
      <w:pPr>
        <w:widowControl/>
        <w:kinsoku w:val="0"/>
        <w:autoSpaceDE w:val="0"/>
        <w:autoSpaceDN w:val="0"/>
        <w:adjustRightInd w:val="0"/>
        <w:snapToGrid w:val="0"/>
        <w:spacing w:line="440" w:lineRule="exact"/>
        <w:ind w:left="5250" w:leftChars="200" w:hanging="4830" w:hangingChars="23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甲方： 桂林市中西医结合医院          乙方 ：</w:t>
      </w:r>
      <w:r>
        <w:rPr>
          <w:rFonts w:ascii="宋体" w:hAnsi="宋体" w:cs="宋体"/>
          <w:snapToGrid w:val="0"/>
          <w:color w:val="000000"/>
          <w:kern w:val="0"/>
          <w:szCs w:val="21"/>
          <w:highlight w:val="none"/>
        </w:rPr>
        <w:t xml:space="preserve"> </w:t>
      </w:r>
    </w:p>
    <w:p w14:paraId="12EB4DE0">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p>
    <w:p w14:paraId="40507E29">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法定代表人（签字或盖章）：           法定代表人（签字或盖章）： </w:t>
      </w:r>
    </w:p>
    <w:p w14:paraId="66096555">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委托代理人：                         委托代理人：</w:t>
      </w:r>
    </w:p>
    <w:p w14:paraId="4DF7223D">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通讯地址： 桂林市七星区半塘路6号     通讯地址： </w:t>
      </w:r>
    </w:p>
    <w:p w14:paraId="030E15C3">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联系人：                             联系人：        </w:t>
      </w:r>
    </w:p>
    <w:p w14:paraId="70BB6AA1">
      <w:pPr>
        <w:widowControl/>
        <w:kinsoku w:val="0"/>
        <w:autoSpaceDE w:val="0"/>
        <w:autoSpaceDN w:val="0"/>
        <w:adjustRightInd w:val="0"/>
        <w:snapToGrid w:val="0"/>
        <w:spacing w:line="440" w:lineRule="exact"/>
        <w:ind w:left="5460" w:leftChars="200" w:hanging="5040" w:hangingChars="24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开户名称：桂林市中西医结合医院       开户名称： </w:t>
      </w:r>
    </w:p>
    <w:p w14:paraId="52CED92F">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开户银行：交通银行桂林开发区支行     开户银行：</w:t>
      </w:r>
    </w:p>
    <w:p w14:paraId="4F26F87E">
      <w:pPr>
        <w:widowControl/>
        <w:kinsoku w:val="0"/>
        <w:autoSpaceDE w:val="0"/>
        <w:autoSpaceDN w:val="0"/>
        <w:adjustRightInd w:val="0"/>
        <w:snapToGrid w:val="0"/>
        <w:spacing w:line="440" w:lineRule="exact"/>
        <w:ind w:firstLine="420" w:firstLineChars="200"/>
        <w:jc w:val="left"/>
        <w:textAlignment w:val="baseline"/>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银行账号：453008020010470009088      银行账号：</w:t>
      </w:r>
    </w:p>
    <w:p w14:paraId="5935032A">
      <w:pPr>
        <w:widowControl/>
        <w:kinsoku w:val="0"/>
        <w:autoSpaceDE w:val="0"/>
        <w:autoSpaceDN w:val="0"/>
        <w:adjustRightInd w:val="0"/>
        <w:snapToGrid w:val="0"/>
        <w:spacing w:line="440" w:lineRule="exact"/>
        <w:ind w:firstLine="420" w:firstLineChars="200"/>
        <w:jc w:val="left"/>
        <w:textAlignment w:val="baseline"/>
        <w:rPr>
          <w:rFonts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签订日期：</w:t>
      </w:r>
      <w:r>
        <w:rPr>
          <w:rFonts w:hint="eastAsia" w:ascii="宋体" w:hAnsi="宋体" w:cs="宋体"/>
          <w:snapToGrid w:val="0"/>
          <w:color w:val="000000"/>
          <w:kern w:val="0"/>
          <w:szCs w:val="21"/>
          <w:highlight w:val="none"/>
          <w:lang w:val="en-US" w:eastAsia="zh-CN"/>
        </w:rPr>
        <w:t xml:space="preserve">               </w:t>
      </w:r>
      <w:r>
        <w:rPr>
          <w:rFonts w:hint="eastAsia" w:ascii="宋体" w:hAnsi="宋体" w:cs="宋体"/>
          <w:snapToGrid w:val="0"/>
          <w:color w:val="000000"/>
          <w:kern w:val="0"/>
          <w:szCs w:val="21"/>
          <w:highlight w:val="none"/>
        </w:rPr>
        <w:t xml:space="preserve">            签订日期：</w:t>
      </w:r>
    </w:p>
    <w:p w14:paraId="350AEC81">
      <w:pPr>
        <w:snapToGrid w:val="0"/>
        <w:spacing w:line="400" w:lineRule="exact"/>
        <w:jc w:val="center"/>
        <w:rPr>
          <w:rFonts w:ascii="宋体" w:hAnsi="宋体"/>
          <w:b/>
          <w:sz w:val="32"/>
          <w:szCs w:val="32"/>
          <w:highlight w:val="none"/>
        </w:rPr>
      </w:pPr>
    </w:p>
    <w:p w14:paraId="0C41BEB4">
      <w:pPr>
        <w:widowControl/>
        <w:spacing w:before="100" w:beforeAutospacing="1" w:after="156" w:afterLines="50"/>
        <w:rPr>
          <w:rFonts w:ascii="宋体" w:hAnsi="宋体" w:cs="宋体"/>
          <w:b/>
          <w:kern w:val="0"/>
          <w:sz w:val="30"/>
          <w:szCs w:val="30"/>
          <w:highlight w:val="none"/>
        </w:rPr>
      </w:pPr>
      <w:r>
        <w:rPr>
          <w:rFonts w:hint="eastAsia" w:ascii="宋体" w:hAnsi="宋体" w:cs="宋体"/>
          <w:b/>
          <w:kern w:val="0"/>
          <w:sz w:val="30"/>
          <w:szCs w:val="30"/>
          <w:highlight w:val="none"/>
        </w:rPr>
        <w:t>附件1</w:t>
      </w:r>
    </w:p>
    <w:p w14:paraId="4BF3E3DC">
      <w:pPr>
        <w:widowControl/>
        <w:spacing w:before="100" w:beforeAutospacing="1" w:after="156" w:afterLines="50"/>
        <w:jc w:val="center"/>
        <w:rPr>
          <w:rFonts w:ascii="宋体" w:hAnsi="宋体" w:cs="宋体"/>
          <w:b/>
          <w:kern w:val="0"/>
          <w:sz w:val="28"/>
          <w:szCs w:val="28"/>
          <w:highlight w:val="none"/>
        </w:rPr>
      </w:pPr>
      <w:r>
        <w:rPr>
          <w:rFonts w:hint="eastAsia" w:ascii="宋体" w:hAnsi="宋体" w:cs="宋体"/>
          <w:b/>
          <w:kern w:val="0"/>
          <w:sz w:val="28"/>
          <w:szCs w:val="28"/>
          <w:highlight w:val="none"/>
        </w:rPr>
        <w:t>桂林市中西医结合医院医用织物等洗涤质量考核细则</w:t>
      </w:r>
    </w:p>
    <w:tbl>
      <w:tblPr>
        <w:tblStyle w:val="30"/>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929"/>
        <w:gridCol w:w="3432"/>
        <w:gridCol w:w="1949"/>
        <w:gridCol w:w="734"/>
      </w:tblGrid>
      <w:tr w14:paraId="171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D21AFFC">
            <w:pPr>
              <w:widowControl/>
              <w:adjustRightInd w:val="0"/>
              <w:snapToGrid w:val="0"/>
              <w:spacing w:line="360" w:lineRule="exact"/>
              <w:jc w:val="center"/>
              <w:rPr>
                <w:rFonts w:ascii="华文宋体" w:hAnsi="华文宋体" w:eastAsia="华文宋体" w:cs="宋体"/>
                <w:b/>
                <w:kern w:val="0"/>
                <w:sz w:val="21"/>
                <w:szCs w:val="21"/>
                <w:highlight w:val="none"/>
              </w:rPr>
            </w:pPr>
            <w:r>
              <w:rPr>
                <w:rFonts w:hint="eastAsia" w:ascii="华文宋体" w:hAnsi="华文宋体" w:eastAsia="华文宋体" w:cs="宋体"/>
                <w:b/>
                <w:kern w:val="0"/>
                <w:sz w:val="21"/>
                <w:szCs w:val="21"/>
                <w:highlight w:val="none"/>
              </w:rPr>
              <w:t>项目</w:t>
            </w:r>
          </w:p>
        </w:tc>
        <w:tc>
          <w:tcPr>
            <w:tcW w:w="2929" w:type="dxa"/>
            <w:tcBorders>
              <w:top w:val="single" w:color="auto" w:sz="4" w:space="0"/>
              <w:left w:val="single" w:color="auto" w:sz="4" w:space="0"/>
              <w:bottom w:val="single" w:color="auto" w:sz="4" w:space="0"/>
              <w:right w:val="single" w:color="auto" w:sz="4" w:space="0"/>
            </w:tcBorders>
            <w:vAlign w:val="center"/>
          </w:tcPr>
          <w:p w14:paraId="076E425A">
            <w:pPr>
              <w:widowControl/>
              <w:adjustRightInd w:val="0"/>
              <w:snapToGrid w:val="0"/>
              <w:spacing w:line="360" w:lineRule="exact"/>
              <w:jc w:val="center"/>
              <w:rPr>
                <w:rFonts w:ascii="华文宋体" w:hAnsi="华文宋体" w:eastAsia="华文宋体" w:cs="宋体"/>
                <w:b/>
                <w:kern w:val="0"/>
                <w:sz w:val="21"/>
                <w:szCs w:val="21"/>
                <w:highlight w:val="none"/>
              </w:rPr>
            </w:pPr>
            <w:r>
              <w:rPr>
                <w:rFonts w:hint="eastAsia" w:ascii="华文宋体" w:hAnsi="华文宋体" w:eastAsia="华文宋体" w:cs="宋体"/>
                <w:b/>
                <w:kern w:val="0"/>
                <w:sz w:val="21"/>
                <w:szCs w:val="21"/>
                <w:highlight w:val="none"/>
              </w:rPr>
              <w:t>考核项目</w:t>
            </w:r>
          </w:p>
        </w:tc>
        <w:tc>
          <w:tcPr>
            <w:tcW w:w="3432" w:type="dxa"/>
            <w:tcBorders>
              <w:top w:val="single" w:color="auto" w:sz="4" w:space="0"/>
              <w:left w:val="single" w:color="auto" w:sz="4" w:space="0"/>
              <w:bottom w:val="single" w:color="auto" w:sz="4" w:space="0"/>
              <w:right w:val="single" w:color="auto" w:sz="4" w:space="0"/>
            </w:tcBorders>
            <w:vAlign w:val="center"/>
          </w:tcPr>
          <w:p w14:paraId="01388EC3">
            <w:pPr>
              <w:widowControl/>
              <w:adjustRightInd w:val="0"/>
              <w:snapToGrid w:val="0"/>
              <w:spacing w:line="360" w:lineRule="exact"/>
              <w:jc w:val="center"/>
              <w:rPr>
                <w:rFonts w:ascii="华文宋体" w:hAnsi="华文宋体" w:eastAsia="华文宋体" w:cs="宋体"/>
                <w:b/>
                <w:kern w:val="0"/>
                <w:sz w:val="21"/>
                <w:szCs w:val="21"/>
                <w:highlight w:val="none"/>
              </w:rPr>
            </w:pPr>
            <w:r>
              <w:rPr>
                <w:rFonts w:hint="eastAsia" w:ascii="华文宋体" w:hAnsi="华文宋体" w:eastAsia="华文宋体" w:cs="宋体"/>
                <w:b/>
                <w:kern w:val="0"/>
                <w:sz w:val="21"/>
                <w:szCs w:val="21"/>
                <w:highlight w:val="none"/>
              </w:rPr>
              <w:t>检查考核细则</w:t>
            </w:r>
          </w:p>
        </w:tc>
        <w:tc>
          <w:tcPr>
            <w:tcW w:w="1949" w:type="dxa"/>
            <w:tcBorders>
              <w:top w:val="single" w:color="auto" w:sz="4" w:space="0"/>
              <w:left w:val="single" w:color="auto" w:sz="4" w:space="0"/>
              <w:bottom w:val="single" w:color="auto" w:sz="4" w:space="0"/>
              <w:right w:val="single" w:color="auto" w:sz="4" w:space="0"/>
            </w:tcBorders>
            <w:vAlign w:val="center"/>
          </w:tcPr>
          <w:p w14:paraId="16651081">
            <w:pPr>
              <w:widowControl/>
              <w:adjustRightInd w:val="0"/>
              <w:snapToGrid w:val="0"/>
              <w:spacing w:line="360" w:lineRule="exact"/>
              <w:jc w:val="center"/>
              <w:rPr>
                <w:rFonts w:ascii="华文宋体" w:hAnsi="华文宋体" w:eastAsia="华文宋体" w:cs="宋体"/>
                <w:b/>
                <w:kern w:val="0"/>
                <w:sz w:val="21"/>
                <w:szCs w:val="21"/>
                <w:highlight w:val="none"/>
              </w:rPr>
            </w:pPr>
            <w:r>
              <w:rPr>
                <w:rFonts w:hint="eastAsia" w:ascii="华文宋体" w:hAnsi="华文宋体" w:eastAsia="华文宋体" w:cs="宋体"/>
                <w:b/>
                <w:kern w:val="0"/>
                <w:sz w:val="21"/>
                <w:szCs w:val="21"/>
                <w:highlight w:val="none"/>
              </w:rPr>
              <w:t>扣分说明</w:t>
            </w:r>
          </w:p>
        </w:tc>
        <w:tc>
          <w:tcPr>
            <w:tcW w:w="734" w:type="dxa"/>
            <w:tcBorders>
              <w:top w:val="single" w:color="auto" w:sz="4" w:space="0"/>
              <w:left w:val="single" w:color="auto" w:sz="4" w:space="0"/>
              <w:bottom w:val="single" w:color="auto" w:sz="4" w:space="0"/>
              <w:right w:val="single" w:color="auto" w:sz="4" w:space="0"/>
            </w:tcBorders>
            <w:vAlign w:val="center"/>
          </w:tcPr>
          <w:p w14:paraId="2A4A34D5">
            <w:pPr>
              <w:widowControl/>
              <w:adjustRightInd w:val="0"/>
              <w:snapToGrid w:val="0"/>
              <w:spacing w:line="360" w:lineRule="exact"/>
              <w:jc w:val="left"/>
              <w:rPr>
                <w:rFonts w:ascii="华文宋体" w:hAnsi="华文宋体" w:eastAsia="华文宋体" w:cs="宋体"/>
                <w:b/>
                <w:kern w:val="0"/>
                <w:sz w:val="21"/>
                <w:szCs w:val="21"/>
                <w:highlight w:val="none"/>
              </w:rPr>
            </w:pPr>
            <w:r>
              <w:rPr>
                <w:rFonts w:hint="eastAsia" w:ascii="华文宋体" w:hAnsi="华文宋体" w:eastAsia="华文宋体" w:cs="宋体"/>
                <w:b/>
                <w:kern w:val="0"/>
                <w:sz w:val="21"/>
                <w:szCs w:val="21"/>
                <w:highlight w:val="none"/>
              </w:rPr>
              <w:t>累加分值</w:t>
            </w:r>
          </w:p>
        </w:tc>
      </w:tr>
      <w:tr w14:paraId="1D5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CD874A7">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1</w:t>
            </w:r>
          </w:p>
        </w:tc>
        <w:tc>
          <w:tcPr>
            <w:tcW w:w="2929" w:type="dxa"/>
            <w:tcBorders>
              <w:top w:val="single" w:color="auto" w:sz="4" w:space="0"/>
              <w:left w:val="single" w:color="auto" w:sz="4" w:space="0"/>
              <w:bottom w:val="single" w:color="auto" w:sz="4" w:space="0"/>
              <w:right w:val="single" w:color="auto" w:sz="4" w:space="0"/>
            </w:tcBorders>
            <w:vAlign w:val="center"/>
          </w:tcPr>
          <w:p w14:paraId="2A932BC8">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按时接收洗涤物品</w:t>
            </w:r>
          </w:p>
        </w:tc>
        <w:tc>
          <w:tcPr>
            <w:tcW w:w="3432" w:type="dxa"/>
            <w:tcBorders>
              <w:top w:val="single" w:color="auto" w:sz="4" w:space="0"/>
              <w:left w:val="single" w:color="auto" w:sz="4" w:space="0"/>
              <w:bottom w:val="single" w:color="auto" w:sz="4" w:space="0"/>
              <w:right w:val="single" w:color="auto" w:sz="4" w:space="0"/>
            </w:tcBorders>
            <w:vAlign w:val="center"/>
          </w:tcPr>
          <w:p w14:paraId="5213E175">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未按时接收：每延长半天扣0.5分，延长一天扣1分，以此类推</w:t>
            </w:r>
          </w:p>
        </w:tc>
        <w:tc>
          <w:tcPr>
            <w:tcW w:w="1949" w:type="dxa"/>
            <w:tcBorders>
              <w:top w:val="single" w:color="auto" w:sz="4" w:space="0"/>
              <w:left w:val="single" w:color="auto" w:sz="4" w:space="0"/>
              <w:bottom w:val="single" w:color="auto" w:sz="4" w:space="0"/>
              <w:right w:val="single" w:color="auto" w:sz="4" w:space="0"/>
            </w:tcBorders>
            <w:vAlign w:val="center"/>
          </w:tcPr>
          <w:p w14:paraId="7B6FDCD9">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9949899">
            <w:pPr>
              <w:widowControl/>
              <w:adjustRightInd w:val="0"/>
              <w:snapToGrid w:val="0"/>
              <w:spacing w:line="360" w:lineRule="exact"/>
              <w:rPr>
                <w:rFonts w:ascii="华文宋体" w:hAnsi="华文宋体" w:eastAsia="华文宋体" w:cs="宋体"/>
                <w:kern w:val="0"/>
                <w:sz w:val="21"/>
                <w:szCs w:val="21"/>
                <w:highlight w:val="none"/>
              </w:rPr>
            </w:pPr>
          </w:p>
        </w:tc>
      </w:tr>
      <w:tr w14:paraId="335B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1190FE4C">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2</w:t>
            </w:r>
          </w:p>
        </w:tc>
        <w:tc>
          <w:tcPr>
            <w:tcW w:w="2929" w:type="dxa"/>
            <w:tcBorders>
              <w:top w:val="single" w:color="auto" w:sz="4" w:space="0"/>
              <w:left w:val="single" w:color="auto" w:sz="4" w:space="0"/>
              <w:bottom w:val="single" w:color="auto" w:sz="4" w:space="0"/>
              <w:right w:val="single" w:color="auto" w:sz="4" w:space="0"/>
            </w:tcBorders>
            <w:vAlign w:val="center"/>
          </w:tcPr>
          <w:p w14:paraId="380D31C3">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按时发放洗涤物品</w:t>
            </w:r>
          </w:p>
        </w:tc>
        <w:tc>
          <w:tcPr>
            <w:tcW w:w="3432" w:type="dxa"/>
            <w:tcBorders>
              <w:top w:val="single" w:color="auto" w:sz="4" w:space="0"/>
              <w:left w:val="single" w:color="auto" w:sz="4" w:space="0"/>
              <w:bottom w:val="single" w:color="auto" w:sz="4" w:space="0"/>
              <w:right w:val="single" w:color="auto" w:sz="4" w:space="0"/>
            </w:tcBorders>
            <w:vAlign w:val="center"/>
          </w:tcPr>
          <w:p w14:paraId="27943BBE">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未按时发放：每延长半天扣0.5分，延长一天扣1分，以此类推</w:t>
            </w:r>
          </w:p>
        </w:tc>
        <w:tc>
          <w:tcPr>
            <w:tcW w:w="1949" w:type="dxa"/>
            <w:tcBorders>
              <w:top w:val="single" w:color="auto" w:sz="4" w:space="0"/>
              <w:left w:val="single" w:color="auto" w:sz="4" w:space="0"/>
              <w:bottom w:val="single" w:color="auto" w:sz="4" w:space="0"/>
              <w:right w:val="single" w:color="auto" w:sz="4" w:space="0"/>
            </w:tcBorders>
            <w:vAlign w:val="center"/>
          </w:tcPr>
          <w:p w14:paraId="4BDBB0C0">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384681C0">
            <w:pPr>
              <w:widowControl/>
              <w:adjustRightInd w:val="0"/>
              <w:snapToGrid w:val="0"/>
              <w:spacing w:line="360" w:lineRule="exact"/>
              <w:rPr>
                <w:rFonts w:ascii="华文宋体" w:hAnsi="华文宋体" w:eastAsia="华文宋体" w:cs="宋体"/>
                <w:kern w:val="0"/>
                <w:sz w:val="21"/>
                <w:szCs w:val="21"/>
                <w:highlight w:val="none"/>
              </w:rPr>
            </w:pPr>
          </w:p>
        </w:tc>
      </w:tr>
      <w:tr w14:paraId="2CB3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16DEC7E">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3</w:t>
            </w:r>
          </w:p>
        </w:tc>
        <w:tc>
          <w:tcPr>
            <w:tcW w:w="2929" w:type="dxa"/>
            <w:tcBorders>
              <w:top w:val="single" w:color="auto" w:sz="4" w:space="0"/>
              <w:left w:val="single" w:color="auto" w:sz="4" w:space="0"/>
              <w:bottom w:val="single" w:color="auto" w:sz="4" w:space="0"/>
              <w:right w:val="single" w:color="auto" w:sz="4" w:space="0"/>
            </w:tcBorders>
            <w:vAlign w:val="center"/>
          </w:tcPr>
          <w:p w14:paraId="75AE9025">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漏发洗涤物品后及时补回</w:t>
            </w:r>
          </w:p>
        </w:tc>
        <w:tc>
          <w:tcPr>
            <w:tcW w:w="3432" w:type="dxa"/>
            <w:tcBorders>
              <w:top w:val="single" w:color="auto" w:sz="4" w:space="0"/>
              <w:left w:val="single" w:color="auto" w:sz="4" w:space="0"/>
              <w:bottom w:val="single" w:color="auto" w:sz="4" w:space="0"/>
              <w:right w:val="single" w:color="auto" w:sz="4" w:space="0"/>
            </w:tcBorders>
            <w:vAlign w:val="center"/>
          </w:tcPr>
          <w:p w14:paraId="1108BC0F">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未及时补回：每延长半天扣0.5分，延长一天扣1分，以此类推</w:t>
            </w:r>
          </w:p>
        </w:tc>
        <w:tc>
          <w:tcPr>
            <w:tcW w:w="1949" w:type="dxa"/>
            <w:tcBorders>
              <w:top w:val="single" w:color="auto" w:sz="4" w:space="0"/>
              <w:left w:val="single" w:color="auto" w:sz="4" w:space="0"/>
              <w:bottom w:val="single" w:color="auto" w:sz="4" w:space="0"/>
              <w:right w:val="single" w:color="auto" w:sz="4" w:space="0"/>
            </w:tcBorders>
            <w:vAlign w:val="center"/>
          </w:tcPr>
          <w:p w14:paraId="67A26574">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02A10B70">
            <w:pPr>
              <w:widowControl/>
              <w:adjustRightInd w:val="0"/>
              <w:snapToGrid w:val="0"/>
              <w:spacing w:line="360" w:lineRule="exact"/>
              <w:rPr>
                <w:rFonts w:ascii="华文宋体" w:hAnsi="华文宋体" w:eastAsia="华文宋体" w:cs="宋体"/>
                <w:kern w:val="0"/>
                <w:sz w:val="21"/>
                <w:szCs w:val="21"/>
                <w:highlight w:val="none"/>
              </w:rPr>
            </w:pPr>
          </w:p>
        </w:tc>
      </w:tr>
      <w:tr w14:paraId="592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968FE16">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4</w:t>
            </w:r>
          </w:p>
        </w:tc>
        <w:tc>
          <w:tcPr>
            <w:tcW w:w="2929" w:type="dxa"/>
            <w:tcBorders>
              <w:top w:val="single" w:color="auto" w:sz="4" w:space="0"/>
              <w:left w:val="single" w:color="auto" w:sz="4" w:space="0"/>
              <w:bottom w:val="single" w:color="auto" w:sz="4" w:space="0"/>
              <w:right w:val="single" w:color="auto" w:sz="4" w:space="0"/>
            </w:tcBorders>
            <w:vAlign w:val="center"/>
          </w:tcPr>
          <w:p w14:paraId="64963F2E">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发放的洗涤物品无污渍、无异味。</w:t>
            </w:r>
          </w:p>
        </w:tc>
        <w:tc>
          <w:tcPr>
            <w:tcW w:w="3432" w:type="dxa"/>
            <w:tcBorders>
              <w:top w:val="single" w:color="auto" w:sz="4" w:space="0"/>
              <w:left w:val="single" w:color="auto" w:sz="4" w:space="0"/>
              <w:bottom w:val="single" w:color="auto" w:sz="4" w:space="0"/>
              <w:right w:val="single" w:color="auto" w:sz="4" w:space="0"/>
            </w:tcBorders>
            <w:vAlign w:val="center"/>
          </w:tcPr>
          <w:p w14:paraId="44492768">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每有一件扣0.1分</w:t>
            </w:r>
          </w:p>
        </w:tc>
        <w:tc>
          <w:tcPr>
            <w:tcW w:w="1949" w:type="dxa"/>
            <w:tcBorders>
              <w:top w:val="single" w:color="auto" w:sz="4" w:space="0"/>
              <w:left w:val="single" w:color="auto" w:sz="4" w:space="0"/>
              <w:bottom w:val="single" w:color="auto" w:sz="4" w:space="0"/>
              <w:right w:val="single" w:color="auto" w:sz="4" w:space="0"/>
            </w:tcBorders>
            <w:vAlign w:val="center"/>
          </w:tcPr>
          <w:p w14:paraId="45FFB70C">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73F52F35">
            <w:pPr>
              <w:widowControl/>
              <w:adjustRightInd w:val="0"/>
              <w:snapToGrid w:val="0"/>
              <w:spacing w:line="360" w:lineRule="exact"/>
              <w:rPr>
                <w:rFonts w:ascii="华文宋体" w:hAnsi="华文宋体" w:eastAsia="华文宋体" w:cs="宋体"/>
                <w:kern w:val="0"/>
                <w:sz w:val="21"/>
                <w:szCs w:val="21"/>
                <w:highlight w:val="none"/>
              </w:rPr>
            </w:pPr>
          </w:p>
        </w:tc>
      </w:tr>
      <w:tr w14:paraId="67AA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67D8DFEE">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5</w:t>
            </w:r>
          </w:p>
        </w:tc>
        <w:tc>
          <w:tcPr>
            <w:tcW w:w="2929" w:type="dxa"/>
            <w:tcBorders>
              <w:top w:val="single" w:color="auto" w:sz="4" w:space="0"/>
              <w:left w:val="single" w:color="auto" w:sz="4" w:space="0"/>
              <w:bottom w:val="single" w:color="auto" w:sz="4" w:space="0"/>
              <w:right w:val="single" w:color="auto" w:sz="4" w:space="0"/>
            </w:tcBorders>
            <w:vAlign w:val="center"/>
          </w:tcPr>
          <w:p w14:paraId="473F0260">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发放的洗涤物品无串色、无变色</w:t>
            </w:r>
          </w:p>
        </w:tc>
        <w:tc>
          <w:tcPr>
            <w:tcW w:w="3432" w:type="dxa"/>
            <w:tcBorders>
              <w:top w:val="single" w:color="auto" w:sz="4" w:space="0"/>
              <w:left w:val="single" w:color="auto" w:sz="4" w:space="0"/>
              <w:bottom w:val="single" w:color="auto" w:sz="4" w:space="0"/>
              <w:right w:val="single" w:color="auto" w:sz="4" w:space="0"/>
            </w:tcBorders>
            <w:vAlign w:val="center"/>
          </w:tcPr>
          <w:p w14:paraId="279BD488">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每有一件扣0.1分</w:t>
            </w:r>
          </w:p>
        </w:tc>
        <w:tc>
          <w:tcPr>
            <w:tcW w:w="1949" w:type="dxa"/>
            <w:tcBorders>
              <w:top w:val="single" w:color="auto" w:sz="4" w:space="0"/>
              <w:left w:val="single" w:color="auto" w:sz="4" w:space="0"/>
              <w:bottom w:val="single" w:color="auto" w:sz="4" w:space="0"/>
              <w:right w:val="single" w:color="auto" w:sz="4" w:space="0"/>
            </w:tcBorders>
            <w:vAlign w:val="center"/>
          </w:tcPr>
          <w:p w14:paraId="10382013">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78335337">
            <w:pPr>
              <w:widowControl/>
              <w:adjustRightInd w:val="0"/>
              <w:snapToGrid w:val="0"/>
              <w:spacing w:line="360" w:lineRule="exact"/>
              <w:rPr>
                <w:rFonts w:ascii="华文宋体" w:hAnsi="华文宋体" w:eastAsia="华文宋体" w:cs="宋体"/>
                <w:kern w:val="0"/>
                <w:sz w:val="21"/>
                <w:szCs w:val="21"/>
                <w:highlight w:val="none"/>
              </w:rPr>
            </w:pPr>
          </w:p>
        </w:tc>
      </w:tr>
      <w:tr w14:paraId="7FEB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013BDE30">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6</w:t>
            </w:r>
          </w:p>
        </w:tc>
        <w:tc>
          <w:tcPr>
            <w:tcW w:w="2929" w:type="dxa"/>
            <w:tcBorders>
              <w:top w:val="single" w:color="auto" w:sz="4" w:space="0"/>
              <w:left w:val="single" w:color="auto" w:sz="4" w:space="0"/>
              <w:bottom w:val="single" w:color="auto" w:sz="4" w:space="0"/>
              <w:right w:val="single" w:color="auto" w:sz="4" w:space="0"/>
            </w:tcBorders>
            <w:vAlign w:val="center"/>
          </w:tcPr>
          <w:p w14:paraId="1BC9CC75">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发放的洗涤物品平整，按规范叠放。</w:t>
            </w:r>
          </w:p>
        </w:tc>
        <w:tc>
          <w:tcPr>
            <w:tcW w:w="3432" w:type="dxa"/>
            <w:tcBorders>
              <w:top w:val="single" w:color="auto" w:sz="4" w:space="0"/>
              <w:left w:val="single" w:color="auto" w:sz="4" w:space="0"/>
              <w:bottom w:val="single" w:color="auto" w:sz="4" w:space="0"/>
              <w:right w:val="single" w:color="auto" w:sz="4" w:space="0"/>
            </w:tcBorders>
            <w:vAlign w:val="center"/>
          </w:tcPr>
          <w:p w14:paraId="092BD210">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每有一件不合要求扣0.1分</w:t>
            </w:r>
          </w:p>
        </w:tc>
        <w:tc>
          <w:tcPr>
            <w:tcW w:w="1949" w:type="dxa"/>
            <w:tcBorders>
              <w:top w:val="single" w:color="auto" w:sz="4" w:space="0"/>
              <w:left w:val="single" w:color="auto" w:sz="4" w:space="0"/>
              <w:bottom w:val="single" w:color="auto" w:sz="4" w:space="0"/>
              <w:right w:val="single" w:color="auto" w:sz="4" w:space="0"/>
            </w:tcBorders>
            <w:vAlign w:val="center"/>
          </w:tcPr>
          <w:p w14:paraId="12EB6EE0">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37B4099">
            <w:pPr>
              <w:widowControl/>
              <w:adjustRightInd w:val="0"/>
              <w:snapToGrid w:val="0"/>
              <w:spacing w:line="360" w:lineRule="exact"/>
              <w:rPr>
                <w:rFonts w:ascii="华文宋体" w:hAnsi="华文宋体" w:eastAsia="华文宋体" w:cs="宋体"/>
                <w:kern w:val="0"/>
                <w:sz w:val="21"/>
                <w:szCs w:val="21"/>
                <w:highlight w:val="none"/>
              </w:rPr>
            </w:pPr>
          </w:p>
        </w:tc>
      </w:tr>
      <w:tr w14:paraId="3521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73D008D">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7</w:t>
            </w:r>
          </w:p>
        </w:tc>
        <w:tc>
          <w:tcPr>
            <w:tcW w:w="2929" w:type="dxa"/>
            <w:tcBorders>
              <w:top w:val="single" w:color="auto" w:sz="4" w:space="0"/>
              <w:left w:val="single" w:color="auto" w:sz="4" w:space="0"/>
              <w:bottom w:val="single" w:color="auto" w:sz="4" w:space="0"/>
              <w:right w:val="single" w:color="auto" w:sz="4" w:space="0"/>
            </w:tcBorders>
            <w:vAlign w:val="center"/>
          </w:tcPr>
          <w:p w14:paraId="27256AED">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发放的洗涤物品无破损、掉扣、脱线等现象。</w:t>
            </w:r>
          </w:p>
        </w:tc>
        <w:tc>
          <w:tcPr>
            <w:tcW w:w="3432" w:type="dxa"/>
            <w:tcBorders>
              <w:top w:val="single" w:color="auto" w:sz="4" w:space="0"/>
              <w:left w:val="single" w:color="auto" w:sz="4" w:space="0"/>
              <w:bottom w:val="single" w:color="auto" w:sz="4" w:space="0"/>
              <w:right w:val="single" w:color="auto" w:sz="4" w:space="0"/>
            </w:tcBorders>
            <w:vAlign w:val="center"/>
          </w:tcPr>
          <w:p w14:paraId="1094CF94">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每发现一件未缝补扣0.1分</w:t>
            </w:r>
          </w:p>
        </w:tc>
        <w:tc>
          <w:tcPr>
            <w:tcW w:w="1949" w:type="dxa"/>
            <w:tcBorders>
              <w:top w:val="single" w:color="auto" w:sz="4" w:space="0"/>
              <w:left w:val="single" w:color="auto" w:sz="4" w:space="0"/>
              <w:bottom w:val="single" w:color="auto" w:sz="4" w:space="0"/>
              <w:right w:val="single" w:color="auto" w:sz="4" w:space="0"/>
            </w:tcBorders>
            <w:vAlign w:val="center"/>
          </w:tcPr>
          <w:p w14:paraId="657F9668">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1D31818B">
            <w:pPr>
              <w:widowControl/>
              <w:adjustRightInd w:val="0"/>
              <w:snapToGrid w:val="0"/>
              <w:spacing w:line="360" w:lineRule="exact"/>
              <w:rPr>
                <w:rFonts w:ascii="华文宋体" w:hAnsi="华文宋体" w:eastAsia="华文宋体" w:cs="宋体"/>
                <w:kern w:val="0"/>
                <w:sz w:val="21"/>
                <w:szCs w:val="21"/>
                <w:highlight w:val="none"/>
              </w:rPr>
            </w:pPr>
          </w:p>
        </w:tc>
      </w:tr>
      <w:tr w14:paraId="52C8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82134A0">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8</w:t>
            </w:r>
          </w:p>
        </w:tc>
        <w:tc>
          <w:tcPr>
            <w:tcW w:w="2929" w:type="dxa"/>
            <w:tcBorders>
              <w:top w:val="single" w:color="auto" w:sz="4" w:space="0"/>
              <w:left w:val="single" w:color="auto" w:sz="4" w:space="0"/>
              <w:bottom w:val="single" w:color="auto" w:sz="4" w:space="0"/>
              <w:right w:val="single" w:color="auto" w:sz="4" w:space="0"/>
            </w:tcBorders>
            <w:vAlign w:val="center"/>
          </w:tcPr>
          <w:p w14:paraId="21E8C52B">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无其他医院洗涤物品错发到本院</w:t>
            </w:r>
          </w:p>
        </w:tc>
        <w:tc>
          <w:tcPr>
            <w:tcW w:w="3432" w:type="dxa"/>
            <w:tcBorders>
              <w:top w:val="single" w:color="auto" w:sz="4" w:space="0"/>
              <w:left w:val="single" w:color="auto" w:sz="4" w:space="0"/>
              <w:bottom w:val="single" w:color="auto" w:sz="4" w:space="0"/>
              <w:right w:val="single" w:color="auto" w:sz="4" w:space="0"/>
            </w:tcBorders>
            <w:vAlign w:val="center"/>
          </w:tcPr>
          <w:p w14:paraId="41617695">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每错一件扣1分</w:t>
            </w:r>
          </w:p>
        </w:tc>
        <w:tc>
          <w:tcPr>
            <w:tcW w:w="1949" w:type="dxa"/>
            <w:tcBorders>
              <w:top w:val="single" w:color="auto" w:sz="4" w:space="0"/>
              <w:left w:val="single" w:color="auto" w:sz="4" w:space="0"/>
              <w:bottom w:val="single" w:color="auto" w:sz="4" w:space="0"/>
              <w:right w:val="single" w:color="auto" w:sz="4" w:space="0"/>
            </w:tcBorders>
            <w:vAlign w:val="center"/>
          </w:tcPr>
          <w:p w14:paraId="2E0119F1">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58428116">
            <w:pPr>
              <w:widowControl/>
              <w:adjustRightInd w:val="0"/>
              <w:snapToGrid w:val="0"/>
              <w:spacing w:line="360" w:lineRule="exact"/>
              <w:rPr>
                <w:rFonts w:ascii="华文宋体" w:hAnsi="华文宋体" w:eastAsia="华文宋体" w:cs="宋体"/>
                <w:kern w:val="0"/>
                <w:sz w:val="21"/>
                <w:szCs w:val="21"/>
                <w:highlight w:val="none"/>
              </w:rPr>
            </w:pPr>
          </w:p>
        </w:tc>
      </w:tr>
      <w:tr w14:paraId="1E10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39BF7607">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9</w:t>
            </w:r>
          </w:p>
        </w:tc>
        <w:tc>
          <w:tcPr>
            <w:tcW w:w="2929" w:type="dxa"/>
            <w:tcBorders>
              <w:top w:val="single" w:color="auto" w:sz="4" w:space="0"/>
              <w:left w:val="single" w:color="auto" w:sz="4" w:space="0"/>
              <w:bottom w:val="single" w:color="auto" w:sz="4" w:space="0"/>
              <w:right w:val="single" w:color="auto" w:sz="4" w:space="0"/>
            </w:tcBorders>
            <w:vAlign w:val="center"/>
          </w:tcPr>
          <w:p w14:paraId="24CBB8F0">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洗涤物品月破损情形</w:t>
            </w:r>
          </w:p>
        </w:tc>
        <w:tc>
          <w:tcPr>
            <w:tcW w:w="3432" w:type="dxa"/>
            <w:tcBorders>
              <w:top w:val="single" w:color="auto" w:sz="4" w:space="0"/>
              <w:left w:val="single" w:color="auto" w:sz="4" w:space="0"/>
              <w:bottom w:val="single" w:color="auto" w:sz="4" w:space="0"/>
              <w:right w:val="single" w:color="auto" w:sz="4" w:space="0"/>
            </w:tcBorders>
            <w:vAlign w:val="center"/>
          </w:tcPr>
          <w:p w14:paraId="0C13DF9C">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按合同相关条款扣款</w:t>
            </w:r>
          </w:p>
        </w:tc>
        <w:tc>
          <w:tcPr>
            <w:tcW w:w="1949" w:type="dxa"/>
            <w:tcBorders>
              <w:top w:val="single" w:color="auto" w:sz="4" w:space="0"/>
              <w:left w:val="single" w:color="auto" w:sz="4" w:space="0"/>
              <w:bottom w:val="single" w:color="auto" w:sz="4" w:space="0"/>
              <w:right w:val="single" w:color="auto" w:sz="4" w:space="0"/>
            </w:tcBorders>
            <w:vAlign w:val="center"/>
          </w:tcPr>
          <w:p w14:paraId="3092EC5D">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374A34D3">
            <w:pPr>
              <w:widowControl/>
              <w:adjustRightInd w:val="0"/>
              <w:snapToGrid w:val="0"/>
              <w:spacing w:line="360" w:lineRule="exact"/>
              <w:rPr>
                <w:rFonts w:ascii="华文宋体" w:hAnsi="华文宋体" w:eastAsia="华文宋体" w:cs="宋体"/>
                <w:kern w:val="0"/>
                <w:sz w:val="21"/>
                <w:szCs w:val="21"/>
                <w:highlight w:val="none"/>
              </w:rPr>
            </w:pPr>
          </w:p>
        </w:tc>
      </w:tr>
      <w:tr w14:paraId="3235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3BA2ECF">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10</w:t>
            </w:r>
          </w:p>
        </w:tc>
        <w:tc>
          <w:tcPr>
            <w:tcW w:w="2929" w:type="dxa"/>
            <w:tcBorders>
              <w:top w:val="single" w:color="auto" w:sz="4" w:space="0"/>
              <w:left w:val="single" w:color="auto" w:sz="4" w:space="0"/>
              <w:bottom w:val="single" w:color="auto" w:sz="4" w:space="0"/>
              <w:right w:val="single" w:color="auto" w:sz="4" w:space="0"/>
            </w:tcBorders>
            <w:vAlign w:val="center"/>
          </w:tcPr>
          <w:p w14:paraId="5D2ECE64">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洗涤物品运输及时，不影响医院正常诊疗工作开展</w:t>
            </w:r>
          </w:p>
        </w:tc>
        <w:tc>
          <w:tcPr>
            <w:tcW w:w="3432" w:type="dxa"/>
            <w:tcBorders>
              <w:top w:val="single" w:color="auto" w:sz="4" w:space="0"/>
              <w:left w:val="single" w:color="auto" w:sz="4" w:space="0"/>
              <w:bottom w:val="single" w:color="auto" w:sz="4" w:space="0"/>
              <w:right w:val="single" w:color="auto" w:sz="4" w:space="0"/>
            </w:tcBorders>
            <w:vAlign w:val="center"/>
          </w:tcPr>
          <w:p w14:paraId="382C6ECC">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每出现一次运输不及时，扣1分</w:t>
            </w:r>
          </w:p>
        </w:tc>
        <w:tc>
          <w:tcPr>
            <w:tcW w:w="1949" w:type="dxa"/>
            <w:tcBorders>
              <w:top w:val="single" w:color="auto" w:sz="4" w:space="0"/>
              <w:left w:val="single" w:color="auto" w:sz="4" w:space="0"/>
              <w:bottom w:val="single" w:color="auto" w:sz="4" w:space="0"/>
              <w:right w:val="single" w:color="auto" w:sz="4" w:space="0"/>
            </w:tcBorders>
            <w:vAlign w:val="center"/>
          </w:tcPr>
          <w:p w14:paraId="0A0A38A3">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45A13951">
            <w:pPr>
              <w:widowControl/>
              <w:adjustRightInd w:val="0"/>
              <w:snapToGrid w:val="0"/>
              <w:spacing w:line="360" w:lineRule="exact"/>
              <w:rPr>
                <w:rFonts w:ascii="华文宋体" w:hAnsi="华文宋体" w:eastAsia="华文宋体" w:cs="宋体"/>
                <w:kern w:val="0"/>
                <w:sz w:val="21"/>
                <w:szCs w:val="21"/>
                <w:highlight w:val="none"/>
              </w:rPr>
            </w:pPr>
          </w:p>
        </w:tc>
      </w:tr>
      <w:tr w14:paraId="03F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55554ADF">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11</w:t>
            </w:r>
          </w:p>
        </w:tc>
        <w:tc>
          <w:tcPr>
            <w:tcW w:w="2929" w:type="dxa"/>
            <w:tcBorders>
              <w:top w:val="single" w:color="auto" w:sz="4" w:space="0"/>
              <w:left w:val="single" w:color="auto" w:sz="4" w:space="0"/>
              <w:bottom w:val="single" w:color="auto" w:sz="4" w:space="0"/>
              <w:right w:val="single" w:color="auto" w:sz="4" w:space="0"/>
            </w:tcBorders>
            <w:vAlign w:val="center"/>
          </w:tcPr>
          <w:p w14:paraId="643B777A">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科室投诉洗涤质量</w:t>
            </w:r>
          </w:p>
        </w:tc>
        <w:tc>
          <w:tcPr>
            <w:tcW w:w="3432" w:type="dxa"/>
            <w:tcBorders>
              <w:top w:val="single" w:color="auto" w:sz="4" w:space="0"/>
              <w:left w:val="single" w:color="auto" w:sz="4" w:space="0"/>
              <w:bottom w:val="single" w:color="auto" w:sz="4" w:space="0"/>
              <w:right w:val="single" w:color="auto" w:sz="4" w:space="0"/>
            </w:tcBorders>
            <w:vAlign w:val="center"/>
          </w:tcPr>
          <w:p w14:paraId="6C3BCBD2">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每有一次投诉，扣1分</w:t>
            </w:r>
          </w:p>
        </w:tc>
        <w:tc>
          <w:tcPr>
            <w:tcW w:w="1949" w:type="dxa"/>
            <w:tcBorders>
              <w:top w:val="single" w:color="auto" w:sz="4" w:space="0"/>
              <w:left w:val="single" w:color="auto" w:sz="4" w:space="0"/>
              <w:bottom w:val="single" w:color="auto" w:sz="4" w:space="0"/>
              <w:right w:val="single" w:color="auto" w:sz="4" w:space="0"/>
            </w:tcBorders>
            <w:vAlign w:val="center"/>
          </w:tcPr>
          <w:p w14:paraId="6A60642D">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555D3E50">
            <w:pPr>
              <w:widowControl/>
              <w:adjustRightInd w:val="0"/>
              <w:snapToGrid w:val="0"/>
              <w:spacing w:line="360" w:lineRule="exact"/>
              <w:rPr>
                <w:rFonts w:ascii="华文宋体" w:hAnsi="华文宋体" w:eastAsia="华文宋体" w:cs="宋体"/>
                <w:kern w:val="0"/>
                <w:sz w:val="21"/>
                <w:szCs w:val="21"/>
                <w:highlight w:val="none"/>
              </w:rPr>
            </w:pPr>
          </w:p>
        </w:tc>
      </w:tr>
      <w:tr w14:paraId="380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49D55D60">
            <w:pPr>
              <w:widowControl/>
              <w:adjustRightInd w:val="0"/>
              <w:snapToGrid w:val="0"/>
              <w:spacing w:line="360" w:lineRule="exact"/>
              <w:jc w:val="center"/>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12</w:t>
            </w:r>
          </w:p>
        </w:tc>
        <w:tc>
          <w:tcPr>
            <w:tcW w:w="2929" w:type="dxa"/>
            <w:tcBorders>
              <w:top w:val="single" w:color="auto" w:sz="4" w:space="0"/>
              <w:left w:val="single" w:color="auto" w:sz="4" w:space="0"/>
              <w:bottom w:val="single" w:color="auto" w:sz="4" w:space="0"/>
              <w:right w:val="single" w:color="auto" w:sz="4" w:space="0"/>
            </w:tcBorders>
            <w:vAlign w:val="center"/>
          </w:tcPr>
          <w:p w14:paraId="02C6E7AF">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每季度科室满意度调查达到90%</w:t>
            </w:r>
          </w:p>
        </w:tc>
        <w:tc>
          <w:tcPr>
            <w:tcW w:w="3432" w:type="dxa"/>
            <w:tcBorders>
              <w:top w:val="single" w:color="auto" w:sz="4" w:space="0"/>
              <w:left w:val="single" w:color="auto" w:sz="4" w:space="0"/>
              <w:bottom w:val="single" w:color="auto" w:sz="4" w:space="0"/>
              <w:right w:val="single" w:color="auto" w:sz="4" w:space="0"/>
            </w:tcBorders>
            <w:vAlign w:val="center"/>
          </w:tcPr>
          <w:p w14:paraId="24ECC3A2">
            <w:pPr>
              <w:widowControl/>
              <w:adjustRightInd w:val="0"/>
              <w:snapToGrid w:val="0"/>
              <w:spacing w:line="360" w:lineRule="exact"/>
              <w:jc w:val="left"/>
              <w:rPr>
                <w:rFonts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每少1个百分点扣2分；</w:t>
            </w:r>
          </w:p>
        </w:tc>
        <w:tc>
          <w:tcPr>
            <w:tcW w:w="1949" w:type="dxa"/>
            <w:tcBorders>
              <w:top w:val="single" w:color="auto" w:sz="4" w:space="0"/>
              <w:left w:val="single" w:color="auto" w:sz="4" w:space="0"/>
              <w:bottom w:val="single" w:color="auto" w:sz="4" w:space="0"/>
              <w:right w:val="single" w:color="auto" w:sz="4" w:space="0"/>
            </w:tcBorders>
            <w:vAlign w:val="center"/>
          </w:tcPr>
          <w:p w14:paraId="1A10F6E6">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3469A51C">
            <w:pPr>
              <w:widowControl/>
              <w:adjustRightInd w:val="0"/>
              <w:snapToGrid w:val="0"/>
              <w:spacing w:line="360" w:lineRule="exact"/>
              <w:rPr>
                <w:rFonts w:ascii="华文宋体" w:hAnsi="华文宋体" w:eastAsia="华文宋体" w:cs="宋体"/>
                <w:kern w:val="0"/>
                <w:sz w:val="21"/>
                <w:szCs w:val="21"/>
                <w:highlight w:val="none"/>
              </w:rPr>
            </w:pPr>
          </w:p>
        </w:tc>
      </w:tr>
      <w:tr w14:paraId="7BEE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2A09CCA9">
            <w:pPr>
              <w:widowControl/>
              <w:adjustRightInd w:val="0"/>
              <w:snapToGrid w:val="0"/>
              <w:spacing w:line="360" w:lineRule="exact"/>
              <w:jc w:val="center"/>
              <w:rPr>
                <w:rFonts w:hint="default" w:ascii="华文宋体" w:hAnsi="华文宋体" w:eastAsia="华文宋体" w:cs="宋体"/>
                <w:kern w:val="0"/>
                <w:sz w:val="21"/>
                <w:szCs w:val="21"/>
                <w:highlight w:val="none"/>
                <w:lang w:val="en-US" w:eastAsia="zh-CN"/>
              </w:rPr>
            </w:pPr>
            <w:r>
              <w:rPr>
                <w:rFonts w:hint="eastAsia" w:ascii="华文宋体" w:hAnsi="华文宋体" w:eastAsia="华文宋体" w:cs="宋体"/>
                <w:kern w:val="0"/>
                <w:sz w:val="21"/>
                <w:szCs w:val="21"/>
                <w:highlight w:val="none"/>
                <w:lang w:val="en-US" w:eastAsia="zh-CN"/>
              </w:rPr>
              <w:t>13</w:t>
            </w:r>
          </w:p>
        </w:tc>
        <w:tc>
          <w:tcPr>
            <w:tcW w:w="2929" w:type="dxa"/>
            <w:tcBorders>
              <w:top w:val="single" w:color="auto" w:sz="4" w:space="0"/>
              <w:left w:val="single" w:color="auto" w:sz="4" w:space="0"/>
              <w:bottom w:val="single" w:color="auto" w:sz="4" w:space="0"/>
              <w:right w:val="single" w:color="auto" w:sz="4" w:space="0"/>
            </w:tcBorders>
            <w:vAlign w:val="center"/>
          </w:tcPr>
          <w:p w14:paraId="2B056D84">
            <w:pPr>
              <w:widowControl/>
              <w:adjustRightInd w:val="0"/>
              <w:snapToGrid w:val="0"/>
              <w:spacing w:line="360" w:lineRule="exact"/>
              <w:jc w:val="left"/>
              <w:rPr>
                <w:rFonts w:hint="eastAsia"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按规定频次收送医用织物</w:t>
            </w:r>
          </w:p>
        </w:tc>
        <w:tc>
          <w:tcPr>
            <w:tcW w:w="3432" w:type="dxa"/>
            <w:tcBorders>
              <w:top w:val="single" w:color="auto" w:sz="4" w:space="0"/>
              <w:left w:val="single" w:color="auto" w:sz="4" w:space="0"/>
              <w:bottom w:val="single" w:color="auto" w:sz="4" w:space="0"/>
              <w:right w:val="single" w:color="auto" w:sz="4" w:space="0"/>
            </w:tcBorders>
            <w:vAlign w:val="center"/>
          </w:tcPr>
          <w:p w14:paraId="58329B63">
            <w:pPr>
              <w:widowControl/>
              <w:wordWrap w:val="0"/>
              <w:topLinePunct/>
              <w:adjustRightInd/>
              <w:snapToGrid/>
              <w:spacing w:line="360" w:lineRule="exact"/>
              <w:jc w:val="left"/>
              <w:rPr>
                <w:rFonts w:hint="eastAsia"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日常医用织物未按每日 1-2 次收送、手术医用织物未按每日 3-4 次收送，每出现一次扣 1 分</w:t>
            </w:r>
          </w:p>
        </w:tc>
        <w:tc>
          <w:tcPr>
            <w:tcW w:w="1949" w:type="dxa"/>
            <w:tcBorders>
              <w:top w:val="single" w:color="auto" w:sz="4" w:space="0"/>
              <w:left w:val="single" w:color="auto" w:sz="4" w:space="0"/>
              <w:bottom w:val="single" w:color="auto" w:sz="4" w:space="0"/>
              <w:right w:val="single" w:color="auto" w:sz="4" w:space="0"/>
            </w:tcBorders>
            <w:vAlign w:val="center"/>
          </w:tcPr>
          <w:p w14:paraId="7545C557">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08D4A1CB">
            <w:pPr>
              <w:widowControl/>
              <w:adjustRightInd w:val="0"/>
              <w:snapToGrid w:val="0"/>
              <w:spacing w:line="360" w:lineRule="exact"/>
              <w:rPr>
                <w:rFonts w:ascii="华文宋体" w:hAnsi="华文宋体" w:eastAsia="华文宋体" w:cs="宋体"/>
                <w:kern w:val="0"/>
                <w:sz w:val="21"/>
                <w:szCs w:val="21"/>
                <w:highlight w:val="none"/>
              </w:rPr>
            </w:pPr>
          </w:p>
        </w:tc>
      </w:tr>
      <w:tr w14:paraId="4FE0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14:paraId="7B6336ED">
            <w:pPr>
              <w:widowControl/>
              <w:adjustRightInd w:val="0"/>
              <w:snapToGrid w:val="0"/>
              <w:spacing w:line="360" w:lineRule="exact"/>
              <w:jc w:val="center"/>
              <w:rPr>
                <w:rFonts w:hint="default" w:ascii="华文宋体" w:hAnsi="华文宋体" w:eastAsia="华文宋体" w:cs="宋体"/>
                <w:kern w:val="0"/>
                <w:sz w:val="21"/>
                <w:szCs w:val="21"/>
                <w:highlight w:val="none"/>
                <w:lang w:val="en-US" w:eastAsia="zh-CN"/>
              </w:rPr>
            </w:pPr>
            <w:r>
              <w:rPr>
                <w:rFonts w:hint="eastAsia" w:ascii="华文宋体" w:hAnsi="华文宋体" w:eastAsia="华文宋体" w:cs="宋体"/>
                <w:kern w:val="0"/>
                <w:sz w:val="21"/>
                <w:szCs w:val="21"/>
                <w:highlight w:val="none"/>
                <w:lang w:val="en-US" w:eastAsia="zh-CN"/>
              </w:rPr>
              <w:t>14</w:t>
            </w:r>
          </w:p>
        </w:tc>
        <w:tc>
          <w:tcPr>
            <w:tcW w:w="2929" w:type="dxa"/>
            <w:tcBorders>
              <w:top w:val="single" w:color="auto" w:sz="4" w:space="0"/>
              <w:left w:val="single" w:color="auto" w:sz="4" w:space="0"/>
              <w:bottom w:val="single" w:color="auto" w:sz="4" w:space="0"/>
              <w:right w:val="single" w:color="auto" w:sz="4" w:space="0"/>
            </w:tcBorders>
            <w:vAlign w:val="center"/>
          </w:tcPr>
          <w:p w14:paraId="4CCA59D1">
            <w:pPr>
              <w:widowControl/>
              <w:adjustRightInd w:val="0"/>
              <w:snapToGrid w:val="0"/>
              <w:spacing w:line="360" w:lineRule="exact"/>
              <w:jc w:val="left"/>
              <w:rPr>
                <w:rFonts w:hint="eastAsia"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pH 值、微生物指标达标</w:t>
            </w:r>
          </w:p>
        </w:tc>
        <w:tc>
          <w:tcPr>
            <w:tcW w:w="3432" w:type="dxa"/>
            <w:tcBorders>
              <w:top w:val="single" w:color="auto" w:sz="4" w:space="0"/>
              <w:left w:val="single" w:color="auto" w:sz="4" w:space="0"/>
              <w:bottom w:val="single" w:color="auto" w:sz="4" w:space="0"/>
              <w:right w:val="single" w:color="auto" w:sz="4" w:space="0"/>
            </w:tcBorders>
            <w:vAlign w:val="center"/>
          </w:tcPr>
          <w:p w14:paraId="4B6561C0">
            <w:pPr>
              <w:widowControl/>
              <w:wordWrap w:val="0"/>
              <w:topLinePunct/>
              <w:adjustRightInd/>
              <w:snapToGrid/>
              <w:spacing w:line="360" w:lineRule="exact"/>
              <w:jc w:val="left"/>
              <w:rPr>
                <w:rFonts w:hint="eastAsia" w:ascii="华文宋体" w:hAnsi="华文宋体" w:eastAsia="华文宋体" w:cs="宋体"/>
                <w:kern w:val="0"/>
                <w:sz w:val="21"/>
                <w:szCs w:val="21"/>
                <w:highlight w:val="none"/>
              </w:rPr>
            </w:pPr>
            <w:r>
              <w:rPr>
                <w:rFonts w:hint="eastAsia" w:ascii="华文宋体" w:hAnsi="华文宋体" w:eastAsia="华文宋体" w:cs="宋体"/>
                <w:kern w:val="0"/>
                <w:sz w:val="21"/>
                <w:szCs w:val="21"/>
                <w:highlight w:val="none"/>
              </w:rPr>
              <w:t>不达标按批次扣分，第三方检测不合格加倍扣分</w:t>
            </w:r>
          </w:p>
        </w:tc>
        <w:tc>
          <w:tcPr>
            <w:tcW w:w="1949" w:type="dxa"/>
            <w:tcBorders>
              <w:top w:val="single" w:color="auto" w:sz="4" w:space="0"/>
              <w:left w:val="single" w:color="auto" w:sz="4" w:space="0"/>
              <w:bottom w:val="single" w:color="auto" w:sz="4" w:space="0"/>
              <w:right w:val="single" w:color="auto" w:sz="4" w:space="0"/>
            </w:tcBorders>
            <w:vAlign w:val="center"/>
          </w:tcPr>
          <w:p w14:paraId="344E74A8">
            <w:pPr>
              <w:widowControl/>
              <w:adjustRightInd w:val="0"/>
              <w:snapToGrid w:val="0"/>
              <w:spacing w:line="360" w:lineRule="exact"/>
              <w:rPr>
                <w:rFonts w:ascii="华文宋体" w:hAnsi="华文宋体" w:eastAsia="华文宋体" w:cs="宋体"/>
                <w:kern w:val="0"/>
                <w:sz w:val="21"/>
                <w:szCs w:val="21"/>
                <w:highlight w:val="none"/>
              </w:rPr>
            </w:pPr>
          </w:p>
        </w:tc>
        <w:tc>
          <w:tcPr>
            <w:tcW w:w="734" w:type="dxa"/>
            <w:tcBorders>
              <w:top w:val="single" w:color="auto" w:sz="4" w:space="0"/>
              <w:left w:val="single" w:color="auto" w:sz="4" w:space="0"/>
              <w:bottom w:val="single" w:color="auto" w:sz="4" w:space="0"/>
              <w:right w:val="single" w:color="auto" w:sz="4" w:space="0"/>
            </w:tcBorders>
            <w:vAlign w:val="center"/>
          </w:tcPr>
          <w:p w14:paraId="2729FD4D">
            <w:pPr>
              <w:widowControl/>
              <w:adjustRightInd w:val="0"/>
              <w:snapToGrid w:val="0"/>
              <w:spacing w:line="360" w:lineRule="exact"/>
              <w:rPr>
                <w:rFonts w:ascii="华文宋体" w:hAnsi="华文宋体" w:eastAsia="华文宋体" w:cs="宋体"/>
                <w:kern w:val="0"/>
                <w:sz w:val="21"/>
                <w:szCs w:val="21"/>
                <w:highlight w:val="none"/>
              </w:rPr>
            </w:pPr>
          </w:p>
        </w:tc>
      </w:tr>
    </w:tbl>
    <w:p w14:paraId="0FED989C">
      <w:pPr>
        <w:adjustRightInd w:val="0"/>
        <w:snapToGrid w:val="0"/>
        <w:spacing w:before="156" w:beforeLines="50" w:line="360" w:lineRule="auto"/>
        <w:rPr>
          <w:rFonts w:ascii="宋体" w:hAnsi="宋体"/>
          <w:szCs w:val="21"/>
          <w:highlight w:val="none"/>
        </w:rPr>
      </w:pPr>
      <w:r>
        <w:rPr>
          <w:rFonts w:hint="eastAsia" w:ascii="宋体" w:hAnsi="宋体"/>
          <w:b/>
          <w:szCs w:val="21"/>
          <w:highlight w:val="none"/>
        </w:rPr>
        <w:t>备注：</w:t>
      </w:r>
      <w:r>
        <w:rPr>
          <w:rFonts w:hint="eastAsia" w:ascii="宋体" w:hAnsi="宋体"/>
          <w:szCs w:val="21"/>
          <w:highlight w:val="none"/>
        </w:rPr>
        <w:t>每个项目不达标视为公司提供的洗涤服务质量不合格，每个质控分1分等值人民币50元；1次/每月定期抽查20%的科室（3个科室，50床/件）；特殊情况根据某时段反映突出的问题重点抽查，直到问题得到彻底整改为止。所有抽查分会累加，计入当月洗涤质量控制考核，付费时扣除。</w:t>
      </w:r>
    </w:p>
    <w:p w14:paraId="3594C09E">
      <w:pPr>
        <w:wordWrap w:val="0"/>
        <w:topLinePunct/>
        <w:rPr>
          <w:rFonts w:hint="eastAsia" w:ascii="宋体" w:hAnsi="宋体"/>
          <w:sz w:val="21"/>
          <w:szCs w:val="21"/>
          <w:highlight w:val="none"/>
        </w:rPr>
      </w:pPr>
    </w:p>
    <w:p w14:paraId="26419FF0">
      <w:pPr>
        <w:wordWrap w:val="0"/>
        <w:topLinePunct/>
        <w:jc w:val="right"/>
        <w:rPr>
          <w:rFonts w:hint="eastAsia" w:ascii="宋体" w:hAnsi="宋体"/>
          <w:sz w:val="21"/>
          <w:szCs w:val="21"/>
          <w:highlight w:val="none"/>
        </w:rPr>
      </w:pPr>
      <w:r>
        <w:rPr>
          <w:rFonts w:hint="eastAsia" w:ascii="宋体" w:hAnsi="宋体"/>
          <w:sz w:val="21"/>
          <w:szCs w:val="21"/>
          <w:highlight w:val="none"/>
        </w:rPr>
        <w:t>桂林市中西医结合医院 总务科</w:t>
      </w:r>
    </w:p>
    <w:p w14:paraId="575E8DEE">
      <w:pPr>
        <w:spacing w:line="460" w:lineRule="exact"/>
        <w:rPr>
          <w:highlight w:val="none"/>
        </w:rPr>
      </w:pPr>
    </w:p>
    <w:bookmarkEnd w:id="135"/>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684">
    <w:pPr>
      <w:pStyle w:val="21"/>
      <w:tabs>
        <w:tab w:val="center" w:pos="4439"/>
        <w:tab w:val="clear" w:pos="4153"/>
      </w:tabs>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37D9371">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052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037D9371">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3A0BDDDF">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5734">
    <w:pPr>
      <w:pStyle w:val="21"/>
      <w:tabs>
        <w:tab w:val="center" w:pos="4439"/>
        <w:tab w:val="clear" w:pos="4153"/>
      </w:tabs>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46512A1"/>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446512A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740F">
    <w:pPr>
      <w:pStyle w:val="21"/>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5152021">
                          <w:pPr>
                            <w:pStyle w:val="21"/>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155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05152021">
                    <w:pPr>
                      <w:pStyle w:val="21"/>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0A6EF9FA">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4E4C">
    <w:pPr>
      <w:pStyle w:val="2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EF369D9">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360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7EF369D9">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EDB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3E3F">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0F9E">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3F8EF">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10086F"/>
    <w:rsid w:val="001129BA"/>
    <w:rsid w:val="001205C9"/>
    <w:rsid w:val="0012137C"/>
    <w:rsid w:val="00142117"/>
    <w:rsid w:val="001469F3"/>
    <w:rsid w:val="00152D06"/>
    <w:rsid w:val="00153135"/>
    <w:rsid w:val="001539B0"/>
    <w:rsid w:val="00157C13"/>
    <w:rsid w:val="0016042A"/>
    <w:rsid w:val="00173BFA"/>
    <w:rsid w:val="00173D29"/>
    <w:rsid w:val="0017572B"/>
    <w:rsid w:val="001934CD"/>
    <w:rsid w:val="00195EA5"/>
    <w:rsid w:val="001A2F05"/>
    <w:rsid w:val="001B3836"/>
    <w:rsid w:val="001D4FF9"/>
    <w:rsid w:val="001F2E23"/>
    <w:rsid w:val="00200BA7"/>
    <w:rsid w:val="002061DC"/>
    <w:rsid w:val="0020630A"/>
    <w:rsid w:val="00231BE2"/>
    <w:rsid w:val="002440A9"/>
    <w:rsid w:val="00263E0B"/>
    <w:rsid w:val="00267E08"/>
    <w:rsid w:val="0027471E"/>
    <w:rsid w:val="00293C5F"/>
    <w:rsid w:val="002968F2"/>
    <w:rsid w:val="00297AB2"/>
    <w:rsid w:val="002A4834"/>
    <w:rsid w:val="002C267F"/>
    <w:rsid w:val="002C27BE"/>
    <w:rsid w:val="002E107C"/>
    <w:rsid w:val="002E70B1"/>
    <w:rsid w:val="002F045B"/>
    <w:rsid w:val="002F2376"/>
    <w:rsid w:val="002F38FC"/>
    <w:rsid w:val="002F44F7"/>
    <w:rsid w:val="003254D5"/>
    <w:rsid w:val="0033163E"/>
    <w:rsid w:val="00334216"/>
    <w:rsid w:val="00334AF5"/>
    <w:rsid w:val="00345BE0"/>
    <w:rsid w:val="00351793"/>
    <w:rsid w:val="00372A1B"/>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23E7"/>
    <w:rsid w:val="00403082"/>
    <w:rsid w:val="00404036"/>
    <w:rsid w:val="004045A3"/>
    <w:rsid w:val="004178E4"/>
    <w:rsid w:val="00422A3F"/>
    <w:rsid w:val="00441E5D"/>
    <w:rsid w:val="00443F38"/>
    <w:rsid w:val="004501C2"/>
    <w:rsid w:val="00460538"/>
    <w:rsid w:val="00460B41"/>
    <w:rsid w:val="004621D7"/>
    <w:rsid w:val="00474FE8"/>
    <w:rsid w:val="00477D0E"/>
    <w:rsid w:val="00480B8C"/>
    <w:rsid w:val="00493A57"/>
    <w:rsid w:val="004944ED"/>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848D8"/>
    <w:rsid w:val="00595C3E"/>
    <w:rsid w:val="005A703B"/>
    <w:rsid w:val="005C4037"/>
    <w:rsid w:val="005C50D8"/>
    <w:rsid w:val="005D793E"/>
    <w:rsid w:val="005E0B09"/>
    <w:rsid w:val="005E358E"/>
    <w:rsid w:val="005F186A"/>
    <w:rsid w:val="00602F64"/>
    <w:rsid w:val="00607ACF"/>
    <w:rsid w:val="006103CF"/>
    <w:rsid w:val="00621B16"/>
    <w:rsid w:val="00631F41"/>
    <w:rsid w:val="00634D55"/>
    <w:rsid w:val="00651A8D"/>
    <w:rsid w:val="00662702"/>
    <w:rsid w:val="00686B94"/>
    <w:rsid w:val="00690F7A"/>
    <w:rsid w:val="006B1B34"/>
    <w:rsid w:val="006C49C6"/>
    <w:rsid w:val="006C5D12"/>
    <w:rsid w:val="006C7F9A"/>
    <w:rsid w:val="006D0252"/>
    <w:rsid w:val="006D684C"/>
    <w:rsid w:val="006F0B25"/>
    <w:rsid w:val="007117C0"/>
    <w:rsid w:val="0071764B"/>
    <w:rsid w:val="007337EE"/>
    <w:rsid w:val="0073484D"/>
    <w:rsid w:val="00740D49"/>
    <w:rsid w:val="00747F79"/>
    <w:rsid w:val="00753BC2"/>
    <w:rsid w:val="00754D96"/>
    <w:rsid w:val="007801C8"/>
    <w:rsid w:val="007878EF"/>
    <w:rsid w:val="00794272"/>
    <w:rsid w:val="007A0403"/>
    <w:rsid w:val="007B496E"/>
    <w:rsid w:val="007B49F9"/>
    <w:rsid w:val="007B7BDB"/>
    <w:rsid w:val="007B7D09"/>
    <w:rsid w:val="007C079F"/>
    <w:rsid w:val="007C1337"/>
    <w:rsid w:val="007C65FB"/>
    <w:rsid w:val="007D0550"/>
    <w:rsid w:val="007D3C00"/>
    <w:rsid w:val="007D7DD1"/>
    <w:rsid w:val="007F6E4B"/>
    <w:rsid w:val="0080016A"/>
    <w:rsid w:val="008002FC"/>
    <w:rsid w:val="00805771"/>
    <w:rsid w:val="0082505C"/>
    <w:rsid w:val="0084180D"/>
    <w:rsid w:val="00844347"/>
    <w:rsid w:val="008501B1"/>
    <w:rsid w:val="00866E66"/>
    <w:rsid w:val="00866F98"/>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4048F"/>
    <w:rsid w:val="00943B3A"/>
    <w:rsid w:val="00952222"/>
    <w:rsid w:val="00953F4B"/>
    <w:rsid w:val="00970EA2"/>
    <w:rsid w:val="00977A1B"/>
    <w:rsid w:val="009818D3"/>
    <w:rsid w:val="00982078"/>
    <w:rsid w:val="00985C0D"/>
    <w:rsid w:val="00991454"/>
    <w:rsid w:val="009A415F"/>
    <w:rsid w:val="009A5299"/>
    <w:rsid w:val="009A56AB"/>
    <w:rsid w:val="009B2CDD"/>
    <w:rsid w:val="009D38FD"/>
    <w:rsid w:val="009F1EC5"/>
    <w:rsid w:val="00A02FD8"/>
    <w:rsid w:val="00A156CE"/>
    <w:rsid w:val="00A35716"/>
    <w:rsid w:val="00A60E40"/>
    <w:rsid w:val="00A613B3"/>
    <w:rsid w:val="00A61526"/>
    <w:rsid w:val="00A64ADF"/>
    <w:rsid w:val="00A64C47"/>
    <w:rsid w:val="00A6638C"/>
    <w:rsid w:val="00A74E39"/>
    <w:rsid w:val="00A832C6"/>
    <w:rsid w:val="00A835EA"/>
    <w:rsid w:val="00A87624"/>
    <w:rsid w:val="00A96DE4"/>
    <w:rsid w:val="00AB0ADF"/>
    <w:rsid w:val="00AB6EDD"/>
    <w:rsid w:val="00AF0270"/>
    <w:rsid w:val="00AF4F86"/>
    <w:rsid w:val="00AF58FE"/>
    <w:rsid w:val="00B005E9"/>
    <w:rsid w:val="00B0462D"/>
    <w:rsid w:val="00B079C7"/>
    <w:rsid w:val="00B144BD"/>
    <w:rsid w:val="00B24C49"/>
    <w:rsid w:val="00B36033"/>
    <w:rsid w:val="00B409A4"/>
    <w:rsid w:val="00B64E15"/>
    <w:rsid w:val="00B83EF6"/>
    <w:rsid w:val="00B87354"/>
    <w:rsid w:val="00B92192"/>
    <w:rsid w:val="00BA4700"/>
    <w:rsid w:val="00BA4D5C"/>
    <w:rsid w:val="00BB2CB9"/>
    <w:rsid w:val="00BB4AF3"/>
    <w:rsid w:val="00BC01AC"/>
    <w:rsid w:val="00BE0B56"/>
    <w:rsid w:val="00BE3E5C"/>
    <w:rsid w:val="00BF2089"/>
    <w:rsid w:val="00C0189B"/>
    <w:rsid w:val="00C079C0"/>
    <w:rsid w:val="00C07EA8"/>
    <w:rsid w:val="00C07FBD"/>
    <w:rsid w:val="00C1382C"/>
    <w:rsid w:val="00C22AB7"/>
    <w:rsid w:val="00C31789"/>
    <w:rsid w:val="00C32BBF"/>
    <w:rsid w:val="00C420F1"/>
    <w:rsid w:val="00C476EB"/>
    <w:rsid w:val="00C53EE4"/>
    <w:rsid w:val="00C54288"/>
    <w:rsid w:val="00C71884"/>
    <w:rsid w:val="00C73234"/>
    <w:rsid w:val="00C75246"/>
    <w:rsid w:val="00C75F53"/>
    <w:rsid w:val="00C765AF"/>
    <w:rsid w:val="00C81DBB"/>
    <w:rsid w:val="00C93EB7"/>
    <w:rsid w:val="00C95168"/>
    <w:rsid w:val="00CB1FAB"/>
    <w:rsid w:val="00CB22E9"/>
    <w:rsid w:val="00CD4088"/>
    <w:rsid w:val="00CE2C5B"/>
    <w:rsid w:val="00D01D5F"/>
    <w:rsid w:val="00D03049"/>
    <w:rsid w:val="00D208C5"/>
    <w:rsid w:val="00D22E16"/>
    <w:rsid w:val="00D32121"/>
    <w:rsid w:val="00D33AC2"/>
    <w:rsid w:val="00D355A7"/>
    <w:rsid w:val="00D35C7C"/>
    <w:rsid w:val="00D4584F"/>
    <w:rsid w:val="00D5541A"/>
    <w:rsid w:val="00D62EDF"/>
    <w:rsid w:val="00D6600A"/>
    <w:rsid w:val="00D72960"/>
    <w:rsid w:val="00D739AB"/>
    <w:rsid w:val="00D81247"/>
    <w:rsid w:val="00D8326F"/>
    <w:rsid w:val="00D861D2"/>
    <w:rsid w:val="00D86669"/>
    <w:rsid w:val="00D97F07"/>
    <w:rsid w:val="00DA0395"/>
    <w:rsid w:val="00DA7057"/>
    <w:rsid w:val="00DB3B9B"/>
    <w:rsid w:val="00DB64EC"/>
    <w:rsid w:val="00DC0480"/>
    <w:rsid w:val="00DC423D"/>
    <w:rsid w:val="00DD7BED"/>
    <w:rsid w:val="00DE3FFD"/>
    <w:rsid w:val="00DE68E0"/>
    <w:rsid w:val="00DF13CA"/>
    <w:rsid w:val="00DF7D9E"/>
    <w:rsid w:val="00E06115"/>
    <w:rsid w:val="00E169C5"/>
    <w:rsid w:val="00E34CE1"/>
    <w:rsid w:val="00E460F5"/>
    <w:rsid w:val="00E50738"/>
    <w:rsid w:val="00E835F7"/>
    <w:rsid w:val="00E913B1"/>
    <w:rsid w:val="00EA0422"/>
    <w:rsid w:val="00EA4104"/>
    <w:rsid w:val="00EA5DFD"/>
    <w:rsid w:val="00EB4AE1"/>
    <w:rsid w:val="00EC575C"/>
    <w:rsid w:val="00ED49C5"/>
    <w:rsid w:val="00ED6F5F"/>
    <w:rsid w:val="00EE765E"/>
    <w:rsid w:val="00F049E0"/>
    <w:rsid w:val="00F07501"/>
    <w:rsid w:val="00F22140"/>
    <w:rsid w:val="00F34120"/>
    <w:rsid w:val="00F365C1"/>
    <w:rsid w:val="00F42F1E"/>
    <w:rsid w:val="00F5113C"/>
    <w:rsid w:val="00F521F0"/>
    <w:rsid w:val="00F61B4E"/>
    <w:rsid w:val="00F7304C"/>
    <w:rsid w:val="00F805AC"/>
    <w:rsid w:val="00F84E58"/>
    <w:rsid w:val="00F86199"/>
    <w:rsid w:val="00FD3202"/>
    <w:rsid w:val="00FD6FD5"/>
    <w:rsid w:val="00FE00D4"/>
    <w:rsid w:val="00FF3755"/>
    <w:rsid w:val="019C4350"/>
    <w:rsid w:val="02EE4D4B"/>
    <w:rsid w:val="03EC24F4"/>
    <w:rsid w:val="04051239"/>
    <w:rsid w:val="05C31215"/>
    <w:rsid w:val="05E1337A"/>
    <w:rsid w:val="06392C20"/>
    <w:rsid w:val="0922698B"/>
    <w:rsid w:val="0AC94643"/>
    <w:rsid w:val="0B0E30C9"/>
    <w:rsid w:val="0BFC26CC"/>
    <w:rsid w:val="0C282358"/>
    <w:rsid w:val="0D06126A"/>
    <w:rsid w:val="0D7336B7"/>
    <w:rsid w:val="0E41326F"/>
    <w:rsid w:val="10B11063"/>
    <w:rsid w:val="10E548CC"/>
    <w:rsid w:val="11C269BB"/>
    <w:rsid w:val="12912285"/>
    <w:rsid w:val="176F603A"/>
    <w:rsid w:val="178564C1"/>
    <w:rsid w:val="1A864A2A"/>
    <w:rsid w:val="1AAE23E6"/>
    <w:rsid w:val="1C9F3520"/>
    <w:rsid w:val="1D432073"/>
    <w:rsid w:val="1EEB7551"/>
    <w:rsid w:val="213D1BBA"/>
    <w:rsid w:val="21D44D8B"/>
    <w:rsid w:val="256C6F12"/>
    <w:rsid w:val="26261C88"/>
    <w:rsid w:val="2628108B"/>
    <w:rsid w:val="266C4096"/>
    <w:rsid w:val="26F45771"/>
    <w:rsid w:val="27205179"/>
    <w:rsid w:val="2AA23612"/>
    <w:rsid w:val="2C50380E"/>
    <w:rsid w:val="2CE02702"/>
    <w:rsid w:val="309A4ECD"/>
    <w:rsid w:val="31807FCD"/>
    <w:rsid w:val="3210641B"/>
    <w:rsid w:val="35D67C05"/>
    <w:rsid w:val="362F5B6F"/>
    <w:rsid w:val="36E032BC"/>
    <w:rsid w:val="373344BF"/>
    <w:rsid w:val="374E0226"/>
    <w:rsid w:val="37CA18B6"/>
    <w:rsid w:val="388A34DF"/>
    <w:rsid w:val="3AAE13D6"/>
    <w:rsid w:val="3B5F6EA5"/>
    <w:rsid w:val="3B621757"/>
    <w:rsid w:val="3BDC04F6"/>
    <w:rsid w:val="3BF054D9"/>
    <w:rsid w:val="3C8B267B"/>
    <w:rsid w:val="3D6E3848"/>
    <w:rsid w:val="410A340F"/>
    <w:rsid w:val="42F06635"/>
    <w:rsid w:val="43C74998"/>
    <w:rsid w:val="455B0144"/>
    <w:rsid w:val="458F05CC"/>
    <w:rsid w:val="46BF7389"/>
    <w:rsid w:val="473F603D"/>
    <w:rsid w:val="483360A4"/>
    <w:rsid w:val="48973C1A"/>
    <w:rsid w:val="49A50DA8"/>
    <w:rsid w:val="49AD5280"/>
    <w:rsid w:val="4B92729D"/>
    <w:rsid w:val="4BCB5E91"/>
    <w:rsid w:val="4CE911D5"/>
    <w:rsid w:val="4E1D57B3"/>
    <w:rsid w:val="4F041DE6"/>
    <w:rsid w:val="4FC724AA"/>
    <w:rsid w:val="518D21E0"/>
    <w:rsid w:val="51934373"/>
    <w:rsid w:val="51DA2BD0"/>
    <w:rsid w:val="54093714"/>
    <w:rsid w:val="54B020C8"/>
    <w:rsid w:val="57D47D34"/>
    <w:rsid w:val="57FF7B0F"/>
    <w:rsid w:val="58953AAF"/>
    <w:rsid w:val="589F492D"/>
    <w:rsid w:val="59EA1BD8"/>
    <w:rsid w:val="5CFF6F0F"/>
    <w:rsid w:val="5DF479BB"/>
    <w:rsid w:val="5E591A42"/>
    <w:rsid w:val="5EB32EE1"/>
    <w:rsid w:val="5F5A1E13"/>
    <w:rsid w:val="5F857AF1"/>
    <w:rsid w:val="601A4CE8"/>
    <w:rsid w:val="629F0EE6"/>
    <w:rsid w:val="64460353"/>
    <w:rsid w:val="651F4F89"/>
    <w:rsid w:val="65830BFA"/>
    <w:rsid w:val="69DB414E"/>
    <w:rsid w:val="6A3B02D8"/>
    <w:rsid w:val="6A3E4A97"/>
    <w:rsid w:val="6B6524B6"/>
    <w:rsid w:val="6BC54BEF"/>
    <w:rsid w:val="6CEC6614"/>
    <w:rsid w:val="6DDC3C07"/>
    <w:rsid w:val="6DE20EEE"/>
    <w:rsid w:val="6E000EC7"/>
    <w:rsid w:val="6E777A87"/>
    <w:rsid w:val="6EEF31F7"/>
    <w:rsid w:val="70545BA6"/>
    <w:rsid w:val="715D6DB1"/>
    <w:rsid w:val="71E457BA"/>
    <w:rsid w:val="72684737"/>
    <w:rsid w:val="72AE04A2"/>
    <w:rsid w:val="74CC6CFD"/>
    <w:rsid w:val="754A742E"/>
    <w:rsid w:val="75BC0881"/>
    <w:rsid w:val="76FB6D7B"/>
    <w:rsid w:val="77D73344"/>
    <w:rsid w:val="78224B48"/>
    <w:rsid w:val="79B83F24"/>
    <w:rsid w:val="7B5A2BED"/>
    <w:rsid w:val="7C6B04FF"/>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42"/>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3"/>
    <w:qFormat/>
    <w:uiPriority w:val="9"/>
    <w:pPr>
      <w:keepNext/>
      <w:keepLines/>
      <w:spacing w:before="280" w:after="290" w:line="376" w:lineRule="auto"/>
      <w:outlineLvl w:val="4"/>
    </w:pPr>
    <w:rPr>
      <w:b/>
      <w:bCs/>
      <w:sz w:val="28"/>
      <w:szCs w:val="28"/>
    </w:rPr>
  </w:style>
  <w:style w:type="paragraph" w:styleId="8">
    <w:name w:val="heading 7"/>
    <w:basedOn w:val="1"/>
    <w:next w:val="1"/>
    <w:link w:val="44"/>
    <w:qFormat/>
    <w:uiPriority w:val="0"/>
    <w:pPr>
      <w:keepNext/>
      <w:keepLines/>
      <w:spacing w:before="240" w:after="64" w:line="320" w:lineRule="auto"/>
      <w:outlineLvl w:val="6"/>
    </w:pPr>
    <w:rPr>
      <w:b/>
      <w:bCs/>
      <w:sz w:val="24"/>
    </w:rPr>
  </w:style>
  <w:style w:type="paragraph" w:styleId="9">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50"/>
    <w:qFormat/>
    <w:uiPriority w:val="0"/>
    <w:pPr>
      <w:jc w:val="left"/>
    </w:pPr>
  </w:style>
  <w:style w:type="paragraph" w:styleId="13">
    <w:name w:val="Body Text 3"/>
    <w:basedOn w:val="1"/>
    <w:link w:val="51"/>
    <w:unhideWhenUsed/>
    <w:qFormat/>
    <w:uiPriority w:val="99"/>
    <w:pPr>
      <w:spacing w:after="120"/>
    </w:pPr>
    <w:rPr>
      <w:sz w:val="16"/>
      <w:szCs w:val="16"/>
    </w:rPr>
  </w:style>
  <w:style w:type="paragraph" w:styleId="14">
    <w:name w:val="Body Text"/>
    <w:basedOn w:val="1"/>
    <w:next w:val="1"/>
    <w:link w:val="47"/>
    <w:unhideWhenUsed/>
    <w:qFormat/>
    <w:uiPriority w:val="0"/>
    <w:pPr>
      <w:spacing w:after="120"/>
    </w:pPr>
  </w:style>
  <w:style w:type="paragraph" w:styleId="15">
    <w:name w:val="Body Text Indent"/>
    <w:basedOn w:val="1"/>
    <w:link w:val="52"/>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link w:val="54"/>
    <w:qFormat/>
    <w:uiPriority w:val="0"/>
    <w:rPr>
      <w:rFonts w:ascii="宋体" w:hAnsi="Courier New"/>
      <w:kern w:val="0"/>
      <w:sz w:val="20"/>
      <w:szCs w:val="21"/>
    </w:rPr>
  </w:style>
  <w:style w:type="paragraph" w:styleId="18">
    <w:name w:val="Date"/>
    <w:basedOn w:val="1"/>
    <w:next w:val="1"/>
    <w:link w:val="55"/>
    <w:unhideWhenUsed/>
    <w:qFormat/>
    <w:uiPriority w:val="99"/>
    <w:pPr>
      <w:ind w:left="100" w:leftChars="2500"/>
    </w:pPr>
  </w:style>
  <w:style w:type="paragraph" w:styleId="19">
    <w:name w:val="Body Text Indent 2"/>
    <w:basedOn w:val="1"/>
    <w:link w:val="86"/>
    <w:semiHidden/>
    <w:unhideWhenUsed/>
    <w:qFormat/>
    <w:uiPriority w:val="99"/>
    <w:pPr>
      <w:spacing w:after="120" w:line="480" w:lineRule="auto"/>
      <w:ind w:left="420" w:leftChars="200"/>
    </w:pPr>
  </w:style>
  <w:style w:type="paragraph" w:styleId="20">
    <w:name w:val="Balloon Text"/>
    <w:basedOn w:val="1"/>
    <w:link w:val="56"/>
    <w:semiHidden/>
    <w:qFormat/>
    <w:uiPriority w:val="0"/>
    <w:rPr>
      <w:sz w:val="18"/>
      <w:szCs w:val="18"/>
    </w:rPr>
  </w:style>
  <w:style w:type="paragraph" w:styleId="21">
    <w:name w:val="footer"/>
    <w:basedOn w:val="1"/>
    <w:link w:val="3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5"/>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Title"/>
    <w:basedOn w:val="1"/>
    <w:next w:val="1"/>
    <w:link w:val="48"/>
    <w:qFormat/>
    <w:uiPriority w:val="0"/>
    <w:pPr>
      <w:spacing w:before="240" w:after="60"/>
      <w:jc w:val="center"/>
      <w:outlineLvl w:val="0"/>
    </w:pPr>
    <w:rPr>
      <w:rFonts w:ascii="Arial" w:hAnsi="Arial" w:cs="Arial"/>
      <w:b/>
      <w:bCs/>
      <w:sz w:val="32"/>
      <w:szCs w:val="32"/>
    </w:rPr>
  </w:style>
  <w:style w:type="paragraph" w:styleId="28">
    <w:name w:val="annotation subject"/>
    <w:basedOn w:val="12"/>
    <w:next w:val="12"/>
    <w:link w:val="57"/>
    <w:qFormat/>
    <w:uiPriority w:val="99"/>
    <w:rPr>
      <w:b/>
      <w:bCs/>
    </w:rPr>
  </w:style>
  <w:style w:type="paragraph" w:styleId="29">
    <w:name w:val="Body Text First Indent 2"/>
    <w:basedOn w:val="15"/>
    <w:next w:val="1"/>
    <w:link w:val="58"/>
    <w:qFormat/>
    <w:uiPriority w:val="99"/>
    <w:pPr>
      <w:ind w:firstLine="420" w:firstLineChars="200"/>
    </w:pPr>
    <w:rPr>
      <w:rFonts w:ascii="宋体" w:hAnsi="Courier New"/>
      <w:spacing w:val="-4"/>
      <w:sz w:val="18"/>
    </w:rPr>
  </w:style>
  <w:style w:type="table" w:styleId="31">
    <w:name w:val="Table Grid"/>
    <w:basedOn w:val="30"/>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r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paragraph" w:customStyle="1" w:styleId="37">
    <w:name w:val="_Style 2"/>
    <w:next w:val="1"/>
    <w:qFormat/>
    <w:uiPriority w:val="0"/>
    <w:pPr>
      <w:wordWrap w:val="0"/>
      <w:spacing w:before="360" w:after="360"/>
      <w:ind w:left="950" w:right="950"/>
      <w:jc w:val="center"/>
    </w:pPr>
    <w:rPr>
      <w:rFonts w:ascii="Calibri" w:hAnsi="Calibri" w:eastAsia="宋体" w:cs="Times New Roman"/>
      <w:i/>
      <w:sz w:val="21"/>
      <w:szCs w:val="22"/>
      <w:lang w:val="en-US" w:eastAsia="zh-CN" w:bidi="ar-SA"/>
    </w:rPr>
  </w:style>
  <w:style w:type="character" w:customStyle="1" w:styleId="38">
    <w:name w:val="页眉 字符"/>
    <w:basedOn w:val="32"/>
    <w:link w:val="22"/>
    <w:qFormat/>
    <w:uiPriority w:val="99"/>
    <w:rPr>
      <w:sz w:val="18"/>
      <w:szCs w:val="18"/>
    </w:rPr>
  </w:style>
  <w:style w:type="character" w:customStyle="1" w:styleId="39">
    <w:name w:val="页脚 字符"/>
    <w:basedOn w:val="32"/>
    <w:link w:val="21"/>
    <w:qFormat/>
    <w:uiPriority w:val="99"/>
    <w:rPr>
      <w:sz w:val="18"/>
      <w:szCs w:val="18"/>
    </w:rPr>
  </w:style>
  <w:style w:type="character" w:customStyle="1" w:styleId="40">
    <w:name w:val="标题 1 字符"/>
    <w:basedOn w:val="32"/>
    <w:link w:val="2"/>
    <w:qFormat/>
    <w:uiPriority w:val="9"/>
    <w:rPr>
      <w:rFonts w:ascii="Times New Roman" w:hAnsi="Times New Roman" w:eastAsia="宋体" w:cs="Times New Roman"/>
      <w:b/>
      <w:bCs/>
      <w:kern w:val="44"/>
      <w:sz w:val="44"/>
      <w:szCs w:val="44"/>
    </w:rPr>
  </w:style>
  <w:style w:type="character" w:customStyle="1" w:styleId="41">
    <w:name w:val="标题 2 字符"/>
    <w:basedOn w:val="32"/>
    <w:link w:val="3"/>
    <w:qFormat/>
    <w:uiPriority w:val="0"/>
    <w:rPr>
      <w:rFonts w:ascii="Cambria" w:hAnsi="Cambria" w:eastAsia="宋体" w:cs="Times New Roman"/>
      <w:b/>
      <w:bCs/>
      <w:sz w:val="32"/>
      <w:szCs w:val="32"/>
    </w:rPr>
  </w:style>
  <w:style w:type="character" w:customStyle="1" w:styleId="42">
    <w:name w:val="标题 4 字符"/>
    <w:basedOn w:val="32"/>
    <w:link w:val="5"/>
    <w:qFormat/>
    <w:uiPriority w:val="0"/>
    <w:rPr>
      <w:rFonts w:ascii="Arial" w:hAnsi="Times New Roman" w:eastAsia="黑体" w:cs="Times New Roman"/>
      <w:kern w:val="0"/>
      <w:sz w:val="28"/>
      <w:szCs w:val="20"/>
    </w:rPr>
  </w:style>
  <w:style w:type="character" w:customStyle="1" w:styleId="43">
    <w:name w:val="标题 5 字符"/>
    <w:basedOn w:val="32"/>
    <w:link w:val="6"/>
    <w:qFormat/>
    <w:uiPriority w:val="9"/>
    <w:rPr>
      <w:rFonts w:ascii="Times New Roman" w:hAnsi="Times New Roman" w:eastAsia="宋体" w:cs="Times New Roman"/>
      <w:b/>
      <w:bCs/>
      <w:sz w:val="28"/>
      <w:szCs w:val="28"/>
    </w:rPr>
  </w:style>
  <w:style w:type="character" w:customStyle="1" w:styleId="44">
    <w:name w:val="标题 7 字符"/>
    <w:basedOn w:val="32"/>
    <w:link w:val="8"/>
    <w:qFormat/>
    <w:uiPriority w:val="0"/>
    <w:rPr>
      <w:rFonts w:ascii="Times New Roman" w:hAnsi="Times New Roman" w:eastAsia="宋体" w:cs="Times New Roman"/>
      <w:b/>
      <w:bCs/>
      <w:sz w:val="24"/>
      <w:szCs w:val="24"/>
    </w:rPr>
  </w:style>
  <w:style w:type="character" w:customStyle="1" w:styleId="45">
    <w:name w:val="标题 8 字符"/>
    <w:basedOn w:val="32"/>
    <w:link w:val="9"/>
    <w:qFormat/>
    <w:uiPriority w:val="9"/>
    <w:rPr>
      <w:rFonts w:ascii="等线 Light" w:hAnsi="等线 Light" w:eastAsia="等线 Light" w:cs="Times New Roman"/>
      <w:sz w:val="24"/>
      <w:szCs w:val="24"/>
    </w:rPr>
  </w:style>
  <w:style w:type="character" w:customStyle="1" w:styleId="46">
    <w:name w:val="正文文本 字符"/>
    <w:basedOn w:val="32"/>
    <w:qFormat/>
    <w:uiPriority w:val="0"/>
    <w:rPr>
      <w:rFonts w:ascii="Times New Roman" w:hAnsi="Times New Roman" w:eastAsia="宋体" w:cs="Times New Roman"/>
      <w:szCs w:val="24"/>
    </w:rPr>
  </w:style>
  <w:style w:type="character" w:customStyle="1" w:styleId="47">
    <w:name w:val="正文文本 字符1"/>
    <w:link w:val="14"/>
    <w:qFormat/>
    <w:uiPriority w:val="0"/>
    <w:rPr>
      <w:rFonts w:ascii="Times New Roman" w:hAnsi="Times New Roman" w:eastAsia="宋体" w:cs="Times New Roman"/>
      <w:szCs w:val="24"/>
    </w:rPr>
  </w:style>
  <w:style w:type="character" w:customStyle="1" w:styleId="48">
    <w:name w:val="标题 字符"/>
    <w:basedOn w:val="32"/>
    <w:link w:val="27"/>
    <w:qFormat/>
    <w:uiPriority w:val="0"/>
    <w:rPr>
      <w:rFonts w:ascii="Arial" w:hAnsi="Arial" w:eastAsia="宋体" w:cs="Arial"/>
      <w:b/>
      <w:bCs/>
      <w:sz w:val="32"/>
      <w:szCs w:val="32"/>
    </w:rPr>
  </w:style>
  <w:style w:type="character" w:customStyle="1" w:styleId="49">
    <w:name w:val="批注文字 字符"/>
    <w:basedOn w:val="32"/>
    <w:qFormat/>
    <w:uiPriority w:val="0"/>
    <w:rPr>
      <w:rFonts w:ascii="Times New Roman" w:hAnsi="Times New Roman" w:eastAsia="宋体" w:cs="Times New Roman"/>
      <w:szCs w:val="24"/>
    </w:rPr>
  </w:style>
  <w:style w:type="character" w:customStyle="1" w:styleId="50">
    <w:name w:val="批注文字 字符2"/>
    <w:link w:val="12"/>
    <w:qFormat/>
    <w:uiPriority w:val="0"/>
    <w:rPr>
      <w:rFonts w:ascii="Times New Roman" w:hAnsi="Times New Roman" w:eastAsia="宋体" w:cs="Times New Roman"/>
      <w:szCs w:val="24"/>
    </w:rPr>
  </w:style>
  <w:style w:type="character" w:customStyle="1" w:styleId="51">
    <w:name w:val="正文文本 3 字符"/>
    <w:basedOn w:val="32"/>
    <w:link w:val="13"/>
    <w:qFormat/>
    <w:uiPriority w:val="99"/>
    <w:rPr>
      <w:rFonts w:ascii="Times New Roman" w:hAnsi="Times New Roman" w:eastAsia="宋体" w:cs="Times New Roman"/>
      <w:sz w:val="16"/>
      <w:szCs w:val="16"/>
    </w:rPr>
  </w:style>
  <w:style w:type="character" w:customStyle="1" w:styleId="52">
    <w:name w:val="正文文本缩进 字符"/>
    <w:basedOn w:val="32"/>
    <w:link w:val="15"/>
    <w:qFormat/>
    <w:uiPriority w:val="0"/>
    <w:rPr>
      <w:rFonts w:ascii="仿宋_GB2312" w:hAnsi="Times New Roman" w:eastAsia="仿宋_GB2312" w:cs="Times New Roman"/>
      <w:kern w:val="0"/>
      <w:sz w:val="32"/>
      <w:szCs w:val="20"/>
    </w:rPr>
  </w:style>
  <w:style w:type="character" w:customStyle="1" w:styleId="53">
    <w:name w:val="纯文本 字符"/>
    <w:basedOn w:val="32"/>
    <w:qFormat/>
    <w:uiPriority w:val="0"/>
    <w:rPr>
      <w:rFonts w:hAnsi="Courier New" w:cs="Courier New" w:asciiTheme="minorEastAsia"/>
      <w:szCs w:val="24"/>
    </w:rPr>
  </w:style>
  <w:style w:type="character" w:customStyle="1" w:styleId="54">
    <w:name w:val="纯文本 字符3"/>
    <w:link w:val="17"/>
    <w:qFormat/>
    <w:uiPriority w:val="0"/>
    <w:rPr>
      <w:rFonts w:ascii="宋体" w:hAnsi="Courier New" w:eastAsia="宋体" w:cs="Times New Roman"/>
      <w:kern w:val="0"/>
      <w:sz w:val="20"/>
      <w:szCs w:val="21"/>
    </w:rPr>
  </w:style>
  <w:style w:type="character" w:customStyle="1" w:styleId="55">
    <w:name w:val="日期 字符"/>
    <w:basedOn w:val="32"/>
    <w:link w:val="18"/>
    <w:qFormat/>
    <w:uiPriority w:val="99"/>
    <w:rPr>
      <w:rFonts w:ascii="Times New Roman" w:hAnsi="Times New Roman" w:eastAsia="宋体" w:cs="Times New Roman"/>
      <w:szCs w:val="24"/>
    </w:rPr>
  </w:style>
  <w:style w:type="character" w:customStyle="1" w:styleId="56">
    <w:name w:val="批注框文本 字符"/>
    <w:basedOn w:val="32"/>
    <w:link w:val="20"/>
    <w:semiHidden/>
    <w:qFormat/>
    <w:uiPriority w:val="0"/>
    <w:rPr>
      <w:rFonts w:ascii="Times New Roman" w:hAnsi="Times New Roman" w:eastAsia="宋体" w:cs="Times New Roman"/>
      <w:sz w:val="18"/>
      <w:szCs w:val="18"/>
    </w:rPr>
  </w:style>
  <w:style w:type="character" w:customStyle="1" w:styleId="57">
    <w:name w:val="批注主题 字符"/>
    <w:basedOn w:val="49"/>
    <w:link w:val="28"/>
    <w:qFormat/>
    <w:uiPriority w:val="99"/>
    <w:rPr>
      <w:rFonts w:ascii="Times New Roman" w:hAnsi="Times New Roman" w:eastAsia="宋体" w:cs="Times New Roman"/>
      <w:b/>
      <w:bCs/>
      <w:szCs w:val="24"/>
    </w:rPr>
  </w:style>
  <w:style w:type="character" w:customStyle="1" w:styleId="58">
    <w:name w:val="正文文本首行缩进 2 字符"/>
    <w:basedOn w:val="52"/>
    <w:link w:val="29"/>
    <w:qFormat/>
    <w:uiPriority w:val="99"/>
    <w:rPr>
      <w:rFonts w:ascii="宋体" w:hAnsi="Courier New" w:eastAsia="仿宋_GB2312" w:cs="Times New Roman"/>
      <w:spacing w:val="-4"/>
      <w:kern w:val="0"/>
      <w:sz w:val="18"/>
      <w:szCs w:val="20"/>
    </w:rPr>
  </w:style>
  <w:style w:type="character" w:customStyle="1" w:styleId="59">
    <w:name w:val="纯文本 字符1"/>
    <w:qFormat/>
    <w:uiPriority w:val="0"/>
    <w:rPr>
      <w:rFonts w:ascii="宋体" w:hAnsi="Courier New"/>
    </w:rPr>
  </w:style>
  <w:style w:type="character" w:customStyle="1" w:styleId="60">
    <w:name w:val="正文文本 Char"/>
    <w:qFormat/>
    <w:uiPriority w:val="0"/>
    <w:rPr>
      <w:rFonts w:ascii="Times New Roman" w:hAnsi="Times New Roman"/>
      <w:kern w:val="2"/>
      <w:sz w:val="21"/>
      <w:szCs w:val="24"/>
    </w:r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批注文字 Char"/>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textcontents"/>
    <w:qFormat/>
    <w:uiPriority w:val="0"/>
  </w:style>
  <w:style w:type="character" w:customStyle="1" w:styleId="66">
    <w:name w:val="标题 1 字符1"/>
    <w:qFormat/>
    <w:uiPriority w:val="0"/>
    <w:rPr>
      <w:b/>
      <w:bCs/>
      <w:kern w:val="44"/>
      <w:sz w:val="44"/>
      <w:szCs w:val="44"/>
    </w:rPr>
  </w:style>
  <w:style w:type="character" w:customStyle="1" w:styleId="67">
    <w:name w:val="批注文字 Char2"/>
    <w:qFormat/>
    <w:uiPriority w:val="0"/>
    <w:rPr>
      <w:rFonts w:ascii="Times New Roman" w:hAnsi="Times New Roman"/>
      <w:kern w:val="2"/>
      <w:sz w:val="21"/>
      <w:szCs w:val="24"/>
    </w:rPr>
  </w:style>
  <w:style w:type="character" w:customStyle="1" w:styleId="68">
    <w:name w:val="标题 2 Char"/>
    <w:qFormat/>
    <w:uiPriority w:val="0"/>
    <w:rPr>
      <w:rFonts w:ascii="Cambria" w:hAnsi="Cambria" w:eastAsia="宋体" w:cs="Times New Roman"/>
      <w:b/>
      <w:bCs/>
      <w:kern w:val="2"/>
      <w:sz w:val="32"/>
      <w:szCs w:val="32"/>
    </w:rPr>
  </w:style>
  <w:style w:type="character" w:customStyle="1" w:styleId="69">
    <w:name w:val="纯文本 Char"/>
    <w:qFormat/>
    <w:uiPriority w:val="0"/>
    <w:rPr>
      <w:rFonts w:ascii="宋体" w:hAnsi="Courier New" w:eastAsia="宋体" w:cs="Courier New"/>
      <w:szCs w:val="21"/>
    </w:rPr>
  </w:style>
  <w:style w:type="character" w:customStyle="1" w:styleId="70">
    <w:name w:val="标题 8 Char"/>
    <w:qFormat/>
    <w:uiPriority w:val="0"/>
    <w:rPr>
      <w:rFonts w:ascii="Arial" w:hAnsi="Arial" w:eastAsia="黑体"/>
      <w:kern w:val="2"/>
      <w:sz w:val="24"/>
      <w:szCs w:val="24"/>
    </w:rPr>
  </w:style>
  <w:style w:type="character" w:customStyle="1" w:styleId="71">
    <w:name w:val="font51"/>
    <w:qFormat/>
    <w:uiPriority w:val="0"/>
    <w:rPr>
      <w:rFonts w:hint="default" w:ascii="Times New Roman" w:hAnsi="Times New Roman" w:cs="Times New Roman"/>
      <w:b/>
      <w:color w:val="000000"/>
      <w:sz w:val="18"/>
      <w:szCs w:val="18"/>
      <w:u w:val="none"/>
    </w:rPr>
  </w:style>
  <w:style w:type="character" w:customStyle="1" w:styleId="72">
    <w:name w:val="批注文字 字符1"/>
    <w:qFormat/>
    <w:uiPriority w:val="0"/>
    <w:rPr>
      <w:rFonts w:ascii="Times New Roman" w:hAnsi="Times New Roman"/>
      <w:kern w:val="2"/>
      <w:sz w:val="21"/>
      <w:szCs w:val="24"/>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qFormat/>
    <w:uiPriority w:val="34"/>
    <w:pPr>
      <w:ind w:firstLine="420" w:firstLineChars="200"/>
    </w:pPr>
  </w:style>
  <w:style w:type="paragraph" w:customStyle="1" w:styleId="75">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76">
    <w:name w:val="Title1"/>
    <w:basedOn w:val="1"/>
    <w:next w:val="1"/>
    <w:qFormat/>
    <w:uiPriority w:val="0"/>
    <w:pPr>
      <w:jc w:val="center"/>
      <w:outlineLvl w:val="0"/>
    </w:pPr>
    <w:rPr>
      <w:rFonts w:ascii="Calibri Light" w:hAnsi="Calibri Light" w:eastAsia="Arial Unicode MS"/>
      <w:b/>
    </w:rPr>
  </w:style>
  <w:style w:type="paragraph" w:customStyle="1" w:styleId="77">
    <w:name w:val="默认段落字体 Para Char Char Char Char Char Char Char Char Char1 Char Char Char Char"/>
    <w:basedOn w:val="1"/>
    <w:qFormat/>
    <w:uiPriority w:val="0"/>
    <w:rPr>
      <w:rFonts w:ascii="Tahoma" w:hAnsi="Tahoma"/>
      <w:sz w:val="24"/>
      <w:szCs w:val="20"/>
    </w:rPr>
  </w:style>
  <w:style w:type="paragraph" w:customStyle="1" w:styleId="78">
    <w:name w:val="样式 0正文 + 首行缩进:  2 字符1"/>
    <w:basedOn w:val="1"/>
    <w:qFormat/>
    <w:uiPriority w:val="99"/>
    <w:pPr>
      <w:spacing w:line="360" w:lineRule="auto"/>
      <w:ind w:firstLine="200" w:firstLineChars="200"/>
    </w:pPr>
    <w:rPr>
      <w:szCs w:val="20"/>
    </w:rPr>
  </w:style>
  <w:style w:type="paragraph" w:customStyle="1" w:styleId="7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Table Paragraph"/>
    <w:basedOn w:val="1"/>
    <w:qFormat/>
    <w:uiPriority w:val="1"/>
    <w:pPr>
      <w:jc w:val="left"/>
    </w:pPr>
    <w:rPr>
      <w:rFonts w:ascii="Calibri" w:hAnsi="Calibri"/>
      <w:kern w:val="0"/>
      <w:sz w:val="22"/>
      <w:szCs w:val="22"/>
      <w:lang w:eastAsia="en-US"/>
    </w:rPr>
  </w:style>
  <w:style w:type="paragraph" w:customStyle="1" w:styleId="81">
    <w:name w:val="正文-公11"/>
    <w:basedOn w:val="1"/>
    <w:qFormat/>
    <w:uiPriority w:val="0"/>
    <w:pPr>
      <w:ind w:firstLine="200" w:firstLineChars="200"/>
      <w:jc w:val="left"/>
    </w:pPr>
    <w:rPr>
      <w:rFonts w:eastAsia="仿宋_GB2312"/>
    </w:rPr>
  </w:style>
  <w:style w:type="paragraph" w:customStyle="1" w:styleId="82">
    <w:name w:val="my正文"/>
    <w:basedOn w:val="1"/>
    <w:link w:val="83"/>
    <w:qFormat/>
    <w:uiPriority w:val="0"/>
    <w:pPr>
      <w:spacing w:line="360" w:lineRule="auto"/>
      <w:ind w:firstLine="480" w:firstLineChars="200"/>
    </w:pPr>
    <w:rPr>
      <w:sz w:val="24"/>
      <w:lang w:val="zh-CN"/>
    </w:rPr>
  </w:style>
  <w:style w:type="character" w:customStyle="1" w:styleId="83">
    <w:name w:val="my正文 Char"/>
    <w:link w:val="82"/>
    <w:qFormat/>
    <w:uiPriority w:val="0"/>
    <w:rPr>
      <w:rFonts w:ascii="Times New Roman" w:hAnsi="Times New Roman" w:eastAsia="宋体" w:cs="Times New Roman"/>
      <w:sz w:val="24"/>
      <w:szCs w:val="24"/>
      <w:lang w:val="zh-CN"/>
    </w:rPr>
  </w:style>
  <w:style w:type="character" w:customStyle="1" w:styleId="84">
    <w:name w:val="纯文本 Char2"/>
    <w:qFormat/>
    <w:uiPriority w:val="0"/>
    <w:rPr>
      <w:rFonts w:ascii="宋体" w:hAnsi="Courier New" w:eastAsia="宋体" w:cs="Courier New"/>
      <w:szCs w:val="21"/>
    </w:rPr>
  </w:style>
  <w:style w:type="character" w:customStyle="1" w:styleId="85">
    <w:name w:val="脚注文本 字符"/>
    <w:basedOn w:val="32"/>
    <w:link w:val="24"/>
    <w:qFormat/>
    <w:uiPriority w:val="99"/>
    <w:rPr>
      <w:rFonts w:ascii="Times New Roman" w:hAnsi="Times New Roman" w:eastAsia="宋体" w:cs="Times New Roman"/>
      <w:sz w:val="18"/>
      <w:szCs w:val="18"/>
    </w:rPr>
  </w:style>
  <w:style w:type="character" w:customStyle="1" w:styleId="86">
    <w:name w:val="正文文本缩进 2 字符"/>
    <w:basedOn w:val="32"/>
    <w:link w:val="19"/>
    <w:semiHidden/>
    <w:qFormat/>
    <w:uiPriority w:val="99"/>
    <w:rPr>
      <w:rFonts w:ascii="Times New Roman" w:hAnsi="Times New Roman" w:eastAsia="宋体" w:cs="Times New Roman"/>
      <w:szCs w:val="24"/>
    </w:rPr>
  </w:style>
  <w:style w:type="paragraph" w:customStyle="1" w:styleId="8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BodyText"/>
    <w:basedOn w:val="1"/>
    <w:qFormat/>
    <w:uiPriority w:val="0"/>
    <w:pPr>
      <w:spacing w:line="240" w:lineRule="auto"/>
      <w:jc w:val="both"/>
      <w:textAlignment w:val="baseline"/>
    </w:pPr>
    <w:rPr>
      <w:rFonts w:ascii="Times New Roman" w:hAnsi="Times New Roman" w:eastAsia="宋体" w:cs="Times New Roman"/>
      <w:kern w:val="2"/>
      <w:sz w:val="21"/>
      <w:szCs w:val="21"/>
      <w:lang w:val="en-US" w:eastAsia="zh-CN" w:bidi="ar-SA"/>
    </w:rPr>
  </w:style>
  <w:style w:type="paragraph" w:customStyle="1" w:styleId="89">
    <w:name w:val="_Style 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a770b35a-39f7-4562-8b56-cda454c7931a</errorID>
      <errorWord>上午00:00</errorWord>
      <group>L1_Knowledge</group>
      <groupName>知识性问题</groupName>
      <ability>L2_Time</ability>
      <abilityName>日期时间</abilityName>
      <candidateList/>
      <explain>时间与前缀不匹配，可能的时间前缀有“下午、晚上、凌晨、午夜”。</explain>
      <paraID>30AA9BD9</paraID>
      <start>29</start>
      <end>36</end>
      <status>unmodified</status>
      <modifiedWord/>
      <trackRevisions>false</trackRevisions>
    </reviewItem>
    <reviewItem>
      <errorID>8f2e69ad-54c8-4ca4-958e-4978a6268eb2</errorID>
      <errorWord>下午15:00</errorWord>
      <group>L1_Knowledge</group>
      <groupName>知识性问题</groupName>
      <ability>L2_Time</ability>
      <abilityName>日期时间</abilityName>
      <candidateList>
        <item>15:00</item>
      </candidateList>
      <explain>24小时制的时间，不需要强调“下午”。</explain>
      <paraID>3B4500D3</paraID>
      <start>22</start>
      <end>29</end>
      <status>unmodified</status>
      <modifiedWord/>
      <trackRevisions>false</trackRevisions>
    </reviewItem>
    <reviewItem>
      <errorID>8f4615a0-181a-40d5-93ef-f8861786827c</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352EDA29</paraID>
      <start>0</start>
      <end>8</end>
      <status>unmodified</status>
      <modifiedWord/>
      <trackRevisions>false</trackRevisions>
    </reviewItem>
    <reviewItem>
      <errorID>b2da290c-d5ab-4f62-9b9a-5de4614ffca7</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5A95152D</paraID>
      <start>0</start>
      <end>9</end>
      <status>unmodified</status>
      <modifiedWord/>
      <trackRevisions>false</trackRevisions>
    </reviewItem>
    <reviewItem>
      <errorID>25992e74-9553-46a9-b69f-887add637e09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546E7B81</paraID>
      <start>0</start>
      <end>10</end>
      <status>unmodified</status>
      <modifiedWord/>
      <trackRevisions>false</trackRevisions>
    </reviewItem>
    <reviewItem>
      <errorID>4146a246-9e2c-4c67-b07e-3f137edff4a3</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7DCD1637</paraID>
      <start>0</start>
      <end>4</end>
      <status>unmodified</status>
      <modifiedWord/>
      <trackRevisions>false</trackRevisions>
    </reviewItem>
    <reviewItem>
      <errorID>8cfbae23-6a61-48f4-9935-769e265b1f9d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62D50DED</paraID>
      <start>0</start>
      <end>5</end>
      <status>unmodified</status>
      <modifiedWord/>
      <trackRevisions>false</trackRevisions>
    </reviewItem>
    <reviewItem>
      <errorID>bf1957d3-e184-4657-b5ad-535ed4a3cf46</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5BA8E627</paraID>
      <start>0</start>
      <end>6</end>
      <status>unmodified</status>
      <modifiedWord/>
      <trackRevisions>false</trackRevisions>
    </reviewItem>
    <reviewItem>
      <errorID>3fe273f8-5172-4677-b205-197440d7ea95</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398537A8</paraID>
      <start>0</start>
      <end>7</end>
      <status>unmodified</status>
      <modifiedWord/>
      <trackRevisions>false</trackRevisions>
    </reviewItem>
    <reviewItem>
      <errorID>b8698438-eb8c-44c3-83ee-67121446afa8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175D4152</paraID>
      <start>12</start>
      <end>16</end>
      <status>modified</status>
      <modifiedWord>银行账号</modifiedWord>
      <trackRevisions>false</trackRevisions>
    </reviewItem>
    <reviewItem>
      <errorID>5cfdf910-c56c-4bf4-bcb4-c622102a35d0</errorID>
      <errorWord>[2011]300号</errorWord>
      <group>L1_Knowledge</group>
      <groupName>知识性问题</groupName>
      <ability>L2_Knowledge</ability>
      <abilityName>其他知识</abilityName>
      <candidateList>
        <item>〔2011〕300号</item>
      </candidateList>
      <explain>发文字号格式错误。</explain>
      <paraID> 46BF4FB</paraID>
      <start>35</start>
      <end>45</end>
      <status>unmodified</status>
      <modifiedWord/>
      <trackRevisions>false</trackRevisions>
    </reviewItem>
    <reviewItem>
      <errorID>0c22fc63-6bd9-4451-ae46-a9c2511c8863</errorID>
      <errorWord>股东大会</errorWord>
      <group>L1_Knowledge</group>
      <groupName>知识性问题</groupName>
      <ability>L2_Knowledge</ability>
      <abilityName>其他知识</abilityName>
      <candidateList>
        <item>股东会</item>
      </candidateList>
      <explain/>
      <paraID>2B56B4FA</paraID>
      <start>113</start>
      <end>117</end>
      <status>unmodified</status>
      <modifiedWord/>
      <trackRevisions>false</trackRevisions>
    </reviewItem>
    <reviewItem>
      <errorID>801634aa-7f79-48fa-bd89-26b1d8391552</errorID>
      <errorWord>提出质疑</errorWord>
      <group>L1_Grammar</group>
      <groupName>语法问题</groupName>
      <ability>L2_Grammar</ability>
      <abilityName>语法错误</abilityName>
      <candidateList>
        <item>质疑</item>
      </candidateList>
      <explain>〈动〉提出疑问：～问难。</explain>
      <paraID>61F3A7BD</paraID>
      <start>53</start>
      <end>57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2fa12-b112-4e27-9c79-6f5eea15f740}">
  <ds:schemaRefs/>
</ds:datastoreItem>
</file>

<file path=customXml/itemProps3.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97</Pages>
  <Words>17530</Words>
  <Characters>18702</Characters>
  <Lines>350</Lines>
  <Paragraphs>98</Paragraphs>
  <TotalTime>288</TotalTime>
  <ScaleCrop>false</ScaleCrop>
  <LinksUpToDate>false</LinksUpToDate>
  <CharactersWithSpaces>18873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WPS_1744206875</cp:lastModifiedBy>
  <dcterms:modified xsi:type="dcterms:W3CDTF">2026-05-22T07:01:44Z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eyJoZGlkIjoiN2M5YzhlODljYzhhYWI4NWQzYWM5NDY0NzdjYzA4ZTIiLCJ1c2VySWQiOiIxNjkwOTIxODE2In0=</vt:lpwstr>
  </property>
  <property fmtid="{D5CDD505-2E9C-101B-9397-08002B2CF9AE}" pid="3" name="KSOProductBuildVer">
    <vt:lpwstr>2052-12.1.0.26375</vt:lpwstr>
  </property>
  <property fmtid="{D5CDD505-2E9C-101B-9397-08002B2CF9AE}" pid="4" name="ICV">
    <vt:lpwstr>991F5BAB6786447F936969ACB2FD5569_13</vt:lpwstr>
  </property>
</Properties>
</file>