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3EEC2">
      <w:pPr>
        <w:pStyle w:val="17"/>
        <w:jc w:val="center"/>
        <w:rPr>
          <w:rFonts w:hAnsi="宋体" w:cs="宋体"/>
          <w:b/>
          <w:bCs/>
          <w:color w:val="auto"/>
          <w:sz w:val="72"/>
          <w:szCs w:val="72"/>
          <w:highlight w:val="none"/>
        </w:rPr>
      </w:pPr>
      <w:bookmarkStart w:id="60" w:name="_GoBack"/>
    </w:p>
    <w:p w14:paraId="63E32F3C">
      <w:pPr>
        <w:pStyle w:val="17"/>
        <w:jc w:val="center"/>
        <w:rPr>
          <w:rFonts w:hAnsi="宋体" w:cs="宋体"/>
          <w:b/>
          <w:bCs/>
          <w:color w:val="auto"/>
          <w:sz w:val="72"/>
          <w:szCs w:val="72"/>
          <w:highlight w:val="none"/>
        </w:rPr>
      </w:pPr>
    </w:p>
    <w:p w14:paraId="5A24682D">
      <w:pPr>
        <w:pStyle w:val="17"/>
        <w:jc w:val="center"/>
        <w:rPr>
          <w:rFonts w:hAnsi="宋体" w:cs="宋体"/>
          <w:b/>
          <w:bCs/>
          <w:color w:val="auto"/>
          <w:sz w:val="72"/>
          <w:szCs w:val="72"/>
          <w:highlight w:val="none"/>
        </w:rPr>
      </w:pPr>
    </w:p>
    <w:p w14:paraId="1DD287ED">
      <w:pPr>
        <w:pStyle w:val="17"/>
        <w:jc w:val="center"/>
        <w:rPr>
          <w:rFonts w:hAnsi="宋体" w:cs="宋体"/>
          <w:b/>
          <w:bCs/>
          <w:color w:val="auto"/>
          <w:sz w:val="72"/>
          <w:szCs w:val="72"/>
          <w:highlight w:val="none"/>
        </w:rPr>
      </w:pPr>
      <w:r>
        <w:rPr>
          <w:rFonts w:hint="eastAsia" w:hAnsi="宋体" w:cs="宋体"/>
          <w:b/>
          <w:bCs/>
          <w:color w:val="auto"/>
          <w:sz w:val="72"/>
          <w:szCs w:val="72"/>
          <w:highlight w:val="none"/>
        </w:rPr>
        <w:t>竞争性谈判采购文件</w:t>
      </w:r>
    </w:p>
    <w:p w14:paraId="30B5426D">
      <w:pPr>
        <w:spacing w:before="318" w:beforeLines="100" w:after="159" w:afterLines="50" w:line="360" w:lineRule="auto"/>
        <w:jc w:val="center"/>
        <w:rPr>
          <w:rFonts w:ascii="宋体" w:hAnsi="宋体"/>
          <w:color w:val="auto"/>
          <w:szCs w:val="21"/>
          <w:highlight w:val="none"/>
        </w:rPr>
      </w:pPr>
      <w:r>
        <w:rPr>
          <w:rFonts w:hint="eastAsia" w:ascii="宋体" w:hAnsi="宋体"/>
          <w:color w:val="auto"/>
          <w:szCs w:val="21"/>
          <w:highlight w:val="none"/>
        </w:rPr>
        <w:t>（全流程电子化评标）</w:t>
      </w:r>
    </w:p>
    <w:p w14:paraId="34C21355">
      <w:pPr>
        <w:snapToGrid w:val="0"/>
        <w:spacing w:line="360" w:lineRule="auto"/>
        <w:rPr>
          <w:rFonts w:ascii="宋体" w:hAnsi="宋体" w:cs="宋体"/>
          <w:color w:val="auto"/>
          <w:sz w:val="30"/>
          <w:szCs w:val="72"/>
          <w:highlight w:val="none"/>
        </w:rPr>
      </w:pPr>
    </w:p>
    <w:p w14:paraId="41164F18">
      <w:pPr>
        <w:snapToGrid w:val="0"/>
        <w:spacing w:line="360" w:lineRule="auto"/>
        <w:rPr>
          <w:rFonts w:ascii="宋体" w:hAnsi="宋体" w:cs="宋体"/>
          <w:color w:val="auto"/>
          <w:sz w:val="30"/>
          <w:szCs w:val="72"/>
          <w:highlight w:val="none"/>
        </w:rPr>
      </w:pPr>
    </w:p>
    <w:p w14:paraId="57FAD664">
      <w:pPr>
        <w:pStyle w:val="17"/>
        <w:ind w:firstLine="2108" w:firstLineChars="700"/>
        <w:jc w:val="left"/>
        <w:rPr>
          <w:rFonts w:hAnsi="宋体" w:cs="宋体"/>
          <w:b/>
          <w:color w:val="auto"/>
          <w:sz w:val="30"/>
          <w:szCs w:val="72"/>
          <w:highlight w:val="none"/>
        </w:rPr>
      </w:pPr>
    </w:p>
    <w:p w14:paraId="0C8233EF">
      <w:pPr>
        <w:pStyle w:val="17"/>
        <w:jc w:val="center"/>
        <w:rPr>
          <w:rFonts w:hAnsi="宋体" w:cs="宋体"/>
          <w:b/>
          <w:color w:val="auto"/>
          <w:sz w:val="30"/>
          <w:szCs w:val="72"/>
          <w:highlight w:val="none"/>
        </w:rPr>
      </w:pPr>
      <w:r>
        <w:rPr>
          <w:rFonts w:hint="eastAsia" w:hAnsi="宋体" w:cs="宋体"/>
          <w:b/>
          <w:color w:val="auto"/>
          <w:sz w:val="30"/>
          <w:szCs w:val="72"/>
          <w:highlight w:val="none"/>
        </w:rPr>
        <w:t>项目名称：2026年校园安全技术防范系统续建</w:t>
      </w:r>
    </w:p>
    <w:p w14:paraId="146C8583">
      <w:pPr>
        <w:pStyle w:val="17"/>
        <w:jc w:val="center"/>
        <w:rPr>
          <w:rFonts w:hAnsi="宋体" w:cs="宋体"/>
          <w:b/>
          <w:color w:val="auto"/>
          <w:sz w:val="30"/>
          <w:szCs w:val="72"/>
          <w:highlight w:val="none"/>
        </w:rPr>
      </w:pPr>
      <w:r>
        <w:rPr>
          <w:rFonts w:hint="eastAsia" w:hAnsi="宋体" w:cs="宋体"/>
          <w:b/>
          <w:color w:val="auto"/>
          <w:sz w:val="30"/>
          <w:szCs w:val="72"/>
          <w:highlight w:val="none"/>
        </w:rPr>
        <w:t>项目编号：</w:t>
      </w:r>
      <w:r>
        <w:rPr>
          <w:rFonts w:hint="eastAsia" w:hAnsi="宋体" w:cs="宋体"/>
          <w:b/>
          <w:color w:val="auto"/>
          <w:sz w:val="30"/>
          <w:szCs w:val="72"/>
          <w:highlight w:val="none"/>
        </w:rPr>
        <w:t>GXZC2026-J1-001963-GXDC</w:t>
      </w:r>
      <w:r>
        <w:rPr>
          <w:rFonts w:hint="eastAsia" w:hAnsi="宋体" w:cs="宋体"/>
          <w:b/>
          <w:color w:val="auto"/>
          <w:sz w:val="30"/>
          <w:szCs w:val="72"/>
          <w:highlight w:val="none"/>
        </w:rPr>
        <w:t xml:space="preserve"> </w:t>
      </w:r>
    </w:p>
    <w:p w14:paraId="224AC011">
      <w:pPr>
        <w:pStyle w:val="17"/>
        <w:ind w:firstLine="2108" w:firstLineChars="700"/>
        <w:jc w:val="center"/>
        <w:rPr>
          <w:rFonts w:hAnsi="宋体" w:cs="宋体"/>
          <w:b/>
          <w:color w:val="auto"/>
          <w:sz w:val="30"/>
          <w:szCs w:val="72"/>
          <w:highlight w:val="none"/>
        </w:rPr>
      </w:pPr>
    </w:p>
    <w:p w14:paraId="76FD141D">
      <w:pPr>
        <w:rPr>
          <w:color w:val="auto"/>
          <w:highlight w:val="none"/>
        </w:rPr>
      </w:pPr>
    </w:p>
    <w:p w14:paraId="6AE35B6F">
      <w:pPr>
        <w:rPr>
          <w:color w:val="auto"/>
          <w:highlight w:val="none"/>
        </w:rPr>
      </w:pPr>
    </w:p>
    <w:p w14:paraId="6E61C990">
      <w:pPr>
        <w:rPr>
          <w:color w:val="auto"/>
          <w:highlight w:val="none"/>
        </w:rPr>
      </w:pPr>
    </w:p>
    <w:p w14:paraId="7803317E">
      <w:pPr>
        <w:rPr>
          <w:color w:val="auto"/>
          <w:highlight w:val="none"/>
        </w:rPr>
      </w:pPr>
    </w:p>
    <w:p w14:paraId="0E7982FA">
      <w:pPr>
        <w:rPr>
          <w:color w:val="auto"/>
          <w:highlight w:val="none"/>
        </w:rPr>
      </w:pPr>
    </w:p>
    <w:p w14:paraId="5FC07750">
      <w:pPr>
        <w:rPr>
          <w:color w:val="auto"/>
          <w:highlight w:val="none"/>
        </w:rPr>
      </w:pPr>
    </w:p>
    <w:p w14:paraId="4D0A00A8">
      <w:pPr>
        <w:rPr>
          <w:color w:val="auto"/>
          <w:highlight w:val="none"/>
        </w:rPr>
      </w:pPr>
    </w:p>
    <w:p w14:paraId="192AA1A7">
      <w:pPr>
        <w:pStyle w:val="17"/>
        <w:jc w:val="center"/>
        <w:rPr>
          <w:rFonts w:hAnsi="宋体" w:cs="宋体"/>
          <w:b/>
          <w:color w:val="auto"/>
          <w:sz w:val="30"/>
          <w:szCs w:val="72"/>
          <w:highlight w:val="none"/>
        </w:rPr>
      </w:pPr>
      <w:r>
        <w:rPr>
          <w:rFonts w:hint="eastAsia" w:hAnsi="宋体" w:cs="宋体"/>
          <w:b/>
          <w:color w:val="auto"/>
          <w:sz w:val="30"/>
          <w:szCs w:val="72"/>
          <w:highlight w:val="none"/>
        </w:rPr>
        <w:t>采购单位：广西师范大学</w:t>
      </w:r>
    </w:p>
    <w:p w14:paraId="142C0549">
      <w:pPr>
        <w:pStyle w:val="17"/>
        <w:jc w:val="center"/>
        <w:rPr>
          <w:rFonts w:hAnsi="宋体" w:cs="宋体"/>
          <w:b/>
          <w:color w:val="auto"/>
          <w:sz w:val="30"/>
          <w:szCs w:val="72"/>
          <w:highlight w:val="none"/>
        </w:rPr>
      </w:pPr>
      <w:r>
        <w:rPr>
          <w:rFonts w:hint="eastAsia" w:hAnsi="宋体" w:cs="宋体"/>
          <w:b/>
          <w:color w:val="auto"/>
          <w:sz w:val="30"/>
          <w:szCs w:val="72"/>
          <w:highlight w:val="none"/>
        </w:rPr>
        <w:t>采购代理机构：广西达成咨询有限公司</w:t>
      </w:r>
    </w:p>
    <w:p w14:paraId="39DC56A0">
      <w:pPr>
        <w:rPr>
          <w:color w:val="auto"/>
          <w:highlight w:val="none"/>
        </w:rPr>
      </w:pPr>
    </w:p>
    <w:p w14:paraId="77D3784A">
      <w:pPr>
        <w:pStyle w:val="17"/>
        <w:jc w:val="center"/>
        <w:rPr>
          <w:rFonts w:hAnsi="宋体" w:cs="宋体"/>
          <w:color w:val="auto"/>
          <w:highlight w:val="none"/>
        </w:rPr>
        <w:sectPr>
          <w:headerReference r:id="rId3" w:type="default"/>
          <w:footerReference r:id="rId4" w:type="default"/>
          <w:footerReference r:id="rId5" w:type="even"/>
          <w:pgSz w:w="11905" w:h="16838"/>
          <w:pgMar w:top="1417" w:right="1417" w:bottom="1417" w:left="1417" w:header="850" w:footer="992" w:gutter="0"/>
          <w:pgNumType w:start="0"/>
          <w:cols w:space="720" w:num="1"/>
          <w:titlePg/>
          <w:docGrid w:type="lines" w:linePitch="318" w:charSpace="0"/>
        </w:sectPr>
      </w:pPr>
      <w:r>
        <w:rPr>
          <w:rFonts w:hint="eastAsia" w:hAnsi="宋体" w:cs="宋体"/>
          <w:b/>
          <w:color w:val="auto"/>
          <w:sz w:val="30"/>
          <w:szCs w:val="72"/>
          <w:highlight w:val="none"/>
        </w:rPr>
        <w:t>2026年06月**日</w:t>
      </w:r>
    </w:p>
    <w:p w14:paraId="06BAA69F">
      <w:pPr>
        <w:spacing w:line="360" w:lineRule="auto"/>
        <w:rPr>
          <w:rFonts w:ascii="宋体" w:hAnsi="宋体" w:cs="宋体"/>
          <w:b/>
          <w:color w:val="auto"/>
          <w:sz w:val="44"/>
          <w:szCs w:val="44"/>
          <w:highlight w:val="none"/>
        </w:rPr>
      </w:pPr>
    </w:p>
    <w:p w14:paraId="4196DF6E">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目  录</w:t>
      </w:r>
    </w:p>
    <w:p w14:paraId="5406453E">
      <w:pPr>
        <w:spacing w:line="400" w:lineRule="exact"/>
        <w:jc w:val="center"/>
        <w:rPr>
          <w:rFonts w:ascii="宋体" w:hAnsi="宋体" w:cs="宋体"/>
          <w:b/>
          <w:color w:val="auto"/>
          <w:sz w:val="44"/>
          <w:szCs w:val="44"/>
          <w:highlight w:val="none"/>
        </w:rPr>
      </w:pPr>
    </w:p>
    <w:p w14:paraId="2826E337">
      <w:pPr>
        <w:pStyle w:val="23"/>
        <w:tabs>
          <w:tab w:val="right" w:leader="dot" w:pos="9071"/>
        </w:tabs>
        <w:spacing w:line="480" w:lineRule="auto"/>
        <w:rPr>
          <w:color w:val="auto"/>
          <w:sz w:val="24"/>
          <w:szCs w:val="32"/>
          <w:highlight w:val="none"/>
        </w:rPr>
      </w:pPr>
      <w:r>
        <w:rPr>
          <w:rFonts w:hint="eastAsia" w:ascii="宋体" w:hAnsi="宋体" w:cs="宋体"/>
          <w:b/>
          <w:color w:val="auto"/>
          <w:sz w:val="32"/>
          <w:szCs w:val="32"/>
          <w:highlight w:val="none"/>
        </w:rPr>
        <w:fldChar w:fldCharType="begin"/>
      </w:r>
      <w:r>
        <w:rPr>
          <w:rFonts w:hint="eastAsia" w:ascii="宋体" w:hAnsi="宋体" w:cs="宋体"/>
          <w:b/>
          <w:color w:val="auto"/>
          <w:sz w:val="32"/>
          <w:szCs w:val="32"/>
          <w:highlight w:val="none"/>
        </w:rPr>
        <w:instrText xml:space="preserve"> TOC \o "1-3" \h \z \u </w:instrText>
      </w:r>
      <w:r>
        <w:rPr>
          <w:rFonts w:hint="eastAsia" w:ascii="宋体" w:hAnsi="宋体" w:cs="宋体"/>
          <w:b/>
          <w:color w:val="auto"/>
          <w:sz w:val="32"/>
          <w:szCs w:val="32"/>
          <w:highlight w:val="none"/>
        </w:rPr>
        <w:fldChar w:fldCharType="separate"/>
      </w:r>
      <w:r>
        <w:rPr>
          <w:color w:val="auto"/>
          <w:highlight w:val="none"/>
        </w:rPr>
        <w:fldChar w:fldCharType="begin"/>
      </w:r>
      <w:r>
        <w:rPr>
          <w:color w:val="auto"/>
          <w:highlight w:val="none"/>
        </w:rPr>
        <w:instrText xml:space="preserve"> HYPERLINK \l "_Toc28730" </w:instrText>
      </w:r>
      <w:r>
        <w:rPr>
          <w:color w:val="auto"/>
          <w:highlight w:val="none"/>
        </w:rPr>
        <w:fldChar w:fldCharType="separate"/>
      </w:r>
      <w:r>
        <w:rPr>
          <w:rFonts w:ascii="宋体" w:hAnsi="宋体" w:cs="宋体"/>
          <w:color w:val="auto"/>
          <w:sz w:val="24"/>
          <w:szCs w:val="32"/>
          <w:highlight w:val="none"/>
        </w:rPr>
        <w:t xml:space="preserve">第一章 </w:t>
      </w:r>
      <w:r>
        <w:rPr>
          <w:rFonts w:hint="eastAsia" w:ascii="宋体" w:hAnsi="宋体" w:cs="宋体"/>
          <w:color w:val="auto"/>
          <w:sz w:val="24"/>
          <w:szCs w:val="32"/>
          <w:highlight w:val="none"/>
        </w:rPr>
        <w:t>竞争性谈判公告</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_Toc28730 \h </w:instrText>
      </w:r>
      <w:r>
        <w:rPr>
          <w:color w:val="auto"/>
          <w:sz w:val="24"/>
          <w:szCs w:val="32"/>
          <w:highlight w:val="none"/>
        </w:rPr>
        <w:fldChar w:fldCharType="separate"/>
      </w:r>
      <w:r>
        <w:rPr>
          <w:color w:val="auto"/>
          <w:sz w:val="24"/>
          <w:szCs w:val="32"/>
          <w:highlight w:val="none"/>
        </w:rPr>
        <w:t>1</w:t>
      </w:r>
      <w:r>
        <w:rPr>
          <w:color w:val="auto"/>
          <w:sz w:val="24"/>
          <w:szCs w:val="32"/>
          <w:highlight w:val="none"/>
        </w:rPr>
        <w:fldChar w:fldCharType="end"/>
      </w:r>
      <w:r>
        <w:rPr>
          <w:color w:val="auto"/>
          <w:sz w:val="24"/>
          <w:szCs w:val="32"/>
          <w:highlight w:val="none"/>
        </w:rPr>
        <w:fldChar w:fldCharType="end"/>
      </w:r>
    </w:p>
    <w:p w14:paraId="7A703F0F">
      <w:pPr>
        <w:pStyle w:val="23"/>
        <w:tabs>
          <w:tab w:val="right" w:leader="dot" w:pos="9071"/>
        </w:tabs>
        <w:spacing w:line="480" w:lineRule="auto"/>
        <w:rPr>
          <w:color w:val="auto"/>
          <w:sz w:val="24"/>
          <w:szCs w:val="32"/>
          <w:highlight w:val="none"/>
        </w:rPr>
      </w:pPr>
      <w:r>
        <w:rPr>
          <w:color w:val="auto"/>
          <w:highlight w:val="none"/>
        </w:rPr>
        <w:fldChar w:fldCharType="begin"/>
      </w:r>
      <w:r>
        <w:rPr>
          <w:color w:val="auto"/>
          <w:highlight w:val="none"/>
        </w:rPr>
        <w:instrText xml:space="preserve"> HYPERLINK \l "_Toc28338" </w:instrText>
      </w:r>
      <w:r>
        <w:rPr>
          <w:color w:val="auto"/>
          <w:highlight w:val="none"/>
        </w:rPr>
        <w:fldChar w:fldCharType="separate"/>
      </w:r>
      <w:r>
        <w:rPr>
          <w:rFonts w:hint="eastAsia" w:ascii="宋体" w:hAnsi="宋体" w:cs="宋体"/>
          <w:bCs/>
          <w:color w:val="auto"/>
          <w:sz w:val="24"/>
          <w:szCs w:val="52"/>
          <w:highlight w:val="none"/>
        </w:rPr>
        <w:t>第二章 供应商须知</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_Toc28338 \h </w:instrText>
      </w:r>
      <w:r>
        <w:rPr>
          <w:color w:val="auto"/>
          <w:sz w:val="24"/>
          <w:szCs w:val="32"/>
          <w:highlight w:val="none"/>
        </w:rPr>
        <w:fldChar w:fldCharType="separate"/>
      </w:r>
      <w:r>
        <w:rPr>
          <w:color w:val="auto"/>
          <w:sz w:val="24"/>
          <w:szCs w:val="32"/>
          <w:highlight w:val="none"/>
        </w:rPr>
        <w:t>6</w:t>
      </w:r>
      <w:r>
        <w:rPr>
          <w:color w:val="auto"/>
          <w:sz w:val="24"/>
          <w:szCs w:val="32"/>
          <w:highlight w:val="none"/>
        </w:rPr>
        <w:fldChar w:fldCharType="end"/>
      </w:r>
      <w:r>
        <w:rPr>
          <w:color w:val="auto"/>
          <w:sz w:val="24"/>
          <w:szCs w:val="32"/>
          <w:highlight w:val="none"/>
        </w:rPr>
        <w:fldChar w:fldCharType="end"/>
      </w:r>
    </w:p>
    <w:p w14:paraId="57D60A7B">
      <w:pPr>
        <w:pStyle w:val="23"/>
        <w:tabs>
          <w:tab w:val="right" w:leader="dot" w:pos="9071"/>
        </w:tabs>
        <w:spacing w:line="480" w:lineRule="auto"/>
        <w:rPr>
          <w:color w:val="auto"/>
          <w:sz w:val="24"/>
          <w:szCs w:val="32"/>
          <w:highlight w:val="none"/>
        </w:rPr>
      </w:pPr>
      <w:r>
        <w:rPr>
          <w:color w:val="auto"/>
          <w:highlight w:val="none"/>
        </w:rPr>
        <w:fldChar w:fldCharType="begin"/>
      </w:r>
      <w:r>
        <w:rPr>
          <w:color w:val="auto"/>
          <w:highlight w:val="none"/>
        </w:rPr>
        <w:instrText xml:space="preserve"> HYPERLINK \l "_Toc22895" </w:instrText>
      </w:r>
      <w:r>
        <w:rPr>
          <w:color w:val="auto"/>
          <w:highlight w:val="none"/>
        </w:rPr>
        <w:fldChar w:fldCharType="separate"/>
      </w:r>
      <w:r>
        <w:rPr>
          <w:rFonts w:hint="eastAsia" w:ascii="宋体" w:hAnsi="宋体" w:cs="宋体"/>
          <w:color w:val="auto"/>
          <w:sz w:val="24"/>
          <w:szCs w:val="32"/>
          <w:highlight w:val="none"/>
        </w:rPr>
        <w:t>第三章 采购需求</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_Toc22895 \h </w:instrText>
      </w:r>
      <w:r>
        <w:rPr>
          <w:color w:val="auto"/>
          <w:sz w:val="24"/>
          <w:szCs w:val="32"/>
          <w:highlight w:val="none"/>
        </w:rPr>
        <w:fldChar w:fldCharType="separate"/>
      </w:r>
      <w:r>
        <w:rPr>
          <w:color w:val="auto"/>
          <w:sz w:val="24"/>
          <w:szCs w:val="32"/>
          <w:highlight w:val="none"/>
        </w:rPr>
        <w:t>27</w:t>
      </w:r>
      <w:r>
        <w:rPr>
          <w:color w:val="auto"/>
          <w:sz w:val="24"/>
          <w:szCs w:val="32"/>
          <w:highlight w:val="none"/>
        </w:rPr>
        <w:fldChar w:fldCharType="end"/>
      </w:r>
      <w:r>
        <w:rPr>
          <w:color w:val="auto"/>
          <w:sz w:val="24"/>
          <w:szCs w:val="32"/>
          <w:highlight w:val="none"/>
        </w:rPr>
        <w:fldChar w:fldCharType="end"/>
      </w:r>
    </w:p>
    <w:p w14:paraId="15545D97">
      <w:pPr>
        <w:pStyle w:val="23"/>
        <w:tabs>
          <w:tab w:val="right" w:leader="dot" w:pos="9071"/>
        </w:tabs>
        <w:spacing w:line="480" w:lineRule="auto"/>
        <w:rPr>
          <w:color w:val="auto"/>
          <w:sz w:val="24"/>
          <w:szCs w:val="32"/>
          <w:highlight w:val="none"/>
        </w:rPr>
      </w:pPr>
      <w:r>
        <w:rPr>
          <w:color w:val="auto"/>
          <w:highlight w:val="none"/>
        </w:rPr>
        <w:fldChar w:fldCharType="begin"/>
      </w:r>
      <w:r>
        <w:rPr>
          <w:color w:val="auto"/>
          <w:highlight w:val="none"/>
        </w:rPr>
        <w:instrText xml:space="preserve"> HYPERLINK \l "_Toc25164" </w:instrText>
      </w:r>
      <w:r>
        <w:rPr>
          <w:color w:val="auto"/>
          <w:highlight w:val="none"/>
        </w:rPr>
        <w:fldChar w:fldCharType="separate"/>
      </w:r>
      <w:r>
        <w:rPr>
          <w:rFonts w:hint="eastAsia" w:ascii="宋体" w:hAnsi="宋体" w:cs="宋体"/>
          <w:color w:val="auto"/>
          <w:sz w:val="24"/>
          <w:szCs w:val="32"/>
          <w:highlight w:val="none"/>
        </w:rPr>
        <w:t>第四章 评审程序和评定成交的标准</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_Toc25164 \h </w:instrText>
      </w:r>
      <w:r>
        <w:rPr>
          <w:color w:val="auto"/>
          <w:sz w:val="24"/>
          <w:szCs w:val="32"/>
          <w:highlight w:val="none"/>
        </w:rPr>
        <w:fldChar w:fldCharType="separate"/>
      </w:r>
      <w:r>
        <w:rPr>
          <w:color w:val="auto"/>
          <w:sz w:val="24"/>
          <w:szCs w:val="32"/>
          <w:highlight w:val="none"/>
        </w:rPr>
        <w:t>72</w:t>
      </w:r>
      <w:r>
        <w:rPr>
          <w:color w:val="auto"/>
          <w:sz w:val="24"/>
          <w:szCs w:val="32"/>
          <w:highlight w:val="none"/>
        </w:rPr>
        <w:fldChar w:fldCharType="end"/>
      </w:r>
      <w:r>
        <w:rPr>
          <w:color w:val="auto"/>
          <w:sz w:val="24"/>
          <w:szCs w:val="32"/>
          <w:highlight w:val="none"/>
        </w:rPr>
        <w:fldChar w:fldCharType="end"/>
      </w:r>
    </w:p>
    <w:p w14:paraId="2D92AE43">
      <w:pPr>
        <w:pStyle w:val="23"/>
        <w:tabs>
          <w:tab w:val="right" w:leader="dot" w:pos="9071"/>
        </w:tabs>
        <w:spacing w:line="480" w:lineRule="auto"/>
        <w:rPr>
          <w:color w:val="auto"/>
          <w:sz w:val="24"/>
          <w:szCs w:val="32"/>
          <w:highlight w:val="none"/>
        </w:rPr>
      </w:pPr>
      <w:r>
        <w:rPr>
          <w:color w:val="auto"/>
          <w:highlight w:val="none"/>
        </w:rPr>
        <w:fldChar w:fldCharType="begin"/>
      </w:r>
      <w:r>
        <w:rPr>
          <w:color w:val="auto"/>
          <w:highlight w:val="none"/>
        </w:rPr>
        <w:instrText xml:space="preserve"> HYPERLINK \l "_Toc29834" </w:instrText>
      </w:r>
      <w:r>
        <w:rPr>
          <w:color w:val="auto"/>
          <w:highlight w:val="none"/>
        </w:rPr>
        <w:fldChar w:fldCharType="separate"/>
      </w:r>
      <w:r>
        <w:rPr>
          <w:rFonts w:hint="eastAsia" w:ascii="宋体" w:hAnsi="宋体" w:cs="宋体"/>
          <w:color w:val="auto"/>
          <w:sz w:val="24"/>
          <w:szCs w:val="32"/>
          <w:highlight w:val="none"/>
        </w:rPr>
        <w:t>第五章 响应文件格式</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_Toc29834 \h </w:instrText>
      </w:r>
      <w:r>
        <w:rPr>
          <w:color w:val="auto"/>
          <w:sz w:val="24"/>
          <w:szCs w:val="32"/>
          <w:highlight w:val="none"/>
        </w:rPr>
        <w:fldChar w:fldCharType="separate"/>
      </w:r>
      <w:r>
        <w:rPr>
          <w:color w:val="auto"/>
          <w:sz w:val="24"/>
          <w:szCs w:val="32"/>
          <w:highlight w:val="none"/>
        </w:rPr>
        <w:t>79</w:t>
      </w:r>
      <w:r>
        <w:rPr>
          <w:color w:val="auto"/>
          <w:sz w:val="24"/>
          <w:szCs w:val="32"/>
          <w:highlight w:val="none"/>
        </w:rPr>
        <w:fldChar w:fldCharType="end"/>
      </w:r>
      <w:r>
        <w:rPr>
          <w:color w:val="auto"/>
          <w:sz w:val="24"/>
          <w:szCs w:val="32"/>
          <w:highlight w:val="none"/>
        </w:rPr>
        <w:fldChar w:fldCharType="end"/>
      </w:r>
    </w:p>
    <w:p w14:paraId="0DBCA80A">
      <w:pPr>
        <w:pStyle w:val="23"/>
        <w:tabs>
          <w:tab w:val="right" w:leader="dot" w:pos="9071"/>
        </w:tabs>
        <w:spacing w:line="480" w:lineRule="auto"/>
        <w:rPr>
          <w:color w:val="auto"/>
          <w:sz w:val="24"/>
          <w:szCs w:val="32"/>
          <w:highlight w:val="none"/>
        </w:rPr>
      </w:pPr>
      <w:r>
        <w:rPr>
          <w:color w:val="auto"/>
          <w:highlight w:val="none"/>
        </w:rPr>
        <w:fldChar w:fldCharType="begin"/>
      </w:r>
      <w:r>
        <w:rPr>
          <w:color w:val="auto"/>
          <w:highlight w:val="none"/>
        </w:rPr>
        <w:instrText xml:space="preserve"> HYPERLINK \l "_Toc16581" </w:instrText>
      </w:r>
      <w:r>
        <w:rPr>
          <w:color w:val="auto"/>
          <w:highlight w:val="none"/>
        </w:rPr>
        <w:fldChar w:fldCharType="separate"/>
      </w:r>
      <w:r>
        <w:rPr>
          <w:rFonts w:hint="eastAsia" w:ascii="宋体" w:hAnsi="宋体" w:cs="宋体"/>
          <w:color w:val="auto"/>
          <w:sz w:val="24"/>
          <w:szCs w:val="32"/>
          <w:highlight w:val="none"/>
        </w:rPr>
        <w:t>第六章 合同文本</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_Toc16581 \h </w:instrText>
      </w:r>
      <w:r>
        <w:rPr>
          <w:color w:val="auto"/>
          <w:sz w:val="24"/>
          <w:szCs w:val="32"/>
          <w:highlight w:val="none"/>
        </w:rPr>
        <w:fldChar w:fldCharType="separate"/>
      </w:r>
      <w:r>
        <w:rPr>
          <w:color w:val="auto"/>
          <w:sz w:val="24"/>
          <w:szCs w:val="32"/>
          <w:highlight w:val="none"/>
        </w:rPr>
        <w:t>113</w:t>
      </w:r>
      <w:r>
        <w:rPr>
          <w:color w:val="auto"/>
          <w:sz w:val="24"/>
          <w:szCs w:val="32"/>
          <w:highlight w:val="none"/>
        </w:rPr>
        <w:fldChar w:fldCharType="end"/>
      </w:r>
      <w:r>
        <w:rPr>
          <w:color w:val="auto"/>
          <w:sz w:val="24"/>
          <w:szCs w:val="32"/>
          <w:highlight w:val="none"/>
        </w:rPr>
        <w:fldChar w:fldCharType="end"/>
      </w:r>
    </w:p>
    <w:p w14:paraId="7C844C1D">
      <w:pPr>
        <w:pStyle w:val="24"/>
        <w:tabs>
          <w:tab w:val="clear" w:pos="8296"/>
        </w:tabs>
        <w:snapToGrid w:val="0"/>
        <w:spacing w:line="480" w:lineRule="auto"/>
        <w:ind w:left="0" w:leftChars="0"/>
        <w:rPr>
          <w:rFonts w:ascii="宋体" w:hAnsi="宋体" w:cs="宋体"/>
          <w:b/>
          <w:color w:val="auto"/>
          <w:sz w:val="24"/>
          <w:highlight w:val="none"/>
        </w:rPr>
      </w:pPr>
      <w:r>
        <w:rPr>
          <w:rFonts w:hint="eastAsia" w:ascii="宋体" w:hAnsi="宋体" w:cs="宋体"/>
          <w:b/>
          <w:color w:val="auto"/>
          <w:sz w:val="32"/>
          <w:szCs w:val="32"/>
          <w:highlight w:val="none"/>
        </w:rPr>
        <w:fldChar w:fldCharType="end"/>
      </w:r>
    </w:p>
    <w:p w14:paraId="7A68F0B0">
      <w:pPr>
        <w:spacing w:line="400" w:lineRule="exact"/>
        <w:jc w:val="left"/>
        <w:rPr>
          <w:rFonts w:ascii="宋体" w:hAnsi="宋体" w:cs="宋体"/>
          <w:b/>
          <w:color w:val="auto"/>
          <w:sz w:val="32"/>
          <w:szCs w:val="32"/>
          <w:highlight w:val="none"/>
        </w:rPr>
      </w:pPr>
    </w:p>
    <w:p w14:paraId="26E68F64">
      <w:pPr>
        <w:spacing w:line="400" w:lineRule="exact"/>
        <w:jc w:val="center"/>
        <w:rPr>
          <w:rFonts w:ascii="宋体" w:hAnsi="宋体" w:cs="宋体"/>
          <w:b/>
          <w:color w:val="auto"/>
          <w:sz w:val="32"/>
          <w:szCs w:val="32"/>
          <w:highlight w:val="none"/>
        </w:rPr>
      </w:pPr>
    </w:p>
    <w:p w14:paraId="7617C81D">
      <w:pPr>
        <w:spacing w:line="400" w:lineRule="exact"/>
        <w:jc w:val="center"/>
        <w:rPr>
          <w:rFonts w:ascii="宋体" w:hAnsi="宋体" w:cs="宋体"/>
          <w:b/>
          <w:color w:val="auto"/>
          <w:sz w:val="32"/>
          <w:szCs w:val="32"/>
          <w:highlight w:val="none"/>
        </w:rPr>
      </w:pPr>
    </w:p>
    <w:p w14:paraId="09650A1B">
      <w:pPr>
        <w:spacing w:line="400" w:lineRule="exact"/>
        <w:jc w:val="center"/>
        <w:rPr>
          <w:rFonts w:ascii="宋体" w:hAnsi="宋体" w:cs="宋体"/>
          <w:b/>
          <w:color w:val="auto"/>
          <w:sz w:val="32"/>
          <w:szCs w:val="32"/>
          <w:highlight w:val="none"/>
        </w:rPr>
      </w:pPr>
    </w:p>
    <w:p w14:paraId="0441742C">
      <w:pPr>
        <w:spacing w:line="400" w:lineRule="exact"/>
        <w:jc w:val="center"/>
        <w:rPr>
          <w:rFonts w:ascii="宋体" w:hAnsi="宋体" w:cs="宋体"/>
          <w:b/>
          <w:color w:val="auto"/>
          <w:sz w:val="32"/>
          <w:szCs w:val="32"/>
          <w:highlight w:val="none"/>
        </w:rPr>
      </w:pPr>
    </w:p>
    <w:p w14:paraId="5E125E9A">
      <w:pPr>
        <w:spacing w:line="400" w:lineRule="exact"/>
        <w:rPr>
          <w:rFonts w:ascii="宋体" w:hAnsi="宋体" w:cs="宋体"/>
          <w:b/>
          <w:color w:val="auto"/>
          <w:sz w:val="32"/>
          <w:szCs w:val="32"/>
          <w:highlight w:val="none"/>
        </w:rPr>
        <w:sectPr>
          <w:headerReference r:id="rId6" w:type="default"/>
          <w:footerReference r:id="rId7" w:type="default"/>
          <w:pgSz w:w="11905" w:h="16838"/>
          <w:pgMar w:top="1417" w:right="1417" w:bottom="1417" w:left="1417" w:header="850" w:footer="992" w:gutter="0"/>
          <w:pgNumType w:start="0"/>
          <w:cols w:space="720" w:num="1"/>
          <w:titlePg/>
          <w:docGrid w:type="lines" w:linePitch="318" w:charSpace="0"/>
        </w:sectPr>
      </w:pPr>
    </w:p>
    <w:p w14:paraId="59BF1D1F">
      <w:pPr>
        <w:pStyle w:val="2"/>
        <w:numPr>
          <w:ilvl w:val="255"/>
          <w:numId w:val="0"/>
        </w:numPr>
        <w:spacing w:before="0" w:after="0" w:line="360" w:lineRule="auto"/>
        <w:jc w:val="center"/>
        <w:rPr>
          <w:rFonts w:ascii="宋体" w:hAnsi="宋体" w:cs="宋体"/>
          <w:color w:val="auto"/>
          <w:highlight w:val="none"/>
        </w:rPr>
      </w:pPr>
      <w:bookmarkStart w:id="0" w:name="_Toc74322008"/>
      <w:bookmarkStart w:id="1" w:name="_Toc28730"/>
      <w:r>
        <w:rPr>
          <w:rFonts w:hint="eastAsia" w:ascii="宋体" w:hAnsi="宋体" w:cs="宋体"/>
          <w:color w:val="auto"/>
          <w:highlight w:val="none"/>
        </w:rPr>
        <w:t>第一章、竞争性谈判公告</w:t>
      </w:r>
      <w:bookmarkEnd w:id="0"/>
      <w:bookmarkEnd w:id="1"/>
    </w:p>
    <w:p w14:paraId="7C671AFD">
      <w:pPr>
        <w:rPr>
          <w:color w:val="auto"/>
          <w:highlight w:val="none"/>
        </w:rPr>
      </w:pPr>
    </w:p>
    <w:p w14:paraId="286B6454">
      <w:pPr>
        <w:jc w:val="center"/>
        <w:rPr>
          <w:rFonts w:hAnsi="宋体" w:cs="宋体"/>
          <w:b/>
          <w:color w:val="auto"/>
          <w:sz w:val="28"/>
          <w:szCs w:val="28"/>
          <w:highlight w:val="none"/>
        </w:rPr>
      </w:pPr>
      <w:r>
        <w:rPr>
          <w:rFonts w:hint="eastAsia" w:hAnsi="宋体" w:cs="宋体"/>
          <w:b/>
          <w:color w:val="auto"/>
          <w:sz w:val="28"/>
          <w:szCs w:val="28"/>
          <w:highlight w:val="none"/>
        </w:rPr>
        <w:t>广西达成咨询有限公司关于2026年校园安全技术防范系统续建</w:t>
      </w:r>
    </w:p>
    <w:p w14:paraId="7FF826D9">
      <w:pPr>
        <w:pStyle w:val="44"/>
        <w:jc w:val="center"/>
        <w:rPr>
          <w:color w:val="auto"/>
          <w:sz w:val="24"/>
          <w:szCs w:val="24"/>
          <w:highlight w:val="none"/>
        </w:rPr>
      </w:pPr>
      <w:r>
        <w:rPr>
          <w:rFonts w:hint="eastAsia" w:ascii="宋体" w:hAnsi="宋体" w:cs="宋体"/>
          <w:b/>
          <w:bCs/>
          <w:color w:val="auto"/>
          <w:sz w:val="28"/>
          <w:szCs w:val="28"/>
          <w:highlight w:val="none"/>
        </w:rPr>
        <w:t>（项目编号：</w:t>
      </w:r>
      <w:r>
        <w:rPr>
          <w:rFonts w:hint="eastAsia" w:ascii="宋体" w:hAnsi="宋体" w:cs="宋体"/>
          <w:b/>
          <w:bCs/>
          <w:color w:val="auto"/>
          <w:sz w:val="28"/>
          <w:szCs w:val="28"/>
          <w:highlight w:val="none"/>
        </w:rPr>
        <w:t>GXZC2026-J1-001963-GXDC</w:t>
      </w:r>
      <w:r>
        <w:rPr>
          <w:rFonts w:hint="eastAsia" w:ascii="宋体" w:hAnsi="宋体" w:cs="宋体"/>
          <w:b/>
          <w:bCs/>
          <w:color w:val="auto"/>
          <w:sz w:val="28"/>
          <w:szCs w:val="28"/>
          <w:highlight w:val="none"/>
        </w:rPr>
        <w:t>）</w:t>
      </w:r>
      <w:r>
        <w:rPr>
          <w:rFonts w:hint="eastAsia" w:ascii="宋体" w:hAnsi="宋体" w:cs="宋体"/>
          <w:b/>
          <w:color w:val="auto"/>
          <w:kern w:val="0"/>
          <w:sz w:val="28"/>
          <w:szCs w:val="28"/>
          <w:highlight w:val="none"/>
        </w:rPr>
        <w:t>竞争性谈判公告</w:t>
      </w:r>
    </w:p>
    <w:p w14:paraId="3B25CE72">
      <w:pPr>
        <w:pBdr>
          <w:top w:val="single" w:color="auto" w:sz="4" w:space="1"/>
          <w:left w:val="single" w:color="auto" w:sz="4" w:space="4"/>
          <w:bottom w:val="single" w:color="auto" w:sz="4" w:space="1"/>
          <w:right w:val="single" w:color="auto" w:sz="4" w:space="4"/>
        </w:pBdr>
        <w:spacing w:line="360" w:lineRule="auto"/>
        <w:rPr>
          <w:rFonts w:ascii="宋体" w:hAnsi="宋体" w:cs="宋体"/>
          <w:b/>
          <w:bCs/>
          <w:color w:val="auto"/>
          <w:szCs w:val="21"/>
          <w:highlight w:val="none"/>
        </w:rPr>
      </w:pPr>
      <w:bookmarkStart w:id="2" w:name="_Hlk37430271"/>
      <w:r>
        <w:rPr>
          <w:rFonts w:hint="eastAsia" w:ascii="宋体" w:hAnsi="宋体" w:cs="宋体"/>
          <w:b/>
          <w:bCs/>
          <w:color w:val="auto"/>
          <w:szCs w:val="21"/>
          <w:highlight w:val="none"/>
        </w:rPr>
        <w:t>项目概况：</w:t>
      </w:r>
    </w:p>
    <w:p w14:paraId="346DC34E">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bookmarkStart w:id="3" w:name="_Hlk206953611"/>
      <w:r>
        <w:rPr>
          <w:rFonts w:hint="eastAsia" w:ascii="宋体" w:hAnsi="宋体" w:cs="宋体"/>
          <w:color w:val="auto"/>
          <w:szCs w:val="21"/>
          <w:highlight w:val="none"/>
          <w:u w:val="single"/>
        </w:rPr>
        <w:t>2026年校园安全技术防范系统续建</w:t>
      </w:r>
      <w:r>
        <w:rPr>
          <w:rFonts w:hint="eastAsia" w:ascii="宋体" w:hAnsi="宋体" w:cs="宋体"/>
          <w:color w:val="auto"/>
          <w:szCs w:val="21"/>
          <w:highlight w:val="none"/>
        </w:rPr>
        <w:t>项目的</w:t>
      </w:r>
      <w:bookmarkEnd w:id="3"/>
      <w:r>
        <w:rPr>
          <w:rFonts w:hint="eastAsia" w:ascii="宋体" w:hAnsi="宋体" w:cs="宋体"/>
          <w:color w:val="auto"/>
          <w:szCs w:val="21"/>
          <w:highlight w:val="none"/>
        </w:rPr>
        <w:t>潜在供应商应在广西政府采购云平台（https://www.gcy.zfcg.gxzf.gov.cn/）获取采购文件，</w:t>
      </w:r>
      <w:bookmarkStart w:id="4" w:name="_Hlk206953590"/>
      <w:r>
        <w:rPr>
          <w:rFonts w:hint="eastAsia" w:ascii="宋体" w:hAnsi="宋体" w:cs="宋体"/>
          <w:color w:val="auto"/>
          <w:szCs w:val="21"/>
          <w:highlight w:val="none"/>
        </w:rPr>
        <w:t>并于2026年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26</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0分</w:t>
      </w:r>
      <w:r>
        <w:rPr>
          <w:rFonts w:hint="eastAsia" w:ascii="宋体" w:hAnsi="宋体" w:cs="宋体"/>
          <w:bCs/>
          <w:color w:val="auto"/>
          <w:szCs w:val="21"/>
          <w:highlight w:val="none"/>
        </w:rPr>
        <w:t>（北京时间）前提交响应文件</w:t>
      </w:r>
      <w:r>
        <w:rPr>
          <w:rFonts w:hint="eastAsia" w:ascii="宋体" w:hAnsi="宋体" w:cs="宋体"/>
          <w:color w:val="auto"/>
          <w:szCs w:val="21"/>
          <w:highlight w:val="none"/>
        </w:rPr>
        <w:t>。</w:t>
      </w:r>
    </w:p>
    <w:bookmarkEnd w:id="4"/>
    <w:p w14:paraId="38F0BB68">
      <w:pPr>
        <w:spacing w:line="360" w:lineRule="auto"/>
        <w:ind w:firstLine="422" w:firstLineChars="200"/>
        <w:rPr>
          <w:rFonts w:ascii="宋体" w:hAnsi="宋体" w:cs="宋体"/>
          <w:b/>
          <w:bCs/>
          <w:color w:val="auto"/>
          <w:szCs w:val="21"/>
          <w:highlight w:val="none"/>
        </w:rPr>
      </w:pPr>
      <w:bookmarkStart w:id="5" w:name="_Toc28359095"/>
      <w:bookmarkStart w:id="6" w:name="_Toc71366047"/>
      <w:bookmarkStart w:id="7" w:name="_Toc71365369"/>
      <w:bookmarkStart w:id="8" w:name="_Toc35393636"/>
      <w:bookmarkStart w:id="9" w:name="_Toc28359018"/>
      <w:bookmarkStart w:id="10" w:name="_Toc35393805"/>
      <w:r>
        <w:rPr>
          <w:rFonts w:hint="eastAsia" w:ascii="宋体" w:hAnsi="宋体" w:cs="宋体"/>
          <w:b/>
          <w:bCs/>
          <w:color w:val="auto"/>
          <w:szCs w:val="21"/>
          <w:highlight w:val="none"/>
        </w:rPr>
        <w:t>一、项目基本情况</w:t>
      </w:r>
    </w:p>
    <w:p w14:paraId="179454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项目编号：</w:t>
      </w:r>
      <w:r>
        <w:rPr>
          <w:rFonts w:hint="eastAsia" w:ascii="宋体" w:hAnsi="宋体" w:cs="宋体"/>
          <w:color w:val="auto"/>
          <w:szCs w:val="21"/>
          <w:highlight w:val="none"/>
        </w:rPr>
        <w:t>GXZC2026-J1-001963-GXDC</w:t>
      </w:r>
    </w:p>
    <w:p w14:paraId="1CD477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2026年校园安全技术防范系统续建</w:t>
      </w:r>
    </w:p>
    <w:p w14:paraId="388EF8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采购计划编号：</w:t>
      </w:r>
      <w:r>
        <w:rPr>
          <w:rFonts w:hint="eastAsia" w:ascii="宋体" w:hAnsi="宋体" w:cs="宋体"/>
          <w:color w:val="auto"/>
          <w:szCs w:val="21"/>
          <w:highlight w:val="none"/>
        </w:rPr>
        <w:t>广西政采[2026]13041号</w:t>
      </w:r>
    </w:p>
    <w:p w14:paraId="6589EC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采购方式：竞争性谈判</w:t>
      </w:r>
    </w:p>
    <w:p w14:paraId="33CB83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预算总金额（元）：</w:t>
      </w:r>
      <w:bookmarkStart w:id="11" w:name="_Hlk207211434"/>
      <w:bookmarkStart w:id="12" w:name="_Hlk206953633"/>
      <w:r>
        <w:rPr>
          <w:rFonts w:hint="eastAsia" w:ascii="宋体" w:hAnsi="宋体" w:cs="宋体"/>
          <w:color w:val="auto"/>
          <w:szCs w:val="21"/>
          <w:highlight w:val="none"/>
        </w:rPr>
        <w:t>壹佰肆拾玖万元整（¥1490000.00）</w:t>
      </w:r>
      <w:bookmarkEnd w:id="11"/>
    </w:p>
    <w:bookmarkEnd w:id="12"/>
    <w:p w14:paraId="21AE254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采购需求：</w:t>
      </w:r>
    </w:p>
    <w:p w14:paraId="1DA1A958">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标项一</w:t>
      </w:r>
    </w:p>
    <w:p w14:paraId="40AA3ECF">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标项名称：</w:t>
      </w:r>
      <w:r>
        <w:rPr>
          <w:rFonts w:hint="eastAsia" w:ascii="宋体" w:hAnsi="宋体"/>
          <w:b/>
          <w:bCs/>
          <w:color w:val="auto"/>
          <w:szCs w:val="21"/>
          <w:highlight w:val="none"/>
        </w:rPr>
        <w:t xml:space="preserve">2026年校园安防视频监控系统续建 </w:t>
      </w:r>
    </w:p>
    <w:p w14:paraId="69072A3A">
      <w:pPr>
        <w:spacing w:before="10" w:after="10" w:line="360" w:lineRule="auto"/>
        <w:ind w:left="399" w:leftChars="190"/>
        <w:rPr>
          <w:rFonts w:ascii="宋体" w:hAnsi="宋体" w:cs="宋体"/>
          <w:color w:val="auto"/>
          <w:szCs w:val="21"/>
          <w:highlight w:val="none"/>
        </w:rPr>
      </w:pPr>
      <w:r>
        <w:rPr>
          <w:rFonts w:hint="eastAsia" w:ascii="宋体" w:hAnsi="宋体" w:cs="宋体"/>
          <w:color w:val="auto"/>
          <w:szCs w:val="21"/>
          <w:highlight w:val="none"/>
        </w:rPr>
        <w:t>数量：1</w:t>
      </w:r>
    </w:p>
    <w:p w14:paraId="5A906459">
      <w:pPr>
        <w:spacing w:before="10" w:after="10" w:line="360" w:lineRule="auto"/>
        <w:ind w:left="399" w:leftChars="190"/>
        <w:rPr>
          <w:rFonts w:ascii="宋体" w:hAnsi="宋体" w:cs="宋体"/>
          <w:color w:val="auto"/>
          <w:szCs w:val="21"/>
          <w:highlight w:val="none"/>
        </w:rPr>
      </w:pPr>
      <w:r>
        <w:rPr>
          <w:rFonts w:hint="eastAsia" w:ascii="宋体" w:hAnsi="宋体" w:cs="宋体"/>
          <w:color w:val="auto"/>
          <w:szCs w:val="21"/>
          <w:highlight w:val="none"/>
        </w:rPr>
        <w:t>预算金额（元）：1040000.00</w:t>
      </w:r>
    </w:p>
    <w:p w14:paraId="70A073C1">
      <w:pPr>
        <w:spacing w:before="10" w:after="1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简要规格描述或项目基本概况介绍、用途：采购校园安防视频监控系统设备1批，具体详见采购文件。</w:t>
      </w:r>
    </w:p>
    <w:p w14:paraId="5D68C6A4">
      <w:pPr>
        <w:spacing w:before="10" w:after="1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最高限价（元）：1040000.00</w:t>
      </w:r>
    </w:p>
    <w:p w14:paraId="30BFA8F8">
      <w:pPr>
        <w:spacing w:before="10" w:after="1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合同履约期限：具体详见采购文件。</w:t>
      </w:r>
    </w:p>
    <w:p w14:paraId="02F75045">
      <w:pPr>
        <w:spacing w:before="10" w:after="1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本标项（否）接受联合体投标。</w:t>
      </w:r>
    </w:p>
    <w:p w14:paraId="5B2D3663">
      <w:pPr>
        <w:pStyle w:val="10"/>
        <w:spacing w:line="360" w:lineRule="auto"/>
        <w:ind w:firstLine="420" w:firstLineChars="200"/>
        <w:rPr>
          <w:color w:val="auto"/>
          <w:szCs w:val="21"/>
          <w:highlight w:val="none"/>
        </w:rPr>
      </w:pPr>
      <w:r>
        <w:rPr>
          <w:rFonts w:hint="eastAsia"/>
          <w:color w:val="auto"/>
          <w:szCs w:val="21"/>
          <w:highlight w:val="none"/>
        </w:rPr>
        <w:t>备注：/。</w:t>
      </w:r>
    </w:p>
    <w:p w14:paraId="20CF2678">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标项二</w:t>
      </w:r>
    </w:p>
    <w:p w14:paraId="25AE2D51">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标项名称：</w:t>
      </w:r>
      <w:r>
        <w:rPr>
          <w:rFonts w:hint="eastAsia" w:ascii="宋体" w:hAnsi="宋体"/>
          <w:b/>
          <w:bCs/>
          <w:color w:val="auto"/>
          <w:szCs w:val="21"/>
          <w:highlight w:val="none"/>
        </w:rPr>
        <w:t>校园测速系统续建</w:t>
      </w:r>
    </w:p>
    <w:p w14:paraId="389FA82E">
      <w:pPr>
        <w:spacing w:before="10" w:after="10" w:line="360" w:lineRule="auto"/>
        <w:ind w:left="399" w:leftChars="190"/>
        <w:rPr>
          <w:rFonts w:ascii="宋体" w:hAnsi="宋体" w:cs="宋体"/>
          <w:color w:val="auto"/>
          <w:szCs w:val="21"/>
          <w:highlight w:val="none"/>
        </w:rPr>
      </w:pPr>
      <w:r>
        <w:rPr>
          <w:rFonts w:hint="eastAsia" w:ascii="宋体" w:hAnsi="宋体" w:cs="宋体"/>
          <w:color w:val="auto"/>
          <w:szCs w:val="21"/>
          <w:highlight w:val="none"/>
        </w:rPr>
        <w:t>数量：1</w:t>
      </w:r>
    </w:p>
    <w:p w14:paraId="1B1E59D2">
      <w:pPr>
        <w:spacing w:before="10" w:after="10" w:line="360" w:lineRule="auto"/>
        <w:ind w:left="399" w:leftChars="190"/>
        <w:rPr>
          <w:rFonts w:ascii="宋体" w:hAnsi="宋体" w:cs="宋体"/>
          <w:color w:val="auto"/>
          <w:szCs w:val="21"/>
          <w:highlight w:val="none"/>
        </w:rPr>
      </w:pPr>
      <w:r>
        <w:rPr>
          <w:rFonts w:hint="eastAsia" w:ascii="宋体" w:hAnsi="宋体" w:cs="宋体"/>
          <w:color w:val="auto"/>
          <w:szCs w:val="21"/>
          <w:highlight w:val="none"/>
        </w:rPr>
        <w:t>预算金额（元）：450000.00</w:t>
      </w:r>
    </w:p>
    <w:p w14:paraId="60171E06">
      <w:pPr>
        <w:spacing w:before="10" w:after="1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简要规格描述或项目基本概况介绍、用途：采购校园测速系统设备1批，具体详见采购文件。</w:t>
      </w:r>
    </w:p>
    <w:p w14:paraId="452AF675">
      <w:pPr>
        <w:spacing w:before="10" w:after="1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最高限价（元）：450000.00</w:t>
      </w:r>
    </w:p>
    <w:p w14:paraId="23A6AB04">
      <w:pPr>
        <w:spacing w:before="10" w:after="1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合同履约期限：具体详见采购文件。</w:t>
      </w:r>
    </w:p>
    <w:p w14:paraId="46164D61">
      <w:pPr>
        <w:spacing w:before="10" w:after="1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本标项（否）接受联合体投标。</w:t>
      </w:r>
    </w:p>
    <w:p w14:paraId="1C298C31">
      <w:pPr>
        <w:pStyle w:val="10"/>
        <w:spacing w:line="360" w:lineRule="auto"/>
        <w:ind w:firstLine="420" w:firstLineChars="200"/>
        <w:rPr>
          <w:color w:val="auto"/>
          <w:szCs w:val="21"/>
          <w:highlight w:val="none"/>
        </w:rPr>
      </w:pPr>
      <w:r>
        <w:rPr>
          <w:rFonts w:hint="eastAsia"/>
          <w:color w:val="auto"/>
          <w:szCs w:val="21"/>
          <w:highlight w:val="none"/>
        </w:rPr>
        <w:t>备注：/。</w:t>
      </w:r>
    </w:p>
    <w:p w14:paraId="4B3BD3DB">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二、申请人的资格条件：</w:t>
      </w:r>
    </w:p>
    <w:p w14:paraId="513B5458">
      <w:pPr>
        <w:spacing w:line="360" w:lineRule="auto"/>
        <w:ind w:firstLine="420" w:firstLineChars="200"/>
        <w:rPr>
          <w:rFonts w:ascii="宋体" w:hAnsi="宋体" w:cs="宋体"/>
          <w:color w:val="auto"/>
          <w:szCs w:val="21"/>
          <w:highlight w:val="none"/>
        </w:rPr>
      </w:pPr>
      <w:bookmarkStart w:id="13" w:name="_Hlk51746371"/>
      <w:r>
        <w:rPr>
          <w:rFonts w:hint="eastAsia" w:ascii="宋体" w:hAnsi="宋体" w:cs="宋体"/>
          <w:color w:val="auto"/>
          <w:szCs w:val="21"/>
          <w:highlight w:val="none"/>
        </w:rPr>
        <w:t>1.满足《中华人民共和国政府采购法》第二十二条规定；</w:t>
      </w:r>
    </w:p>
    <w:p w14:paraId="6C1FA15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2.落实政府采购政策需满足的资格要求：专门面向中小企业采购（</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是☑否）；</w:t>
      </w:r>
    </w:p>
    <w:p w14:paraId="147E4E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3.本项目的特定资格要求：</w:t>
      </w:r>
      <w:bookmarkEnd w:id="13"/>
      <w:r>
        <w:rPr>
          <w:rFonts w:hint="eastAsia" w:ascii="宋体" w:hAnsi="宋体" w:cs="宋体"/>
          <w:color w:val="auto"/>
          <w:szCs w:val="21"/>
          <w:highlight w:val="none"/>
        </w:rPr>
        <w:t>无。</w:t>
      </w:r>
    </w:p>
    <w:p w14:paraId="4C87ACF0">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三、获取采购文件</w:t>
      </w:r>
    </w:p>
    <w:p w14:paraId="0C025D7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时间：</w:t>
      </w:r>
      <w:bookmarkStart w:id="14" w:name="_Hlk207211505"/>
      <w:r>
        <w:rPr>
          <w:rFonts w:hint="eastAsia" w:ascii="宋体" w:hAnsi="宋体" w:cs="宋体"/>
          <w:color w:val="auto"/>
          <w:szCs w:val="21"/>
          <w:highlight w:val="none"/>
        </w:rPr>
        <w:t>2026年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日至2026年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日</w:t>
      </w:r>
      <w:bookmarkEnd w:id="14"/>
      <w:r>
        <w:rPr>
          <w:rFonts w:hint="eastAsia" w:ascii="宋体" w:hAnsi="宋体" w:cs="宋体"/>
          <w:color w:val="auto"/>
          <w:szCs w:val="21"/>
          <w:highlight w:val="none"/>
        </w:rPr>
        <w:t>，每天上午00:00至12:00，下午12:00至23:59（北京时间，法定节假日除外）</w:t>
      </w:r>
    </w:p>
    <w:p w14:paraId="51C75AE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地点（网址）：广西政府采购云平台（https://www.gcy.zfcg.gxzf.gov.cn/）。</w:t>
      </w:r>
    </w:p>
    <w:p w14:paraId="67F6C86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方式：网上下载。本项目不发放纸质文件，供应商应自行在</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宋体" w:hAnsi="宋体" w:cs="宋体"/>
          <w:color w:val="auto"/>
          <w:szCs w:val="21"/>
          <w:highlight w:val="none"/>
        </w:rPr>
        <w:t>广西政府采购云平台（https://www.gcy.zfcg.gxzf.gov.cn/）下载竞争性谈判采购文件（操作路径：登录广西政府采购云平台-项目采购-获取采购文件-找到本项目-点击“申请获取采购文件”），电子响应文件制作需要基于广西政府采购云平台获取的竞争性谈判采购文件编制。</w:t>
      </w:r>
    </w:p>
    <w:p w14:paraId="0173D1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售价（元）：0元。</w:t>
      </w:r>
    </w:p>
    <w:p w14:paraId="532B4039">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四、响应文件提交</w:t>
      </w:r>
    </w:p>
    <w:p w14:paraId="3D4BA4F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1.首次响应文件提交截止时间：</w:t>
      </w:r>
      <w:bookmarkStart w:id="15" w:name="_Hlk206953726"/>
      <w:r>
        <w:rPr>
          <w:rFonts w:hint="eastAsia" w:ascii="宋体" w:hAnsi="宋体" w:cs="宋体"/>
          <w:color w:val="auto"/>
          <w:szCs w:val="21"/>
          <w:highlight w:val="none"/>
        </w:rPr>
        <w:t>2026年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26</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0（北京时间）</w:t>
      </w:r>
      <w:bookmarkEnd w:id="15"/>
    </w:p>
    <w:p w14:paraId="1A05AB3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2.地点（网址）：通过广西政府采购云平台在线提交。</w:t>
      </w:r>
    </w:p>
    <w:p w14:paraId="1D3A45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为全流程电子化项目，没有现场递交响应文件及现场开标环节，通过广西政府采购云平台（https://www.gcy.zfcg.gxzf.gov.cn/）实行在线电子投标，供应商应先安装“广西政府采购云平台投标客户端”（请自行前往广西政府采购云平台进行下载），并按照本项目采购文件和广西政府采购云平台的要求使用CA认证编制、加密响应文件后在首次响应文件提交截止时间前上传至广西政府采购云平台，供应商在广西政府采购云平台提交电子版响应文件时，请填写参加远程开标活动经办人联系方式，如在谈判评审过程中有电子询标，应在规定的时间内对电子询标函进行澄清回复。</w:t>
      </w:r>
    </w:p>
    <w:p w14:paraId="6686625A">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五、响应文件开启</w:t>
      </w:r>
    </w:p>
    <w:p w14:paraId="4C77FC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1.首次响应文件开启时间：2026年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26</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0</w:t>
      </w:r>
      <w:r>
        <w:rPr>
          <w:rFonts w:hint="eastAsia" w:ascii="宋体" w:hAnsi="宋体" w:cs="宋体"/>
          <w:color w:val="auto"/>
          <w:szCs w:val="21"/>
          <w:highlight w:val="none"/>
        </w:rPr>
        <w:t>（北京时间）</w:t>
      </w:r>
    </w:p>
    <w:p w14:paraId="322AF4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2.地点：本项目将在广西政府采购云平台电子开标大厅解密、开启。</w:t>
      </w:r>
    </w:p>
    <w:p w14:paraId="34E86383">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六、公告期限</w:t>
      </w:r>
    </w:p>
    <w:p w14:paraId="523E57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自本公告发布之日起3个工作日。</w:t>
      </w:r>
    </w:p>
    <w:p w14:paraId="71F21D9C">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七、其他补充事宜</w:t>
      </w:r>
    </w:p>
    <w:p w14:paraId="7066E2E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36941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2.根据财政部《关于在政府采购活动中查询及使用信用记录有关问题的通知》（财库〔2016〕125号）的规定，对在“中国执行信息公开网”（https://zxgk.court.gov.cn/）、“信用中国”网站(www.creditchina.gov.cn)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2CBD4549">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3.网上查询地址：</w:t>
      </w:r>
    </w:p>
    <w:p w14:paraId="0933CDB5">
      <w:pPr>
        <w:spacing w:line="360" w:lineRule="auto"/>
        <w:ind w:left="420" w:leftChars="200"/>
        <w:rPr>
          <w:rFonts w:ascii="宋体" w:hAnsi="宋体" w:cs="宋体"/>
          <w:color w:val="auto"/>
          <w:szCs w:val="21"/>
          <w:highlight w:val="none"/>
        </w:rPr>
      </w:pPr>
      <w:bookmarkStart w:id="16" w:name="_Hlk207211567"/>
      <w:r>
        <w:rPr>
          <w:rFonts w:hint="eastAsia" w:ascii="宋体" w:hAnsi="宋体" w:cs="宋体"/>
          <w:color w:val="auto"/>
          <w:szCs w:val="21"/>
          <w:highlight w:val="none"/>
        </w:rPr>
        <w:t>（1）中国政府采购网（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42"/>
          <w:rFonts w:hint="eastAsia" w:ascii="宋体" w:hAnsi="宋体" w:cs="宋体"/>
          <w:color w:val="auto"/>
          <w:szCs w:val="21"/>
          <w:highlight w:val="none"/>
          <w:u w:val="none"/>
        </w:rPr>
        <w:t>www.ccgp.gov.cn</w:t>
      </w:r>
      <w:r>
        <w:rPr>
          <w:rStyle w:val="42"/>
          <w:rFonts w:hint="eastAsia" w:ascii="宋体" w:hAnsi="宋体" w:cs="宋体"/>
          <w:color w:val="auto"/>
          <w:szCs w:val="21"/>
          <w:highlight w:val="none"/>
          <w:u w:val="none"/>
        </w:rPr>
        <w:fldChar w:fldCharType="end"/>
      </w:r>
      <w:r>
        <w:rPr>
          <w:rFonts w:hint="eastAsia" w:ascii="宋体" w:hAnsi="宋体" w:cs="宋体"/>
          <w:color w:val="auto"/>
          <w:szCs w:val="21"/>
          <w:highlight w:val="none"/>
        </w:rPr>
        <w:t>）</w:t>
      </w:r>
    </w:p>
    <w:p w14:paraId="4908C831">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（2）广西政府采购网（zfcg.gxzf.gov.cn）</w:t>
      </w:r>
    </w:p>
    <w:p w14:paraId="7DB47778">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4.谈判保证金：</w:t>
      </w:r>
    </w:p>
    <w:p w14:paraId="293ECDB4">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（1）谈判保证金金额：</w:t>
      </w:r>
    </w:p>
    <w:p w14:paraId="57F0B4B8">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标项一：壹万零肆佰元整（¥10400.00）；（须足额缴纳）</w:t>
      </w:r>
    </w:p>
    <w:p w14:paraId="0972398B">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标项二：肆仟伍佰元整（¥4500.00）；（须足额缴纳）</w:t>
      </w:r>
    </w:p>
    <w:p w14:paraId="0CC4BD7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谈判保证金的交纳方式：银行转账、支票、汇票、本票或者金融、担保机构出具的保函，禁止采用现钞方式。采用银行转账方式的，在首次响应文件递交截止时间前交至采购代理机构指定账户并且到账（开户银行：桂林银行股份有限公司榕湖支行，开户名称：广西达成咨询有限公司第十一分公司，银行账号：660000022460000024）；采用支票、汇票、本票或者保函等方式的，在首次响应文件递交截止时间前，供应商必须递交单独密封的支票、汇票、本票或者保函原件。否则视为无效谈判保证金。</w:t>
      </w:r>
    </w:p>
    <w:bookmarkEnd w:id="16"/>
    <w:p w14:paraId="5C5D5DC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5.本项目需要落实的政府采购政策：</w:t>
      </w:r>
    </w:p>
    <w:p w14:paraId="04E32B8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（1）政府采购促进中小企业发展。</w:t>
      </w:r>
    </w:p>
    <w:p w14:paraId="1A0AAA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（2）政府采购支持采用本国产品的政策。</w:t>
      </w:r>
    </w:p>
    <w:p w14:paraId="26296DF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（3）强制采购节能产品；优先采购节能产品、环境标志产品。</w:t>
      </w:r>
    </w:p>
    <w:p w14:paraId="1E6B6E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（4）政府采购促进残疾人就业政策。</w:t>
      </w:r>
    </w:p>
    <w:p w14:paraId="1A6D79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（5）政府采购支持监狱企业发展。</w:t>
      </w:r>
    </w:p>
    <w:p w14:paraId="74CBB7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（6）扶持不发达地区和少数民族地区政策。</w:t>
      </w:r>
    </w:p>
    <w:p w14:paraId="464600E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6.谈判注意事项：</w:t>
      </w:r>
    </w:p>
    <w:p w14:paraId="069CF4C9">
      <w:pPr>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1）响应文件提交方式：本项目为全流程电子化政府采购项目，通过广西政府采购云平台（https://www.gcy.zfcg.gxzf.gov.cn/）实行在线电子竞争性谈判，供应商应先安装“广西政府采购云平台电子交易客户端”（请自行前往广西政府采购云平台进行下载），并按照本项目竞争性谈判采购文件和广西政府采购云平台的要求编制、加密后在首次响应文件提交截止时间前通过网络上传至广西政府采购云平台，</w:t>
      </w:r>
      <w:r>
        <w:rPr>
          <w:rFonts w:hint="eastAsia" w:ascii="宋体" w:hAnsi="宋体" w:cs="宋体"/>
          <w:b/>
          <w:color w:val="auto"/>
          <w:szCs w:val="21"/>
          <w:highlight w:val="none"/>
        </w:rPr>
        <w:t>供应商在广西政府采购云平台提交电子版响应文件时，请填写参加远程开标活动经办人联系方式。</w:t>
      </w:r>
    </w:p>
    <w:p w14:paraId="5BB2403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为全流程电子化项目，没有现场递交响应文件及现场开标环节，通过广西政府采购云平台（https://www.gcy.zfcg.gxzf.gov.cn/）实行在线电子投标，供应商应先安装“广西政府采购云平台投标客户端”（请自行前往广西政府采购云平台进行下载），并按照本项目采购文件和广西政府采购云平台的要求使用CA认证编制、加密响应文件后在首次响应文件提交截止时间前上传至广西政府采购云平台，供应商在广西政府采购云平台提交电子版响应文件时，请填写参加远程开标活动经办人联系方式，如在谈判评审过程中有电子询标，应在规定的时间内对电子询标函进行澄清回复。</w:t>
      </w:r>
    </w:p>
    <w:p w14:paraId="3BE6EFE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应及时熟悉掌握电子标系统操作指南（见广西政府采购云平台电子卖场首页右上角—服务中心—帮助文档—项目采购）；及时完成CA申领和绑定（见广西壮族自治区政府采购网—办事服务—下载专区-广西政府采购云平台CA证书办理操作指南）。</w:t>
      </w:r>
    </w:p>
    <w:p w14:paraId="73D4C5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未进行网上注册并办理数字证书（CA认证）的供应商将无法参与本项目政府采购活动，潜在供应商应当在首次响应文件提交截止时间前，完成电子交易平台上的CA数字证书办理及响应文件的提交。完成CA数字证书办理预计7日左右，供应商只需办理其中一家CA数字证书及签章，建议各供应商抓紧时间办理。</w:t>
      </w:r>
    </w:p>
    <w:p w14:paraId="44A27F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（4）为确保网上操作合法、有效和安全，请供应商确保在参与电子竞争性谈判过程中能够对相关数据电文进行加密和使用电子签章，妥善保管CA数字证书并使用有效的CA数字证书参与整个采购活动。</w:t>
      </w:r>
    </w:p>
    <w:p w14:paraId="29139114">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注：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广西政府采购云平台将予以拒收。</w:t>
      </w:r>
    </w:p>
    <w:p w14:paraId="6EB1732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7.CA证书在线解密：首次响应文件开启时，须要供应商携带制作响应文件时用来加密的有效数字证书（CA认证）登录广西政府采购云平台电子开标大厅现场按规定时间对加密的响应文件进行解密，否则后果自负。</w:t>
      </w:r>
    </w:p>
    <w:p w14:paraId="289B4C3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8.供应商需要在具备有摄像头及语音功能且互联网网络状况良好的电脑登录广西政府采购云平台远程开标大厅参与本次谈判，否则后果自负。</w:t>
      </w:r>
    </w:p>
    <w:p w14:paraId="68C720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若对项目采购电子交易系统操作有疑问，可登录广西政府采购云平台（https://www.gcy.zfcg.gxzf.gov.cn/），点击右侧咨询小采，获取采小蜜智能服务管家帮助，或拨打广西政府采购云平台服务热线95763获取热线服务帮助。</w:t>
      </w:r>
    </w:p>
    <w:p w14:paraId="67DBC2CD">
      <w:pPr>
        <w:pStyle w:val="44"/>
        <w:spacing w:line="360" w:lineRule="auto"/>
        <w:ind w:firstLine="420" w:firstLineChars="200"/>
        <w:rPr>
          <w:rFonts w:ascii="宋体" w:hAnsi="宋体" w:cs="宋体"/>
          <w:color w:val="auto"/>
          <w:highlight w:val="none"/>
        </w:rPr>
      </w:pPr>
      <w:r>
        <w:rPr>
          <w:rFonts w:hint="eastAsia" w:ascii="宋体" w:hAnsi="宋体" w:cs="宋体"/>
          <w:color w:val="auto"/>
          <w:highlight w:val="none"/>
        </w:rPr>
        <w:t>10.监督部门</w:t>
      </w:r>
    </w:p>
    <w:p w14:paraId="231206B0">
      <w:pPr>
        <w:pStyle w:val="44"/>
        <w:spacing w:line="360" w:lineRule="auto"/>
        <w:ind w:firstLine="420" w:firstLineChars="200"/>
        <w:rPr>
          <w:rFonts w:ascii="宋体" w:hAnsi="宋体" w:cs="宋体"/>
          <w:color w:val="auto"/>
          <w:highlight w:val="none"/>
        </w:rPr>
      </w:pPr>
      <w:r>
        <w:rPr>
          <w:rFonts w:hint="eastAsia" w:ascii="宋体" w:hAnsi="宋体" w:cs="宋体"/>
          <w:color w:val="auto"/>
          <w:highlight w:val="none"/>
        </w:rPr>
        <w:t>监督管理机构：广西壮族自治区财政厅政府采购监督管理处</w:t>
      </w:r>
    </w:p>
    <w:p w14:paraId="17B667D6">
      <w:pPr>
        <w:pStyle w:val="44"/>
        <w:spacing w:line="360" w:lineRule="auto"/>
        <w:ind w:firstLine="420" w:firstLineChars="200"/>
        <w:rPr>
          <w:rFonts w:ascii="宋体" w:hAnsi="宋体" w:cs="宋体"/>
          <w:color w:val="auto"/>
          <w:highlight w:val="none"/>
        </w:rPr>
      </w:pPr>
      <w:r>
        <w:rPr>
          <w:rFonts w:hint="eastAsia" w:ascii="宋体" w:hAnsi="宋体" w:cs="宋体"/>
          <w:color w:val="auto"/>
          <w:highlight w:val="none"/>
        </w:rPr>
        <w:t>电话：0771-5331544</w:t>
      </w:r>
    </w:p>
    <w:p w14:paraId="3A428EB3">
      <w:pPr>
        <w:spacing w:line="360" w:lineRule="auto"/>
        <w:ind w:firstLine="316" w:firstLineChars="150"/>
        <w:rPr>
          <w:rFonts w:ascii="宋体" w:hAnsi="宋体" w:cs="宋体"/>
          <w:b/>
          <w:bCs/>
          <w:color w:val="auto"/>
          <w:szCs w:val="21"/>
          <w:highlight w:val="none"/>
        </w:rPr>
      </w:pPr>
      <w:r>
        <w:rPr>
          <w:rFonts w:hint="eastAsia" w:ascii="宋体" w:hAnsi="宋体" w:cs="宋体"/>
          <w:b/>
          <w:bCs/>
          <w:color w:val="auto"/>
          <w:szCs w:val="21"/>
          <w:highlight w:val="none"/>
        </w:rPr>
        <w:t>八、凡对本次采购提出询问，请按以下方式联系。</w:t>
      </w:r>
      <w:bookmarkEnd w:id="5"/>
      <w:bookmarkEnd w:id="6"/>
      <w:bookmarkEnd w:id="7"/>
      <w:bookmarkEnd w:id="8"/>
      <w:bookmarkEnd w:id="9"/>
      <w:bookmarkEnd w:id="10"/>
    </w:p>
    <w:p w14:paraId="26693947">
      <w:pPr>
        <w:spacing w:line="360" w:lineRule="auto"/>
        <w:ind w:firstLine="422" w:firstLineChars="200"/>
        <w:rPr>
          <w:rFonts w:ascii="宋体" w:hAnsi="宋体" w:cs="宋体"/>
          <w:b/>
          <w:bCs/>
          <w:color w:val="auto"/>
          <w:szCs w:val="21"/>
          <w:highlight w:val="none"/>
        </w:rPr>
      </w:pPr>
      <w:bookmarkStart w:id="17" w:name="_Toc35393806"/>
      <w:bookmarkStart w:id="18" w:name="_Toc35393637"/>
      <w:bookmarkStart w:id="19" w:name="_Toc28359019"/>
      <w:bookmarkStart w:id="20" w:name="_Toc28359096"/>
      <w:r>
        <w:rPr>
          <w:rFonts w:hint="eastAsia" w:ascii="宋体" w:hAnsi="宋体" w:cs="宋体"/>
          <w:b/>
          <w:bCs/>
          <w:color w:val="auto"/>
          <w:szCs w:val="21"/>
          <w:highlight w:val="none"/>
        </w:rPr>
        <w:t>1.采购人信息</w:t>
      </w:r>
    </w:p>
    <w:p w14:paraId="2DC720E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名 称：广西师范大学</w:t>
      </w:r>
    </w:p>
    <w:p w14:paraId="4B45012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地址：广西桂林市雁山区雁中路1号</w:t>
      </w:r>
    </w:p>
    <w:p w14:paraId="2244328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项目联系人：程晨</w:t>
      </w:r>
    </w:p>
    <w:p w14:paraId="314ADF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项目联系电话：0773-3696563  　　　　　　　 </w:t>
      </w:r>
    </w:p>
    <w:p w14:paraId="5A90975E">
      <w:pP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2.采购代理机构信息</w:t>
      </w:r>
    </w:p>
    <w:p w14:paraId="10C0CE1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名 称：广西达成咨询有限公司</w:t>
      </w:r>
    </w:p>
    <w:p w14:paraId="4FAE42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地　址：桂林秀峰区滨江路18号滨江大厦五楼</w:t>
      </w:r>
    </w:p>
    <w:p w14:paraId="5DA8CF4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项目联系人（询问）：毛崇文、梁碧云、李鹏宇、方莹、彭冬梅、杨红东、阳泓、崔婧       </w:t>
      </w:r>
    </w:p>
    <w:p w14:paraId="3C8188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项目联系方式（询问）：0773-3569998 </w:t>
      </w:r>
    </w:p>
    <w:p w14:paraId="02DDC827">
      <w:pPr>
        <w:spacing w:line="360" w:lineRule="auto"/>
        <w:ind w:firstLine="4777" w:firstLineChars="2275"/>
        <w:jc w:val="right"/>
        <w:rPr>
          <w:rFonts w:ascii="宋体" w:hAnsi="宋体" w:cs="宋体"/>
          <w:color w:val="auto"/>
          <w:szCs w:val="21"/>
          <w:highlight w:val="none"/>
        </w:rPr>
      </w:pPr>
    </w:p>
    <w:p w14:paraId="7EEB8357">
      <w:pPr>
        <w:spacing w:line="360" w:lineRule="auto"/>
        <w:ind w:firstLine="4777" w:firstLineChars="2275"/>
        <w:jc w:val="right"/>
        <w:rPr>
          <w:rFonts w:ascii="宋体" w:hAnsi="宋体" w:cs="宋体"/>
          <w:color w:val="auto"/>
          <w:szCs w:val="21"/>
          <w:highlight w:val="none"/>
        </w:rPr>
      </w:pPr>
      <w:r>
        <w:rPr>
          <w:rFonts w:hint="eastAsia" w:ascii="宋体" w:hAnsi="宋体" w:cs="宋体"/>
          <w:color w:val="auto"/>
          <w:szCs w:val="21"/>
          <w:highlight w:val="none"/>
        </w:rPr>
        <w:t>　　　　　　　　　　　</w:t>
      </w:r>
      <w:bookmarkEnd w:id="17"/>
      <w:bookmarkEnd w:id="18"/>
      <w:bookmarkEnd w:id="19"/>
      <w:bookmarkEnd w:id="20"/>
      <w:r>
        <w:rPr>
          <w:rFonts w:hint="eastAsia" w:ascii="宋体" w:hAnsi="宋体" w:cs="宋体"/>
          <w:color w:val="auto"/>
          <w:szCs w:val="21"/>
          <w:highlight w:val="none"/>
        </w:rPr>
        <w:t xml:space="preserve">          </w:t>
      </w:r>
      <w:bookmarkEnd w:id="2"/>
      <w:bookmarkStart w:id="21" w:name="_Toc74322009"/>
    </w:p>
    <w:p w14:paraId="24F336E8">
      <w:pPr>
        <w:spacing w:line="360" w:lineRule="auto"/>
        <w:ind w:firstLine="4777" w:firstLineChars="2275"/>
        <w:jc w:val="right"/>
        <w:rPr>
          <w:rFonts w:ascii="宋体" w:hAnsi="宋体" w:cs="宋体"/>
          <w:color w:val="auto"/>
          <w:szCs w:val="21"/>
          <w:highlight w:val="none"/>
        </w:rPr>
      </w:pPr>
      <w:bookmarkStart w:id="22" w:name="_Hlk207211693"/>
      <w:r>
        <w:rPr>
          <w:rFonts w:hint="eastAsia" w:ascii="宋体" w:hAnsi="宋体" w:cs="宋体"/>
          <w:color w:val="auto"/>
          <w:szCs w:val="21"/>
          <w:highlight w:val="none"/>
        </w:rPr>
        <w:t>代理机构：广西达成咨询有限公司</w:t>
      </w:r>
    </w:p>
    <w:p w14:paraId="218E27D1">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 xml:space="preserve">                                        2026年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日</w:t>
      </w:r>
    </w:p>
    <w:bookmarkEnd w:id="22"/>
    <w:p w14:paraId="45166F28">
      <w:pPr>
        <w:spacing w:line="360" w:lineRule="auto"/>
        <w:ind w:firstLine="735" w:firstLineChars="350"/>
        <w:jc w:val="center"/>
        <w:outlineLvl w:val="0"/>
        <w:rPr>
          <w:color w:val="auto"/>
          <w:highlight w:val="none"/>
        </w:rPr>
      </w:pPr>
      <w:r>
        <w:rPr>
          <w:rFonts w:hint="eastAsia" w:ascii="宋体" w:hAnsi="宋体" w:cs="宋体"/>
          <w:color w:val="auto"/>
          <w:highlight w:val="none"/>
        </w:rPr>
        <w:br w:type="page"/>
      </w:r>
      <w:bookmarkStart w:id="23" w:name="_Toc28338"/>
      <w:r>
        <w:rPr>
          <w:rFonts w:hint="eastAsia" w:ascii="宋体" w:hAnsi="宋体" w:cs="宋体"/>
          <w:b/>
          <w:bCs/>
          <w:color w:val="auto"/>
          <w:sz w:val="44"/>
          <w:szCs w:val="44"/>
          <w:highlight w:val="none"/>
        </w:rPr>
        <w:t>第二章、供应商须知</w:t>
      </w:r>
      <w:bookmarkEnd w:id="21"/>
      <w:bookmarkEnd w:id="23"/>
    </w:p>
    <w:p w14:paraId="67EC38AF">
      <w:pPr>
        <w:pStyle w:val="3"/>
        <w:jc w:val="center"/>
        <w:rPr>
          <w:color w:val="auto"/>
          <w:highlight w:val="none"/>
        </w:rPr>
      </w:pPr>
      <w:bookmarkStart w:id="24" w:name="_Toc15265"/>
      <w:r>
        <w:rPr>
          <w:rFonts w:hint="eastAsia"/>
          <w:color w:val="auto"/>
          <w:highlight w:val="none"/>
        </w:rPr>
        <w:t>供应商须知前附表</w:t>
      </w:r>
      <w:bookmarkEnd w:id="24"/>
    </w:p>
    <w:tbl>
      <w:tblPr>
        <w:tblStyle w:val="30"/>
        <w:tblW w:w="91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1"/>
        <w:gridCol w:w="8181"/>
      </w:tblGrid>
      <w:tr w14:paraId="2C2F4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991" w:type="dxa"/>
            <w:vAlign w:val="center"/>
          </w:tcPr>
          <w:p w14:paraId="6C478244">
            <w:pPr>
              <w:spacing w:line="500" w:lineRule="exact"/>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8181" w:type="dxa"/>
            <w:vAlign w:val="center"/>
          </w:tcPr>
          <w:p w14:paraId="0E5D4BBD">
            <w:pPr>
              <w:spacing w:line="500" w:lineRule="exact"/>
              <w:jc w:val="center"/>
              <w:rPr>
                <w:rFonts w:ascii="宋体" w:hAnsi="宋体" w:cs="宋体"/>
                <w:b/>
                <w:color w:val="auto"/>
                <w:szCs w:val="21"/>
                <w:highlight w:val="none"/>
              </w:rPr>
            </w:pPr>
            <w:r>
              <w:rPr>
                <w:rFonts w:hint="eastAsia" w:ascii="宋体" w:hAnsi="宋体" w:cs="宋体"/>
                <w:b/>
                <w:color w:val="auto"/>
                <w:szCs w:val="21"/>
                <w:highlight w:val="none"/>
              </w:rPr>
              <w:t>内    容</w:t>
            </w:r>
          </w:p>
        </w:tc>
      </w:tr>
      <w:tr w14:paraId="3F8A4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991" w:type="dxa"/>
            <w:vAlign w:val="center"/>
          </w:tcPr>
          <w:p w14:paraId="2DC99263">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8181" w:type="dxa"/>
            <w:vAlign w:val="center"/>
          </w:tcPr>
          <w:p w14:paraId="2901A7AC">
            <w:pPr>
              <w:spacing w:line="500" w:lineRule="exact"/>
              <w:rPr>
                <w:rFonts w:ascii="宋体" w:hAnsi="宋体" w:cs="宋体"/>
                <w:color w:val="auto"/>
                <w:szCs w:val="21"/>
                <w:highlight w:val="none"/>
              </w:rPr>
            </w:pPr>
            <w:r>
              <w:rPr>
                <w:rFonts w:hint="eastAsia" w:ascii="宋体" w:hAnsi="宋体" w:cs="宋体"/>
                <w:color w:val="auto"/>
                <w:szCs w:val="21"/>
                <w:highlight w:val="none"/>
              </w:rPr>
              <w:t>供应商的资格条件：详见竞争性谈判公告</w:t>
            </w:r>
          </w:p>
        </w:tc>
      </w:tr>
      <w:tr w14:paraId="79334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991" w:type="dxa"/>
            <w:vAlign w:val="center"/>
          </w:tcPr>
          <w:p w14:paraId="367E6C14">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5.1</w:t>
            </w:r>
          </w:p>
        </w:tc>
        <w:tc>
          <w:tcPr>
            <w:tcW w:w="8181" w:type="dxa"/>
            <w:vAlign w:val="center"/>
          </w:tcPr>
          <w:p w14:paraId="2B04FB8E">
            <w:pPr>
              <w:spacing w:line="500" w:lineRule="exact"/>
              <w:rPr>
                <w:rFonts w:ascii="宋体" w:hAnsi="宋体" w:cs="宋体"/>
                <w:color w:val="auto"/>
                <w:szCs w:val="21"/>
                <w:highlight w:val="none"/>
              </w:rPr>
            </w:pPr>
            <w:r>
              <w:rPr>
                <w:rFonts w:hint="eastAsia" w:ascii="宋体" w:hAnsi="宋体" w:cs="宋体"/>
                <w:color w:val="auto"/>
                <w:szCs w:val="21"/>
                <w:highlight w:val="none"/>
              </w:rPr>
              <w:t>是否接受联合体参与:详见竞争性谈判公告</w:t>
            </w:r>
          </w:p>
        </w:tc>
      </w:tr>
      <w:tr w14:paraId="021C7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1" w:type="dxa"/>
            <w:vAlign w:val="center"/>
          </w:tcPr>
          <w:p w14:paraId="3FC1015B">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5.2</w:t>
            </w:r>
          </w:p>
        </w:tc>
        <w:tc>
          <w:tcPr>
            <w:tcW w:w="8181" w:type="dxa"/>
            <w:vAlign w:val="center"/>
          </w:tcPr>
          <w:p w14:paraId="726404E3">
            <w:pPr>
              <w:spacing w:line="500" w:lineRule="exact"/>
              <w:rPr>
                <w:rFonts w:ascii="宋体" w:hAnsi="宋体" w:cs="宋体"/>
                <w:color w:val="auto"/>
                <w:szCs w:val="21"/>
                <w:highlight w:val="none"/>
              </w:rPr>
            </w:pPr>
            <w:r>
              <w:rPr>
                <w:rFonts w:hint="eastAsia" w:ascii="宋体" w:hAnsi="宋体" w:cs="宋体"/>
                <w:color w:val="auto"/>
                <w:szCs w:val="21"/>
                <w:highlight w:val="none"/>
              </w:rPr>
              <w:t>如接受联合体参与，要求如下：</w:t>
            </w:r>
            <w:r>
              <w:rPr>
                <w:rFonts w:hint="eastAsia" w:ascii="宋体" w:hAnsi="宋体"/>
                <w:color w:val="auto"/>
                <w:szCs w:val="21"/>
                <w:highlight w:val="none"/>
              </w:rPr>
              <w:t>无。</w:t>
            </w:r>
          </w:p>
        </w:tc>
      </w:tr>
      <w:tr w14:paraId="0EDDB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2" w:hRule="atLeast"/>
          <w:jc w:val="center"/>
        </w:trPr>
        <w:tc>
          <w:tcPr>
            <w:tcW w:w="991" w:type="dxa"/>
            <w:vAlign w:val="center"/>
          </w:tcPr>
          <w:p w14:paraId="1A64DD40">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6.2</w:t>
            </w:r>
          </w:p>
        </w:tc>
        <w:tc>
          <w:tcPr>
            <w:tcW w:w="8181" w:type="dxa"/>
            <w:vAlign w:val="center"/>
          </w:tcPr>
          <w:p w14:paraId="2A88A989">
            <w:pPr>
              <w:pStyle w:val="8"/>
              <w:spacing w:line="500" w:lineRule="exact"/>
              <w:jc w:val="both"/>
              <w:rPr>
                <w:rFonts w:ascii="宋体" w:hAnsi="宋体" w:cs="宋体"/>
                <w:color w:val="auto"/>
                <w:szCs w:val="21"/>
                <w:highlight w:val="none"/>
              </w:rPr>
            </w:pPr>
            <w:r>
              <w:rPr>
                <w:rFonts w:hint="eastAsia" w:ascii="宋体" w:hAnsi="宋体" w:cs="宋体"/>
                <w:color w:val="auto"/>
                <w:szCs w:val="21"/>
                <w:highlight w:val="none"/>
              </w:rPr>
              <w:sym w:font="Wingdings" w:char="00FE"/>
            </w:r>
            <w:r>
              <w:rPr>
                <w:rFonts w:hint="eastAsia" w:ascii="宋体" w:hAnsi="宋体" w:cs="宋体"/>
                <w:color w:val="auto"/>
                <w:szCs w:val="21"/>
                <w:highlight w:val="none"/>
              </w:rPr>
              <w:t>本项目不允许分包。</w:t>
            </w:r>
          </w:p>
          <w:p w14:paraId="57DCA99C">
            <w:pPr>
              <w:pStyle w:val="8"/>
              <w:spacing w:line="500" w:lineRule="exact"/>
              <w:jc w:val="both"/>
              <w:rPr>
                <w:rFonts w:ascii="宋体" w:hAnsi="宋体" w:cs="宋体"/>
                <w:color w:val="auto"/>
                <w:szCs w:val="21"/>
                <w:highlight w:val="non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本项目允许分包：</w:t>
            </w:r>
          </w:p>
          <w:p w14:paraId="4763B265">
            <w:pPr>
              <w:pStyle w:val="8"/>
              <w:spacing w:line="500" w:lineRule="exact"/>
              <w:jc w:val="both"/>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w:t>
            </w:r>
          </w:p>
          <w:p w14:paraId="56BF95AC">
            <w:pPr>
              <w:pStyle w:val="8"/>
              <w:spacing w:line="500" w:lineRule="exact"/>
              <w:jc w:val="both"/>
              <w:rPr>
                <w:rFonts w:ascii="宋体" w:hAnsi="宋体" w:cs="宋体"/>
                <w:color w:val="auto"/>
                <w:szCs w:val="21"/>
                <w:highlight w:val="none"/>
                <w:u w:val="singl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w:t>
            </w:r>
          </w:p>
        </w:tc>
      </w:tr>
      <w:tr w14:paraId="7EA0C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9" w:hRule="atLeast"/>
          <w:jc w:val="center"/>
        </w:trPr>
        <w:tc>
          <w:tcPr>
            <w:tcW w:w="991" w:type="dxa"/>
            <w:vAlign w:val="center"/>
          </w:tcPr>
          <w:p w14:paraId="6BD5A441">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12.1.1</w:t>
            </w:r>
          </w:p>
        </w:tc>
        <w:tc>
          <w:tcPr>
            <w:tcW w:w="8181" w:type="dxa"/>
            <w:vAlign w:val="center"/>
          </w:tcPr>
          <w:p w14:paraId="7E0B3EA1">
            <w:pPr>
              <w:snapToGrid w:val="0"/>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资格证明文件</w:t>
            </w:r>
          </w:p>
          <w:p w14:paraId="106EB1C9">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bCs/>
                <w:color w:val="auto"/>
                <w:szCs w:val="21"/>
                <w:highlight w:val="none"/>
              </w:rPr>
              <w:t>.</w:t>
            </w:r>
            <w:r>
              <w:rPr>
                <w:rFonts w:hint="eastAsia" w:ascii="宋体" w:hAnsi="宋体" w:cs="宋体"/>
                <w:color w:val="auto"/>
                <w:szCs w:val="21"/>
                <w:highlight w:val="none"/>
              </w:rPr>
              <w:t>供应商为法人或者其他组织的，证明文件为其营业执照复印件（如营业执照或者事业单位法人证书或者执业许可证等）；供应商为自然人的，证明文件为其身份证；（</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1A712E9">
            <w:pPr>
              <w:spacing w:line="5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w:t>
            </w:r>
            <w:r>
              <w:rPr>
                <w:rFonts w:hint="eastAsia" w:ascii="宋体" w:hAnsi="宋体" w:cs="宋体"/>
                <w:color w:val="auto"/>
                <w:szCs w:val="21"/>
                <w:highlight w:val="none"/>
              </w:rPr>
              <w:t>供应商依法缴纳税收的相关材料（①响应文件提交截止时间前半年内任意一个月的依法缴纳税收的凭据</w:t>
            </w:r>
            <w:r>
              <w:rPr>
                <w:rFonts w:ascii="宋体" w:hAnsi="宋体" w:cs="宋体"/>
                <w:color w:val="auto"/>
                <w:szCs w:val="21"/>
                <w:highlight w:val="none"/>
              </w:rPr>
              <w:t>、或提供依法缴纳税</w:t>
            </w:r>
            <w:r>
              <w:rPr>
                <w:color w:val="auto"/>
                <w:highlight w:val="none"/>
              </w:rPr>
              <w:t>收</w:t>
            </w:r>
            <w:r>
              <w:rPr>
                <w:rFonts w:ascii="宋体" w:hAnsi="宋体" w:cs="宋体"/>
                <w:color w:val="auto"/>
                <w:szCs w:val="21"/>
                <w:highlight w:val="none"/>
              </w:rPr>
              <w:t>的承诺函（格式自拟）</w:t>
            </w:r>
            <w:r>
              <w:rPr>
                <w:rFonts w:hint="eastAsia" w:ascii="宋体" w:hAnsi="宋体" w:cs="宋体"/>
                <w:color w:val="auto"/>
                <w:szCs w:val="21"/>
                <w:highlight w:val="none"/>
              </w:rPr>
              <w:t>；②依法免税的供应商，必须提供相应文件证明其依法免税或零申报证明资料；③从成立之日起到响应文件提交截止时间止不足要求月数的，只需提供从成立之日起的依法缴纳税收相应证明文件（格式自拟））；（</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18D328A">
            <w:pPr>
              <w:spacing w:line="5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bCs/>
                <w:color w:val="auto"/>
                <w:szCs w:val="21"/>
                <w:highlight w:val="none"/>
              </w:rPr>
              <w:t>.</w:t>
            </w:r>
            <w:r>
              <w:rPr>
                <w:rFonts w:hint="eastAsia" w:ascii="宋体" w:hAnsi="宋体" w:cs="宋体"/>
                <w:color w:val="auto"/>
                <w:szCs w:val="21"/>
                <w:highlight w:val="none"/>
              </w:rPr>
              <w:t>供应商依法缴纳社会保障资金的相关材料（①响应文件提交截止时间前半年内任意一个月的依法缴纳社会保障资金的缴费凭证</w:t>
            </w:r>
            <w:r>
              <w:rPr>
                <w:rFonts w:ascii="宋体" w:hAnsi="宋体" w:cs="宋体"/>
                <w:color w:val="auto"/>
                <w:szCs w:val="21"/>
                <w:highlight w:val="none"/>
              </w:rPr>
              <w:t>、或提供依法缴纳社会保障资金的承诺函（格式自拟）</w:t>
            </w:r>
            <w:r>
              <w:rPr>
                <w:rFonts w:hint="eastAsia" w:ascii="宋体" w:hAnsi="宋体" w:cs="宋体"/>
                <w:color w:val="auto"/>
                <w:szCs w:val="21"/>
                <w:highlight w:val="none"/>
              </w:rPr>
              <w:t>；②依法不需要缴纳社会保障资金的供应商，必须提供相应文件证明不需要缴纳社会保障资金；③从取得营业执照时间起到响应文件提交截止时间为止不足要求月数的只需提供从取得营业执照起的依法缴纳社会保障资金的相应证明文件（格式自拟））；（</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17D86B8">
            <w:pPr>
              <w:spacing w:line="500" w:lineRule="exact"/>
              <w:ind w:firstLine="420" w:firstLineChars="200"/>
              <w:contextualSpacing/>
              <w:rPr>
                <w:rFonts w:ascii="宋体" w:hAnsi="宋体" w:cs="宋体"/>
                <w:bCs/>
                <w:color w:val="auto"/>
                <w:szCs w:val="21"/>
                <w:highlight w:val="none"/>
              </w:rPr>
            </w:pPr>
            <w:r>
              <w:rPr>
                <w:rFonts w:hint="eastAsia" w:ascii="宋体" w:hAnsi="宋体" w:cs="宋体"/>
                <w:color w:val="auto"/>
                <w:szCs w:val="21"/>
                <w:highlight w:val="none"/>
              </w:rPr>
              <w:t>4</w:t>
            </w:r>
            <w:r>
              <w:rPr>
                <w:rFonts w:hint="eastAsia" w:ascii="宋体" w:hAnsi="宋体" w:cs="宋体"/>
                <w:bCs/>
                <w:color w:val="auto"/>
                <w:szCs w:val="21"/>
                <w:highlight w:val="none"/>
              </w:rPr>
              <w:t>.供应商财务状况报告【①提供2025年经审计的财务报告、或提供供应商开户行出具的银行资信证明文件（格式自拟）；②供应商成立不满一年的应提供截标之日当月的前一个月的财务状况报告。】。</w:t>
            </w:r>
            <w:r>
              <w:rPr>
                <w:rFonts w:hint="eastAsia" w:ascii="宋体" w:hAnsi="宋体" w:cs="宋体"/>
                <w:b/>
                <w:color w:val="auto"/>
                <w:szCs w:val="21"/>
                <w:highlight w:val="none"/>
              </w:rPr>
              <w:t>（必须提供，否则响应文件按无效响应处理）</w:t>
            </w:r>
          </w:p>
          <w:p w14:paraId="505B15D4">
            <w:pPr>
              <w:spacing w:line="500" w:lineRule="exact"/>
              <w:ind w:firstLine="420" w:firstLineChars="200"/>
              <w:contextualSpacing/>
              <w:rPr>
                <w:rFonts w:ascii="宋体" w:hAnsi="宋体" w:cs="宋体"/>
                <w:b/>
                <w:color w:val="auto"/>
                <w:szCs w:val="21"/>
                <w:highlight w:val="none"/>
              </w:rPr>
            </w:pPr>
            <w:r>
              <w:rPr>
                <w:rFonts w:hint="eastAsia" w:ascii="宋体" w:hAnsi="宋体" w:cs="宋体"/>
                <w:bCs/>
                <w:color w:val="auto"/>
                <w:szCs w:val="21"/>
                <w:highlight w:val="none"/>
              </w:rPr>
              <w:t>注：上述财务状况报告（或财务报告）：①供应商执行《企业会计准则》的，提供资产负债表、利润表、现金流量表、所有者权益变动表及其附注（以下称“四表一注”）；②供应商执行《小企业会计准则》的，提供资产负债表、利润表、现金流量表及其附注（以下称“三表一注”）；③供应商执行《政府会计制度》的，提供资产负债表、收入费用表和净资产变动表及其附注。</w:t>
            </w:r>
          </w:p>
          <w:p w14:paraId="2EA47A84">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bCs/>
                <w:color w:val="auto"/>
                <w:szCs w:val="21"/>
                <w:highlight w:val="none"/>
              </w:rPr>
              <w:t>.</w:t>
            </w:r>
            <w:r>
              <w:rPr>
                <w:rFonts w:hint="eastAsia" w:ascii="宋体" w:hAnsi="宋体" w:cs="宋体"/>
                <w:color w:val="auto"/>
                <w:szCs w:val="21"/>
                <w:highlight w:val="none"/>
              </w:rPr>
              <w:t>供应商直接控股、管理关系信息表（格式后附）；（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6FCED88">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bCs/>
                <w:color w:val="auto"/>
                <w:szCs w:val="21"/>
                <w:highlight w:val="none"/>
              </w:rPr>
              <w:t>.</w:t>
            </w:r>
            <w:r>
              <w:rPr>
                <w:rFonts w:hint="eastAsia" w:ascii="宋体" w:hAnsi="宋体" w:cs="宋体"/>
                <w:color w:val="auto"/>
                <w:szCs w:val="21"/>
                <w:highlight w:val="none"/>
              </w:rPr>
              <w:t>参与竞争性谈判声明（格式后附）；（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4F38A74">
            <w:pPr>
              <w:snapToGrid w:val="0"/>
              <w:spacing w:line="500" w:lineRule="exact"/>
              <w:ind w:firstLine="420" w:firstLineChars="200"/>
              <w:rPr>
                <w:rFonts w:ascii="宋体" w:hAnsi="宋体" w:cs="宋体"/>
                <w:color w:val="auto"/>
                <w:szCs w:val="21"/>
                <w:highlight w:val="none"/>
              </w:rPr>
            </w:pPr>
            <w:r>
              <w:rPr>
                <w:rFonts w:ascii="宋体" w:hAnsi="宋体" w:cs="宋体"/>
                <w:color w:val="auto"/>
                <w:szCs w:val="21"/>
                <w:highlight w:val="none"/>
              </w:rPr>
              <w:t>7.中小企业声明函（格式后附）或残疾人福利性单位声明函（格式后附）或供应商属于监狱企业的证明材料；</w:t>
            </w:r>
            <w:r>
              <w:rPr>
                <w:rFonts w:ascii="宋体" w:hAnsi="宋体" w:cs="宋体"/>
                <w:b/>
                <w:bCs/>
                <w:color w:val="auto"/>
                <w:szCs w:val="21"/>
                <w:highlight w:val="none"/>
              </w:rPr>
              <w:t>（如专门面向中小企业采购的项目则必须提供，否则响应文件按无效响应处理）</w:t>
            </w:r>
          </w:p>
          <w:p w14:paraId="60317F37">
            <w:pPr>
              <w:snapToGrid w:val="0"/>
              <w:spacing w:line="500" w:lineRule="exact"/>
              <w:ind w:firstLine="420" w:firstLineChars="200"/>
              <w:rPr>
                <w:rFonts w:ascii="宋体" w:hAnsi="宋体" w:cs="宋体"/>
                <w:color w:val="auto"/>
                <w:szCs w:val="21"/>
                <w:highlight w:val="none"/>
              </w:rPr>
            </w:pPr>
            <w:r>
              <w:rPr>
                <w:rFonts w:ascii="宋体" w:hAnsi="宋体" w:cs="宋体"/>
                <w:color w:val="auto"/>
                <w:szCs w:val="21"/>
                <w:highlight w:val="none"/>
              </w:rPr>
              <w:t>8</w:t>
            </w:r>
            <w:r>
              <w:rPr>
                <w:rFonts w:hint="eastAsia" w:ascii="宋体" w:hAnsi="宋体" w:cs="宋体"/>
                <w:bCs/>
                <w:color w:val="auto"/>
                <w:szCs w:val="21"/>
                <w:highlight w:val="none"/>
              </w:rPr>
              <w:t>.</w:t>
            </w:r>
            <w:r>
              <w:rPr>
                <w:rFonts w:hint="eastAsia" w:ascii="宋体" w:hAnsi="宋体" w:cs="宋体"/>
                <w:color w:val="auto"/>
                <w:szCs w:val="21"/>
                <w:highlight w:val="none"/>
              </w:rPr>
              <w:t>竞争性谈判公告中特定资格要求的资格证明材料；（</w:t>
            </w:r>
            <w:r>
              <w:rPr>
                <w:rFonts w:hint="eastAsia" w:ascii="宋体" w:hAnsi="宋体" w:cs="宋体"/>
                <w:b/>
                <w:bCs/>
                <w:color w:val="auto"/>
                <w:szCs w:val="21"/>
                <w:highlight w:val="none"/>
              </w:rPr>
              <w:t>公告如有要求则必</w:t>
            </w:r>
            <w:r>
              <w:rPr>
                <w:rFonts w:hint="eastAsia" w:ascii="宋体" w:hAnsi="宋体" w:cs="宋体"/>
                <w:b/>
                <w:color w:val="auto"/>
                <w:szCs w:val="21"/>
                <w:highlight w:val="none"/>
              </w:rPr>
              <w:t>须提供，否则响应文件按无效响应处理</w:t>
            </w:r>
            <w:r>
              <w:rPr>
                <w:rFonts w:hint="eastAsia" w:ascii="宋体" w:hAnsi="宋体" w:cs="宋体"/>
                <w:color w:val="auto"/>
                <w:szCs w:val="21"/>
                <w:highlight w:val="none"/>
              </w:rPr>
              <w:t>）</w:t>
            </w:r>
          </w:p>
          <w:p w14:paraId="3115724F">
            <w:pPr>
              <w:pStyle w:val="44"/>
              <w:snapToGrid w:val="0"/>
              <w:spacing w:line="500" w:lineRule="exact"/>
              <w:ind w:firstLine="420" w:firstLineChars="200"/>
              <w:rPr>
                <w:rFonts w:ascii="宋体" w:hAnsi="宋体" w:cs="宋体"/>
                <w:color w:val="auto"/>
                <w:szCs w:val="21"/>
                <w:highlight w:val="none"/>
              </w:rPr>
            </w:pPr>
            <w:r>
              <w:rPr>
                <w:rFonts w:ascii="宋体" w:hAnsi="宋体" w:cs="宋体"/>
                <w:color w:val="auto"/>
                <w:szCs w:val="21"/>
                <w:highlight w:val="none"/>
              </w:rPr>
              <w:t>9.谈判保证金提交凭证；（</w:t>
            </w:r>
            <w:r>
              <w:rPr>
                <w:rFonts w:ascii="宋体" w:hAnsi="宋体" w:cs="宋体"/>
                <w:b/>
                <w:bCs/>
                <w:color w:val="auto"/>
                <w:szCs w:val="21"/>
                <w:highlight w:val="none"/>
              </w:rPr>
              <w:t>如要求提交谈判保证金的则必须提供，否则响应文件按无效响应处理</w:t>
            </w:r>
            <w:r>
              <w:rPr>
                <w:rFonts w:ascii="宋体" w:hAnsi="宋体" w:cs="宋体"/>
                <w:color w:val="auto"/>
                <w:szCs w:val="21"/>
                <w:highlight w:val="none"/>
              </w:rPr>
              <w:t>）</w:t>
            </w:r>
          </w:p>
          <w:p w14:paraId="6885BD70">
            <w:pPr>
              <w:snapToGrid w:val="0"/>
              <w:spacing w:line="500" w:lineRule="exact"/>
              <w:ind w:firstLine="420" w:firstLineChars="200"/>
              <w:rPr>
                <w:rFonts w:ascii="宋体" w:hAnsi="宋体" w:cs="宋体"/>
                <w:color w:val="auto"/>
                <w:szCs w:val="21"/>
                <w:highlight w:val="none"/>
              </w:rPr>
            </w:pPr>
            <w:r>
              <w:rPr>
                <w:rFonts w:ascii="宋体" w:hAnsi="宋体" w:cs="宋体"/>
                <w:color w:val="auto"/>
                <w:szCs w:val="21"/>
                <w:highlight w:val="none"/>
              </w:rPr>
              <w:t>10</w:t>
            </w:r>
            <w:r>
              <w:rPr>
                <w:rFonts w:hint="eastAsia" w:ascii="宋体" w:hAnsi="宋体" w:cs="宋体"/>
                <w:bCs/>
                <w:color w:val="auto"/>
                <w:szCs w:val="21"/>
                <w:highlight w:val="none"/>
              </w:rPr>
              <w:t>.</w:t>
            </w:r>
            <w:r>
              <w:rPr>
                <w:rFonts w:hint="eastAsia" w:ascii="宋体" w:hAnsi="宋体" w:cs="宋体"/>
                <w:color w:val="auto"/>
                <w:szCs w:val="21"/>
                <w:highlight w:val="none"/>
              </w:rPr>
              <w:t>除谈判文件规定必须提供以外，供应商认为需要提供的其他证明材料。</w:t>
            </w:r>
          </w:p>
          <w:p w14:paraId="2F24618E">
            <w:pPr>
              <w:snapToGrid w:val="0"/>
              <w:spacing w:line="5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【注】1.以上标明“必须提供”的材料，必须加盖供应商公章（或CA签章），否则响应文件按无效响应处理。</w:t>
            </w:r>
          </w:p>
          <w:p w14:paraId="21BF5D3A">
            <w:pPr>
              <w:snapToGrid w:val="0"/>
              <w:spacing w:line="5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2.参与竞争性谈判声明必须由法定代表人在规定签章处逐一签字（或个人CA签章）并加盖供应商公章（或CA签章），否则响应文件按无效响应处理。</w:t>
            </w:r>
          </w:p>
          <w:p w14:paraId="3BC1387C">
            <w:pPr>
              <w:snapToGrid w:val="0"/>
              <w:spacing w:line="500" w:lineRule="exact"/>
              <w:ind w:firstLine="422" w:firstLineChars="200"/>
              <w:rPr>
                <w:rFonts w:ascii="宋体" w:hAnsi="宋体" w:cs="宋体"/>
                <w:b/>
                <w:color w:val="auto"/>
                <w:szCs w:val="21"/>
                <w:highlight w:val="none"/>
              </w:rPr>
            </w:pPr>
            <w:r>
              <w:rPr>
                <w:rFonts w:hint="eastAsia" w:ascii="宋体" w:hAnsi="宋体" w:cs="宋体"/>
                <w:b/>
                <w:bCs/>
                <w:color w:val="auto"/>
                <w:szCs w:val="21"/>
                <w:highlight w:val="none"/>
              </w:rPr>
              <w:t>3.供应商直接控股、管理关系信息表必须由法定代表人或者委托代理人在规定签章处逐一签字（或个人CA签章）并加盖供应商公章（或CA签章），否则响应文件按无效响应处理。</w:t>
            </w:r>
          </w:p>
        </w:tc>
      </w:tr>
      <w:tr w14:paraId="25316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9" w:hRule="atLeast"/>
          <w:jc w:val="center"/>
        </w:trPr>
        <w:tc>
          <w:tcPr>
            <w:tcW w:w="991" w:type="dxa"/>
            <w:vMerge w:val="restart"/>
            <w:vAlign w:val="center"/>
          </w:tcPr>
          <w:p w14:paraId="79903D69">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8181" w:type="dxa"/>
            <w:vAlign w:val="center"/>
          </w:tcPr>
          <w:p w14:paraId="2D90CE92">
            <w:pPr>
              <w:spacing w:line="5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报价文件</w:t>
            </w:r>
          </w:p>
          <w:p w14:paraId="27518065">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bCs/>
                <w:color w:val="auto"/>
                <w:szCs w:val="21"/>
                <w:highlight w:val="none"/>
              </w:rPr>
              <w:t>.</w:t>
            </w:r>
            <w:r>
              <w:rPr>
                <w:rFonts w:hint="eastAsia" w:ascii="宋体" w:hAnsi="宋体" w:cs="宋体"/>
                <w:color w:val="auto"/>
                <w:szCs w:val="21"/>
                <w:highlight w:val="none"/>
              </w:rPr>
              <w:t>无串通参与竞争性谈判行为的承诺函（格式后附）；（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9FC233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w:t>
            </w:r>
            <w:r>
              <w:rPr>
                <w:rFonts w:hint="eastAsia" w:ascii="宋体" w:hAnsi="宋体" w:cs="宋体"/>
                <w:color w:val="auto"/>
                <w:szCs w:val="21"/>
                <w:highlight w:val="none"/>
              </w:rPr>
              <w:t>竞争性谈判报价表（格式后附）；（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C24F29F">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bCs/>
                <w:color w:val="auto"/>
                <w:szCs w:val="21"/>
                <w:highlight w:val="none"/>
              </w:rPr>
              <w:t>.</w:t>
            </w:r>
            <w:r>
              <w:rPr>
                <w:rFonts w:ascii="宋体" w:hAnsi="宋体" w:cs="宋体"/>
                <w:bCs/>
                <w:color w:val="auto"/>
                <w:szCs w:val="21"/>
                <w:highlight w:val="none"/>
              </w:rPr>
              <w:t>中小企业声明函（格式后附）或残疾人福利性单位声明函（格式后附）或供应商属于监狱企业的证明材料</w:t>
            </w:r>
            <w:r>
              <w:rPr>
                <w:rFonts w:ascii="宋体" w:hAnsi="宋体" w:cs="宋体"/>
                <w:color w:val="auto"/>
                <w:szCs w:val="21"/>
                <w:highlight w:val="none"/>
              </w:rPr>
              <w:t>；</w:t>
            </w:r>
          </w:p>
          <w:p w14:paraId="1CAE580E">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4.《关于符合本国产品标准的声明函》（供应商根据自身响应情况出具）（格式后附）；</w:t>
            </w:r>
          </w:p>
          <w:p w14:paraId="3E9F70EC">
            <w:pPr>
              <w:spacing w:line="500" w:lineRule="exact"/>
              <w:ind w:firstLine="420" w:firstLineChars="200"/>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bCs/>
                <w:color w:val="auto"/>
                <w:szCs w:val="21"/>
                <w:highlight w:val="none"/>
              </w:rPr>
              <w:t>.供应商</w:t>
            </w:r>
            <w:r>
              <w:rPr>
                <w:rFonts w:hint="eastAsia" w:ascii="宋体" w:hAnsi="宋体" w:cs="宋体"/>
                <w:color w:val="auto"/>
                <w:szCs w:val="21"/>
                <w:highlight w:val="none"/>
              </w:rPr>
              <w:t>针对报价需要说明的其他文件和说明（格式自拟）。</w:t>
            </w:r>
          </w:p>
          <w:p w14:paraId="7CB775DC">
            <w:pPr>
              <w:spacing w:line="500" w:lineRule="exact"/>
              <w:ind w:firstLine="422" w:firstLineChars="200"/>
              <w:rPr>
                <w:rFonts w:ascii="楷体" w:hAnsi="楷体" w:eastAsia="楷体" w:cs="宋体"/>
                <w:bCs/>
                <w:color w:val="auto"/>
                <w:szCs w:val="21"/>
                <w:highlight w:val="none"/>
              </w:rPr>
            </w:pPr>
            <w:r>
              <w:rPr>
                <w:rFonts w:hint="eastAsia" w:ascii="宋体" w:hAnsi="宋体" w:cs="宋体"/>
                <w:b/>
                <w:color w:val="auto"/>
                <w:szCs w:val="21"/>
                <w:highlight w:val="none"/>
              </w:rPr>
              <w:t>注：以上标明“必须提供”的材料，必须加盖供应商公章（或CA签章），否则响应文件按无效响应处理。</w:t>
            </w:r>
          </w:p>
        </w:tc>
      </w:tr>
      <w:tr w14:paraId="51014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6" w:hRule="atLeast"/>
          <w:jc w:val="center"/>
        </w:trPr>
        <w:tc>
          <w:tcPr>
            <w:tcW w:w="991" w:type="dxa"/>
            <w:vMerge w:val="continue"/>
            <w:vAlign w:val="center"/>
          </w:tcPr>
          <w:p w14:paraId="73D2EB75">
            <w:pPr>
              <w:spacing w:line="500" w:lineRule="exact"/>
              <w:jc w:val="center"/>
              <w:rPr>
                <w:rFonts w:ascii="宋体" w:hAnsi="宋体" w:cs="宋体"/>
                <w:color w:val="auto"/>
                <w:szCs w:val="21"/>
                <w:highlight w:val="none"/>
              </w:rPr>
            </w:pPr>
          </w:p>
        </w:tc>
        <w:tc>
          <w:tcPr>
            <w:tcW w:w="8181" w:type="dxa"/>
            <w:vAlign w:val="center"/>
          </w:tcPr>
          <w:p w14:paraId="7D9FE814">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商务技术文件</w:t>
            </w:r>
          </w:p>
          <w:p w14:paraId="7A973BC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bCs/>
                <w:color w:val="auto"/>
                <w:szCs w:val="21"/>
                <w:highlight w:val="none"/>
              </w:rPr>
              <w:t>.</w:t>
            </w:r>
            <w:r>
              <w:rPr>
                <w:rFonts w:hint="eastAsia" w:ascii="宋体" w:hAnsi="宋体" w:cs="宋体"/>
                <w:color w:val="auto"/>
                <w:szCs w:val="21"/>
                <w:highlight w:val="none"/>
              </w:rPr>
              <w:t>法定代表人身份证明及法定代表人有效身份证正反面（格式后附）；（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E019B1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w:t>
            </w:r>
            <w:r>
              <w:rPr>
                <w:rFonts w:hint="eastAsia" w:ascii="宋体" w:hAnsi="宋体" w:cs="宋体"/>
                <w:color w:val="auto"/>
                <w:szCs w:val="21"/>
                <w:highlight w:val="none"/>
              </w:rPr>
              <w:t>授权委托书及委托代理人有效身份证正反面（格式后附）；（</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5EA7CB1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bCs/>
                <w:color w:val="auto"/>
                <w:szCs w:val="21"/>
                <w:highlight w:val="none"/>
              </w:rPr>
              <w:t>.</w:t>
            </w:r>
            <w:r>
              <w:rPr>
                <w:rFonts w:hint="eastAsia" w:ascii="宋体" w:hAnsi="宋体" w:cs="宋体"/>
                <w:color w:val="auto"/>
                <w:szCs w:val="21"/>
                <w:highlight w:val="none"/>
              </w:rPr>
              <w:t>商务要求偏离表（格式后附）；（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6266C3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售后服务承诺（格式自拟）；（</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B11A143">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bCs/>
                <w:color w:val="auto"/>
                <w:szCs w:val="21"/>
                <w:highlight w:val="none"/>
              </w:rPr>
              <w:t>.</w:t>
            </w:r>
            <w:r>
              <w:rPr>
                <w:rFonts w:hint="eastAsia" w:ascii="宋体" w:hAnsi="宋体" w:cs="宋体"/>
                <w:color w:val="auto"/>
                <w:szCs w:val="21"/>
                <w:highlight w:val="none"/>
              </w:rPr>
              <w:t>货物配置清单（均不含报价）（格式后附）；（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E64852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6</w:t>
            </w:r>
            <w:r>
              <w:rPr>
                <w:rFonts w:hint="eastAsia" w:ascii="宋体" w:hAnsi="宋体" w:cs="宋体"/>
                <w:bCs/>
                <w:color w:val="auto"/>
                <w:szCs w:val="21"/>
                <w:highlight w:val="none"/>
              </w:rPr>
              <w:t>.</w:t>
            </w:r>
            <w:r>
              <w:rPr>
                <w:rFonts w:hint="eastAsia" w:ascii="宋体" w:hAnsi="宋体" w:cs="宋体"/>
                <w:color w:val="auto"/>
                <w:szCs w:val="21"/>
                <w:highlight w:val="none"/>
              </w:rPr>
              <w:t>技术偏离表（格式后附）；（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154B56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7</w:t>
            </w:r>
            <w:r>
              <w:rPr>
                <w:rFonts w:hint="eastAsia" w:ascii="宋体" w:hAnsi="宋体" w:cs="宋体"/>
                <w:bCs/>
                <w:color w:val="auto"/>
                <w:szCs w:val="21"/>
                <w:highlight w:val="none"/>
              </w:rPr>
              <w:t>.</w:t>
            </w:r>
            <w:r>
              <w:rPr>
                <w:rFonts w:hint="eastAsia" w:ascii="宋体" w:hAnsi="宋体" w:cs="宋体"/>
                <w:color w:val="auto"/>
                <w:szCs w:val="21"/>
                <w:highlight w:val="none"/>
              </w:rPr>
              <w:t>对应采购需求的技术要求、商务要求提供的其他文件资料（格式自拟）；</w:t>
            </w:r>
          </w:p>
          <w:p w14:paraId="79BF3B60">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8</w:t>
            </w:r>
            <w:r>
              <w:rPr>
                <w:rFonts w:hint="eastAsia" w:ascii="宋体" w:hAnsi="宋体" w:cs="宋体"/>
                <w:bCs/>
                <w:color w:val="auto"/>
                <w:szCs w:val="21"/>
                <w:highlight w:val="none"/>
              </w:rPr>
              <w:t>.</w:t>
            </w:r>
            <w:r>
              <w:rPr>
                <w:rFonts w:hint="eastAsia" w:ascii="宋体" w:hAnsi="宋体" w:cs="宋体"/>
                <w:color w:val="auto"/>
                <w:szCs w:val="21"/>
                <w:highlight w:val="none"/>
              </w:rPr>
              <w:t>供应商认为需要提供的其他有关资料。</w:t>
            </w:r>
          </w:p>
          <w:p w14:paraId="14112340">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【注】1.法定代表人授权委托书必须由法定代表人及委托代理人签字（或个人CA签章），并加盖供应商公章（或CA签章），否则做无效响应处理。</w:t>
            </w:r>
          </w:p>
          <w:p w14:paraId="54CD01CA">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2.以上标明“必须提供”的材料，必须加盖供应商公章（或CA签章），否则响应文件按无效响应处理。</w:t>
            </w:r>
          </w:p>
          <w:p w14:paraId="7DF2BCE5">
            <w:pPr>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3.以上材料未附格式的，由供应商自行拟定。</w:t>
            </w:r>
          </w:p>
          <w:p w14:paraId="307A027C">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特别说明：</w:t>
            </w:r>
          </w:p>
          <w:p w14:paraId="4EA84444">
            <w:pPr>
              <w:numPr>
                <w:ilvl w:val="0"/>
                <w:numId w:val="1"/>
              </w:numPr>
              <w:spacing w:line="360" w:lineRule="auto"/>
              <w:ind w:firstLine="422" w:firstLineChars="200"/>
              <w:rPr>
                <w:rFonts w:ascii="宋体" w:hAnsi="宋体" w:cs="宋体"/>
                <w:b/>
                <w:color w:val="auto"/>
                <w:szCs w:val="21"/>
                <w:highlight w:val="none"/>
              </w:rPr>
            </w:pPr>
            <w:r>
              <w:rPr>
                <w:rFonts w:hint="eastAsia" w:ascii="宋体" w:hAnsi="宋体" w:cs="宋体"/>
                <w:b/>
                <w:bCs/>
                <w:color w:val="auto"/>
                <w:szCs w:val="21"/>
                <w:highlight w:val="none"/>
              </w:rPr>
              <w:t>响</w:t>
            </w:r>
            <w:r>
              <w:rPr>
                <w:rFonts w:hint="eastAsia" w:ascii="宋体" w:hAnsi="宋体" w:cs="宋体"/>
                <w:b/>
                <w:color w:val="auto"/>
                <w:szCs w:val="21"/>
                <w:highlight w:val="none"/>
              </w:rPr>
              <w:t>应文件（电子响应文件），其中电子响应文件中所须加盖公章部分均采用CA签章。若竞争性谈判文件中有专门标注的某关联点，并要求供应商在电子投标系统中作出竞标响应的，如供应商未对关联点进行响应或者在响应文件其它内容进行描述，造成电子评审不能查询的责任由供应商自行承担。</w:t>
            </w:r>
          </w:p>
          <w:p w14:paraId="4F00003E">
            <w:pPr>
              <w:numPr>
                <w:ilvl w:val="255"/>
                <w:numId w:val="0"/>
              </w:num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（2）竞争性谈判文件要求法定代表人（负责人）或委托代理人签字的部分必须签字然后扫描或者拍照做成 pdf 格式上传（或加盖个人CA签章），无签字（或加盖个人CA签章）的视为响应无效。</w:t>
            </w:r>
          </w:p>
        </w:tc>
      </w:tr>
      <w:tr w14:paraId="02EEA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jc w:val="center"/>
        </w:trPr>
        <w:tc>
          <w:tcPr>
            <w:tcW w:w="991" w:type="dxa"/>
            <w:vAlign w:val="center"/>
          </w:tcPr>
          <w:p w14:paraId="394CDEEC">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15.2</w:t>
            </w:r>
          </w:p>
        </w:tc>
        <w:tc>
          <w:tcPr>
            <w:tcW w:w="8181" w:type="dxa"/>
            <w:vAlign w:val="center"/>
          </w:tcPr>
          <w:p w14:paraId="5510DCAC">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竞争性谈判报价合计金额包括货物价款、配套软件、标准附件、随配附件、备品备件、辅助材料、专用工具、包装、运抵指定交货地点、运输、装卸、完工清场清洁、货到就位、安装、调试、检验、技术培训、技术资料、售后服务、保险、投标费用、预验收及履约验收及售后服务、人工费、一切税费等全部费用。税费因政策等原因发生变化的，由成交供应商承担。合同履行过程中，采购人不再支付合同以外的其他费用。（采购需求另有约定的，从其约定）</w:t>
            </w:r>
          </w:p>
        </w:tc>
      </w:tr>
      <w:tr w14:paraId="50955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991" w:type="dxa"/>
            <w:vAlign w:val="center"/>
          </w:tcPr>
          <w:p w14:paraId="1808159B">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16.2</w:t>
            </w:r>
          </w:p>
        </w:tc>
        <w:tc>
          <w:tcPr>
            <w:tcW w:w="8181" w:type="dxa"/>
            <w:vAlign w:val="center"/>
          </w:tcPr>
          <w:p w14:paraId="0931A50B">
            <w:pPr>
              <w:pStyle w:val="7"/>
              <w:widowControl w:val="0"/>
              <w:tabs>
                <w:tab w:val="clear" w:pos="454"/>
              </w:tabs>
              <w:snapToGrid w:val="0"/>
              <w:spacing w:after="165" w:line="500" w:lineRule="exact"/>
              <w:ind w:left="0" w:firstLine="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竞争性谈判有效期：首次响应文件提交截止之日起60天内。 </w:t>
            </w:r>
          </w:p>
        </w:tc>
      </w:tr>
      <w:tr w14:paraId="0AB43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4" w:hRule="atLeast"/>
          <w:jc w:val="center"/>
        </w:trPr>
        <w:tc>
          <w:tcPr>
            <w:tcW w:w="991" w:type="dxa"/>
            <w:vAlign w:val="center"/>
          </w:tcPr>
          <w:p w14:paraId="0C425F85">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17.1</w:t>
            </w:r>
          </w:p>
        </w:tc>
        <w:tc>
          <w:tcPr>
            <w:tcW w:w="8181" w:type="dxa"/>
            <w:vAlign w:val="center"/>
          </w:tcPr>
          <w:p w14:paraId="6957162E">
            <w:pPr>
              <w:autoSpaceDE w:val="0"/>
              <w:autoSpaceDN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本项目不收取谈判保证金。</w:t>
            </w:r>
          </w:p>
          <w:p w14:paraId="4CFACA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sym w:font="Wingdings" w:char="00FE"/>
            </w:r>
            <w:r>
              <w:rPr>
                <w:rFonts w:hint="eastAsia" w:ascii="宋体" w:hAnsi="宋体" w:cs="宋体"/>
                <w:color w:val="auto"/>
                <w:szCs w:val="21"/>
                <w:highlight w:val="none"/>
              </w:rPr>
              <w:t>本项目收取谈判保证金。</w:t>
            </w:r>
          </w:p>
          <w:p w14:paraId="3482CB75">
            <w:pPr>
              <w:pStyle w:val="85"/>
              <w:spacing w:line="360" w:lineRule="auto"/>
              <w:ind w:firstLine="420" w:firstLineChars="200"/>
              <w:jc w:val="left"/>
              <w:rPr>
                <w:rFonts w:ascii="宋体" w:hAnsi="宋体" w:eastAsia="宋体" w:cs="宋体"/>
                <w:b w:val="0"/>
                <w:color w:val="auto"/>
                <w:kern w:val="0"/>
                <w:szCs w:val="21"/>
                <w:highlight w:val="none"/>
              </w:rPr>
            </w:pPr>
            <w:bookmarkStart w:id="25" w:name="_Toc2750"/>
            <w:r>
              <w:rPr>
                <w:rFonts w:hint="eastAsia" w:ascii="宋体" w:hAnsi="宋体" w:eastAsia="宋体" w:cs="宋体"/>
                <w:b w:val="0"/>
                <w:color w:val="auto"/>
                <w:kern w:val="0"/>
                <w:szCs w:val="21"/>
                <w:highlight w:val="none"/>
              </w:rPr>
              <w:t>谈判保证金（人民币）：</w:t>
            </w:r>
            <w:bookmarkEnd w:id="25"/>
          </w:p>
          <w:p w14:paraId="65C48E94">
            <w:pPr>
              <w:pStyle w:val="85"/>
              <w:spacing w:line="360" w:lineRule="auto"/>
              <w:ind w:firstLine="420" w:firstLineChars="200"/>
              <w:jc w:val="left"/>
              <w:rPr>
                <w:rFonts w:ascii="宋体" w:hAnsi="宋体" w:eastAsia="宋体" w:cs="宋体"/>
                <w:b w:val="0"/>
                <w:color w:val="auto"/>
                <w:highlight w:val="none"/>
              </w:rPr>
            </w:pPr>
            <w:bookmarkStart w:id="26" w:name="_Toc3799"/>
            <w:r>
              <w:rPr>
                <w:rFonts w:hint="eastAsia" w:ascii="Times New Roman" w:hAnsi="Times New Roman" w:eastAsia="宋体"/>
                <w:b w:val="0"/>
                <w:color w:val="auto"/>
                <w:highlight w:val="none"/>
              </w:rPr>
              <w:t>标项一：壹万零</w:t>
            </w:r>
            <w:r>
              <w:rPr>
                <w:rFonts w:hint="eastAsia" w:ascii="宋体" w:hAnsi="宋体" w:eastAsia="宋体" w:cs="宋体"/>
                <w:b w:val="0"/>
                <w:color w:val="auto"/>
                <w:highlight w:val="none"/>
              </w:rPr>
              <w:t>肆佰元整（¥10400.00）；（须足额缴纳）</w:t>
            </w:r>
            <w:bookmarkEnd w:id="26"/>
          </w:p>
          <w:p w14:paraId="003DD14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标项二：肆仟伍佰元整（¥4500.00）；（须足额缴纳）</w:t>
            </w:r>
          </w:p>
          <w:p w14:paraId="409E9E0E">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保证金专用银行账号：</w:t>
            </w:r>
          </w:p>
          <w:p w14:paraId="20225435">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开户名称：广西达成咨询有限公司第十一分公司</w:t>
            </w:r>
          </w:p>
          <w:p w14:paraId="600535E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开户银行：桂林银行股份有限公司榕湖支行</w:t>
            </w:r>
          </w:p>
          <w:p w14:paraId="0668576C">
            <w:pPr>
              <w:spacing w:line="360" w:lineRule="auto"/>
              <w:ind w:firstLine="420" w:firstLineChars="200"/>
              <w:jc w:val="left"/>
              <w:rPr>
                <w:color w:val="auto"/>
                <w:szCs w:val="21"/>
                <w:highlight w:val="none"/>
              </w:rPr>
            </w:pPr>
            <w:r>
              <w:rPr>
                <w:rFonts w:hint="eastAsia" w:ascii="宋体" w:hAnsi="宋体" w:cs="宋体"/>
                <w:color w:val="auto"/>
                <w:szCs w:val="21"/>
                <w:highlight w:val="none"/>
              </w:rPr>
              <w:t>银行账号：660000022460000024</w:t>
            </w:r>
          </w:p>
          <w:p w14:paraId="4C3CA695">
            <w:pPr>
              <w:snapToGrid w:val="0"/>
              <w:spacing w:line="5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谈判保证金的交纳方式：</w:t>
            </w:r>
            <w:r>
              <w:rPr>
                <w:rFonts w:hint="eastAsia" w:ascii="宋体" w:hAnsi="宋体" w:cs="宋体"/>
                <w:color w:val="auto"/>
                <w:szCs w:val="21"/>
                <w:highlight w:val="none"/>
              </w:rPr>
              <w:t>银行转账、保函等非现金方式</w:t>
            </w:r>
            <w:r>
              <w:rPr>
                <w:rFonts w:hint="eastAsia" w:ascii="宋体" w:hAnsi="宋体" w:cs="宋体"/>
                <w:color w:val="auto"/>
                <w:kern w:val="0"/>
                <w:szCs w:val="21"/>
                <w:highlight w:val="none"/>
              </w:rPr>
              <w:t>，禁止采用现钞方式。采用银行转账方式的，在响应文件提交截止时间前交至指定账户并且到账；采用支票、汇票、本票或者保函方式的，在响应文件提交截止时间前，供应商必须提交支票、汇票、本票或者保函原件。否则视为无效谈判保证金。</w:t>
            </w:r>
            <w:r>
              <w:rPr>
                <w:rFonts w:hint="eastAsia" w:ascii="宋体" w:hAnsi="宋体" w:cs="宋体"/>
                <w:b/>
                <w:bCs/>
                <w:color w:val="auto"/>
                <w:kern w:val="0"/>
                <w:szCs w:val="21"/>
                <w:highlight w:val="none"/>
              </w:rPr>
              <w:t>如多个标段的，则需按要求分标段分别缴纳。</w:t>
            </w:r>
          </w:p>
          <w:p w14:paraId="4DCF7406">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相关要求：</w:t>
            </w:r>
          </w:p>
          <w:p w14:paraId="2AA2F87A">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1.谈判保证金采用银行转账交纳方式的，在响应文件提交截止时间前交至指定账户并且到账，供应商应将银行转账底单的复印件作为谈判保证金提交凭证，放置于资格证明文件中，</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4923222F">
            <w:pPr>
              <w:snapToGrid w:val="0"/>
              <w:spacing w:line="50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2.谈判保证金采用</w:t>
            </w:r>
            <w:r>
              <w:rPr>
                <w:rFonts w:hint="eastAsia" w:ascii="宋体" w:hAnsi="宋体" w:cs="宋体"/>
                <w:color w:val="auto"/>
                <w:kern w:val="0"/>
                <w:szCs w:val="21"/>
                <w:highlight w:val="none"/>
              </w:rPr>
              <w:t>支票、汇票、本票或者</w:t>
            </w:r>
            <w:r>
              <w:rPr>
                <w:rFonts w:hint="eastAsia" w:ascii="宋体" w:hAnsi="宋体" w:cs="宋体"/>
                <w:color w:val="auto"/>
                <w:szCs w:val="21"/>
                <w:highlight w:val="none"/>
              </w:rPr>
              <w:t>保函交纳方式的，供应商应将</w:t>
            </w:r>
            <w:r>
              <w:rPr>
                <w:rFonts w:hint="eastAsia" w:ascii="宋体" w:hAnsi="宋体" w:cs="宋体"/>
                <w:color w:val="auto"/>
                <w:kern w:val="0"/>
                <w:szCs w:val="21"/>
                <w:highlight w:val="none"/>
              </w:rPr>
              <w:t>支票、汇票、本票或者</w:t>
            </w:r>
            <w:r>
              <w:rPr>
                <w:rFonts w:hint="eastAsia" w:ascii="宋体" w:hAnsi="宋体" w:cs="宋体"/>
                <w:color w:val="auto"/>
                <w:szCs w:val="21"/>
                <w:highlight w:val="none"/>
              </w:rPr>
              <w:t>保函的复印件作为谈判保证金提交凭证，放置于报价资格证明文件中，</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r>
              <w:rPr>
                <w:rFonts w:hint="eastAsia" w:ascii="宋体" w:hAnsi="宋体" w:cs="宋体"/>
                <w:b/>
                <w:color w:val="auto"/>
                <w:szCs w:val="21"/>
                <w:highlight w:val="none"/>
              </w:rPr>
              <w:t>供应商必须在首次响应文件提交截止时间前将</w:t>
            </w:r>
            <w:r>
              <w:rPr>
                <w:rFonts w:hint="eastAsia" w:ascii="宋体" w:hAnsi="宋体" w:cs="宋体"/>
                <w:color w:val="auto"/>
                <w:kern w:val="0"/>
                <w:szCs w:val="21"/>
                <w:highlight w:val="none"/>
              </w:rPr>
              <w:t>支票、汇票、本票或者</w:t>
            </w:r>
            <w:r>
              <w:rPr>
                <w:rFonts w:hint="eastAsia" w:ascii="宋体" w:hAnsi="宋体" w:cs="宋体"/>
                <w:b/>
                <w:color w:val="auto"/>
                <w:szCs w:val="21"/>
                <w:highlight w:val="none"/>
              </w:rPr>
              <w:t>保函原件提交给采购代理机构，由采购代理机构向供应商出具回执，并妥善保管。</w:t>
            </w:r>
          </w:p>
          <w:p w14:paraId="63E331F3">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3.供应商为联合体的，可以由联合体中的一方或者多方共同交纳谈判保证金，其交纳的保证金对联合体各方均具有约束力。</w:t>
            </w:r>
          </w:p>
          <w:p w14:paraId="05B42585">
            <w:pPr>
              <w:snapToGrid w:val="0"/>
              <w:spacing w:line="5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【备注】</w:t>
            </w:r>
            <w:r>
              <w:rPr>
                <w:rFonts w:hint="eastAsia" w:ascii="宋体" w:hAnsi="宋体" w:cs="宋体"/>
                <w:color w:val="auto"/>
                <w:szCs w:val="21"/>
                <w:highlight w:val="none"/>
              </w:rPr>
              <w:t>1.首次响应文件提交截止时间后提交的，或者未足额交纳的，或者保函额度不足的，视为无效谈判保证金。</w:t>
            </w:r>
          </w:p>
          <w:p w14:paraId="6B101317">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2.供应商采用现钞方式或者从个人账户（自然人参与竞争性谈判除外）转出的谈判保证金，视为无效谈判保证金。</w:t>
            </w:r>
          </w:p>
          <w:p w14:paraId="62B946E6">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3.保函有效期短于竞争性谈判有效期的，视为无效谈判保证金。</w:t>
            </w:r>
          </w:p>
          <w:p w14:paraId="78E1D4F8">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4.谈判保证金采用保函为有条件保函的，视为无效谈判保证金。</w:t>
            </w:r>
          </w:p>
        </w:tc>
      </w:tr>
      <w:tr w14:paraId="0D425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1" w:type="dxa"/>
            <w:vAlign w:val="center"/>
          </w:tcPr>
          <w:p w14:paraId="3DF384D6">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18.2</w:t>
            </w:r>
          </w:p>
        </w:tc>
        <w:tc>
          <w:tcPr>
            <w:tcW w:w="8181" w:type="dxa"/>
            <w:vAlign w:val="center"/>
          </w:tcPr>
          <w:p w14:paraId="423BDAB6">
            <w:pPr>
              <w:spacing w:line="500" w:lineRule="exact"/>
              <w:rPr>
                <w:rFonts w:ascii="宋体" w:hAnsi="宋体" w:cs="宋体"/>
                <w:color w:val="auto"/>
                <w:szCs w:val="21"/>
                <w:highlight w:val="none"/>
              </w:rPr>
            </w:pPr>
            <w:r>
              <w:rPr>
                <w:rFonts w:hint="eastAsia" w:ascii="宋体" w:hAnsi="宋体" w:cs="宋体"/>
                <w:color w:val="auto"/>
                <w:szCs w:val="21"/>
                <w:highlight w:val="none"/>
              </w:rPr>
              <w:t>响应文件应按资格证明文件、报价文件、商务技术文件分别编制，并按广西政府采购云平台的要求编制、加密、上传。</w:t>
            </w:r>
          </w:p>
        </w:tc>
      </w:tr>
      <w:tr w14:paraId="114A6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1" w:type="dxa"/>
            <w:vAlign w:val="center"/>
          </w:tcPr>
          <w:p w14:paraId="443236F8">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20.1</w:t>
            </w:r>
          </w:p>
        </w:tc>
        <w:tc>
          <w:tcPr>
            <w:tcW w:w="8181" w:type="dxa"/>
            <w:vAlign w:val="center"/>
          </w:tcPr>
          <w:p w14:paraId="5573A454">
            <w:pPr>
              <w:spacing w:line="500" w:lineRule="exact"/>
              <w:contextualSpacing/>
              <w:rPr>
                <w:rFonts w:ascii="宋体" w:hAnsi="宋体" w:cs="宋体"/>
                <w:color w:val="auto"/>
                <w:szCs w:val="21"/>
                <w:highlight w:val="none"/>
                <w:u w:val="single"/>
              </w:rPr>
            </w:pPr>
            <w:r>
              <w:rPr>
                <w:rFonts w:hint="eastAsia" w:ascii="宋体" w:hAnsi="宋体" w:cs="宋体"/>
                <w:color w:val="auto"/>
                <w:szCs w:val="21"/>
                <w:highlight w:val="none"/>
              </w:rPr>
              <w:t>首次响应文件提交截止时间：详见竞争性谈判公告。</w:t>
            </w:r>
          </w:p>
          <w:p w14:paraId="50741B5B">
            <w:pPr>
              <w:spacing w:line="500" w:lineRule="exact"/>
              <w:contextualSpacing/>
              <w:rPr>
                <w:rFonts w:ascii="宋体" w:hAnsi="宋体" w:cs="宋体"/>
                <w:color w:val="auto"/>
                <w:szCs w:val="21"/>
                <w:highlight w:val="none"/>
              </w:rPr>
            </w:pPr>
            <w:r>
              <w:rPr>
                <w:rFonts w:hint="eastAsia" w:ascii="宋体" w:hAnsi="宋体" w:cs="宋体"/>
                <w:color w:val="auto"/>
                <w:szCs w:val="21"/>
                <w:highlight w:val="none"/>
              </w:rPr>
              <w:t>首次响应文件提交地点：详见竞争性谈判公告。</w:t>
            </w:r>
          </w:p>
        </w:tc>
      </w:tr>
      <w:tr w14:paraId="308EC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991" w:type="dxa"/>
            <w:vAlign w:val="center"/>
          </w:tcPr>
          <w:p w14:paraId="6D7923C1">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24.1</w:t>
            </w:r>
          </w:p>
        </w:tc>
        <w:tc>
          <w:tcPr>
            <w:tcW w:w="8181" w:type="dxa"/>
            <w:vAlign w:val="center"/>
          </w:tcPr>
          <w:p w14:paraId="5B5D97A0">
            <w:pPr>
              <w:snapToGrid w:val="0"/>
              <w:spacing w:line="500" w:lineRule="exact"/>
              <w:rPr>
                <w:rFonts w:ascii="宋体" w:hAnsi="宋体" w:cs="宋体"/>
                <w:color w:val="auto"/>
                <w:szCs w:val="21"/>
                <w:highlight w:val="none"/>
                <w:u w:val="single"/>
              </w:rPr>
            </w:pPr>
            <w:r>
              <w:rPr>
                <w:rFonts w:hint="eastAsia" w:ascii="宋体" w:hAnsi="宋体" w:cs="宋体"/>
                <w:color w:val="auto"/>
                <w:szCs w:val="21"/>
                <w:highlight w:val="none"/>
              </w:rPr>
              <w:t>谈判小组的人数：3人。</w:t>
            </w:r>
          </w:p>
        </w:tc>
      </w:tr>
      <w:tr w14:paraId="08654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3" w:hRule="atLeast"/>
          <w:jc w:val="center"/>
        </w:trPr>
        <w:tc>
          <w:tcPr>
            <w:tcW w:w="991" w:type="dxa"/>
            <w:vAlign w:val="center"/>
          </w:tcPr>
          <w:p w14:paraId="6F75ED65">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25.2</w:t>
            </w:r>
          </w:p>
        </w:tc>
        <w:tc>
          <w:tcPr>
            <w:tcW w:w="8181" w:type="dxa"/>
            <w:vAlign w:val="center"/>
          </w:tcPr>
          <w:p w14:paraId="1A213E72">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采购代理机构将依托电子交易平台发起开始解密指令，</w:t>
            </w:r>
            <w:r>
              <w:rPr>
                <w:rFonts w:hint="eastAsia" w:ascii="宋体" w:hAnsi="宋体" w:cs="宋体"/>
                <w:b/>
                <w:color w:val="auto"/>
                <w:szCs w:val="21"/>
                <w:highlight w:val="none"/>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宋体" w:hAnsi="宋体" w:cs="宋体"/>
                <w:b/>
                <w:bCs/>
                <w:color w:val="auto"/>
                <w:szCs w:val="21"/>
                <w:highlight w:val="none"/>
              </w:rPr>
              <w:t>响应文件未按时解密的，视为响应文件无效。</w:t>
            </w:r>
          </w:p>
        </w:tc>
      </w:tr>
      <w:tr w14:paraId="74F84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1" w:type="dxa"/>
            <w:vMerge w:val="restart"/>
            <w:vAlign w:val="center"/>
          </w:tcPr>
          <w:p w14:paraId="315C94D4">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26</w:t>
            </w:r>
          </w:p>
        </w:tc>
        <w:tc>
          <w:tcPr>
            <w:tcW w:w="8181" w:type="dxa"/>
            <w:vAlign w:val="center"/>
          </w:tcPr>
          <w:p w14:paraId="47C65FDB">
            <w:pPr>
              <w:snapToGrid w:val="0"/>
              <w:spacing w:line="500" w:lineRule="exact"/>
              <w:rPr>
                <w:color w:val="auto"/>
                <w:szCs w:val="21"/>
                <w:highlight w:val="none"/>
              </w:rPr>
            </w:pPr>
            <w:r>
              <w:rPr>
                <w:rFonts w:hint="eastAsia"/>
                <w:color w:val="auto"/>
                <w:szCs w:val="21"/>
                <w:highlight w:val="none"/>
              </w:rPr>
              <w:t>商务要求评审中允许负偏离的条款数为0项。</w:t>
            </w:r>
          </w:p>
          <w:p w14:paraId="20584268">
            <w:pPr>
              <w:snapToGrid w:val="0"/>
              <w:spacing w:line="500" w:lineRule="exact"/>
              <w:rPr>
                <w:color w:val="auto"/>
                <w:szCs w:val="21"/>
                <w:highlight w:val="none"/>
              </w:rPr>
            </w:pPr>
            <w:r>
              <w:rPr>
                <w:rFonts w:hint="eastAsia"/>
                <w:color w:val="auto"/>
                <w:szCs w:val="21"/>
                <w:highlight w:val="none"/>
              </w:rPr>
              <w:t>技术要求评审中允许负偏离的条款数为</w:t>
            </w:r>
            <w:r>
              <w:rPr>
                <w:color w:val="auto"/>
                <w:szCs w:val="21"/>
                <w:highlight w:val="none"/>
              </w:rPr>
              <w:t>0</w:t>
            </w:r>
            <w:r>
              <w:rPr>
                <w:rFonts w:hint="eastAsia"/>
                <w:color w:val="auto"/>
                <w:szCs w:val="21"/>
                <w:highlight w:val="none"/>
              </w:rPr>
              <w:t>项。</w:t>
            </w:r>
          </w:p>
        </w:tc>
      </w:tr>
      <w:tr w14:paraId="2A0B4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9" w:hRule="atLeast"/>
          <w:jc w:val="center"/>
        </w:trPr>
        <w:tc>
          <w:tcPr>
            <w:tcW w:w="991" w:type="dxa"/>
            <w:vMerge w:val="continue"/>
            <w:vAlign w:val="center"/>
          </w:tcPr>
          <w:p w14:paraId="74DCB9C4">
            <w:pPr>
              <w:spacing w:line="500" w:lineRule="exact"/>
              <w:jc w:val="center"/>
              <w:rPr>
                <w:rFonts w:ascii="宋体" w:hAnsi="宋体" w:cs="宋体"/>
                <w:color w:val="auto"/>
                <w:szCs w:val="21"/>
                <w:highlight w:val="none"/>
              </w:rPr>
            </w:pPr>
          </w:p>
        </w:tc>
        <w:tc>
          <w:tcPr>
            <w:tcW w:w="8181" w:type="dxa"/>
            <w:vAlign w:val="center"/>
          </w:tcPr>
          <w:p w14:paraId="52CF79BB">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谈判的顺序：按“广西政府采购云平台”系统的编号顺序。</w:t>
            </w:r>
          </w:p>
          <w:p w14:paraId="03107954">
            <w:pPr>
              <w:snapToGrid w:val="0"/>
              <w:spacing w:line="5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符合谈判资格的供应商必须在接到谈判通知后规定时间内参加谈判，未在规定时间内参加谈判的视同放弃参加谈判权利，其响应文件按无效响应处理。</w:t>
            </w:r>
          </w:p>
        </w:tc>
      </w:tr>
      <w:tr w14:paraId="0E4B2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1" w:type="dxa"/>
            <w:vMerge w:val="continue"/>
            <w:vAlign w:val="center"/>
          </w:tcPr>
          <w:p w14:paraId="0D28E031">
            <w:pPr>
              <w:spacing w:line="500" w:lineRule="exact"/>
              <w:jc w:val="center"/>
              <w:rPr>
                <w:rFonts w:ascii="宋体" w:hAnsi="宋体" w:cs="宋体"/>
                <w:color w:val="auto"/>
                <w:szCs w:val="21"/>
                <w:highlight w:val="none"/>
              </w:rPr>
            </w:pPr>
          </w:p>
        </w:tc>
        <w:tc>
          <w:tcPr>
            <w:tcW w:w="8181" w:type="dxa"/>
            <w:vAlign w:val="center"/>
          </w:tcPr>
          <w:p w14:paraId="22042AB6">
            <w:pPr>
              <w:spacing w:line="5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评审价相同时，按照最后报价由低到高顺序依次推荐；最后报价相同的，按以下原则确定成交候选人的顺序：</w:t>
            </w:r>
          </w:p>
          <w:p w14:paraId="3BDB6106">
            <w:pPr>
              <w:spacing w:line="500" w:lineRule="exact"/>
              <w:ind w:firstLine="420" w:firstLineChars="200"/>
              <w:contextualSpacing/>
              <w:rPr>
                <w:rFonts w:ascii="宋体" w:hAnsi="宋体" w:cs="宋体"/>
                <w:color w:val="auto"/>
                <w:szCs w:val="21"/>
                <w:highlight w:val="none"/>
              </w:rPr>
            </w:pPr>
            <w:r>
              <w:rPr>
                <w:rFonts w:ascii="Segoe UI Symbol" w:hAnsi="Segoe UI Symbol" w:cs="Segoe UI Symbol"/>
                <w:color w:val="auto"/>
                <w:szCs w:val="21"/>
                <w:highlight w:val="none"/>
              </w:rPr>
              <w:t>☑</w:t>
            </w:r>
            <w:r>
              <w:rPr>
                <w:rFonts w:hint="eastAsia" w:ascii="宋体" w:hAnsi="宋体" w:cs="宋体"/>
                <w:color w:val="auto"/>
                <w:szCs w:val="21"/>
                <w:highlight w:val="none"/>
              </w:rPr>
              <w:t>依次按带“▲”的实质性要求正偏离项数多的优先、均无正偏离或者正偏离项数一致时负偏离项数少的优先、质量保证期长优先、交货期短优先、故障响应时间短优先、节能环保产品累计金额多的优先的顺序排列。</w:t>
            </w:r>
          </w:p>
          <w:p w14:paraId="742D70BE">
            <w:pPr>
              <w:spacing w:line="500" w:lineRule="exact"/>
              <w:ind w:firstLine="420" w:firstLineChars="200"/>
              <w:contextualSpacing/>
              <w:rPr>
                <w:color w:val="auto"/>
                <w:szCs w:val="21"/>
                <w:highlight w:val="none"/>
              </w:rPr>
            </w:pPr>
            <w:r>
              <w:rPr>
                <w:rFonts w:hint="eastAsia" w:ascii="Segoe UI Symbol" w:hAnsi="Segoe UI Symbol" w:cs="Segoe UI Symbol"/>
                <w:color w:val="auto"/>
                <w:szCs w:val="21"/>
                <w:highlight w:val="none"/>
              </w:rPr>
              <w:t>□由谈判小组推荐代表随机抽取。</w:t>
            </w:r>
          </w:p>
        </w:tc>
      </w:tr>
      <w:tr w14:paraId="4F6B7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1" w:type="dxa"/>
            <w:vAlign w:val="center"/>
          </w:tcPr>
          <w:p w14:paraId="74BE64B6">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28.1</w:t>
            </w:r>
          </w:p>
        </w:tc>
        <w:tc>
          <w:tcPr>
            <w:tcW w:w="8181" w:type="dxa"/>
            <w:vAlign w:val="center"/>
          </w:tcPr>
          <w:p w14:paraId="472A8AA9">
            <w:pPr>
              <w:autoSpaceDE w:val="0"/>
              <w:autoSpaceDN w:val="0"/>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本项目不收取履约保证金。</w:t>
            </w:r>
          </w:p>
          <w:p w14:paraId="06041AB6">
            <w:pPr>
              <w:pStyle w:val="8"/>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sym w:font="Wingdings" w:char="00FE"/>
            </w:r>
            <w:r>
              <w:rPr>
                <w:rFonts w:hint="eastAsia" w:ascii="宋体" w:hAnsi="宋体" w:cs="宋体"/>
                <w:color w:val="auto"/>
                <w:szCs w:val="21"/>
                <w:highlight w:val="none"/>
              </w:rPr>
              <w:t>本项目收取履约保证金：详见合同条款内容。</w:t>
            </w:r>
          </w:p>
          <w:p w14:paraId="6A0D69A3">
            <w:pPr>
              <w:autoSpaceDE w:val="0"/>
              <w:autoSpaceDN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履约保证金递交方式：详见见合同条款内容。</w:t>
            </w:r>
          </w:p>
          <w:p w14:paraId="463B7E58">
            <w:pPr>
              <w:autoSpaceDE w:val="0"/>
              <w:autoSpaceDN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履约保证金退付方式、时间及条件详见见合同条款内容。</w:t>
            </w:r>
          </w:p>
          <w:p w14:paraId="01CD9608">
            <w:pPr>
              <w:autoSpaceDE w:val="0"/>
              <w:autoSpaceDN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【备注】</w:t>
            </w:r>
          </w:p>
          <w:p w14:paraId="5C160181">
            <w:pPr>
              <w:autoSpaceDE w:val="0"/>
              <w:autoSpaceDN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根据《广西壮族自治区财政厅关于持续优化政府采购营商环境推动高质量发展的通知》（桂财采〔2024〕55号），采购文件要求中标人或者成交供应商提交履约保证金的，履约保证金数额不得超过政府采购合同金额的5%，对中小企业收取的履约保证金数额不得超过政府采购合同金额的2%。</w:t>
            </w:r>
          </w:p>
          <w:p w14:paraId="3A5DFC33">
            <w:pPr>
              <w:autoSpaceDE w:val="0"/>
              <w:autoSpaceDN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2.履约保证金必须足额缴纳，或出具的保函额度必须足额且保函有效期不能低于合同履行期限（即签订采购合同之日起至履行完合同约定的权利及义务之日止），否则视为无效履约保证金。</w:t>
            </w:r>
          </w:p>
          <w:p w14:paraId="15430CA5">
            <w:pPr>
              <w:autoSpaceDE w:val="0"/>
              <w:autoSpaceDN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3.采用保函的，必须为无条件保函，否则视为无效履约保证金。</w:t>
            </w:r>
          </w:p>
          <w:p w14:paraId="55D45FC9">
            <w:pPr>
              <w:autoSpaceDE w:val="0"/>
              <w:autoSpaceDN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4.供应商为联合体的，由联合体任意一方按规定提交的履约保证金，视为有效履约保证金。</w:t>
            </w:r>
          </w:p>
        </w:tc>
      </w:tr>
      <w:tr w14:paraId="77300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991" w:type="dxa"/>
            <w:vAlign w:val="center"/>
          </w:tcPr>
          <w:p w14:paraId="68D4C018">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29.1</w:t>
            </w:r>
          </w:p>
        </w:tc>
        <w:tc>
          <w:tcPr>
            <w:tcW w:w="8181" w:type="dxa"/>
            <w:vAlign w:val="center"/>
          </w:tcPr>
          <w:p w14:paraId="44DA3AF3">
            <w:pPr>
              <w:autoSpaceDE w:val="0"/>
              <w:autoSpaceDN w:val="0"/>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签订合同携带的证明材料： </w:t>
            </w:r>
          </w:p>
          <w:p w14:paraId="03145B24">
            <w:pPr>
              <w:autoSpaceDE w:val="0"/>
              <w:autoSpaceDN w:val="0"/>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bCs/>
                <w:color w:val="auto"/>
                <w:szCs w:val="21"/>
                <w:highlight w:val="none"/>
              </w:rPr>
              <w:t>.</w:t>
            </w:r>
            <w:r>
              <w:rPr>
                <w:rFonts w:hint="eastAsia" w:ascii="宋体" w:hAnsi="宋体" w:cs="宋体"/>
                <w:color w:val="auto"/>
                <w:szCs w:val="21"/>
                <w:highlight w:val="none"/>
              </w:rPr>
              <w:t>委托代理人负责签订合同的，须携带授权委托书及委托代理人身份证原件等其他资格证件。</w:t>
            </w:r>
          </w:p>
          <w:p w14:paraId="3EF925E8">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w:t>
            </w:r>
            <w:r>
              <w:rPr>
                <w:rFonts w:hint="eastAsia" w:ascii="宋体" w:hAnsi="宋体" w:cs="宋体"/>
                <w:color w:val="auto"/>
                <w:szCs w:val="21"/>
                <w:highlight w:val="none"/>
              </w:rPr>
              <w:t>法定代表人负责签订合同的，须携带法定代表人身份证明原件及身份证原件等其他证明材料。</w:t>
            </w:r>
          </w:p>
        </w:tc>
      </w:tr>
      <w:tr w14:paraId="35741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jc w:val="center"/>
        </w:trPr>
        <w:tc>
          <w:tcPr>
            <w:tcW w:w="991" w:type="dxa"/>
            <w:vAlign w:val="center"/>
          </w:tcPr>
          <w:p w14:paraId="088D6EC7">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31.2</w:t>
            </w:r>
          </w:p>
        </w:tc>
        <w:tc>
          <w:tcPr>
            <w:tcW w:w="8181" w:type="dxa"/>
            <w:vAlign w:val="center"/>
          </w:tcPr>
          <w:p w14:paraId="34DF855C">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接收质疑函方式：以纸质书面形式。</w:t>
            </w:r>
          </w:p>
          <w:p w14:paraId="7E0BF5AE">
            <w:pPr>
              <w:pStyle w:val="17"/>
              <w:snapToGrid w:val="0"/>
              <w:spacing w:line="500" w:lineRule="exact"/>
              <w:ind w:firstLine="420" w:firstLineChars="200"/>
              <w:rPr>
                <w:rFonts w:hAnsi="宋体" w:cs="宋体"/>
                <w:color w:val="auto"/>
                <w:sz w:val="21"/>
                <w:highlight w:val="none"/>
              </w:rPr>
            </w:pPr>
            <w:r>
              <w:rPr>
                <w:rFonts w:hint="eastAsia" w:hAnsi="宋体" w:cs="宋体"/>
                <w:color w:val="auto"/>
                <w:kern w:val="2"/>
                <w:sz w:val="21"/>
                <w:highlight w:val="none"/>
              </w:rPr>
              <w:t>质疑联系部门及联系方式：广西达成咨询有限公司</w:t>
            </w:r>
          </w:p>
          <w:p w14:paraId="2BDD1D8E">
            <w:pPr>
              <w:pStyle w:val="17"/>
              <w:snapToGrid w:val="0"/>
              <w:spacing w:line="500" w:lineRule="exact"/>
              <w:ind w:firstLine="420" w:firstLineChars="200"/>
              <w:rPr>
                <w:rFonts w:hAnsi="宋体" w:cs="宋体"/>
                <w:color w:val="auto"/>
                <w:sz w:val="21"/>
                <w:highlight w:val="none"/>
              </w:rPr>
            </w:pPr>
            <w:r>
              <w:rPr>
                <w:rFonts w:hint="eastAsia" w:hAnsi="宋体" w:cs="宋体"/>
                <w:color w:val="auto"/>
                <w:sz w:val="21"/>
                <w:highlight w:val="none"/>
              </w:rPr>
              <w:t>质疑联系人：毛崇文；联系电话：0773-3569998</w:t>
            </w:r>
          </w:p>
          <w:p w14:paraId="5CC3A87A">
            <w:pPr>
              <w:pStyle w:val="17"/>
              <w:snapToGrid w:val="0"/>
              <w:spacing w:line="500" w:lineRule="exact"/>
              <w:ind w:firstLine="420" w:firstLineChars="200"/>
              <w:rPr>
                <w:rFonts w:hAnsi="宋体" w:cs="宋体"/>
                <w:color w:val="auto"/>
                <w:sz w:val="21"/>
                <w:highlight w:val="none"/>
              </w:rPr>
            </w:pPr>
            <w:r>
              <w:rPr>
                <w:rFonts w:hint="eastAsia" w:hAnsi="宋体" w:cs="宋体"/>
                <w:color w:val="auto"/>
                <w:sz w:val="21"/>
                <w:highlight w:val="none"/>
              </w:rPr>
              <w:t>通讯地址：桂林市滨江路18号滨江大厦5楼</w:t>
            </w:r>
          </w:p>
          <w:p w14:paraId="59232CA1">
            <w:pPr>
              <w:pStyle w:val="17"/>
              <w:snapToGrid w:val="0"/>
              <w:spacing w:line="500" w:lineRule="exact"/>
              <w:ind w:firstLine="420" w:firstLineChars="200"/>
              <w:rPr>
                <w:rFonts w:hAnsi="宋体" w:cs="宋体"/>
                <w:color w:val="auto"/>
                <w:kern w:val="2"/>
                <w:sz w:val="21"/>
                <w:highlight w:val="none"/>
              </w:rPr>
            </w:pPr>
            <w:r>
              <w:rPr>
                <w:rFonts w:hint="eastAsia" w:hAnsi="宋体" w:cs="宋体"/>
                <w:color w:val="auto"/>
                <w:sz w:val="21"/>
                <w:highlight w:val="none"/>
              </w:rPr>
              <w:t>业务时间：工作日（上午9:00-12:00；下午15:00-18:00）。</w:t>
            </w:r>
          </w:p>
        </w:tc>
      </w:tr>
      <w:tr w14:paraId="320AF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991" w:type="dxa"/>
            <w:vAlign w:val="center"/>
          </w:tcPr>
          <w:p w14:paraId="413B9275">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32.1</w:t>
            </w:r>
          </w:p>
        </w:tc>
        <w:tc>
          <w:tcPr>
            <w:tcW w:w="8181" w:type="dxa"/>
            <w:vAlign w:val="center"/>
          </w:tcPr>
          <w:p w14:paraId="256E6D18">
            <w:pPr>
              <w:pStyle w:val="17"/>
              <w:snapToGrid w:val="0"/>
              <w:spacing w:line="500" w:lineRule="exact"/>
              <w:ind w:firstLine="420" w:firstLineChars="200"/>
              <w:rPr>
                <w:rFonts w:hAnsi="宋体" w:cs="宋体"/>
                <w:color w:val="auto"/>
                <w:sz w:val="21"/>
                <w:highlight w:val="none"/>
              </w:rPr>
            </w:pPr>
            <w:r>
              <w:rPr>
                <w:rFonts w:hint="eastAsia" w:hAnsi="宋体" w:cs="宋体"/>
                <w:color w:val="auto"/>
                <w:sz w:val="21"/>
                <w:highlight w:val="none"/>
              </w:rPr>
              <w:t>1.采购代理服务费支付方式：本项目的采购代理服务费按以下收费标准向成交供应商收取。领取成交通知书前，成交供应商应向采购代理机构一次付清采购代理服务费，否则采购代理机构有权不予以办理。</w:t>
            </w:r>
          </w:p>
          <w:p w14:paraId="1BECB8E0">
            <w:pPr>
              <w:pStyle w:val="17"/>
              <w:snapToGrid w:val="0"/>
              <w:spacing w:line="500" w:lineRule="exact"/>
              <w:ind w:firstLine="420" w:firstLineChars="200"/>
              <w:rPr>
                <w:rFonts w:hAnsi="宋体" w:cs="宋体"/>
                <w:color w:val="auto"/>
                <w:sz w:val="21"/>
                <w:highlight w:val="none"/>
              </w:rPr>
            </w:pPr>
            <w:r>
              <w:rPr>
                <w:rFonts w:hint="eastAsia" w:hAnsi="宋体" w:cs="宋体"/>
                <w:color w:val="auto"/>
                <w:sz w:val="21"/>
                <w:highlight w:val="none"/>
              </w:rPr>
              <w:t>2</w:t>
            </w:r>
            <w:r>
              <w:rPr>
                <w:rFonts w:hint="eastAsia" w:hAnsi="宋体" w:cs="宋体"/>
                <w:bCs/>
                <w:color w:val="auto"/>
                <w:sz w:val="21"/>
                <w:highlight w:val="none"/>
              </w:rPr>
              <w:t>.</w:t>
            </w:r>
            <w:r>
              <w:rPr>
                <w:rFonts w:hint="eastAsia" w:hAnsi="宋体" w:cs="宋体"/>
                <w:color w:val="auto"/>
                <w:sz w:val="21"/>
                <w:highlight w:val="none"/>
              </w:rPr>
              <w:t>采购代理服务费收取标准：按国家发展计划委员会文件关于印发《招标代理服务收费管理暂行办法》的通知（计价格〔2002〕1980号）和《国家发展改革委关于降低部分建设项目收费标准规范收费行为等有关问题的通知》（发改价格〔2011〕534号）的收费标准收取服务费。</w:t>
            </w:r>
          </w:p>
          <w:p w14:paraId="637D3B58">
            <w:pPr>
              <w:pStyle w:val="17"/>
              <w:snapToGrid w:val="0"/>
              <w:spacing w:line="500" w:lineRule="exact"/>
              <w:ind w:firstLine="422" w:firstLineChars="200"/>
              <w:rPr>
                <w:rFonts w:hAnsi="宋体" w:cs="宋体"/>
                <w:b/>
                <w:bCs/>
                <w:color w:val="auto"/>
                <w:sz w:val="21"/>
                <w:highlight w:val="none"/>
              </w:rPr>
            </w:pPr>
            <w:r>
              <w:rPr>
                <w:rFonts w:hint="eastAsia" w:hAnsi="宋体" w:cs="宋体"/>
                <w:b/>
                <w:bCs/>
                <w:color w:val="auto"/>
                <w:sz w:val="21"/>
                <w:highlight w:val="none"/>
              </w:rPr>
              <w:t>3</w:t>
            </w:r>
            <w:r>
              <w:rPr>
                <w:rFonts w:hint="eastAsia" w:hAnsi="宋体" w:cs="宋体"/>
                <w:bCs/>
                <w:color w:val="auto"/>
                <w:sz w:val="21"/>
                <w:highlight w:val="none"/>
              </w:rPr>
              <w:t>.</w:t>
            </w:r>
            <w:r>
              <w:rPr>
                <w:rFonts w:hint="eastAsia" w:hAnsi="宋体" w:cs="宋体"/>
                <w:b/>
                <w:bCs/>
                <w:color w:val="auto"/>
                <w:sz w:val="21"/>
                <w:highlight w:val="none"/>
              </w:rPr>
              <w:t>采购代理服务费专用银行信息：</w:t>
            </w:r>
          </w:p>
          <w:p w14:paraId="565A943B">
            <w:pPr>
              <w:pStyle w:val="17"/>
              <w:snapToGrid w:val="0"/>
              <w:spacing w:line="500" w:lineRule="exact"/>
              <w:ind w:firstLine="422" w:firstLineChars="200"/>
              <w:rPr>
                <w:rFonts w:hAnsi="宋体" w:cs="宋体"/>
                <w:b/>
                <w:bCs/>
                <w:color w:val="auto"/>
                <w:sz w:val="21"/>
                <w:highlight w:val="none"/>
              </w:rPr>
            </w:pPr>
            <w:r>
              <w:rPr>
                <w:rFonts w:hint="eastAsia" w:hAnsi="宋体" w:cs="宋体"/>
                <w:b/>
                <w:bCs/>
                <w:color w:val="auto"/>
                <w:sz w:val="21"/>
                <w:highlight w:val="none"/>
              </w:rPr>
              <w:t>开户名称：广西达成咨询有限公司第十一分公司</w:t>
            </w:r>
          </w:p>
          <w:p w14:paraId="6BF57F89">
            <w:pPr>
              <w:pStyle w:val="17"/>
              <w:snapToGrid w:val="0"/>
              <w:spacing w:line="500" w:lineRule="exact"/>
              <w:ind w:firstLine="422" w:firstLineChars="200"/>
              <w:rPr>
                <w:rFonts w:hAnsi="宋体" w:cs="宋体"/>
                <w:b/>
                <w:bCs/>
                <w:color w:val="auto"/>
                <w:sz w:val="21"/>
                <w:highlight w:val="none"/>
              </w:rPr>
            </w:pPr>
            <w:r>
              <w:rPr>
                <w:rFonts w:hint="eastAsia" w:hAnsi="宋体" w:cs="宋体"/>
                <w:b/>
                <w:bCs/>
                <w:color w:val="auto"/>
                <w:sz w:val="21"/>
                <w:highlight w:val="none"/>
              </w:rPr>
              <w:t>开户银行：桂林银行股份有限公司秀峰支行</w:t>
            </w:r>
          </w:p>
          <w:p w14:paraId="442A9E62">
            <w:pPr>
              <w:pStyle w:val="17"/>
              <w:snapToGrid w:val="0"/>
              <w:spacing w:line="500" w:lineRule="exact"/>
              <w:ind w:firstLine="422" w:firstLineChars="200"/>
              <w:rPr>
                <w:rFonts w:hAnsi="宋体" w:cs="宋体"/>
                <w:color w:val="auto"/>
                <w:sz w:val="21"/>
                <w:highlight w:val="none"/>
                <w:u w:val="single"/>
              </w:rPr>
            </w:pPr>
            <w:r>
              <w:rPr>
                <w:rFonts w:hint="eastAsia" w:hAnsi="宋体" w:cs="宋体"/>
                <w:b/>
                <w:bCs/>
                <w:color w:val="auto"/>
                <w:sz w:val="21"/>
                <w:highlight w:val="none"/>
              </w:rPr>
              <w:t>银行账号：660000022460000016</w:t>
            </w:r>
          </w:p>
        </w:tc>
      </w:tr>
      <w:tr w14:paraId="4F530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2" w:hRule="atLeast"/>
          <w:jc w:val="center"/>
        </w:trPr>
        <w:tc>
          <w:tcPr>
            <w:tcW w:w="991" w:type="dxa"/>
            <w:vAlign w:val="center"/>
          </w:tcPr>
          <w:p w14:paraId="6A23019D">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33.1</w:t>
            </w:r>
          </w:p>
        </w:tc>
        <w:tc>
          <w:tcPr>
            <w:tcW w:w="8181" w:type="dxa"/>
            <w:vAlign w:val="center"/>
          </w:tcPr>
          <w:p w14:paraId="5C01E24A">
            <w:pPr>
              <w:pStyle w:val="17"/>
              <w:snapToGrid w:val="0"/>
              <w:spacing w:line="500" w:lineRule="exact"/>
              <w:ind w:firstLine="420" w:firstLineChars="200"/>
              <w:rPr>
                <w:rFonts w:hAnsi="宋体" w:cs="宋体"/>
                <w:color w:val="auto"/>
                <w:sz w:val="21"/>
                <w:highlight w:val="none"/>
              </w:rPr>
            </w:pPr>
            <w:r>
              <w:rPr>
                <w:rFonts w:hint="eastAsia" w:hAnsi="宋体" w:cs="宋体"/>
                <w:color w:val="auto"/>
                <w:sz w:val="21"/>
                <w:highlight w:val="none"/>
              </w:rPr>
              <w:t>解释：构成本谈判文件的各个组成文件应互为解释，互为说明；除谈判文件中有特别规定外，仅适用于竞争性谈判阶段的规定，按更正公告（澄清公告）、竞争性谈判公告、供应商须知、采购需求、评审程序和评定成交的标准、响应文件格式、合同文本的先后顺序解释；同一组成文件中就同一事项的规定或约定不一致的，以编排顺序在后者为准；同一组成文件不同版本之间有不一致的，以形成时间在后者为准；更正公告（澄清公告）与同步更新的谈判文件不一致时以更正公告（澄清公告）为准。按本款前述规定仍不能形成结论的，由采购人或者采购代理机构负责解释。</w:t>
            </w:r>
          </w:p>
        </w:tc>
      </w:tr>
      <w:tr w14:paraId="26947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8" w:hRule="atLeast"/>
          <w:jc w:val="center"/>
        </w:trPr>
        <w:tc>
          <w:tcPr>
            <w:tcW w:w="991" w:type="dxa"/>
            <w:vAlign w:val="center"/>
          </w:tcPr>
          <w:p w14:paraId="402E089D">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33.2</w:t>
            </w:r>
          </w:p>
        </w:tc>
        <w:tc>
          <w:tcPr>
            <w:tcW w:w="8181" w:type="dxa"/>
            <w:vAlign w:val="center"/>
          </w:tcPr>
          <w:p w14:paraId="410D3385">
            <w:pPr>
              <w:pStyle w:val="17"/>
              <w:snapToGrid w:val="0"/>
              <w:spacing w:line="500" w:lineRule="exact"/>
              <w:ind w:firstLine="420" w:firstLineChars="200"/>
              <w:rPr>
                <w:rFonts w:hAnsi="宋体" w:cs="宋体"/>
                <w:color w:val="auto"/>
                <w:sz w:val="21"/>
                <w:highlight w:val="none"/>
              </w:rPr>
            </w:pPr>
            <w:r>
              <w:rPr>
                <w:rFonts w:hint="eastAsia" w:hAnsi="宋体" w:cs="宋体"/>
                <w:color w:val="auto"/>
                <w:sz w:val="21"/>
                <w:highlight w:val="none"/>
              </w:rPr>
              <w:t>1.本谈判文件中描述供应商的“公章”是指根据我国对公章的管理规定，用供应商法定主体名称制作的印章或供应商通过指定电子化政府采购平台办理数字证书（CA认证）获得的以法定主体名称制作的电子印章。除本谈判文件有特殊规定外，供应商的财务章、部门章、分公司章、工会章、合同章、竞争性谈判专用章、业务专用章及银行的转账章、现金收讫章、现金付讫章等其他形式印章均不能代替公章。</w:t>
            </w:r>
          </w:p>
          <w:p w14:paraId="327E4FE8">
            <w:pPr>
              <w:pStyle w:val="17"/>
              <w:snapToGrid w:val="0"/>
              <w:spacing w:line="500" w:lineRule="exact"/>
              <w:ind w:firstLine="420" w:firstLineChars="200"/>
              <w:rPr>
                <w:rFonts w:hAnsi="宋体" w:cs="宋体"/>
                <w:color w:val="auto"/>
                <w:sz w:val="21"/>
                <w:highlight w:val="none"/>
              </w:rPr>
            </w:pPr>
            <w:r>
              <w:rPr>
                <w:rFonts w:hint="eastAsia" w:hAnsi="宋体" w:cs="宋体"/>
                <w:color w:val="auto"/>
                <w:sz w:val="21"/>
                <w:highlight w:val="none"/>
              </w:rPr>
              <w:t>2.供应商为其他组织或者自然人时，本谈判文件规定的法定代表人指负责人或者自然人。本谈判文件所称负责人是指参加竞争性谈判的其他组织</w:t>
            </w:r>
            <w:r>
              <w:rPr>
                <w:rFonts w:hint="eastAsia" w:hAnsi="宋体" w:cs="宋体"/>
                <w:bCs/>
                <w:color w:val="auto"/>
                <w:sz w:val="21"/>
                <w:highlight w:val="none"/>
              </w:rPr>
              <w:t>营业执照或者执业许可证等证照上</w:t>
            </w:r>
            <w:r>
              <w:rPr>
                <w:rFonts w:hint="eastAsia" w:hAnsi="宋体" w:cs="宋体"/>
                <w:color w:val="auto"/>
                <w:sz w:val="21"/>
                <w:highlight w:val="none"/>
              </w:rPr>
              <w:t>的负责人，本谈判文件所称自然人指参与竞争性谈判的自然人本人，</w:t>
            </w:r>
            <w:r>
              <w:rPr>
                <w:rFonts w:hint="eastAsia" w:hAnsi="宋体" w:cs="宋体"/>
                <w:bCs/>
                <w:color w:val="auto"/>
                <w:sz w:val="21"/>
                <w:highlight w:val="none"/>
              </w:rPr>
              <w:t>且应具备独立承担民事责任能力，自然人应当为年满18岁以上成年人（十六周岁以上的未成年人，以自己的劳动收入为主要生活来源的，视为完全民事行为能力人）。</w:t>
            </w:r>
          </w:p>
          <w:p w14:paraId="32CC41E9">
            <w:pPr>
              <w:pStyle w:val="17"/>
              <w:snapToGrid w:val="0"/>
              <w:spacing w:line="500" w:lineRule="exact"/>
              <w:ind w:firstLine="420" w:firstLineChars="200"/>
              <w:rPr>
                <w:rFonts w:hAnsi="宋体" w:cs="宋体"/>
                <w:color w:val="auto"/>
                <w:sz w:val="21"/>
                <w:highlight w:val="none"/>
              </w:rPr>
            </w:pPr>
            <w:r>
              <w:rPr>
                <w:rFonts w:hint="eastAsia" w:hAnsi="宋体" w:cs="宋体"/>
                <w:color w:val="auto"/>
                <w:sz w:val="21"/>
                <w:highlight w:val="none"/>
              </w:rPr>
              <w:t>3.本谈判文件中描述供应商的“签字”是指供应商的法定代表人或者委托代理人在文件规定签署处签名或者指供应商通过指定电子化政府采购平台办理数字证书（CA认证）获得的以供应商法定代表人或者委托代理人姓名制作的电子印章签名的行为，私章、印鉴等其他形式均不能代替签字。</w:t>
            </w:r>
          </w:p>
          <w:p w14:paraId="3E18B422">
            <w:pPr>
              <w:pStyle w:val="17"/>
              <w:snapToGrid w:val="0"/>
              <w:spacing w:line="500" w:lineRule="exact"/>
              <w:ind w:firstLine="420" w:firstLineChars="200"/>
              <w:rPr>
                <w:rFonts w:hAnsi="宋体" w:cs="宋体"/>
                <w:color w:val="auto"/>
                <w:sz w:val="21"/>
                <w:highlight w:val="none"/>
              </w:rPr>
            </w:pPr>
            <w:r>
              <w:rPr>
                <w:rFonts w:hAnsi="宋体" w:cs="宋体"/>
                <w:color w:val="auto"/>
                <w:sz w:val="21"/>
                <w:highlight w:val="none"/>
              </w:rPr>
              <w:t>4</w:t>
            </w:r>
            <w:r>
              <w:rPr>
                <w:rFonts w:hint="eastAsia" w:hAnsi="宋体" w:cs="宋体"/>
                <w:color w:val="auto"/>
                <w:sz w:val="21"/>
                <w:highlight w:val="none"/>
              </w:rPr>
              <w:t>.本谈判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61095E2F">
            <w:pPr>
              <w:pStyle w:val="17"/>
              <w:snapToGrid w:val="0"/>
              <w:spacing w:line="500" w:lineRule="exact"/>
              <w:ind w:firstLine="420" w:firstLineChars="200"/>
              <w:rPr>
                <w:rFonts w:hAnsi="宋体" w:cs="宋体"/>
                <w:color w:val="auto"/>
                <w:sz w:val="21"/>
                <w:highlight w:val="none"/>
              </w:rPr>
            </w:pPr>
            <w:r>
              <w:rPr>
                <w:rFonts w:hAnsi="宋体" w:cs="宋体"/>
                <w:color w:val="auto"/>
                <w:sz w:val="21"/>
                <w:highlight w:val="none"/>
              </w:rPr>
              <w:t>5</w:t>
            </w:r>
            <w:r>
              <w:rPr>
                <w:rFonts w:hint="eastAsia" w:hAnsi="宋体" w:cs="宋体"/>
                <w:color w:val="auto"/>
                <w:sz w:val="21"/>
                <w:highlight w:val="none"/>
              </w:rPr>
              <w:t>.自然人参与竞争性谈判的，谈判文件规定盖章的地方自然人可以加盖手指指印。</w:t>
            </w:r>
          </w:p>
          <w:p w14:paraId="3F6F2969">
            <w:pPr>
              <w:pStyle w:val="17"/>
              <w:snapToGrid w:val="0"/>
              <w:spacing w:line="500" w:lineRule="exact"/>
              <w:ind w:firstLine="420" w:firstLineChars="200"/>
              <w:rPr>
                <w:rFonts w:hAnsi="宋体" w:cs="宋体"/>
                <w:color w:val="auto"/>
                <w:sz w:val="21"/>
                <w:highlight w:val="none"/>
              </w:rPr>
            </w:pPr>
            <w:r>
              <w:rPr>
                <w:rFonts w:hAnsi="宋体" w:cs="宋体"/>
                <w:color w:val="auto"/>
                <w:sz w:val="21"/>
                <w:highlight w:val="none"/>
              </w:rPr>
              <w:t>6</w:t>
            </w:r>
            <w:r>
              <w:rPr>
                <w:rFonts w:hint="eastAsia" w:hAnsi="宋体" w:cs="宋体"/>
                <w:color w:val="auto"/>
                <w:sz w:val="21"/>
                <w:highlight w:val="none"/>
              </w:rPr>
              <w:t>.本谈判文件所称的“以上”“以下”“以内”“届满”，包括本数；所称的“不满”“超过”“以外”，不包括本数。</w:t>
            </w:r>
          </w:p>
        </w:tc>
      </w:tr>
      <w:tr w14:paraId="2C336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8" w:hRule="atLeast"/>
          <w:jc w:val="center"/>
        </w:trPr>
        <w:tc>
          <w:tcPr>
            <w:tcW w:w="991" w:type="dxa"/>
            <w:vAlign w:val="center"/>
          </w:tcPr>
          <w:p w14:paraId="0EDB8BC1">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w:t>
            </w:r>
          </w:p>
        </w:tc>
        <w:tc>
          <w:tcPr>
            <w:tcW w:w="8181" w:type="dxa"/>
            <w:vAlign w:val="center"/>
          </w:tcPr>
          <w:p w14:paraId="48CD7FCF">
            <w:pPr>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监督部门：广西壮族自治区财政厅政府采购监督管理处</w:t>
            </w:r>
          </w:p>
          <w:p w14:paraId="667ABD23">
            <w:pPr>
              <w:spacing w:line="360" w:lineRule="auto"/>
              <w:jc w:val="left"/>
              <w:rPr>
                <w:rFonts w:hAnsi="宋体" w:cs="宋体"/>
                <w:color w:val="auto"/>
                <w:szCs w:val="21"/>
                <w:highlight w:val="none"/>
              </w:rPr>
            </w:pPr>
            <w:r>
              <w:rPr>
                <w:rFonts w:hint="eastAsia" w:ascii="宋体" w:hAnsi="宋体" w:cs="宋体"/>
                <w:bCs/>
                <w:color w:val="auto"/>
                <w:szCs w:val="21"/>
                <w:highlight w:val="none"/>
              </w:rPr>
              <w:t>监督联系电话：0771-5331544</w:t>
            </w:r>
          </w:p>
        </w:tc>
      </w:tr>
    </w:tbl>
    <w:p w14:paraId="279B3A1A">
      <w:pPr>
        <w:pStyle w:val="3"/>
        <w:jc w:val="center"/>
        <w:rPr>
          <w:rFonts w:ascii="宋体" w:hAnsi="宋体" w:cs="宋体"/>
          <w:color w:val="auto"/>
          <w:sz w:val="36"/>
          <w:szCs w:val="36"/>
          <w:highlight w:val="none"/>
        </w:rPr>
      </w:pPr>
      <w:r>
        <w:rPr>
          <w:rFonts w:hint="eastAsia" w:ascii="宋体" w:hAnsi="宋体" w:cs="宋体"/>
          <w:color w:val="auto"/>
          <w:highlight w:val="none"/>
        </w:rPr>
        <w:br w:type="page"/>
      </w:r>
      <w:bookmarkStart w:id="27" w:name="_Toc13486"/>
      <w:r>
        <w:rPr>
          <w:rFonts w:hint="eastAsia" w:ascii="宋体" w:hAnsi="宋体" w:cs="宋体"/>
          <w:color w:val="auto"/>
          <w:sz w:val="36"/>
          <w:szCs w:val="36"/>
          <w:highlight w:val="none"/>
        </w:rPr>
        <w:t>供应商须知正文</w:t>
      </w:r>
      <w:bookmarkEnd w:id="27"/>
    </w:p>
    <w:p w14:paraId="0910C4B3">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一、总则</w:t>
      </w:r>
    </w:p>
    <w:p w14:paraId="12CD4690">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1.适用范围</w:t>
      </w:r>
    </w:p>
    <w:p w14:paraId="6818B7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175634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本竞争性谈判采购文件（以下简称谈判文件）适用于本项目的所有采购程序和环节（法律、法规另有规定的，从其规定）。</w:t>
      </w:r>
    </w:p>
    <w:p w14:paraId="6121694E">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2.定义</w:t>
      </w:r>
    </w:p>
    <w:p w14:paraId="59D1AE6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2.1“采购人”是指依法进行采购的国家机关、事业单位、团体组织。</w:t>
      </w:r>
    </w:p>
    <w:p w14:paraId="5C1D6450">
      <w:pPr>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2.2“采购代理机构”</w:t>
      </w:r>
      <w:r>
        <w:rPr>
          <w:rFonts w:hint="eastAsia" w:ascii="宋体" w:hAnsi="宋体" w:cs="宋体"/>
          <w:b/>
          <w:color w:val="auto"/>
          <w:szCs w:val="21"/>
          <w:highlight w:val="none"/>
        </w:rPr>
        <w:t>是指政府采购集中采购机构和集中采购机构以外的采购代理机构。</w:t>
      </w:r>
    </w:p>
    <w:p w14:paraId="6E9E2D4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453CAD7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2.4“货物”是指各种形态和种类的物品，包括原材料、燃料、设备、产品等。</w:t>
      </w:r>
    </w:p>
    <w:p w14:paraId="43D703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w:t>
      </w:r>
      <w:r>
        <w:rPr>
          <w:rFonts w:hint="eastAsia" w:hAnsi="宋体" w:cs="宋体"/>
          <w:color w:val="auto"/>
          <w:szCs w:val="21"/>
          <w:highlight w:val="none"/>
        </w:rPr>
        <w:t>竞争性谈判</w:t>
      </w:r>
      <w:r>
        <w:rPr>
          <w:rFonts w:hint="eastAsia" w:ascii="宋体" w:hAnsi="宋体" w:cs="宋体"/>
          <w:color w:val="auto"/>
          <w:szCs w:val="21"/>
          <w:highlight w:val="none"/>
        </w:rPr>
        <w:t>”是指按照本项目竞争性谈判公告或者邀请函规定的方式供应商获取谈判文件、提交响应文件、经过谈判并希望获得标的的行为。</w:t>
      </w:r>
    </w:p>
    <w:p w14:paraId="2ABD50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2.6“售后服务” 是指包含但不限于供应商须承担的备品备件、包装、运输、装卸、保险、货到就位以及安装、调试、培训、保修和其他类似的义务。</w:t>
      </w:r>
    </w:p>
    <w:p w14:paraId="3BC005E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2.7“书面形式”是指合同书、信件和数据电文（包括电报、电传、传真、电子数据交换和电子邮件）等可以有形地表现所载内容的形式。</w:t>
      </w:r>
    </w:p>
    <w:p w14:paraId="50AE4E4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2.8“响应文件”</w:t>
      </w:r>
      <w:r>
        <w:rPr>
          <w:rFonts w:hint="eastAsia" w:ascii="宋体" w:hAnsi="宋体" w:cs="宋体"/>
          <w:color w:val="auto"/>
          <w:spacing w:val="-6"/>
          <w:szCs w:val="21"/>
          <w:highlight w:val="none"/>
        </w:rPr>
        <w:t>是指：供应商根据本谈判文件要求，编制包含报价、技术和服务等所有内容的文件。</w:t>
      </w:r>
    </w:p>
    <w:p w14:paraId="49FD9C7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 “实质性要求”是指采购需求中带“▲”的条款或者不能负偏离的条款或者已经指明不满足按响应文件按无效响应处理的条款。</w:t>
      </w:r>
    </w:p>
    <w:p w14:paraId="21691EB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2.10“正偏离”，是指响应文件对谈判文件“采购需求”中有关条款作出优于条款要求并有利于采购人的响应情形；</w:t>
      </w:r>
    </w:p>
    <w:p w14:paraId="58CBE18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2.11“负偏离”，是指响应文件对谈判文件“采购需求”中有关条款作出的响应不满足条款要求，导致采购人要求不能得到满足的情形。</w:t>
      </w:r>
    </w:p>
    <w:p w14:paraId="2098588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2.12“允许负偏离的条款”是指采购需求中的不属于“实质性要求”的条款。</w:t>
      </w:r>
    </w:p>
    <w:p w14:paraId="0F89146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2.13“首次报价”是指供应商提交的首次响应文件中的</w:t>
      </w:r>
      <w:r>
        <w:rPr>
          <w:rFonts w:hint="eastAsia" w:hAnsi="宋体" w:cs="宋体"/>
          <w:color w:val="auto"/>
          <w:szCs w:val="21"/>
          <w:highlight w:val="none"/>
        </w:rPr>
        <w:t>竞争性谈判</w:t>
      </w:r>
      <w:r>
        <w:rPr>
          <w:rFonts w:hint="eastAsia" w:ascii="宋体" w:hAnsi="宋体" w:cs="宋体"/>
          <w:color w:val="auto"/>
          <w:szCs w:val="21"/>
          <w:highlight w:val="none"/>
        </w:rPr>
        <w:t>报价。</w:t>
      </w:r>
    </w:p>
    <w:p w14:paraId="18DF7ED8">
      <w:pPr>
        <w:spacing w:line="360" w:lineRule="auto"/>
        <w:ind w:firstLine="422" w:firstLineChars="200"/>
        <w:contextualSpacing/>
        <w:rPr>
          <w:rFonts w:ascii="宋体" w:hAnsi="宋体" w:cs="宋体"/>
          <w:b/>
          <w:bCs/>
          <w:color w:val="auto"/>
          <w:szCs w:val="21"/>
          <w:highlight w:val="none"/>
        </w:rPr>
      </w:pPr>
      <w:r>
        <w:rPr>
          <w:rFonts w:hint="eastAsia" w:ascii="宋体" w:hAnsi="宋体" w:cs="宋体"/>
          <w:b/>
          <w:bCs/>
          <w:color w:val="auto"/>
          <w:szCs w:val="21"/>
          <w:highlight w:val="none"/>
        </w:rPr>
        <w:t>3.供应商的资格条件</w:t>
      </w:r>
    </w:p>
    <w:p w14:paraId="5111E162">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3600604B">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4.竞争性谈判费用</w:t>
      </w:r>
    </w:p>
    <w:p w14:paraId="477AE21B">
      <w:pPr>
        <w:spacing w:line="360" w:lineRule="auto"/>
        <w:ind w:firstLine="420" w:firstLineChars="200"/>
        <w:rPr>
          <w:rFonts w:ascii="宋体" w:hAnsi="宋体" w:cs="宋体"/>
          <w:color w:val="auto"/>
          <w:szCs w:val="21"/>
          <w:highlight w:val="none"/>
        </w:rPr>
      </w:pPr>
      <w:r>
        <w:rPr>
          <w:rFonts w:hint="eastAsia" w:hAnsi="宋体" w:cs="宋体"/>
          <w:color w:val="auto"/>
          <w:szCs w:val="21"/>
          <w:highlight w:val="none"/>
        </w:rPr>
        <w:t>竞争性谈判</w:t>
      </w:r>
      <w:r>
        <w:rPr>
          <w:rFonts w:hint="eastAsia" w:ascii="宋体" w:hAnsi="宋体" w:cs="宋体"/>
          <w:color w:val="auto"/>
          <w:szCs w:val="21"/>
          <w:highlight w:val="none"/>
        </w:rPr>
        <w:t>费用：供应商应承担参与本次采购活动有关的所有费用，包括但不限于获取谈判文件、勘查现场、编制和提交响应文件、参加谈判与应答、签订合同等，不论</w:t>
      </w:r>
      <w:r>
        <w:rPr>
          <w:rFonts w:hint="eastAsia" w:hAnsi="宋体" w:cs="宋体"/>
          <w:color w:val="auto"/>
          <w:szCs w:val="21"/>
          <w:highlight w:val="none"/>
        </w:rPr>
        <w:t>竞争性谈判</w:t>
      </w:r>
      <w:r>
        <w:rPr>
          <w:rFonts w:hint="eastAsia" w:ascii="宋体" w:hAnsi="宋体" w:cs="宋体"/>
          <w:color w:val="auto"/>
          <w:szCs w:val="21"/>
          <w:highlight w:val="none"/>
        </w:rPr>
        <w:t>结果如何，均应自行承担。</w:t>
      </w:r>
    </w:p>
    <w:p w14:paraId="5040FCE0">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5.联合体参与竞争性谈判</w:t>
      </w:r>
    </w:p>
    <w:p w14:paraId="6831F9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5.1本项目是否接受联合体参与</w:t>
      </w:r>
      <w:r>
        <w:rPr>
          <w:rFonts w:hint="eastAsia" w:hAnsi="宋体" w:cs="宋体"/>
          <w:color w:val="auto"/>
          <w:szCs w:val="21"/>
          <w:highlight w:val="none"/>
        </w:rPr>
        <w:t>竞争性谈判</w:t>
      </w:r>
      <w:r>
        <w:rPr>
          <w:rFonts w:hint="eastAsia" w:ascii="宋体" w:hAnsi="宋体" w:cs="宋体"/>
          <w:color w:val="auto"/>
          <w:szCs w:val="21"/>
          <w:highlight w:val="none"/>
        </w:rPr>
        <w:t>，详见“供应商须知前附表”。</w:t>
      </w:r>
    </w:p>
    <w:p w14:paraId="6047864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bCs/>
          <w:color w:val="auto"/>
          <w:szCs w:val="21"/>
          <w:highlight w:val="none"/>
        </w:rPr>
        <w:t>如接受联合体参与</w:t>
      </w:r>
      <w:r>
        <w:rPr>
          <w:rFonts w:hint="eastAsia" w:hAnsi="宋体" w:cs="宋体"/>
          <w:color w:val="auto"/>
          <w:szCs w:val="21"/>
          <w:highlight w:val="none"/>
        </w:rPr>
        <w:t>竞争性谈判</w:t>
      </w:r>
      <w:r>
        <w:rPr>
          <w:rFonts w:hint="eastAsia" w:ascii="宋体" w:hAnsi="宋体" w:cs="宋体"/>
          <w:bCs/>
          <w:color w:val="auto"/>
          <w:szCs w:val="21"/>
          <w:highlight w:val="none"/>
        </w:rPr>
        <w:t>，</w:t>
      </w:r>
      <w:r>
        <w:rPr>
          <w:rFonts w:hint="eastAsia" w:ascii="宋体" w:hAnsi="宋体" w:cs="宋体"/>
          <w:color w:val="auto"/>
          <w:szCs w:val="21"/>
          <w:highlight w:val="none"/>
        </w:rPr>
        <w:t>具体要求详见“供应商须知前附表”。</w:t>
      </w:r>
    </w:p>
    <w:p w14:paraId="116518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w:t>
      </w:r>
      <w:bookmarkStart w:id="28" w:name="_Hlk65857072"/>
      <w:r>
        <w:rPr>
          <w:rFonts w:hint="eastAsia" w:ascii="宋体" w:hAnsi="宋体" w:cs="宋体"/>
          <w:color w:val="auto"/>
          <w:szCs w:val="21"/>
          <w:highlight w:val="none"/>
        </w:rPr>
        <w:t>根据《政府采购促进中小企业发展管理办法》（财库〔2020〕46号）第九条第二款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28"/>
    </w:p>
    <w:p w14:paraId="2EC1AE92">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6.转包与分包</w:t>
      </w:r>
    </w:p>
    <w:p w14:paraId="5752DE25">
      <w:pPr>
        <w:spacing w:line="360" w:lineRule="auto"/>
        <w:ind w:firstLine="420" w:firstLineChars="200"/>
        <w:rPr>
          <w:rFonts w:ascii="宋体" w:hAnsi="宋体" w:cs="宋体"/>
          <w:color w:val="auto"/>
          <w:szCs w:val="21"/>
          <w:highlight w:val="none"/>
        </w:rPr>
      </w:pPr>
      <w:bookmarkStart w:id="29" w:name="_Toc254970673"/>
      <w:bookmarkStart w:id="30" w:name="_Toc254970532"/>
      <w:r>
        <w:rPr>
          <w:rFonts w:hint="eastAsia" w:ascii="宋体" w:hAnsi="宋体" w:cs="宋体"/>
          <w:color w:val="auto"/>
          <w:szCs w:val="21"/>
          <w:highlight w:val="none"/>
        </w:rPr>
        <w:t>6.1本项目不允许转包。</w:t>
      </w:r>
    </w:p>
    <w:p w14:paraId="212119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0DE561D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6.3供应商根据谈判文件的规定和采购项目的实际情况，拟在成交后将成交项目的非主体、非关键性工作分包的，应当在响应文件中载明分包承担主体，分包承担主体应当具备相应资质条件且不得再次分包。</w:t>
      </w:r>
    </w:p>
    <w:p w14:paraId="5404E7EB">
      <w:pP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7.特别说明</w:t>
      </w:r>
      <w:bookmarkEnd w:id="29"/>
      <w:bookmarkEnd w:id="30"/>
      <w:bookmarkStart w:id="31" w:name="_8.1提供相同品牌产品且通过资格审查、符合性审查的不同投标人参加同一合"/>
      <w:bookmarkEnd w:id="31"/>
    </w:p>
    <w:p w14:paraId="75832B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1</w:t>
      </w:r>
      <w:r>
        <w:rPr>
          <w:rFonts w:hint="eastAsia" w:ascii="宋体" w:hAnsi="宋体" w:cs="宋体"/>
          <w:color w:val="auto"/>
          <w:szCs w:val="21"/>
          <w:highlight w:val="none"/>
        </w:rPr>
        <w:t>如果本谈判文件要求提供供应商或制造商的资格、信誉、荣誉、业绩与企业认证等材料的，资格、信誉、荣誉、业绩与企业认证等必须为供应商或者制造商所拥有或自身获得。</w:t>
      </w:r>
    </w:p>
    <w:p w14:paraId="441ADAB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2</w:t>
      </w:r>
      <w:r>
        <w:rPr>
          <w:rFonts w:hint="eastAsia" w:ascii="宋体" w:hAnsi="宋体" w:cs="宋体"/>
          <w:color w:val="auto"/>
          <w:szCs w:val="21"/>
          <w:highlight w:val="none"/>
        </w:rPr>
        <w:t>供应商应仔细阅读谈判文件的所有内容，按照谈判文件的要求提交响应文件，并对所提供的全部资料的真实性承担法律责任。</w:t>
      </w:r>
    </w:p>
    <w:p w14:paraId="5544B79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3</w:t>
      </w:r>
      <w:r>
        <w:rPr>
          <w:rFonts w:hint="eastAsia" w:ascii="宋体" w:hAnsi="宋体" w:cs="宋体"/>
          <w:color w:val="auto"/>
          <w:szCs w:val="21"/>
          <w:highlight w:val="none"/>
        </w:rPr>
        <w:t>供应商在参与</w:t>
      </w:r>
      <w:r>
        <w:rPr>
          <w:rFonts w:hint="eastAsia" w:hAnsi="宋体" w:cs="宋体"/>
          <w:color w:val="auto"/>
          <w:szCs w:val="21"/>
          <w:highlight w:val="none"/>
        </w:rPr>
        <w:t>竞争性谈判</w:t>
      </w:r>
      <w:r>
        <w:rPr>
          <w:rFonts w:hint="eastAsia" w:ascii="宋体" w:hAnsi="宋体" w:cs="宋体"/>
          <w:color w:val="auto"/>
          <w:szCs w:val="21"/>
          <w:highlight w:val="none"/>
        </w:rPr>
        <w:t>活动中提供</w:t>
      </w:r>
      <w:r>
        <w:rPr>
          <w:rFonts w:hint="eastAsia" w:ascii="宋体" w:hAnsi="宋体"/>
          <w:color w:val="auto"/>
          <w:szCs w:val="21"/>
          <w:highlight w:val="none"/>
        </w:rPr>
        <w:t>虚假承诺、虚假检测报告等</w:t>
      </w:r>
      <w:r>
        <w:rPr>
          <w:rFonts w:hint="eastAsia" w:ascii="宋体" w:hAnsi="宋体" w:cs="宋体"/>
          <w:color w:val="auto"/>
          <w:szCs w:val="21"/>
          <w:highlight w:val="none"/>
        </w:rPr>
        <w:t>任何虚假材料,其响应文件按无效响应处理，并报监管部门查处；签订合同后</w:t>
      </w:r>
      <w:bookmarkStart w:id="32" w:name="_Hlk207204138"/>
      <w:r>
        <w:rPr>
          <w:rFonts w:hint="eastAsia" w:ascii="宋体" w:hAnsi="宋体" w:cs="宋体"/>
          <w:color w:val="auto"/>
          <w:szCs w:val="21"/>
          <w:highlight w:val="none"/>
        </w:rPr>
        <w:t>发现此类情况</w:t>
      </w:r>
      <w:bookmarkEnd w:id="32"/>
      <w:r>
        <w:rPr>
          <w:rFonts w:hint="eastAsia" w:ascii="宋体" w:hAnsi="宋体" w:cs="宋体"/>
          <w:color w:val="auto"/>
          <w:szCs w:val="21"/>
          <w:highlight w:val="none"/>
        </w:rPr>
        <w:t>的, 采购人有权单方解除合同，成交供应商须依法赔偿采购人，且民事赔偿并不免除违法供应商的行政与刑事责任，采购人</w:t>
      </w:r>
      <w:r>
        <w:rPr>
          <w:rFonts w:hint="eastAsia" w:ascii="宋体" w:hAnsi="宋体"/>
          <w:color w:val="auto"/>
          <w:szCs w:val="21"/>
          <w:highlight w:val="none"/>
        </w:rPr>
        <w:t>保留进一步追究责任的权利。</w:t>
      </w:r>
    </w:p>
    <w:p w14:paraId="48448016">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7.</w:t>
      </w:r>
      <w:r>
        <w:rPr>
          <w:rFonts w:ascii="宋体" w:hAnsi="宋体" w:cs="宋体"/>
          <w:b/>
          <w:bCs/>
          <w:color w:val="auto"/>
          <w:szCs w:val="21"/>
          <w:highlight w:val="none"/>
        </w:rPr>
        <w:t>4</w:t>
      </w:r>
      <w:r>
        <w:rPr>
          <w:rFonts w:hint="eastAsia" w:ascii="宋体" w:hAnsi="宋体" w:cs="宋体"/>
          <w:b/>
          <w:bCs/>
          <w:color w:val="auto"/>
          <w:szCs w:val="21"/>
          <w:highlight w:val="none"/>
        </w:rPr>
        <w:t>在政府采购活动中，采购人员及相关人员与供应商有下列利害关系之一的，应当回避：</w:t>
      </w:r>
    </w:p>
    <w:p w14:paraId="06F2B07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2768DB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7CC0BE9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095C5D8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377DDB2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724CC3A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5FAB3C4">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7.</w:t>
      </w:r>
      <w:r>
        <w:rPr>
          <w:rFonts w:ascii="宋体" w:hAnsi="宋体" w:cs="宋体"/>
          <w:b/>
          <w:bCs/>
          <w:color w:val="auto"/>
          <w:szCs w:val="21"/>
          <w:highlight w:val="none"/>
        </w:rPr>
        <w:t>5</w:t>
      </w:r>
      <w:r>
        <w:rPr>
          <w:rFonts w:hint="eastAsia" w:ascii="宋体" w:hAnsi="宋体" w:cs="宋体"/>
          <w:b/>
          <w:bCs/>
          <w:color w:val="auto"/>
          <w:szCs w:val="21"/>
          <w:highlight w:val="none"/>
        </w:rPr>
        <w:t>有下列情形之一的视为供应商相互串通参与</w:t>
      </w:r>
      <w:r>
        <w:rPr>
          <w:rFonts w:hint="eastAsia" w:hAnsi="宋体" w:cs="宋体"/>
          <w:b/>
          <w:bCs/>
          <w:color w:val="auto"/>
          <w:szCs w:val="21"/>
          <w:highlight w:val="none"/>
        </w:rPr>
        <w:t>竞争性谈判</w:t>
      </w:r>
      <w:r>
        <w:rPr>
          <w:rFonts w:hint="eastAsia" w:ascii="宋体" w:hAnsi="宋体" w:cs="宋体"/>
          <w:b/>
          <w:bCs/>
          <w:color w:val="auto"/>
          <w:szCs w:val="21"/>
          <w:highlight w:val="none"/>
        </w:rPr>
        <w:t>，响应文件将被视为无效：</w:t>
      </w:r>
    </w:p>
    <w:p w14:paraId="79E21BD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（1）不同供应商的响应文件由同一单位或者个人编制；或不同供应商报名的IP地址一致的；或者编制响应文件硬件设备CPU编号、硬盘编号、网卡地址一致的情况；</w:t>
      </w:r>
    </w:p>
    <w:p w14:paraId="0B69CD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w:t>
      </w:r>
      <w:r>
        <w:rPr>
          <w:rFonts w:hint="eastAsia" w:hAnsi="宋体" w:cs="宋体"/>
          <w:color w:val="auto"/>
          <w:szCs w:val="21"/>
          <w:highlight w:val="none"/>
        </w:rPr>
        <w:t>竞争性谈判</w:t>
      </w:r>
      <w:r>
        <w:rPr>
          <w:rFonts w:hint="eastAsia" w:ascii="宋体" w:hAnsi="宋体" w:cs="宋体"/>
          <w:color w:val="auto"/>
          <w:szCs w:val="21"/>
          <w:highlight w:val="none"/>
        </w:rPr>
        <w:t>事宜；</w:t>
      </w:r>
    </w:p>
    <w:p w14:paraId="74F520E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7AFBAD9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243F168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23510EF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（6）不同供应商的谈判保证金从同一单位或者个人账户转出；</w:t>
      </w:r>
    </w:p>
    <w:p w14:paraId="3A774C2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（7）供应商之间协商报价等响应文件的实质性内容；</w:t>
      </w:r>
    </w:p>
    <w:p w14:paraId="0DB1A71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（8）供应商之间约定成交供应商；</w:t>
      </w:r>
    </w:p>
    <w:p w14:paraId="73643AA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（9）供应商之间约定部分供应商放弃参与竞争性谈判或者成交；</w:t>
      </w:r>
    </w:p>
    <w:p w14:paraId="672A167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（10）属于同一集团、协会、商会等组织成员的供应商按照该组织要求协同参与竞争性谈判；</w:t>
      </w:r>
    </w:p>
    <w:p w14:paraId="4D6E6C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（11）供应商之间为谋取成交或者排斥特定供应商而采取的其他联合行动。</w:t>
      </w:r>
    </w:p>
    <w:p w14:paraId="77B706B8">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7.</w:t>
      </w:r>
      <w:r>
        <w:rPr>
          <w:rFonts w:ascii="宋体" w:hAnsi="宋体" w:cs="宋体"/>
          <w:b/>
          <w:bCs/>
          <w:color w:val="auto"/>
          <w:szCs w:val="21"/>
          <w:highlight w:val="none"/>
        </w:rPr>
        <w:t>6</w:t>
      </w:r>
      <w:r>
        <w:rPr>
          <w:rFonts w:hint="eastAsia" w:ascii="宋体" w:hAnsi="宋体" w:cs="宋体"/>
          <w:b/>
          <w:bCs/>
          <w:color w:val="auto"/>
          <w:szCs w:val="21"/>
          <w:highlight w:val="none"/>
        </w:rPr>
        <w:t>供应商有下列情形之一的，属于恶意串通行为</w:t>
      </w:r>
      <w:bookmarkStart w:id="33" w:name="_Hlk54682620"/>
      <w:r>
        <w:rPr>
          <w:rFonts w:hint="eastAsia" w:ascii="宋体" w:hAnsi="宋体" w:cs="宋体"/>
          <w:b/>
          <w:bCs/>
          <w:color w:val="auto"/>
          <w:szCs w:val="21"/>
          <w:highlight w:val="none"/>
        </w:rPr>
        <w:t>，将报同级监督管理部门</w:t>
      </w:r>
      <w:bookmarkEnd w:id="33"/>
      <w:r>
        <w:rPr>
          <w:rFonts w:hint="eastAsia" w:ascii="宋体" w:hAnsi="宋体" w:cs="宋体"/>
          <w:b/>
          <w:bCs/>
          <w:color w:val="auto"/>
          <w:szCs w:val="21"/>
          <w:highlight w:val="none"/>
        </w:rPr>
        <w:t>：</w:t>
      </w:r>
    </w:p>
    <w:p w14:paraId="4389B28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1492143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431D9C6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620503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755FD81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w:t>
      </w:r>
      <w:r>
        <w:rPr>
          <w:rFonts w:hint="eastAsia" w:hAnsi="宋体" w:cs="宋体"/>
          <w:color w:val="auto"/>
          <w:szCs w:val="21"/>
          <w:highlight w:val="none"/>
        </w:rPr>
        <w:t>竞争性谈判</w:t>
      </w:r>
      <w:r>
        <w:rPr>
          <w:rFonts w:hint="eastAsia" w:ascii="宋体" w:hAnsi="宋体" w:cs="宋体"/>
          <w:color w:val="auto"/>
          <w:szCs w:val="21"/>
          <w:highlight w:val="none"/>
        </w:rPr>
        <w:t>；</w:t>
      </w:r>
    </w:p>
    <w:p w14:paraId="78F2A0A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0F09477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7F21403C">
      <w:pPr>
        <w:spacing w:line="360" w:lineRule="auto"/>
        <w:ind w:firstLine="422" w:firstLineChars="200"/>
        <w:rPr>
          <w:rFonts w:ascii="宋体" w:hAnsi="宋体" w:cs="宋体"/>
          <w:b/>
          <w:bCs/>
          <w:color w:val="auto"/>
          <w:szCs w:val="21"/>
          <w:highlight w:val="none"/>
        </w:rPr>
      </w:pPr>
      <w:r>
        <w:rPr>
          <w:rFonts w:ascii="宋体" w:hAnsi="宋体" w:cs="宋体"/>
          <w:b/>
          <w:bCs/>
          <w:color w:val="auto"/>
          <w:szCs w:val="21"/>
          <w:highlight w:val="none"/>
        </w:rPr>
        <w:t>7.7</w:t>
      </w:r>
      <w:r>
        <w:rPr>
          <w:rFonts w:hint="eastAsia" w:ascii="宋体" w:hAnsi="宋体" w:cs="宋体"/>
          <w:b/>
          <w:bCs/>
          <w:color w:val="auto"/>
          <w:szCs w:val="21"/>
          <w:highlight w:val="none"/>
        </w:rPr>
        <w:t>单一产品采购项目，提供相同品牌产品的不同供应商参加同一合同项下</w:t>
      </w:r>
      <w:r>
        <w:rPr>
          <w:rFonts w:hint="eastAsia" w:hAnsi="宋体" w:cs="宋体"/>
          <w:b/>
          <w:bCs/>
          <w:color w:val="auto"/>
          <w:szCs w:val="21"/>
          <w:highlight w:val="none"/>
        </w:rPr>
        <w:t>竞争性谈判</w:t>
      </w:r>
      <w:r>
        <w:rPr>
          <w:rFonts w:hint="eastAsia" w:ascii="宋体" w:hAnsi="宋体" w:cs="宋体"/>
          <w:b/>
          <w:bCs/>
          <w:color w:val="auto"/>
          <w:szCs w:val="21"/>
          <w:highlight w:val="none"/>
        </w:rPr>
        <w:t>的，以其中通过资格审查、符合性审查、谈判且最后报价最低的参加报价评审；最后报价相同的，按照前附表第2</w:t>
      </w:r>
      <w:r>
        <w:rPr>
          <w:rFonts w:ascii="宋体" w:hAnsi="宋体" w:cs="宋体"/>
          <w:b/>
          <w:bCs/>
          <w:color w:val="auto"/>
          <w:szCs w:val="21"/>
          <w:highlight w:val="none"/>
        </w:rPr>
        <w:t>6</w:t>
      </w:r>
      <w:r>
        <w:rPr>
          <w:rFonts w:hint="eastAsia" w:ascii="宋体" w:hAnsi="宋体" w:cs="宋体"/>
          <w:b/>
          <w:bCs/>
          <w:color w:val="auto"/>
          <w:szCs w:val="21"/>
          <w:highlight w:val="none"/>
        </w:rPr>
        <w:t>条规定确定一个参加评审的供应商，其他响应文件作无效处理。</w:t>
      </w:r>
    </w:p>
    <w:p w14:paraId="3F2CA4F7">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非单一产品采购项目，多家供应商提供的核心产品品牌相同的，按前款规定处理；多家供应商提供的所有产品品牌相同，按前款处理。</w:t>
      </w:r>
    </w:p>
    <w:p w14:paraId="76AE1EE0">
      <w:pPr>
        <w:spacing w:line="360" w:lineRule="auto"/>
        <w:jc w:val="center"/>
        <w:rPr>
          <w:rFonts w:ascii="宋体" w:hAnsi="宋体" w:cs="宋体"/>
          <w:b/>
          <w:color w:val="auto"/>
          <w:sz w:val="32"/>
          <w:szCs w:val="32"/>
          <w:highlight w:val="none"/>
        </w:rPr>
      </w:pPr>
      <w:bookmarkStart w:id="34" w:name="_Toc254970534"/>
      <w:bookmarkStart w:id="35" w:name="_Toc254970675"/>
      <w:r>
        <w:rPr>
          <w:rFonts w:hint="eastAsia" w:ascii="宋体" w:hAnsi="宋体" w:cs="宋体"/>
          <w:b/>
          <w:color w:val="auto"/>
          <w:sz w:val="32"/>
          <w:szCs w:val="32"/>
          <w:highlight w:val="none"/>
        </w:rPr>
        <w:t>二、谈判文件</w:t>
      </w:r>
      <w:bookmarkEnd w:id="34"/>
      <w:bookmarkEnd w:id="35"/>
    </w:p>
    <w:p w14:paraId="7E615DAF">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8.谈判文件的构成</w:t>
      </w:r>
    </w:p>
    <w:p w14:paraId="785411AF">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（1）竞争性谈判公告；</w:t>
      </w:r>
    </w:p>
    <w:p w14:paraId="4C376461">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（2）供应商须知； </w:t>
      </w:r>
    </w:p>
    <w:p w14:paraId="0412B62F">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（3）采购需求；</w:t>
      </w:r>
    </w:p>
    <w:p w14:paraId="5CE3CD7D">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（4）响应文件格式；</w:t>
      </w:r>
    </w:p>
    <w:p w14:paraId="2A4F18E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（5）合同文本；</w:t>
      </w:r>
    </w:p>
    <w:p w14:paraId="377AAC8F">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（6）评审程序和评定成交的标准。</w:t>
      </w:r>
    </w:p>
    <w:p w14:paraId="783AB998">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9.供应商的询问</w:t>
      </w:r>
    </w:p>
    <w:p w14:paraId="7FEEFF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认真阅读谈判文件的采购需求，如供应商对谈判文件有疑问的，如要求采购人作出澄清或者修改的，供应商尽可能在提交首次响应文件截止之日前，以纸质书面形式向采购人、采购代理机构提出，否则，由此产生的后果由供应商自行负责。</w:t>
      </w:r>
    </w:p>
    <w:p w14:paraId="0ED22780">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10.谈判文件的澄清和修改</w:t>
      </w:r>
    </w:p>
    <w:p w14:paraId="2F4202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10.1提交首次响应文件截止之日前，采购人、采购代理机构可以对已发出的谈判文件进行必要的澄清或者修改，澄清或者修改的内容作为谈判文件的组成部分。澄清或者修改将在原公告发布媒体上发布更正公告。澄清或者修改的内容可能影响响应文件编制的，采购人、采购代理机构或者谈判小组应当在提交首次响应文件截止之日3个工作日前，在原公告发布媒体上发布更正公告；不足3个工作日的，应当顺延提交首次响应文件截止时间。</w:t>
      </w:r>
    </w:p>
    <w:p w14:paraId="1271B61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10.2采购人和采购代理机构可以视采购具体情况，变更首次响应文件提交截止时间，并在原公告发布媒体上发布更正公告。澄清或者更正公告在原公告发布媒体上发布，一经发布，视作已以书面形式通知所有获取谈判文件的潜在供应商，不再另行通知，所有潜在供应商应密切关注原公告发布媒体，因未能及时获知，由此产生的后果均应自行承担。</w:t>
      </w:r>
    </w:p>
    <w:p w14:paraId="2F630E0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10.3谈判文件澄清、答复、修改、补充的内容为谈判文件的组成部分。当谈判文件与谈判文件的澄清、答复、修改、补充通知就同一内容的表述不一致时，以最后发出的文件为准。</w:t>
      </w:r>
    </w:p>
    <w:p w14:paraId="061E30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10.4响应文件未按谈判文件的澄清、修改后的内容编制的，其响应文件作无效响应处理。</w:t>
      </w:r>
    </w:p>
    <w:p w14:paraId="06AD57A8">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三、响应文件的编制</w:t>
      </w:r>
    </w:p>
    <w:p w14:paraId="391AA904">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11.响应文件的编制原则</w:t>
      </w:r>
    </w:p>
    <w:p w14:paraId="4ED2E3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供应商必须按照谈判文件的要求编制响应文件，并对其提交的响应文件的真实性、合法性承担法律责任。响应文件必须对谈判文件作出实质性响应。</w:t>
      </w:r>
    </w:p>
    <w:p w14:paraId="0B80F2BF">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12.响应文件的组成</w:t>
      </w:r>
    </w:p>
    <w:p w14:paraId="6CED45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12.1响应文件由资格证明文件、报价商务技术文件两部分组成。</w:t>
      </w:r>
    </w:p>
    <w:p w14:paraId="6597ECB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10604E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12.1.2报价商务技术文件：详见“供应商须知前附表”</w:t>
      </w:r>
    </w:p>
    <w:p w14:paraId="59B00BD7">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13.计量单位</w:t>
      </w:r>
    </w:p>
    <w:p w14:paraId="51C32F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谈判文件已有明确规定的，使用谈判文件规定的计量单位；谈判文件没有规定的，应采用中华人民共和国法定计量单位，货币种类为人民币，否则视同未响应。</w:t>
      </w:r>
    </w:p>
    <w:p w14:paraId="48087090">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14.竞争性谈判的风险</w:t>
      </w:r>
    </w:p>
    <w:p w14:paraId="06D31C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供应商没有按照谈判文件要求提供全部资料，或者供应商没有对谈判文件在各方面作出实质性响应可能导致其响应文件按无效响应处理，是供应商应当考虑的风险。</w:t>
      </w:r>
    </w:p>
    <w:p w14:paraId="6BE81375">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15.竞争性谈判报价</w:t>
      </w:r>
    </w:p>
    <w:p w14:paraId="413F6F8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w:t>
      </w:r>
      <w:r>
        <w:rPr>
          <w:rFonts w:hint="eastAsia" w:hAnsi="宋体" w:cs="宋体"/>
          <w:color w:val="auto"/>
          <w:szCs w:val="21"/>
          <w:highlight w:val="none"/>
        </w:rPr>
        <w:t>竞争性谈判</w:t>
      </w:r>
      <w:r>
        <w:rPr>
          <w:rFonts w:hint="eastAsia" w:ascii="宋体" w:hAnsi="宋体" w:cs="宋体"/>
          <w:color w:val="auto"/>
          <w:szCs w:val="21"/>
          <w:highlight w:val="none"/>
        </w:rPr>
        <w:t>报价应按谈判文件中“</w:t>
      </w:r>
      <w:r>
        <w:rPr>
          <w:rFonts w:hint="eastAsia" w:hAnsi="宋体" w:cs="宋体"/>
          <w:color w:val="auto"/>
          <w:szCs w:val="21"/>
          <w:highlight w:val="none"/>
        </w:rPr>
        <w:t>竞争性谈判</w:t>
      </w:r>
      <w:r>
        <w:rPr>
          <w:rFonts w:hint="eastAsia" w:ascii="宋体" w:hAnsi="宋体" w:cs="宋体"/>
          <w:color w:val="auto"/>
          <w:szCs w:val="21"/>
          <w:highlight w:val="none"/>
        </w:rPr>
        <w:t>报价表”格式填写。</w:t>
      </w:r>
    </w:p>
    <w:p w14:paraId="39A784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w:t>
      </w:r>
      <w:r>
        <w:rPr>
          <w:rFonts w:hint="eastAsia" w:hAnsi="宋体" w:cs="宋体"/>
          <w:color w:val="auto"/>
          <w:szCs w:val="21"/>
          <w:highlight w:val="none"/>
        </w:rPr>
        <w:t>竞争性谈判</w:t>
      </w:r>
      <w:r>
        <w:rPr>
          <w:rFonts w:hint="eastAsia" w:ascii="宋体" w:hAnsi="宋体" w:cs="宋体"/>
          <w:color w:val="auto"/>
          <w:szCs w:val="21"/>
          <w:highlight w:val="none"/>
        </w:rPr>
        <w:t>报价的内容详见“供应商须知前附表”。</w:t>
      </w:r>
    </w:p>
    <w:p w14:paraId="6A9CEF1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w:t>
      </w:r>
      <w:r>
        <w:rPr>
          <w:rFonts w:hint="eastAsia" w:hAnsi="宋体" w:cs="宋体"/>
          <w:color w:val="auto"/>
          <w:szCs w:val="21"/>
          <w:highlight w:val="none"/>
        </w:rPr>
        <w:t>竞争性谈判</w:t>
      </w:r>
      <w:r>
        <w:rPr>
          <w:rFonts w:hint="eastAsia" w:ascii="宋体" w:hAnsi="宋体" w:cs="宋体"/>
          <w:color w:val="auto"/>
          <w:szCs w:val="21"/>
          <w:highlight w:val="none"/>
        </w:rPr>
        <w:t>报价要求</w:t>
      </w:r>
    </w:p>
    <w:p w14:paraId="218C9B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15.3.1供应商的</w:t>
      </w:r>
      <w:r>
        <w:rPr>
          <w:rFonts w:hint="eastAsia" w:hAnsi="宋体" w:cs="宋体"/>
          <w:color w:val="auto"/>
          <w:szCs w:val="21"/>
          <w:highlight w:val="none"/>
        </w:rPr>
        <w:t>竞争性谈判</w:t>
      </w:r>
      <w:r>
        <w:rPr>
          <w:rFonts w:hint="eastAsia" w:ascii="宋体" w:hAnsi="宋体" w:cs="宋体"/>
          <w:color w:val="auto"/>
          <w:szCs w:val="21"/>
          <w:highlight w:val="none"/>
        </w:rPr>
        <w:t>报价应符合以下要求，否则响应文件按无效响应处理：</w:t>
      </w:r>
    </w:p>
    <w:p w14:paraId="2A3AF5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（1）供应商必须就“采购需求”中所需</w:t>
      </w:r>
      <w:r>
        <w:rPr>
          <w:rFonts w:hint="eastAsia" w:hAnsi="宋体" w:cs="宋体"/>
          <w:color w:val="auto"/>
          <w:szCs w:val="21"/>
          <w:highlight w:val="none"/>
        </w:rPr>
        <w:t>竞争性谈判</w:t>
      </w:r>
      <w:r>
        <w:rPr>
          <w:rFonts w:hint="eastAsia" w:ascii="宋体" w:hAnsi="宋体" w:cs="宋体"/>
          <w:color w:val="auto"/>
          <w:szCs w:val="21"/>
          <w:highlight w:val="none"/>
        </w:rPr>
        <w:t>的每个分标的全部内容分别作完整唯一总价报价，不得存在漏项报价；</w:t>
      </w:r>
    </w:p>
    <w:p w14:paraId="32F99D2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（2）供应商必须就所需</w:t>
      </w:r>
      <w:r>
        <w:rPr>
          <w:rFonts w:hint="eastAsia" w:hAnsi="宋体" w:cs="宋体"/>
          <w:color w:val="auto"/>
          <w:szCs w:val="21"/>
          <w:highlight w:val="none"/>
        </w:rPr>
        <w:t>竞争性谈判</w:t>
      </w:r>
      <w:r>
        <w:rPr>
          <w:rFonts w:hint="eastAsia" w:ascii="宋体" w:hAnsi="宋体" w:cs="宋体"/>
          <w:color w:val="auto"/>
          <w:szCs w:val="21"/>
          <w:highlight w:val="none"/>
        </w:rPr>
        <w:t>的分标的单项内容作唯一报价。</w:t>
      </w:r>
    </w:p>
    <w:p w14:paraId="2D0DC3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15.3.2</w:t>
      </w:r>
      <w:r>
        <w:rPr>
          <w:rFonts w:hint="eastAsia" w:hAnsi="宋体" w:cs="宋体"/>
          <w:color w:val="auto"/>
          <w:szCs w:val="21"/>
          <w:highlight w:val="none"/>
        </w:rPr>
        <w:t>竞争性谈判</w:t>
      </w:r>
      <w:r>
        <w:rPr>
          <w:rFonts w:hint="eastAsia" w:ascii="宋体" w:hAnsi="宋体" w:cs="宋体"/>
          <w:color w:val="auto"/>
          <w:szCs w:val="21"/>
          <w:highlight w:val="none"/>
        </w:rPr>
        <w:t>报价（包含首次报价、最后报价）超过所参与</w:t>
      </w:r>
      <w:r>
        <w:rPr>
          <w:rFonts w:hint="eastAsia" w:hAnsi="宋体" w:cs="宋体"/>
          <w:color w:val="auto"/>
          <w:szCs w:val="21"/>
          <w:highlight w:val="none"/>
        </w:rPr>
        <w:t>竞争性谈判</w:t>
      </w:r>
      <w:r>
        <w:rPr>
          <w:rFonts w:hint="eastAsia" w:ascii="宋体" w:hAnsi="宋体" w:cs="宋体"/>
          <w:color w:val="auto"/>
          <w:szCs w:val="21"/>
          <w:highlight w:val="none"/>
        </w:rPr>
        <w:t>分标规定的采购预算金额或者最高限价的，其响应文件将按无效响应处理。</w:t>
      </w:r>
    </w:p>
    <w:p w14:paraId="06168CCD">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15.3.3</w:t>
      </w:r>
      <w:r>
        <w:rPr>
          <w:rFonts w:hint="eastAsia" w:hAnsi="宋体" w:cs="宋体"/>
          <w:color w:val="auto"/>
          <w:szCs w:val="21"/>
          <w:highlight w:val="none"/>
        </w:rPr>
        <w:t>竞争性谈判</w:t>
      </w:r>
      <w:r>
        <w:rPr>
          <w:rFonts w:hint="eastAsia" w:ascii="宋体" w:hAnsi="宋体" w:cs="宋体"/>
          <w:color w:val="auto"/>
          <w:szCs w:val="21"/>
          <w:highlight w:val="none"/>
        </w:rPr>
        <w:t>报价（包含首次报价、最后报价）超过分项采购预算金额或者最高限价的，其响应文件将作无效处理。</w:t>
      </w:r>
    </w:p>
    <w:p w14:paraId="04129891">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16.竞争性谈判有效期</w:t>
      </w:r>
    </w:p>
    <w:p w14:paraId="58739E9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w:t>
      </w:r>
      <w:r>
        <w:rPr>
          <w:rFonts w:hint="eastAsia" w:hAnsi="宋体" w:cs="宋体"/>
          <w:color w:val="auto"/>
          <w:szCs w:val="21"/>
          <w:highlight w:val="none"/>
        </w:rPr>
        <w:t>竞争性谈判</w:t>
      </w:r>
      <w:r>
        <w:rPr>
          <w:rFonts w:hint="eastAsia" w:ascii="宋体" w:hAnsi="宋体" w:cs="宋体"/>
          <w:color w:val="auto"/>
          <w:szCs w:val="21"/>
          <w:highlight w:val="none"/>
        </w:rPr>
        <w:t>有效期是指为保证采购人有足够的时间在提交响应文件后完成评审、确定成交供应商、合同签订等工作而要求供应商提交的响应文件在一定时间内保持有效的期限。</w:t>
      </w:r>
    </w:p>
    <w:p w14:paraId="6697A4E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w:t>
      </w:r>
      <w:r>
        <w:rPr>
          <w:rFonts w:hint="eastAsia" w:hAnsi="宋体" w:cs="宋体"/>
          <w:color w:val="auto"/>
          <w:szCs w:val="21"/>
          <w:highlight w:val="none"/>
        </w:rPr>
        <w:t>竞争性谈判</w:t>
      </w:r>
      <w:r>
        <w:rPr>
          <w:rFonts w:hint="eastAsia" w:ascii="宋体" w:hAnsi="宋体" w:cs="宋体"/>
          <w:color w:val="auto"/>
          <w:szCs w:val="21"/>
          <w:highlight w:val="none"/>
        </w:rPr>
        <w:t>有效期应由供应商按“供应商须知前附表”规定的期限作出响应。</w:t>
      </w:r>
    </w:p>
    <w:p w14:paraId="629E05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w:t>
      </w:r>
      <w:r>
        <w:rPr>
          <w:rFonts w:hint="eastAsia" w:hAnsi="宋体" w:cs="宋体"/>
          <w:color w:val="auto"/>
          <w:szCs w:val="21"/>
          <w:highlight w:val="none"/>
        </w:rPr>
        <w:t>竞争性谈判</w:t>
      </w:r>
      <w:r>
        <w:rPr>
          <w:rFonts w:hint="eastAsia" w:ascii="宋体" w:hAnsi="宋体" w:cs="宋体"/>
          <w:color w:val="auto"/>
          <w:szCs w:val="21"/>
          <w:highlight w:val="none"/>
        </w:rPr>
        <w:t>有效期内均保持有效。</w:t>
      </w:r>
    </w:p>
    <w:p w14:paraId="63474DE1">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17.谈判保证金</w:t>
      </w:r>
    </w:p>
    <w:p w14:paraId="4183AD4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17.1供应商须按“供应商须知前附表”的规定提交谈判保证金。</w:t>
      </w:r>
    </w:p>
    <w:p w14:paraId="739B058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17.2谈判保证金的退还</w:t>
      </w:r>
    </w:p>
    <w:p w14:paraId="1D31227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未</w:t>
      </w:r>
      <w:r>
        <w:rPr>
          <w:rFonts w:hint="eastAsia" w:ascii="宋体" w:hAnsi="宋体" w:cs="宋体"/>
          <w:color w:val="auto"/>
          <w:spacing w:val="-6"/>
          <w:szCs w:val="21"/>
          <w:highlight w:val="none"/>
        </w:rPr>
        <w:t>成交</w:t>
      </w:r>
      <w:r>
        <w:rPr>
          <w:rFonts w:hint="eastAsia" w:ascii="宋体" w:hAnsi="宋体" w:cs="宋体"/>
          <w:color w:val="auto"/>
          <w:szCs w:val="21"/>
          <w:highlight w:val="none"/>
        </w:rPr>
        <w:t>供应商的谈判保证金自成交通知书发出之日起</w:t>
      </w:r>
      <w:r>
        <w:rPr>
          <w:rFonts w:ascii="宋体" w:hAnsi="宋体" w:cs="宋体"/>
          <w:color w:val="auto"/>
          <w:szCs w:val="21"/>
          <w:highlight w:val="none"/>
        </w:rPr>
        <w:t>5</w:t>
      </w:r>
      <w:r>
        <w:rPr>
          <w:rFonts w:hint="eastAsia" w:ascii="宋体" w:hAnsi="宋体" w:cs="宋体"/>
          <w:color w:val="auto"/>
          <w:szCs w:val="21"/>
          <w:highlight w:val="none"/>
        </w:rPr>
        <w:t>个工作日内退还；成交供应商的谈判保证金自签订合同之日起</w:t>
      </w:r>
      <w:r>
        <w:rPr>
          <w:rFonts w:ascii="宋体" w:hAnsi="宋体" w:cs="宋体"/>
          <w:color w:val="auto"/>
          <w:szCs w:val="21"/>
          <w:highlight w:val="none"/>
        </w:rPr>
        <w:t>5</w:t>
      </w:r>
      <w:r>
        <w:rPr>
          <w:rFonts w:hint="eastAsia" w:ascii="宋体" w:hAnsi="宋体" w:cs="宋体"/>
          <w:color w:val="auto"/>
          <w:szCs w:val="21"/>
          <w:highlight w:val="none"/>
        </w:rPr>
        <w:t xml:space="preserve">个工作日内退还。 </w:t>
      </w:r>
    </w:p>
    <w:p w14:paraId="01039E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17.3谈判保证金不计息。</w:t>
      </w:r>
    </w:p>
    <w:p w14:paraId="02DF81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17.4供应商有下列情形之一的，谈判保证金将不予退还： </w:t>
      </w:r>
    </w:p>
    <w:p w14:paraId="5372F1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（1）供应商在提交首次响应文件截止时间后撤回响应文件的，但在提交最后报价之前退出谈判的情况除外；</w:t>
      </w:r>
    </w:p>
    <w:p w14:paraId="7BAF63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（2）未按规定提交履约保证金的；</w:t>
      </w:r>
    </w:p>
    <w:p w14:paraId="12911C2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（3）供应商在响应文件中提供</w:t>
      </w:r>
      <w:r>
        <w:rPr>
          <w:rFonts w:hint="eastAsia" w:ascii="宋体" w:hAnsi="宋体"/>
          <w:color w:val="auto"/>
          <w:szCs w:val="21"/>
          <w:highlight w:val="none"/>
        </w:rPr>
        <w:t>虚假承诺、虚假检测报告等任何</w:t>
      </w:r>
      <w:r>
        <w:rPr>
          <w:rFonts w:hint="eastAsia" w:ascii="宋体" w:hAnsi="宋体" w:cs="宋体"/>
          <w:color w:val="auto"/>
          <w:szCs w:val="21"/>
          <w:highlight w:val="none"/>
        </w:rPr>
        <w:t>虚假材料的；</w:t>
      </w:r>
    </w:p>
    <w:p w14:paraId="63F0DDC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（4）除因不可抗力或者谈判文件认可的情形以外，成交供应商不与采购人签订合同的；</w:t>
      </w:r>
    </w:p>
    <w:p w14:paraId="2A77FEB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71BEADA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（6）供应商出现本章第7.5、7.6、27.5情形的；</w:t>
      </w:r>
    </w:p>
    <w:p w14:paraId="2F74A48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（7）法律法规规定的其他情形。</w:t>
      </w:r>
    </w:p>
    <w:p w14:paraId="437EAC2E">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18.响应文件编制的要求</w:t>
      </w:r>
    </w:p>
    <w:p w14:paraId="6DA02A5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w:t>
      </w:r>
      <w:r>
        <w:rPr>
          <w:rFonts w:hint="eastAsia" w:ascii="宋体" w:hAnsi="宋体" w:cs="宋体"/>
          <w:color w:val="auto"/>
          <w:highlight w:val="none"/>
        </w:rPr>
        <w:t>供应商应先安装“广西政府采购云平台客户端”（请自行前往广西政府采购云平台进行下载），并按照本项目采购文件规定的格式和顺序和广西政府采购云平台的要求编制并加密。响应文件内容不完整、编排混乱导致响应文件被误读、漏读或者查找不到相关内容的，由此引发的后果由供应商承担。</w:t>
      </w:r>
    </w:p>
    <w:p w14:paraId="52787C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18.2响应文件应按资格证明文件、报价文件、商务技术文件分别编制，并按广西政府采购云平台的要求编制、加密、上传。</w:t>
      </w:r>
    </w:p>
    <w:p w14:paraId="348620D4">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18.3为确保网上操作合法、有效和安全，供应商应当在提交响应文件截止时间前完成在广西政府采购云平台的身份认证，确保在电子竞标过程中能够对相关数据电文进行加密和使用电子签章。</w:t>
      </w:r>
    </w:p>
    <w:p w14:paraId="18A646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w:t>
      </w:r>
      <w:bookmarkStart w:id="36" w:name="_Hlk65832699"/>
      <w:r>
        <w:rPr>
          <w:rFonts w:hint="eastAsia" w:ascii="宋体" w:hAnsi="宋体" w:cs="宋体"/>
          <w:color w:val="auto"/>
          <w:szCs w:val="21"/>
          <w:highlight w:val="none"/>
        </w:rPr>
        <w:t>4</w:t>
      </w:r>
      <w:r>
        <w:rPr>
          <w:rFonts w:hint="eastAsia" w:ascii="宋体" w:hAnsi="宋体" w:cs="宋体"/>
          <w:color w:val="auto"/>
          <w:highlight w:val="none"/>
        </w:rPr>
        <w:t>响应文件须由供应商在规定位置签字（或个人CA签章）、盖章（具体以供应商须知前附表或响应文件格式规定为准）否则按无效响应处理</w:t>
      </w:r>
      <w:bookmarkEnd w:id="36"/>
      <w:r>
        <w:rPr>
          <w:rFonts w:hint="eastAsia" w:ascii="宋体" w:hAnsi="宋体" w:cs="宋体"/>
          <w:color w:val="auto"/>
          <w:szCs w:val="21"/>
          <w:highlight w:val="none"/>
        </w:rPr>
        <w:t>。</w:t>
      </w:r>
    </w:p>
    <w:p w14:paraId="3DE59C4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w:t>
      </w:r>
      <w:r>
        <w:rPr>
          <w:rFonts w:hint="eastAsia" w:ascii="宋体" w:hAnsi="宋体" w:cs="宋体"/>
          <w:color w:val="auto"/>
          <w:highlight w:val="none"/>
        </w:rPr>
        <w:t>响应文件中标注的供应商名称应与主体资格证明（如营业执照或者事业单位法人证书或者执业许可证或者登记证书等）及公章一致，否则其响应文件按无效处理</w:t>
      </w:r>
      <w:r>
        <w:rPr>
          <w:rFonts w:hint="eastAsia" w:ascii="宋体" w:hAnsi="宋体" w:cs="宋体"/>
          <w:color w:val="auto"/>
          <w:szCs w:val="21"/>
          <w:highlight w:val="none"/>
        </w:rPr>
        <w:t>。</w:t>
      </w:r>
    </w:p>
    <w:p w14:paraId="2CA9F2E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18.6</w:t>
      </w:r>
      <w:r>
        <w:rPr>
          <w:rFonts w:hint="eastAsia" w:ascii="宋体" w:hAnsi="宋体" w:cs="宋体"/>
          <w:color w:val="auto"/>
          <w:highlight w:val="none"/>
        </w:rPr>
        <w:t>响应文件应尽量避免涂改、行间插字或者删除。如果出现上述情况，改动之处应由供应商的法定代表人或者其委托代理人签字（或者个人CA签章）或者加盖公章（或者电子签章）。响应文件因涂改、行间插字或者删除导致字迹潦草或者表达不清所引起的后果由供应商承担</w:t>
      </w:r>
      <w:r>
        <w:rPr>
          <w:rFonts w:hint="eastAsia" w:ascii="宋体" w:hAnsi="宋体" w:cs="宋体"/>
          <w:color w:val="auto"/>
          <w:szCs w:val="21"/>
          <w:highlight w:val="none"/>
        </w:rPr>
        <w:t>。</w:t>
      </w:r>
    </w:p>
    <w:p w14:paraId="0ED7E228">
      <w:pPr>
        <w:spacing w:line="360" w:lineRule="auto"/>
        <w:ind w:firstLine="422" w:firstLineChars="200"/>
        <w:rPr>
          <w:rFonts w:ascii="宋体" w:hAnsi="宋体" w:cs="宋体"/>
          <w:b/>
          <w:bCs/>
          <w:color w:val="auto"/>
          <w:szCs w:val="21"/>
          <w:highlight w:val="none"/>
        </w:rPr>
      </w:pPr>
      <w:r>
        <w:rPr>
          <w:rFonts w:hint="eastAsia" w:ascii="宋体" w:hAnsi="宋体" w:cs="宋体"/>
          <w:b/>
          <w:color w:val="auto"/>
          <w:szCs w:val="21"/>
          <w:highlight w:val="none"/>
        </w:rPr>
        <w:t>19.响应文件的加密、解密</w:t>
      </w:r>
    </w:p>
    <w:p w14:paraId="0B0BDD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19.1电子响应文件编制完成后，供应商应按广西政府采购云平台的要求进行加密，并在规定时间内解密，否则，由此产生的后果由供应商自行负责。</w:t>
      </w:r>
    </w:p>
    <w:p w14:paraId="33D79BE0">
      <w:pPr>
        <w:pStyle w:val="44"/>
        <w:ind w:firstLine="420" w:firstLineChars="200"/>
        <w:rPr>
          <w:color w:val="auto"/>
          <w:szCs w:val="21"/>
          <w:highlight w:val="none"/>
        </w:rPr>
      </w:pPr>
      <w:r>
        <w:rPr>
          <w:rFonts w:hint="eastAsia" w:ascii="宋体" w:hAnsi="宋体" w:cs="宋体"/>
          <w:color w:val="auto"/>
          <w:szCs w:val="21"/>
          <w:highlight w:val="none"/>
        </w:rPr>
        <w:t>19.</w:t>
      </w:r>
      <w:r>
        <w:rPr>
          <w:rFonts w:ascii="宋体" w:hAnsi="宋体" w:cs="宋体"/>
          <w:color w:val="auto"/>
          <w:szCs w:val="21"/>
          <w:highlight w:val="none"/>
        </w:rPr>
        <w:t>2</w:t>
      </w:r>
      <w:r>
        <w:rPr>
          <w:rFonts w:hint="eastAsia" w:ascii="宋体" w:hAnsi="宋体" w:cs="宋体"/>
          <w:color w:val="auto"/>
          <w:szCs w:val="21"/>
          <w:highlight w:val="none"/>
        </w:rPr>
        <w:t>本项目不接受电子备份响应文件。</w:t>
      </w:r>
    </w:p>
    <w:p w14:paraId="61391C65">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20.响应文件的提交</w:t>
      </w:r>
    </w:p>
    <w:p w14:paraId="05A10430">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14:paraId="67032B13">
      <w:pPr>
        <w:widowControl/>
        <w:wordWrap w:val="0"/>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20.</w:t>
      </w:r>
      <w:r>
        <w:rPr>
          <w:rFonts w:ascii="宋体" w:hAnsi="宋体" w:cs="宋体"/>
          <w:color w:val="auto"/>
          <w:szCs w:val="21"/>
          <w:highlight w:val="none"/>
        </w:rPr>
        <w:t>2</w:t>
      </w:r>
      <w:r>
        <w:rPr>
          <w:rFonts w:hint="eastAsia" w:ascii="宋体" w:hAnsi="宋体" w:cs="宋体"/>
          <w:color w:val="auto"/>
          <w:szCs w:val="21"/>
          <w:highlight w:val="none"/>
        </w:rPr>
        <w:t>本项目为全流程电子化政府采购项目，通过广西政府采购云平台（https://www.gcy.zfcg.gxzf.gov.cn/）实行在线电子竞争性谈判，供应商应先安装“广西政府采购云平台电子交易客户端”（请自行前往广西政府采购云平台进行下载），并按照本项目竞争性谈判文件和广西政府采购云平台的要求编制、加密后在首次响应文件提交截止时间前通过网络上传至广西政府采购云平台，</w:t>
      </w:r>
      <w:r>
        <w:rPr>
          <w:rFonts w:hint="eastAsia" w:ascii="宋体" w:hAnsi="宋体" w:cs="宋体"/>
          <w:b/>
          <w:color w:val="auto"/>
          <w:szCs w:val="21"/>
          <w:highlight w:val="none"/>
        </w:rPr>
        <w:t>供应商在广西政府采购云平台提交电子版响应文件时，请填写参加远程开标活动经办人联系方式。</w:t>
      </w:r>
    </w:p>
    <w:p w14:paraId="7F9876AD">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20.</w:t>
      </w:r>
      <w:r>
        <w:rPr>
          <w:rFonts w:ascii="宋体" w:hAnsi="宋体" w:cs="宋体"/>
          <w:color w:val="auto"/>
          <w:szCs w:val="21"/>
          <w:highlight w:val="none"/>
        </w:rPr>
        <w:t>3</w:t>
      </w:r>
      <w:r>
        <w:rPr>
          <w:rFonts w:hint="eastAsia" w:ascii="宋体" w:hAnsi="宋体" w:cs="宋体"/>
          <w:color w:val="auto"/>
          <w:szCs w:val="21"/>
          <w:highlight w:val="none"/>
        </w:rPr>
        <w:t>未在规定时间内上传或者未按广西政府采购云平台的要求编制、加密的电子响应文件，广西政府采购云平台将拒收。</w:t>
      </w:r>
    </w:p>
    <w:p w14:paraId="170DD7F1">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w:t>
      </w:r>
      <w:r>
        <w:rPr>
          <w:rFonts w:ascii="宋体" w:hAnsi="宋体" w:cs="宋体"/>
          <w:color w:val="auto"/>
          <w:szCs w:val="21"/>
          <w:highlight w:val="none"/>
        </w:rPr>
        <w:t>4</w:t>
      </w:r>
      <w:r>
        <w:rPr>
          <w:rFonts w:hint="eastAsia" w:ascii="宋体" w:hAnsi="宋体" w:cs="宋体"/>
          <w:color w:val="auto"/>
          <w:szCs w:val="21"/>
          <w:highlight w:val="none"/>
        </w:rPr>
        <w:t>电子响应文件提交方式见“竞争性谈判公告”中“四、响应文件提交”。</w:t>
      </w:r>
    </w:p>
    <w:p w14:paraId="0921ED3B">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21.首次响应文件的补充、修改与撤回</w:t>
      </w:r>
    </w:p>
    <w:p w14:paraId="75969825">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21.1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广西政府采购云平台将予以拒收。</w:t>
      </w:r>
    </w:p>
    <w:p w14:paraId="2D57A79F">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22.首次响应文件的退回</w:t>
      </w:r>
    </w:p>
    <w:p w14:paraId="16C653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22.1在首次响应文件提交截止时间止提交响应文件的供应商不足3家时，采购代理机构将根据广西政府采购云平台的操作将电子版响应文件退回，除此之外采购人和采购代理机构对已提交的电子响应文件概不退回。</w:t>
      </w:r>
    </w:p>
    <w:p w14:paraId="516D2730">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23.截止时间后的撤回</w:t>
      </w:r>
    </w:p>
    <w:p w14:paraId="638533E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23.1供应商在首次响应文件提交截止时间后书面通知采购人、采购代理机构书面撤回响应文件的，将根据本须知正文17.4的规定不予退还其谈判保证金。</w:t>
      </w:r>
    </w:p>
    <w:p w14:paraId="6BAA591E">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四、评审及谈判</w:t>
      </w:r>
    </w:p>
    <w:p w14:paraId="393143DB">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24.谈判小组成立</w:t>
      </w:r>
    </w:p>
    <w:p w14:paraId="3204FB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竞争性谈判小组成立：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043A0B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41DFB8E7">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25.首次响应文件的开启</w:t>
      </w:r>
    </w:p>
    <w:p w14:paraId="3EC55E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25.1首次响应文件由谈判小组或者采购代理机构在“供应商须知前附表”规定的时间开启。</w:t>
      </w:r>
    </w:p>
    <w:p w14:paraId="34D35D2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25.2响应文件解密：采购代理机构将在“供应商须知前附表”规定的时间通过电子交易平台组织响应文件开启，采购代理机构将依托电子交易平台发起开始解密指令，</w:t>
      </w:r>
      <w:r>
        <w:rPr>
          <w:rFonts w:hint="eastAsia" w:ascii="宋体" w:hAnsi="宋体" w:cs="宋体"/>
          <w:b/>
          <w:color w:val="auto"/>
          <w:szCs w:val="21"/>
          <w:highlight w:val="none"/>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宋体" w:hAnsi="宋体" w:cs="宋体"/>
          <w:b/>
          <w:bCs/>
          <w:color w:val="auto"/>
          <w:szCs w:val="21"/>
          <w:highlight w:val="none"/>
        </w:rPr>
        <w:t>响应文件未按时解密的，视为响应文件无效。</w:t>
      </w:r>
      <w:r>
        <w:rPr>
          <w:rFonts w:hint="eastAsia" w:ascii="宋体" w:hAnsi="宋体" w:cs="宋体"/>
          <w:color w:val="auto"/>
          <w:szCs w:val="21"/>
          <w:highlight w:val="none"/>
        </w:rPr>
        <w:t>（解密异常情况处理：详见本章26.2电子交易活动的中止。）</w:t>
      </w:r>
    </w:p>
    <w:p w14:paraId="2BA98A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25.3成功解密响应文件的供应商不足3家的，不得谈判。</w:t>
      </w:r>
    </w:p>
    <w:p w14:paraId="22285326">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26.评审程序和评定成交的标准</w:t>
      </w:r>
    </w:p>
    <w:p w14:paraId="51A934EC">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26.1谈判小组按照“第四章  评审程序和评定成交的标准”规定的评审程序对响应文件进行评审，并按照评定成交的标准推荐成交候选供应商。</w:t>
      </w:r>
    </w:p>
    <w:p w14:paraId="30BFCB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26.2电子交易活动的中止。采购过程中出现以下情形，导致电子交易平台无法正常运行，或者无法保证电子交易的公平、公正和安全时，采购机构可中止电子交易活动：</w:t>
      </w:r>
    </w:p>
    <w:p w14:paraId="48FA51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（1）电子交易平台发生故障而无法登录访问的； </w:t>
      </w:r>
    </w:p>
    <w:p w14:paraId="460B698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（2）电子交易平台应用或数据库出现错误，不能进行正常操作的；</w:t>
      </w:r>
    </w:p>
    <w:p w14:paraId="3EDB334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（3）电子交易平台发现严重安全漏洞，有潜在泄密危险的；</w:t>
      </w:r>
    </w:p>
    <w:p w14:paraId="7A4A4A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（4）病毒发作导致不能进行正常操作的； </w:t>
      </w:r>
    </w:p>
    <w:p w14:paraId="0F080E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）其他无法保证电子交易的公平、公正和安全的情况。</w:t>
      </w:r>
    </w:p>
    <w:p w14:paraId="4322D65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26.3出现以上情形，不影响采购公平、公正性的，采购代理机构可以待上述情形消除后继续组织电子交易活动；影响或可能影响采购公平、公正性的，经采购代理机构确认后，应当重新采购。</w:t>
      </w:r>
    </w:p>
    <w:p w14:paraId="2A84C9E1">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27.确定成交供应商及结果公告</w:t>
      </w:r>
    </w:p>
    <w:p w14:paraId="4341782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 采购代理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52DDCE29">
      <w:pPr>
        <w:pStyle w:val="8"/>
        <w:spacing w:line="360" w:lineRule="auto"/>
        <w:ind w:firstLine="420" w:firstLineChars="200"/>
        <w:jc w:val="both"/>
        <w:rPr>
          <w:rFonts w:ascii="宋体" w:hAnsi="宋体" w:cs="宋体"/>
          <w:color w:val="auto"/>
          <w:kern w:val="0"/>
          <w:szCs w:val="21"/>
          <w:highlight w:val="none"/>
        </w:rPr>
      </w:pPr>
      <w:r>
        <w:rPr>
          <w:rFonts w:hint="eastAsia" w:ascii="宋体" w:hAnsi="宋体" w:cs="宋体"/>
          <w:color w:val="auto"/>
          <w:kern w:val="0"/>
          <w:szCs w:val="21"/>
          <w:highlight w:val="none"/>
        </w:rPr>
        <w:t>27.2采购代理机构应当在成交供应商确定后2个工作日内，在省级以上财政部门指定的媒体上公告成交结果</w:t>
      </w:r>
      <w:bookmarkStart w:id="37" w:name="_Hlk207204842"/>
      <w:r>
        <w:rPr>
          <w:rFonts w:hint="eastAsia" w:ascii="宋体" w:hAnsi="宋体" w:cs="宋体"/>
          <w:color w:val="auto"/>
          <w:kern w:val="0"/>
          <w:szCs w:val="21"/>
          <w:highlight w:val="none"/>
        </w:rPr>
        <w:t>，同时向成交供应商发出成交通知书</w:t>
      </w:r>
      <w:bookmarkEnd w:id="37"/>
      <w:r>
        <w:rPr>
          <w:rFonts w:hint="eastAsia" w:ascii="宋体" w:hAnsi="宋体" w:cs="宋体"/>
          <w:color w:val="auto"/>
          <w:kern w:val="0"/>
          <w:szCs w:val="21"/>
          <w:highlight w:val="none"/>
        </w:rPr>
        <w:t>。</w:t>
      </w:r>
      <w:bookmarkStart w:id="38" w:name="_Hlk207204858"/>
      <w:r>
        <w:rPr>
          <w:rFonts w:hint="eastAsia" w:ascii="宋体" w:hAnsi="宋体" w:cs="宋体"/>
          <w:b/>
          <w:color w:val="auto"/>
          <w:kern w:val="0"/>
          <w:szCs w:val="21"/>
          <w:highlight w:val="none"/>
        </w:rPr>
        <w:t>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w:t>
      </w:r>
      <w:bookmarkEnd w:id="38"/>
      <w:bookmarkStart w:id="39" w:name="_Hlk207204881"/>
      <w:r>
        <w:rPr>
          <w:rFonts w:hint="eastAsia" w:ascii="宋体" w:hAnsi="宋体" w:cs="宋体"/>
          <w:color w:val="auto"/>
          <w:kern w:val="0"/>
          <w:szCs w:val="21"/>
          <w:highlight w:val="none"/>
        </w:rPr>
        <w:t>排名第二的成交候选人因上述规定的同样原因被取消成交资格的，采购人可以确定排名第三的成交候选人为成交供应商。以上信息查询记录及相关证据与谈判文件一并保存。</w:t>
      </w:r>
      <w:bookmarkEnd w:id="39"/>
      <w:r>
        <w:rPr>
          <w:rFonts w:hint="eastAsia" w:ascii="宋体" w:hAnsi="宋体" w:cs="宋体"/>
          <w:color w:val="auto"/>
          <w:szCs w:val="21"/>
          <w:highlight w:val="none"/>
        </w:rPr>
        <w:t>成交供应商享受《政府采购促进中小企业发展管理办法》（财库〔2020〕46号）规定的中小企业扶持政策的，采购人、采购代理机构应当随成交结果公开成交供应商的《中小企业声明函》。成交供应商享受国务院办公厅关于在政府采购中实施本国产品标准及相关政策的通知（国办发〔2025〕34号）政策的，采购人、采购代理机构应当随成交结果公开成交供应商的《关于符合本国产品标准的声明函》。</w:t>
      </w:r>
    </w:p>
    <w:p w14:paraId="693F1B77">
      <w:pPr>
        <w:pStyle w:val="8"/>
        <w:spacing w:line="360"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27.3出现下列情形之一的，采购人或者采购代理机构应当终止竞争性谈判采购活动，发布项目终止公告并说明原因，重新开展采购活动：</w:t>
      </w:r>
    </w:p>
    <w:p w14:paraId="350D9A2B">
      <w:pPr>
        <w:pStyle w:val="8"/>
        <w:spacing w:line="360"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（一）因情况变化，不再符合规定的竞争性谈判采购方式适用情形的；</w:t>
      </w:r>
    </w:p>
    <w:p w14:paraId="65E039B6">
      <w:pPr>
        <w:pStyle w:val="8"/>
        <w:spacing w:line="360"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（二）出现影响采购公正的违法、违规行为的；</w:t>
      </w:r>
    </w:p>
    <w:p w14:paraId="6612F001">
      <w:pPr>
        <w:pStyle w:val="8"/>
        <w:spacing w:line="360"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（三）在采购过程中符合竞争要求的供应商或者报价未超过采购预算的供应商不足3家的，但“第四章 评审程序和评定成交的标准”第3.7条规定的情形除外。</w:t>
      </w:r>
    </w:p>
    <w:p w14:paraId="7F8E3DFC">
      <w:pPr>
        <w:pStyle w:val="8"/>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27.4在采购活动中因重大变故，采购任务取消的，采购人或者采购代理机构应当终止采购活动，通知所有参加采购活动的供应商。</w:t>
      </w:r>
    </w:p>
    <w:p w14:paraId="0EECF4C5">
      <w:pPr>
        <w:pStyle w:val="8"/>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27.5</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拒绝签订政府采购合同的成交供应商不得参加对该项目重新开展的采购活动。</w:t>
      </w:r>
    </w:p>
    <w:p w14:paraId="54BEDCC4">
      <w:pPr>
        <w:pStyle w:val="8"/>
        <w:spacing w:line="360" w:lineRule="auto"/>
        <w:ind w:firstLine="422" w:firstLineChars="200"/>
        <w:jc w:val="both"/>
        <w:rPr>
          <w:rFonts w:ascii="宋体" w:hAnsi="宋体" w:cs="宋体"/>
          <w:b/>
          <w:color w:val="auto"/>
          <w:szCs w:val="21"/>
          <w:highlight w:val="none"/>
        </w:rPr>
      </w:pPr>
      <w:r>
        <w:rPr>
          <w:rFonts w:hint="eastAsia" w:ascii="宋体" w:hAnsi="宋体" w:cs="宋体"/>
          <w:b/>
          <w:color w:val="auto"/>
          <w:szCs w:val="21"/>
          <w:highlight w:val="none"/>
        </w:rPr>
        <w:t>除因不可抗力外，成交供应商不与采购人签订合同的，除不予退还其谈判保证金外，若给采购人造成损失，或（并）因此延误采购人工作计划的，须依法承担赔偿损失等法律责任，采购人有权将成交供应商的失信行为报财政部门记入诚信档案，以示惩戒。</w:t>
      </w:r>
    </w:p>
    <w:p w14:paraId="3376E5BC">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28.履约保证金</w:t>
      </w:r>
    </w:p>
    <w:p w14:paraId="735831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28.1履约保证金的金额、提交方式、退付的时间和条件详见 “供应商须知前附表”。成交供应商未按规定提交履约保证金的，视为拒绝与采购人签订合同。</w:t>
      </w:r>
    </w:p>
    <w:p w14:paraId="197634D5">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28.2在履约保证金退还日期前，若成交供应商的开户名称、开户银行、账号有变动的，请以书面形式通知履约保证金收取单位，否则由此产生的后果由成交供应商自负。</w:t>
      </w:r>
    </w:p>
    <w:p w14:paraId="66D57C69">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29.签订合同</w:t>
      </w:r>
    </w:p>
    <w:p w14:paraId="2712A85B">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29.1成交供应商在收到成交通知书（书面或电子）后，按“供应商须知前附表”规定向采购人出示相关证明材料，经采购人核验合格后方可签订合同（书面或电子）。如成交供应商为联合体的，联合体各方应当共同与采购人签订采购合同，就采购合同约定的事项对采购人承担连带责任。</w:t>
      </w:r>
    </w:p>
    <w:p w14:paraId="11D1673B">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29.2 签订合同时间：按成交通知书的规定与采购人签订政府采购合同（最长不能超过25日）。</w:t>
      </w:r>
    </w:p>
    <w:p w14:paraId="2971F071">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29.3成交供应商拒绝与采购人签订合同的，按照本文件之《供应商须知正文》第27.5条的规定执行。</w:t>
      </w:r>
    </w:p>
    <w:p w14:paraId="1321E6C3">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30.政府采购合同公告</w:t>
      </w:r>
    </w:p>
    <w:p w14:paraId="169E73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57CD3259">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31.询问、质疑和投诉</w:t>
      </w:r>
    </w:p>
    <w:p w14:paraId="761166FB">
      <w:pPr>
        <w:pStyle w:val="6"/>
        <w:spacing w:line="360" w:lineRule="auto"/>
        <w:rPr>
          <w:rFonts w:ascii="宋体" w:hAnsi="宋体" w:cs="宋体"/>
          <w:color w:val="auto"/>
          <w:szCs w:val="21"/>
          <w:highlight w:val="none"/>
        </w:rPr>
      </w:pPr>
      <w:r>
        <w:rPr>
          <w:rFonts w:hint="eastAsia" w:ascii="宋体" w:hAnsi="宋体" w:cs="宋体"/>
          <w:color w:val="auto"/>
          <w:szCs w:val="21"/>
          <w:highlight w:val="none"/>
        </w:rPr>
        <w:t>31.1供应商对政府采购活动事项有疑问的，可以向采购人、采购代理机构提出询问，采购人或者采购代理机构应当在3个工作日内对供应商依法提出的询问作出答复，但答复的内容不得涉及商业秘密。</w:t>
      </w:r>
    </w:p>
    <w:p w14:paraId="14A8A58B">
      <w:pPr>
        <w:spacing w:line="360" w:lineRule="auto"/>
        <w:ind w:firstLine="420" w:firstLineChars="200"/>
        <w:rPr>
          <w:rFonts w:ascii="宋体" w:hAnsi="宋体" w:cs="宋体"/>
          <w:color w:val="auto"/>
          <w:szCs w:val="21"/>
          <w:highlight w:val="none"/>
        </w:rPr>
      </w:pPr>
      <w:bookmarkStart w:id="40" w:name="OLE_LINK1"/>
      <w:r>
        <w:rPr>
          <w:rFonts w:hint="eastAsia" w:ascii="宋体" w:hAnsi="宋体" w:cs="宋体"/>
          <w:color w:val="auto"/>
          <w:szCs w:val="21"/>
          <w:highlight w:val="none"/>
        </w:rPr>
        <w:t>31.2供应商认为谈判文件、采购过程或者成交结果使自己的合法权益受到损害的，应当在知道或者应知其权益受到损害之日起7个工作日内，以纸质书面形式向采购人、采购代理机构提出质疑，</w:t>
      </w:r>
      <w:r>
        <w:rPr>
          <w:rFonts w:hint="eastAsia" w:ascii="宋体" w:hAnsi="宋体" w:cs="宋体"/>
          <w:color w:val="auto"/>
          <w:szCs w:val="21"/>
          <w:highlight w:val="none"/>
          <w:shd w:val="clear" w:color="auto" w:fill="FFFFFF"/>
        </w:rPr>
        <w:t>接收质疑函的方式、联系部门、联系电话和通讯地址等信息</w:t>
      </w:r>
      <w:r>
        <w:rPr>
          <w:rFonts w:hint="eastAsia" w:ascii="宋体" w:hAnsi="宋体" w:cs="宋体"/>
          <w:color w:val="auto"/>
          <w:szCs w:val="21"/>
          <w:highlight w:val="none"/>
        </w:rPr>
        <w:t>详见“供应商须知前附表”。供应商应当在法定质疑期内一次性提出针对同一采购程序环节的质疑。具体质疑起算时间如下：</w:t>
      </w:r>
    </w:p>
    <w:p w14:paraId="24E390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（1）对可以质疑的谈判文件提出质疑的，为获取谈判文件之日；</w:t>
      </w:r>
    </w:p>
    <w:p w14:paraId="4936D1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（2）对采购过程提出质疑的，为各采购程序环节结束之日；</w:t>
      </w:r>
    </w:p>
    <w:p w14:paraId="56FCE6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（3）对成交结果提出质疑的，为成交结果公告期限届满之日。</w:t>
      </w:r>
    </w:p>
    <w:p w14:paraId="3F27C0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7321C85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31.4供应商提出质疑应当提交质疑函和必要的证明材料，针对同一采购程序环节的质疑必须在法定质疑期内一次性提出。质疑函应当包括下列内容</w:t>
      </w:r>
      <w:r>
        <w:rPr>
          <w:rFonts w:hint="eastAsia" w:ascii="宋体" w:hAnsi="宋体" w:cs="宋体"/>
          <w:bCs/>
          <w:color w:val="auto"/>
          <w:szCs w:val="21"/>
          <w:highlight w:val="none"/>
        </w:rPr>
        <w:t>（质疑函格式后附）</w:t>
      </w:r>
      <w:r>
        <w:rPr>
          <w:rFonts w:hint="eastAsia" w:ascii="宋体" w:hAnsi="宋体" w:cs="宋体"/>
          <w:color w:val="auto"/>
          <w:szCs w:val="21"/>
          <w:highlight w:val="none"/>
        </w:rPr>
        <w:t>：</w:t>
      </w:r>
    </w:p>
    <w:p w14:paraId="720EEBC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（1）供应商的姓名或者名称、地址、邮编、联系人及联系电话；</w:t>
      </w:r>
    </w:p>
    <w:p w14:paraId="4177D9A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（2）质疑项目的名称、编号；</w:t>
      </w:r>
    </w:p>
    <w:p w14:paraId="2DE6BE7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（3）具体、明确的质疑事项和与质疑事项相关的请求；</w:t>
      </w:r>
    </w:p>
    <w:p w14:paraId="082544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（4）事实依据；</w:t>
      </w:r>
    </w:p>
    <w:p w14:paraId="18C5A75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（5）必要的法律依据；</w:t>
      </w:r>
    </w:p>
    <w:p w14:paraId="71B124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（6）提出质疑的日期。</w:t>
      </w:r>
    </w:p>
    <w:p w14:paraId="33C3949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供应商为自然人的，应当由本人签字；供应商为法人或者其他组织的，应当由法定代表人、主要负责人，或者其委托代理人签字或者盖章，并加盖公章。</w:t>
      </w:r>
    </w:p>
    <w:p w14:paraId="71289B9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31.5采购人、采购代理机构认为供应商质疑不成立，或者成立但未对成交结果构成影响的，继续开展采购活动；认为供应商质疑成立且影响或者可能影响成交结果的，按照下列情况处理：</w:t>
      </w:r>
    </w:p>
    <w:p w14:paraId="3DE663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（1）对采购文件提出的质疑，依法通过澄清或者修改可以继续开展采购活动的，澄清或者修改采购文件后继续开展采购活动；否则应当修改采购文件后重新开展采购活动。</w:t>
      </w:r>
    </w:p>
    <w:p w14:paraId="4A96193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（2）对采购过程或者成交结果提出的质疑，合格供应商符合法定数量时，可以从合格的成交候选人中另行确定成交供应商的，应当依法另行确定成交供应商；否则应当重新开展采购活动。</w:t>
      </w:r>
    </w:p>
    <w:p w14:paraId="7B51C03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质疑答复导致成交结果改变的，采购人或者采购代理机构应当将有关情况书面报告本级财政部门。</w:t>
      </w:r>
    </w:p>
    <w:p w14:paraId="0A49215C">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bookmarkEnd w:id="40"/>
    <w:p w14:paraId="32916C43">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32.其他内容</w:t>
      </w:r>
    </w:p>
    <w:p w14:paraId="0FF315C4">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32.1代理服务费：代理服务费收取标准及缴费账户详见“供应商须知前附表”，供应商为联合体的，可以由联合体中的一方或者多方共同交纳代理服务费。</w:t>
      </w:r>
    </w:p>
    <w:p w14:paraId="7B96C85B">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32.2代理服务费收费计算标准：详见“供应商须知前附表”</w:t>
      </w:r>
    </w:p>
    <w:p w14:paraId="1AB67ADC">
      <w:pPr>
        <w:spacing w:line="360" w:lineRule="auto"/>
        <w:ind w:firstLine="422" w:firstLineChars="200"/>
        <w:contextualSpacing/>
        <w:rPr>
          <w:rFonts w:ascii="宋体" w:hAnsi="宋体" w:cs="宋体"/>
          <w:b/>
          <w:bCs/>
          <w:color w:val="auto"/>
          <w:szCs w:val="21"/>
          <w:highlight w:val="none"/>
        </w:rPr>
      </w:pPr>
      <w:r>
        <w:rPr>
          <w:rFonts w:hint="eastAsia" w:ascii="宋体" w:hAnsi="宋体" w:cs="宋体"/>
          <w:b/>
          <w:bCs/>
          <w:color w:val="auto"/>
          <w:szCs w:val="21"/>
          <w:highlight w:val="none"/>
        </w:rPr>
        <w:t>33.需要补充的其他内容</w:t>
      </w:r>
    </w:p>
    <w:p w14:paraId="65941778">
      <w:pPr>
        <w:pStyle w:val="17"/>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33.1本谈判文件解释规则详见“供应商须知前附表”。</w:t>
      </w:r>
    </w:p>
    <w:p w14:paraId="7D5556B8">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kern w:val="0"/>
          <w:szCs w:val="21"/>
          <w:highlight w:val="none"/>
        </w:rPr>
        <w:t>33.2 其他事</w:t>
      </w:r>
      <w:r>
        <w:rPr>
          <w:rFonts w:hint="eastAsia" w:ascii="宋体" w:hAnsi="宋体" w:cs="宋体"/>
          <w:color w:val="auto"/>
          <w:szCs w:val="21"/>
          <w:highlight w:val="none"/>
        </w:rPr>
        <w:t>项详见“供应商须知前附表”。</w:t>
      </w:r>
    </w:p>
    <w:p w14:paraId="4DECC1E9">
      <w:pPr>
        <w:pStyle w:val="17"/>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33.3</w:t>
      </w:r>
      <w:bookmarkStart w:id="41" w:name="_Hlk65857140"/>
      <w:r>
        <w:rPr>
          <w:rFonts w:hint="eastAsia" w:hAnsi="宋体" w:cs="宋体"/>
          <w:color w:val="auto"/>
          <w:sz w:val="21"/>
          <w:highlight w:val="none"/>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0ED7E53C">
      <w:pPr>
        <w:pStyle w:val="17"/>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0B81DD42">
      <w:pPr>
        <w:pStyle w:val="17"/>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1011D1C5">
      <w:pPr>
        <w:pStyle w:val="17"/>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16A92D2A">
      <w:pPr>
        <w:pStyle w:val="17"/>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14:paraId="73365961">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依据本谈判文件规定享受扶持政策获得政府采购合同的，小微企业不得将合同分包给大中型企业，中型企业不得将合同分包给大型企业。</w:t>
      </w:r>
      <w:bookmarkEnd w:id="41"/>
    </w:p>
    <w:p w14:paraId="7482422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33.4根据《国务院办公厅关于在政府采购中实施本国产品标准及相关政策的通知》（国办发〔2025〕34 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373CF4A">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产品在中国境内生产的组件成本占比应当达到规定比例，计算公式为：</w:t>
      </w:r>
      <w:r>
        <w:rPr>
          <w:rFonts w:ascii="微软雅黑" w:hAnsi="微软雅黑" w:eastAsia="微软雅黑" w:cs="宋体"/>
          <w:color w:val="auto"/>
          <w:kern w:val="0"/>
          <w:szCs w:val="21"/>
          <w:highlight w:val="none"/>
        </w:rPr>
        <w:drawing>
          <wp:inline distT="0" distB="0" distL="0" distR="0">
            <wp:extent cx="4829175" cy="762000"/>
            <wp:effectExtent l="0" t="0" r="9525" b="0"/>
            <wp:docPr id="1" name="图片 1" descr="https://hainan.chinatax.gov.cn/u/cms/www/202510/090841112j4q.jpg"/>
            <wp:cNvGraphicFramePr/>
            <a:graphic xmlns:a="http://schemas.openxmlformats.org/drawingml/2006/main">
              <a:graphicData uri="http://schemas.openxmlformats.org/drawingml/2006/picture">
                <pic:pic xmlns:pic="http://schemas.openxmlformats.org/drawingml/2006/picture">
                  <pic:nvPicPr>
                    <pic:cNvPr id="1" name="图片 1" descr="https://hainan.chinatax.gov.cn/u/cms/www/202510/090841112j4q.jpg"/>
                    <pic:cNvPicPr/>
                  </pic:nvPicPr>
                  <pic:blipFill>
                    <a:blip r:embed="rId11" cstate="print"/>
                    <a:srcRect/>
                    <a:stretch>
                      <a:fillRect/>
                    </a:stretch>
                  </pic:blipFill>
                  <pic:spPr>
                    <a:xfrm>
                      <a:off x="0" y="0"/>
                      <a:ext cx="4829175" cy="762000"/>
                    </a:xfrm>
                    <a:prstGeom prst="rect">
                      <a:avLst/>
                    </a:prstGeom>
                    <a:ln>
                      <a:noFill/>
                    </a:ln>
                  </pic:spPr>
                </pic:pic>
              </a:graphicData>
            </a:graphic>
          </wp:inline>
        </w:drawing>
      </w:r>
    </w:p>
    <w:p w14:paraId="41AB7E6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1CBF0AF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政府采购活动中既有本国产品又有非本国产品参与竞争的，依法对本国产品给予价格评审优惠，对本国产品的报价给予 20%的价格扣除，用扣除后的价格参与评审。</w:t>
      </w:r>
    </w:p>
    <w:p w14:paraId="4CA7A9F1">
      <w:pPr>
        <w:spacing w:line="360" w:lineRule="auto"/>
        <w:ind w:firstLine="420" w:firstLineChars="200"/>
        <w:rPr>
          <w:rFonts w:ascii="宋体" w:hAnsi="宋体" w:cs="宋体"/>
          <w:color w:val="auto"/>
          <w:szCs w:val="21"/>
          <w:highlight w:val="none"/>
        </w:rPr>
      </w:pPr>
      <w:r>
        <w:rPr>
          <w:rFonts w:hint="eastAsia" w:hAnsi="宋体" w:cs="宋体"/>
          <w:color w:val="auto"/>
          <w:szCs w:val="21"/>
          <w:highlight w:val="none"/>
        </w:rPr>
        <w:t>当采购项目或者采购包中含有多种产品，供应商为该采购项目或者采购包提供的符合本国产品标准的产品成本之和占该供应商提供的全部产品成本之和的比例达到 80%以上时，依法对该供应商提供的全部产品给予价格评审优惠，即对该供应商提供的全部产品的总报价给予20%的价格扣除，用扣除后的价格参与评审。</w:t>
      </w:r>
    </w:p>
    <w:p w14:paraId="78ADFBEE">
      <w:pPr>
        <w:numPr>
          <w:ilvl w:val="255"/>
          <w:numId w:val="0"/>
        </w:num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34.监督部门</w:t>
      </w:r>
    </w:p>
    <w:p w14:paraId="40E430E5">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监督部门：广西壮族自治区财政厅政府采购监督管理处</w:t>
      </w:r>
    </w:p>
    <w:p w14:paraId="4C3283AC">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监督联系电话：0771-5331544</w:t>
      </w:r>
    </w:p>
    <w:p w14:paraId="7DAF1C77">
      <w:pPr>
        <w:pStyle w:val="2"/>
        <w:jc w:val="center"/>
        <w:rPr>
          <w:rFonts w:ascii="宋体" w:hAnsi="宋体" w:cs="宋体"/>
          <w:color w:val="auto"/>
          <w:sz w:val="32"/>
          <w:szCs w:val="32"/>
          <w:highlight w:val="none"/>
        </w:rPr>
      </w:pPr>
      <w:r>
        <w:rPr>
          <w:rFonts w:hint="eastAsia" w:ascii="宋体" w:hAnsi="宋体" w:cs="宋体"/>
          <w:bCs w:val="0"/>
          <w:color w:val="auto"/>
          <w:sz w:val="24"/>
          <w:szCs w:val="24"/>
          <w:highlight w:val="none"/>
        </w:rPr>
        <w:br w:type="page"/>
      </w:r>
      <w:bookmarkStart w:id="42" w:name="_Toc22895"/>
      <w:bookmarkStart w:id="43" w:name="_Toc74322010"/>
      <w:r>
        <w:rPr>
          <w:rFonts w:hint="eastAsia" w:ascii="宋体" w:hAnsi="宋体" w:cs="宋体"/>
          <w:color w:val="auto"/>
          <w:highlight w:val="none"/>
        </w:rPr>
        <w:t>第三章、采购需求</w:t>
      </w:r>
      <w:bookmarkEnd w:id="42"/>
      <w:bookmarkEnd w:id="43"/>
    </w:p>
    <w:p w14:paraId="05965515">
      <w:pPr>
        <w:spacing w:line="360" w:lineRule="auto"/>
        <w:jc w:val="left"/>
        <w:rPr>
          <w:rFonts w:ascii="宋体" w:hAnsi="宋体" w:cs="宋体"/>
          <w:bCs/>
          <w:color w:val="auto"/>
          <w:szCs w:val="21"/>
          <w:highlight w:val="none"/>
        </w:rPr>
      </w:pPr>
      <w:bookmarkStart w:id="44" w:name="_Toc74322011"/>
      <w:r>
        <w:rPr>
          <w:rFonts w:hint="eastAsia" w:ascii="宋体" w:hAnsi="宋体" w:cs="宋体"/>
          <w:bCs/>
          <w:color w:val="auto"/>
          <w:szCs w:val="21"/>
          <w:highlight w:val="none"/>
        </w:rPr>
        <w:t>说明：</w:t>
      </w:r>
    </w:p>
    <w:p w14:paraId="734AB6BB">
      <w:pPr>
        <w:spacing w:line="360" w:lineRule="auto"/>
        <w:ind w:left="-10" w:leftChars="-5" w:right="2" w:rightChars="1" w:firstLine="420" w:firstLineChars="200"/>
        <w:rPr>
          <w:rFonts w:ascii="宋体" w:hAnsi="宋体" w:cs="宋体"/>
          <w:bCs/>
          <w:color w:val="auto"/>
          <w:szCs w:val="21"/>
          <w:highlight w:val="none"/>
        </w:rPr>
      </w:pPr>
      <w:r>
        <w:rPr>
          <w:rFonts w:hint="eastAsia" w:ascii="宋体" w:hAnsi="宋体" w:cs="宋体"/>
          <w:bCs/>
          <w:color w:val="auto"/>
          <w:szCs w:val="21"/>
          <w:highlight w:val="none"/>
        </w:rPr>
        <w:t>1</w:t>
      </w:r>
      <w:r>
        <w:rPr>
          <w:rFonts w:hint="eastAsia" w:ascii="宋体" w:hAnsi="宋体" w:cs="宋体"/>
          <w:color w:val="auto"/>
          <w:szCs w:val="21"/>
          <w:highlight w:val="none"/>
        </w:rPr>
        <w:t>.</w:t>
      </w:r>
      <w:r>
        <w:rPr>
          <w:rFonts w:hint="eastAsia" w:ascii="宋体" w:hAnsi="宋体" w:cs="宋体"/>
          <w:bCs/>
          <w:color w:val="auto"/>
          <w:szCs w:val="21"/>
          <w:highlight w:val="none"/>
        </w:rPr>
        <w:t>采购需求中如出现品牌、型号或者生产厂家等均仅起参考作用，不属于指定品牌、型号或者生产厂家的情形，供应商可参照或者选用其他相当的品牌、型号或者生产供应商替代。但供应商提供的产品实质上应相当于或优于本《采购需求》中的技术要求。</w:t>
      </w:r>
    </w:p>
    <w:p w14:paraId="1451154E">
      <w:pPr>
        <w:spacing w:line="360" w:lineRule="auto"/>
        <w:ind w:left="-10" w:leftChars="-5" w:right="2" w:rightChars="1" w:firstLine="420" w:firstLineChars="200"/>
        <w:rPr>
          <w:rFonts w:ascii="宋体" w:hAnsi="宋体" w:cs="宋体"/>
          <w:bCs/>
          <w:color w:val="auto"/>
          <w:szCs w:val="21"/>
          <w:highlight w:val="none"/>
        </w:rPr>
      </w:pPr>
      <w:r>
        <w:rPr>
          <w:rFonts w:hint="eastAsia" w:ascii="宋体" w:hAnsi="宋体" w:cs="宋体"/>
          <w:bCs/>
          <w:color w:val="auto"/>
          <w:szCs w:val="21"/>
          <w:highlight w:val="none"/>
        </w:rPr>
        <w:t>2</w:t>
      </w:r>
      <w:r>
        <w:rPr>
          <w:rFonts w:hint="eastAsia" w:ascii="宋体" w:hAnsi="宋体" w:cs="宋体"/>
          <w:color w:val="auto"/>
          <w:szCs w:val="21"/>
          <w:highlight w:val="none"/>
        </w:rPr>
        <w:t>.</w:t>
      </w:r>
      <w:r>
        <w:rPr>
          <w:rFonts w:hint="eastAsia" w:ascii="宋体" w:hAnsi="宋体" w:cs="宋体"/>
          <w:bCs/>
          <w:color w:val="auto"/>
          <w:szCs w:val="21"/>
          <w:highlight w:val="none"/>
        </w:rPr>
        <w:t>凡在</w:t>
      </w:r>
      <w:bookmarkStart w:id="45" w:name="_Hlk207211764"/>
      <w:r>
        <w:rPr>
          <w:rFonts w:hint="eastAsia" w:ascii="宋体" w:hAnsi="宋体" w:cs="宋体"/>
          <w:bCs/>
          <w:color w:val="auto"/>
          <w:szCs w:val="21"/>
          <w:highlight w:val="none"/>
        </w:rPr>
        <w:t>“技术要求”中表述为“标配”或“标准配置”</w:t>
      </w:r>
      <w:bookmarkEnd w:id="45"/>
      <w:r>
        <w:rPr>
          <w:rFonts w:hint="eastAsia" w:ascii="宋体" w:hAnsi="宋体" w:cs="宋体"/>
          <w:bCs/>
          <w:color w:val="auto"/>
          <w:szCs w:val="21"/>
          <w:highlight w:val="none"/>
        </w:rPr>
        <w:t>的设备，供应商应在</w:t>
      </w:r>
      <w:r>
        <w:rPr>
          <w:rFonts w:hint="eastAsia" w:ascii="宋体" w:hAnsi="宋体" w:cs="宋体"/>
          <w:color w:val="auto"/>
          <w:szCs w:val="21"/>
          <w:highlight w:val="none"/>
        </w:rPr>
        <w:t>竞争性谈判</w:t>
      </w:r>
      <w:r>
        <w:rPr>
          <w:rFonts w:hint="eastAsia" w:ascii="宋体" w:hAnsi="宋体" w:cs="宋体"/>
          <w:bCs/>
          <w:color w:val="auto"/>
          <w:szCs w:val="21"/>
          <w:highlight w:val="none"/>
        </w:rPr>
        <w:t>设备性能配置清单中将其标配参数详细列明。</w:t>
      </w:r>
    </w:p>
    <w:p w14:paraId="05AAFE12">
      <w:pPr>
        <w:spacing w:line="360" w:lineRule="auto"/>
        <w:ind w:left="-10" w:leftChars="-5" w:right="2" w:rightChars="1" w:firstLine="420" w:firstLineChars="200"/>
        <w:rPr>
          <w:rFonts w:ascii="宋体" w:hAnsi="宋体" w:cs="宋体"/>
          <w:bCs/>
          <w:color w:val="auto"/>
          <w:szCs w:val="21"/>
          <w:highlight w:val="none"/>
        </w:rPr>
      </w:pPr>
      <w:r>
        <w:rPr>
          <w:rFonts w:hint="eastAsia" w:ascii="宋体" w:hAnsi="宋体" w:cs="宋体"/>
          <w:bCs/>
          <w:color w:val="auto"/>
          <w:szCs w:val="21"/>
          <w:highlight w:val="none"/>
        </w:rPr>
        <w:t>3</w:t>
      </w:r>
      <w:r>
        <w:rPr>
          <w:rFonts w:hint="eastAsia" w:ascii="宋体" w:hAnsi="宋体" w:cs="宋体"/>
          <w:color w:val="auto"/>
          <w:szCs w:val="21"/>
          <w:highlight w:val="none"/>
        </w:rPr>
        <w:t>.</w:t>
      </w:r>
      <w:r>
        <w:rPr>
          <w:rFonts w:hint="eastAsia" w:ascii="宋体" w:hAnsi="宋体" w:cs="宋体"/>
          <w:bCs/>
          <w:color w:val="auto"/>
          <w:szCs w:val="21"/>
          <w:highlight w:val="none"/>
        </w:rPr>
        <w:t>根据《财政部发展改革委生态环境部市场监管总局关于调整优化节能产品、环境标志产品政府采购执行机制的通知》（财库〔2019〕9 号）和《关于印发节能产品政府采购品目清单的通知》（财库〔2019〕19 号）的规定，采购需求中的产品属于节能产品政府采购品目清单内标注</w:t>
      </w:r>
      <w:bookmarkStart w:id="46" w:name="_Hlk207211774"/>
      <w:r>
        <w:rPr>
          <w:rFonts w:hint="eastAsia" w:ascii="宋体" w:hAnsi="宋体" w:cs="宋体"/>
          <w:bCs/>
          <w:color w:val="auto"/>
          <w:szCs w:val="21"/>
          <w:highlight w:val="none"/>
        </w:rPr>
        <w:t>“★”</w:t>
      </w:r>
      <w:bookmarkEnd w:id="46"/>
      <w:r>
        <w:rPr>
          <w:rFonts w:hint="eastAsia" w:ascii="宋体" w:hAnsi="宋体" w:cs="宋体"/>
          <w:bCs/>
          <w:color w:val="auto"/>
          <w:szCs w:val="21"/>
          <w:highlight w:val="none"/>
        </w:rPr>
        <w:t>的（详见本章后附的节能产品政府采购品目清单），供应商参与竞争性谈判提供的货物必须使用政府强制采购的节能产品，供应商必须在响应文件（商务及技术文件）中提供所竞产品的节能产品认证证书（加盖供应商电子签章），否则响应文件作无效处理。</w:t>
      </w:r>
    </w:p>
    <w:p w14:paraId="43E3E550">
      <w:pPr>
        <w:spacing w:line="360" w:lineRule="auto"/>
        <w:ind w:left="-10" w:leftChars="-5" w:right="2" w:rightChars="1" w:firstLine="420" w:firstLineChars="200"/>
        <w:rPr>
          <w:rFonts w:ascii="宋体" w:hAnsi="宋体" w:cs="宋体"/>
          <w:bCs/>
          <w:color w:val="auto"/>
          <w:szCs w:val="21"/>
          <w:highlight w:val="none"/>
        </w:rPr>
      </w:pPr>
      <w:r>
        <w:rPr>
          <w:rFonts w:hint="eastAsia" w:ascii="宋体" w:hAnsi="宋体" w:cs="宋体"/>
          <w:bCs/>
          <w:color w:val="auto"/>
          <w:szCs w:val="21"/>
          <w:highlight w:val="none"/>
        </w:rPr>
        <w:t>4.根据国家市场监督管理总局《关于发布强制性产品认证且录描述与界定表的公告》(2023年第36号)中《强制性产品认证目录描述与界定表》(2023年修订)的界定，本项目采购范围包含强制性产品认证目录内产品的，根据《强制性产品认证管理规定》2009年7月3日国家质量监督检验检疫总局令第117号公布，根据2022年9月29日国家市场监督管理总局令第61号修订第十条：“列入目录产品的生产者或者销售者、进口商(以下统称认证委托人)应当委托经国家认监委指定的认证机构(以下简称认证机构)对其生产、销售或者进口的产品进行认证。”规定，生产厂家应当进行强制性认证，供应商必须在响应文件中提供强制性认证证书（（加盖供应商电子签章）），否则响应文件作无效处理。</w:t>
      </w:r>
    </w:p>
    <w:p w14:paraId="031218C8">
      <w:pPr>
        <w:spacing w:line="360" w:lineRule="auto"/>
        <w:ind w:left="-10" w:leftChars="-5" w:right="2" w:rightChars="1" w:firstLine="420" w:firstLineChars="200"/>
        <w:rPr>
          <w:rFonts w:ascii="宋体" w:hAnsi="宋体" w:cs="宋体"/>
          <w:color w:val="auto"/>
          <w:szCs w:val="21"/>
          <w:highlight w:val="none"/>
        </w:rPr>
      </w:pPr>
      <w:r>
        <w:rPr>
          <w:rFonts w:hint="eastAsia" w:ascii="宋体" w:hAnsi="宋体" w:cs="宋体"/>
          <w:bCs/>
          <w:color w:val="auto"/>
          <w:szCs w:val="21"/>
          <w:highlight w:val="none"/>
        </w:rPr>
        <w:t>5</w:t>
      </w:r>
      <w:r>
        <w:rPr>
          <w:rFonts w:hint="eastAsia" w:ascii="宋体" w:hAnsi="宋体" w:cs="宋体"/>
          <w:color w:val="auto"/>
          <w:szCs w:val="21"/>
          <w:highlight w:val="none"/>
        </w:rPr>
        <w:t>.根据国家市场监督管理总局《关于发布强制性产品认证且录描述与界定表的公告》(2023年第36号)中《强制性产品认证目录描述与界定表》(2023年修订)的界定，本项目采购范围包含强制性产品认证目录内产品的，根据《强制性产品认证管理规定》2009年7月3日国家质量监督检验检疫总局令第117号公布，根据2022年9月29日国家市场监督管理总局令第61号修订第十条：“列入目录产品的生产者或者销售者、进口商(以下统称认证委托人)应当委托经国家认监委指定的认证机构(以下简称认证机构)对其生产、销售或者进口的产品进行认证。”规定，生产厂家应当进行强制性认证，供应商必须在响应文件中提供强制性认证证书（（加盖</w:t>
      </w:r>
      <w:r>
        <w:rPr>
          <w:rFonts w:hint="eastAsia" w:ascii="宋体" w:hAnsi="宋体" w:cs="宋体"/>
          <w:bCs/>
          <w:color w:val="auto"/>
          <w:szCs w:val="21"/>
          <w:highlight w:val="none"/>
        </w:rPr>
        <w:t>供应商</w:t>
      </w:r>
      <w:r>
        <w:rPr>
          <w:rFonts w:hint="eastAsia" w:ascii="宋体" w:hAnsi="宋体" w:cs="宋体"/>
          <w:color w:val="auto"/>
          <w:szCs w:val="21"/>
          <w:highlight w:val="none"/>
        </w:rPr>
        <w:t>电子签章）），否则</w:t>
      </w:r>
      <w:r>
        <w:rPr>
          <w:rFonts w:hint="eastAsia" w:ascii="宋体" w:hAnsi="宋体" w:cs="宋体"/>
          <w:bCs/>
          <w:color w:val="auto"/>
          <w:szCs w:val="21"/>
          <w:highlight w:val="none"/>
        </w:rPr>
        <w:t>响应文件</w:t>
      </w:r>
      <w:r>
        <w:rPr>
          <w:rFonts w:hint="eastAsia" w:ascii="宋体" w:hAnsi="宋体" w:cs="宋体"/>
          <w:color w:val="auto"/>
          <w:szCs w:val="21"/>
          <w:highlight w:val="none"/>
        </w:rPr>
        <w:t>作无效处理。</w:t>
      </w:r>
    </w:p>
    <w:p w14:paraId="0BE1BCE1">
      <w:pPr>
        <w:spacing w:line="360" w:lineRule="auto"/>
        <w:ind w:left="-10" w:leftChars="-5" w:right="2" w:rightChars="1" w:firstLine="420" w:firstLineChars="200"/>
        <w:rPr>
          <w:rFonts w:ascii="宋体" w:hAnsi="宋体" w:cs="宋体"/>
          <w:bCs/>
          <w:color w:val="auto"/>
          <w:szCs w:val="21"/>
          <w:highlight w:val="none"/>
        </w:rPr>
      </w:pPr>
      <w:r>
        <w:rPr>
          <w:rFonts w:hint="eastAsia" w:ascii="宋体" w:hAnsi="宋体" w:cs="宋体"/>
          <w:bCs/>
          <w:color w:val="auto"/>
          <w:szCs w:val="21"/>
          <w:highlight w:val="none"/>
        </w:rPr>
        <w:t>6.如供应商参与</w:t>
      </w:r>
      <w:r>
        <w:rPr>
          <w:rFonts w:hint="eastAsia" w:ascii="宋体" w:hAnsi="宋体" w:cs="宋体"/>
          <w:color w:val="auto"/>
          <w:szCs w:val="21"/>
          <w:highlight w:val="none"/>
        </w:rPr>
        <w:t>竞争性谈判提供的</w:t>
      </w:r>
      <w:r>
        <w:rPr>
          <w:rFonts w:hint="eastAsia" w:ascii="宋体" w:hAnsi="宋体" w:cs="宋体"/>
          <w:bCs/>
          <w:color w:val="auto"/>
          <w:szCs w:val="21"/>
          <w:highlight w:val="none"/>
        </w:rPr>
        <w:t>产品存在侵犯他人的知识产权或者专利成果行为的，由供应商自行承担相应法律责任。</w:t>
      </w:r>
    </w:p>
    <w:p w14:paraId="70BB8458">
      <w:pPr>
        <w:spacing w:line="360" w:lineRule="auto"/>
        <w:ind w:left="-10" w:leftChars="-5" w:right="2" w:rightChars="1" w:firstLine="420" w:firstLineChars="200"/>
        <w:rPr>
          <w:rFonts w:ascii="宋体" w:hAnsi="宋体" w:cs="宋体"/>
          <w:b/>
          <w:color w:val="auto"/>
          <w:szCs w:val="21"/>
          <w:highlight w:val="none"/>
        </w:rPr>
      </w:pPr>
      <w:r>
        <w:rPr>
          <w:rFonts w:hint="eastAsia" w:ascii="宋体" w:hAnsi="宋体" w:cs="宋体"/>
          <w:bCs/>
          <w:color w:val="auto"/>
          <w:szCs w:val="21"/>
          <w:highlight w:val="none"/>
        </w:rPr>
        <w:t>7</w:t>
      </w:r>
      <w:r>
        <w:rPr>
          <w:rFonts w:hint="eastAsia" w:ascii="宋体" w:hAnsi="宋体" w:cs="宋体"/>
          <w:color w:val="auto"/>
          <w:szCs w:val="21"/>
          <w:highlight w:val="none"/>
        </w:rPr>
        <w:t>.</w:t>
      </w:r>
      <w:r>
        <w:rPr>
          <w:rFonts w:hint="eastAsia" w:ascii="宋体" w:hAnsi="宋体" w:cs="宋体"/>
          <w:b/>
          <w:color w:val="auto"/>
          <w:szCs w:val="21"/>
          <w:highlight w:val="none"/>
        </w:rPr>
        <w:t>实质性要求：本项目为竞争性谈判项目，</w:t>
      </w:r>
      <w:r>
        <w:rPr>
          <w:rFonts w:hint="eastAsia" w:ascii="宋体" w:hAnsi="宋体" w:cs="宋体"/>
          <w:b/>
          <w:bCs/>
          <w:color w:val="auto"/>
          <w:szCs w:val="21"/>
          <w:highlight w:val="none"/>
        </w:rPr>
        <w:t>“采购需求”中所有要求均为实质性要求，不允许负偏离，否则视为无效响应</w:t>
      </w:r>
      <w:r>
        <w:rPr>
          <w:rFonts w:hint="eastAsia" w:ascii="宋体" w:hAnsi="宋体" w:cs="宋体"/>
          <w:b/>
          <w:color w:val="auto"/>
          <w:szCs w:val="21"/>
          <w:highlight w:val="none"/>
        </w:rPr>
        <w:t>。</w:t>
      </w:r>
    </w:p>
    <w:p w14:paraId="53DBEF2E">
      <w:pPr>
        <w:spacing w:line="360" w:lineRule="auto"/>
        <w:ind w:firstLine="426" w:firstLineChars="202"/>
        <w:jc w:val="left"/>
        <w:rPr>
          <w:rFonts w:ascii="宋体" w:hAnsi="宋体" w:cs="宋体"/>
          <w:b/>
          <w:bCs/>
          <w:color w:val="auto"/>
          <w:szCs w:val="21"/>
          <w:highlight w:val="none"/>
        </w:rPr>
      </w:pPr>
      <w:r>
        <w:rPr>
          <w:rFonts w:hint="eastAsia" w:ascii="宋体" w:hAnsi="宋体" w:cs="宋体"/>
          <w:b/>
          <w:bCs/>
          <w:color w:val="auto"/>
          <w:szCs w:val="21"/>
          <w:highlight w:val="none"/>
        </w:rPr>
        <w:t>8.采购需求中出现的品牌、型号或者生产厂家仅起参考作用，不属于指定品牌、型号或者生产厂家的情形。供应商可参照或者选用其他相当的品牌、型号或者生产厂家替代，但选用的竞标产品参数性能必须满足实质性要求。</w:t>
      </w:r>
    </w:p>
    <w:p w14:paraId="5775DC42">
      <w:pPr>
        <w:spacing w:line="360" w:lineRule="auto"/>
        <w:ind w:left="-10" w:leftChars="-5" w:right="2" w:rightChars="1" w:firstLine="420" w:firstLineChars="200"/>
        <w:rPr>
          <w:rFonts w:ascii="宋体" w:hAnsi="宋体" w:cs="宋体"/>
          <w:bCs/>
          <w:color w:val="auto"/>
          <w:szCs w:val="21"/>
          <w:highlight w:val="none"/>
        </w:rPr>
      </w:pPr>
      <w:r>
        <w:rPr>
          <w:rFonts w:hint="eastAsia" w:ascii="宋体" w:hAnsi="宋体" w:cs="宋体"/>
          <w:bCs/>
          <w:color w:val="auto"/>
          <w:szCs w:val="21"/>
          <w:highlight w:val="none"/>
        </w:rPr>
        <w:t>9.项目所属行业：工业</w:t>
      </w:r>
    </w:p>
    <w:p w14:paraId="3D573573">
      <w:pPr>
        <w:rPr>
          <w:rFonts w:ascii="宋体" w:hAnsi="宋体" w:cs="宋体"/>
          <w:bCs/>
          <w:color w:val="auto"/>
          <w:szCs w:val="21"/>
          <w:highlight w:val="none"/>
        </w:rPr>
      </w:pPr>
      <w:r>
        <w:rPr>
          <w:rFonts w:hint="eastAsia" w:ascii="宋体" w:hAnsi="宋体" w:cs="宋体"/>
          <w:bCs/>
          <w:color w:val="auto"/>
          <w:szCs w:val="21"/>
          <w:highlight w:val="none"/>
        </w:rPr>
        <w:br w:type="page"/>
      </w:r>
    </w:p>
    <w:p w14:paraId="1233DBD5">
      <w:pPr>
        <w:pStyle w:val="44"/>
        <w:rPr>
          <w:color w:val="auto"/>
          <w:highlight w:val="none"/>
        </w:rPr>
      </w:pPr>
    </w:p>
    <w:tbl>
      <w:tblPr>
        <w:tblStyle w:val="30"/>
        <w:tblW w:w="9955" w:type="dxa"/>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683"/>
        <w:gridCol w:w="850"/>
        <w:gridCol w:w="709"/>
        <w:gridCol w:w="4684"/>
        <w:gridCol w:w="1400"/>
      </w:tblGrid>
      <w:tr w14:paraId="18827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55" w:type="dxa"/>
            <w:gridSpan w:val="6"/>
            <w:noWrap/>
            <w:vAlign w:val="center"/>
          </w:tcPr>
          <w:p w14:paraId="33069E09">
            <w:pPr>
              <w:pStyle w:val="44"/>
              <w:jc w:val="center"/>
              <w:rPr>
                <w:rFonts w:ascii="宋体" w:hAnsi="宋体" w:cs="宋体"/>
                <w:b/>
                <w:bCs/>
                <w:color w:val="auto"/>
                <w:kern w:val="0"/>
                <w:szCs w:val="21"/>
                <w:highlight w:val="none"/>
              </w:rPr>
            </w:pPr>
            <w:r>
              <w:rPr>
                <w:rFonts w:hint="eastAsia"/>
                <w:b/>
                <w:bCs/>
                <w:color w:val="auto"/>
                <w:sz w:val="28"/>
                <w:szCs w:val="32"/>
                <w:highlight w:val="none"/>
              </w:rPr>
              <w:t>标项一</w:t>
            </w:r>
          </w:p>
        </w:tc>
      </w:tr>
      <w:tr w14:paraId="55399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29" w:type="dxa"/>
            <w:noWrap/>
            <w:vAlign w:val="center"/>
          </w:tcPr>
          <w:p w14:paraId="505B6CB4">
            <w:pPr>
              <w:widowControl/>
              <w:spacing w:line="360" w:lineRule="auto"/>
              <w:jc w:val="center"/>
              <w:textAlignment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683" w:type="dxa"/>
            <w:noWrap/>
            <w:vAlign w:val="center"/>
          </w:tcPr>
          <w:p w14:paraId="36B63B8B">
            <w:pPr>
              <w:widowControl/>
              <w:spacing w:line="360" w:lineRule="auto"/>
              <w:jc w:val="center"/>
              <w:textAlignment w:val="center"/>
              <w:rPr>
                <w:rFonts w:ascii="宋体" w:hAnsi="宋体" w:cs="宋体"/>
                <w:b/>
                <w:bCs/>
                <w:color w:val="auto"/>
                <w:szCs w:val="21"/>
                <w:highlight w:val="none"/>
              </w:rPr>
            </w:pPr>
            <w:r>
              <w:rPr>
                <w:rFonts w:hint="eastAsia" w:ascii="宋体" w:hAnsi="宋体" w:cs="宋体"/>
                <w:b/>
                <w:bCs/>
                <w:color w:val="auto"/>
                <w:szCs w:val="21"/>
                <w:highlight w:val="none"/>
              </w:rPr>
              <w:t>标的名称</w:t>
            </w:r>
          </w:p>
        </w:tc>
        <w:tc>
          <w:tcPr>
            <w:tcW w:w="850" w:type="dxa"/>
            <w:noWrap/>
            <w:vAlign w:val="center"/>
          </w:tcPr>
          <w:p w14:paraId="492AACF5">
            <w:pPr>
              <w:widowControl/>
              <w:spacing w:line="360" w:lineRule="auto"/>
              <w:jc w:val="center"/>
              <w:textAlignment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数量</w:t>
            </w:r>
          </w:p>
        </w:tc>
        <w:tc>
          <w:tcPr>
            <w:tcW w:w="709" w:type="dxa"/>
            <w:vAlign w:val="center"/>
          </w:tcPr>
          <w:p w14:paraId="0B09D4DE">
            <w:pPr>
              <w:widowControl/>
              <w:spacing w:line="360" w:lineRule="auto"/>
              <w:jc w:val="center"/>
              <w:textAlignment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计量</w:t>
            </w:r>
            <w:r>
              <w:rPr>
                <w:rFonts w:hint="eastAsia" w:ascii="宋体" w:hAnsi="宋体" w:cs="宋体"/>
                <w:b/>
                <w:bCs/>
                <w:color w:val="auto"/>
                <w:kern w:val="0"/>
                <w:szCs w:val="21"/>
                <w:highlight w:val="none"/>
              </w:rPr>
              <w:br w:type="textWrapping"/>
            </w:r>
            <w:r>
              <w:rPr>
                <w:rFonts w:hint="eastAsia" w:ascii="宋体" w:hAnsi="宋体" w:cs="宋体"/>
                <w:b/>
                <w:bCs/>
                <w:color w:val="auto"/>
                <w:kern w:val="0"/>
                <w:szCs w:val="21"/>
                <w:highlight w:val="none"/>
              </w:rPr>
              <w:t>单位</w:t>
            </w:r>
          </w:p>
        </w:tc>
        <w:tc>
          <w:tcPr>
            <w:tcW w:w="4684" w:type="dxa"/>
            <w:vAlign w:val="center"/>
          </w:tcPr>
          <w:p w14:paraId="0F9E67FB">
            <w:pPr>
              <w:widowControl/>
              <w:spacing w:line="360" w:lineRule="auto"/>
              <w:jc w:val="center"/>
              <w:textAlignment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技术参数及性能（配置）要求</w:t>
            </w:r>
          </w:p>
        </w:tc>
        <w:tc>
          <w:tcPr>
            <w:tcW w:w="1400" w:type="dxa"/>
            <w:vAlign w:val="center"/>
          </w:tcPr>
          <w:p w14:paraId="6F35BF3D">
            <w:pPr>
              <w:widowControl/>
              <w:spacing w:line="360" w:lineRule="auto"/>
              <w:jc w:val="center"/>
              <w:textAlignment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采购控制单价（元）</w:t>
            </w:r>
          </w:p>
        </w:tc>
      </w:tr>
      <w:tr w14:paraId="3FC17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629" w:type="dxa"/>
            <w:noWrap/>
            <w:vAlign w:val="center"/>
          </w:tcPr>
          <w:p w14:paraId="7DF5BE3B">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w:t>
            </w:r>
          </w:p>
        </w:tc>
        <w:tc>
          <w:tcPr>
            <w:tcW w:w="1683" w:type="dxa"/>
            <w:vAlign w:val="center"/>
          </w:tcPr>
          <w:p w14:paraId="23CE78B5">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2026-2027年校园技防系统运维服务采购</w:t>
            </w:r>
          </w:p>
        </w:tc>
        <w:tc>
          <w:tcPr>
            <w:tcW w:w="850" w:type="dxa"/>
            <w:noWrap/>
            <w:vAlign w:val="center"/>
          </w:tcPr>
          <w:p w14:paraId="4738BEF0">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1</w:t>
            </w:r>
          </w:p>
        </w:tc>
        <w:tc>
          <w:tcPr>
            <w:tcW w:w="709" w:type="dxa"/>
            <w:noWrap/>
            <w:vAlign w:val="center"/>
          </w:tcPr>
          <w:p w14:paraId="225BF9DA">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项</w:t>
            </w:r>
          </w:p>
        </w:tc>
        <w:tc>
          <w:tcPr>
            <w:tcW w:w="4684" w:type="dxa"/>
            <w:vAlign w:val="center"/>
          </w:tcPr>
          <w:p w14:paraId="73A34361">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1、提供两名驻场工程师开展校园监控安防系统的运维，驻场服务时间为全年每周5×8小时（具体上下班时间由业主根据实际需要作出安排），非工作时间或节假日须提供电话支持服务，如有需要，须到现场解决。</w:t>
            </w:r>
          </w:p>
          <w:p w14:paraId="45F3AB38">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2、提供日常的故障处理服务、软件更新服务、巡检服务、健康检查服务、技术支持服务和应急保障服务等，协助业主开展相关的日常安防系统使用和维护等工作。</w:t>
            </w:r>
          </w:p>
          <w:p w14:paraId="1BA6C0A2">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3、出现驻场工程师无法解决的故障时，协调技术专家提供技术支持，必要时，技术专家需要提供现场服务。</w:t>
            </w:r>
          </w:p>
          <w:p w14:paraId="6A35F435">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4、提供7×24小时的技术咨询和故障处理服务，如果业主服务方式有改变，必须提前一周通知驻场方。。</w:t>
            </w:r>
          </w:p>
          <w:p w14:paraId="42BF6740">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5、每月进行一次巡检，巡检的内容包括：视频监控摄像机、门禁道闸等设备运行状态，保证业主安防系统的稳定运行。</w:t>
            </w:r>
          </w:p>
          <w:p w14:paraId="6539174C">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6、易耗品免费更换，包含光纤收发器、小型交换机、电源适配器、光纤跳线、网线跳线、水晶头等。</w:t>
            </w:r>
          </w:p>
        </w:tc>
        <w:tc>
          <w:tcPr>
            <w:tcW w:w="1400" w:type="dxa"/>
            <w:vAlign w:val="center"/>
          </w:tcPr>
          <w:p w14:paraId="08AAE0A1">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200000.00</w:t>
            </w:r>
          </w:p>
        </w:tc>
      </w:tr>
      <w:tr w14:paraId="4D227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629" w:type="dxa"/>
            <w:noWrap/>
            <w:vAlign w:val="center"/>
          </w:tcPr>
          <w:p w14:paraId="75368465">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2</w:t>
            </w:r>
          </w:p>
        </w:tc>
        <w:tc>
          <w:tcPr>
            <w:tcW w:w="1683" w:type="dxa"/>
            <w:noWrap/>
            <w:vAlign w:val="center"/>
          </w:tcPr>
          <w:p w14:paraId="772A8A4F">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机动车/非机动直杆道闸</w:t>
            </w:r>
          </w:p>
        </w:tc>
        <w:tc>
          <w:tcPr>
            <w:tcW w:w="850" w:type="dxa"/>
            <w:noWrap/>
            <w:vAlign w:val="center"/>
          </w:tcPr>
          <w:p w14:paraId="30A89C08">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24</w:t>
            </w:r>
          </w:p>
        </w:tc>
        <w:tc>
          <w:tcPr>
            <w:tcW w:w="709" w:type="dxa"/>
            <w:noWrap/>
            <w:vAlign w:val="center"/>
          </w:tcPr>
          <w:p w14:paraId="1FD10579">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台</w:t>
            </w:r>
          </w:p>
        </w:tc>
        <w:tc>
          <w:tcPr>
            <w:tcW w:w="4684" w:type="dxa"/>
            <w:vAlign w:val="center"/>
          </w:tcPr>
          <w:p w14:paraId="79043E61">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1、采用一体化机芯≥4米直杆道闸，机箱壁厚≥1.5mm，左右可换向。</w:t>
            </w:r>
          </w:p>
          <w:p w14:paraId="6E9E9949">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2、调速功能：采用直流电机控制，可以实现起、落杆时间调整，起、落杆速度三档可调。</w:t>
            </w:r>
          </w:p>
          <w:p w14:paraId="3D0E1BE6">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3、变频功能:支持起、落杆加减速调整，实现快速起竿、慢速落杆。</w:t>
            </w:r>
          </w:p>
          <w:p w14:paraId="7C4ECF5F">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4、运行速度：抬杆：1.5s、2s、2.5s，落杆：1.5s、2s、2.5s。</w:t>
            </w:r>
          </w:p>
          <w:p w14:paraId="227F4039">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5、运行噪声：≤60分贝。</w:t>
            </w:r>
          </w:p>
          <w:p w14:paraId="7763F020">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6、停电时情况下可使用辅助工具使道闸保持打开状态。</w:t>
            </w:r>
          </w:p>
          <w:p w14:paraId="260CE69D">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7、支持红外，地感，雷达等多种防砸。</w:t>
            </w:r>
          </w:p>
          <w:p w14:paraId="6FD2F47E">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8、支持遇阻反弹，开优先保护功能。</w:t>
            </w:r>
          </w:p>
          <w:p w14:paraId="23E7071C">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9、 按键或遥控控制功能:可通过控制盒面板按键进行手动控制或通过遥控器控制档杆的开、停、关。</w:t>
            </w:r>
          </w:p>
          <w:p w14:paraId="52475A66">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10、到位自检功能：道闸上电后，会自动寻找开到位和关到位。</w:t>
            </w:r>
          </w:p>
          <w:p w14:paraId="19E88918">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11、具有≥1组开/关到位输出接口、≥1组开/关/停控制信号接口、≥1组红外/地感防砸信号接口、≥1组485控制接口。</w:t>
            </w:r>
          </w:p>
          <w:p w14:paraId="19540704">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12、配套≥2个遥控器、≥1个防砸雷达。</w:t>
            </w:r>
          </w:p>
          <w:p w14:paraId="26B0EDB0">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13、到位信号输出:有开到位、关到位信号输出。</w:t>
            </w:r>
          </w:p>
          <w:p w14:paraId="1818177F">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14、可通过数码管显示当前运行状态，故障时显示故障代码，并可显示参数设置菜单。</w:t>
            </w:r>
          </w:p>
          <w:p w14:paraId="2A789E28">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15、放行计数控制功能:设备具有放行计数功能，当收到的开闸指令计数，与过车计数不一致时，控制道闸处于放行状态，当计数相等且防砸线圈无车时，控制道闸落杆。</w:t>
            </w:r>
          </w:p>
          <w:p w14:paraId="33C1E116">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16、雷达检测:通过雷达可进行检测车辆和行人。</w:t>
            </w:r>
          </w:p>
          <w:p w14:paraId="7463CEAA">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17、防护等级：≥IP54。</w:t>
            </w:r>
          </w:p>
        </w:tc>
        <w:tc>
          <w:tcPr>
            <w:tcW w:w="1400" w:type="dxa"/>
            <w:vAlign w:val="center"/>
          </w:tcPr>
          <w:p w14:paraId="1F563C20">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10800.00</w:t>
            </w:r>
          </w:p>
        </w:tc>
      </w:tr>
      <w:tr w14:paraId="6E7BF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629" w:type="dxa"/>
            <w:shd w:val="clear" w:color="auto" w:fill="auto"/>
            <w:noWrap/>
            <w:vAlign w:val="center"/>
          </w:tcPr>
          <w:p w14:paraId="57BBC64D">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3</w:t>
            </w:r>
          </w:p>
        </w:tc>
        <w:tc>
          <w:tcPr>
            <w:tcW w:w="1683" w:type="dxa"/>
            <w:shd w:val="clear" w:color="000000" w:fill="FFFFFF"/>
            <w:noWrap/>
            <w:vAlign w:val="center"/>
          </w:tcPr>
          <w:p w14:paraId="38BA5B25">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人脸识别面板（人行通道）</w:t>
            </w:r>
          </w:p>
        </w:tc>
        <w:tc>
          <w:tcPr>
            <w:tcW w:w="850" w:type="dxa"/>
            <w:shd w:val="clear" w:color="auto" w:fill="auto"/>
            <w:noWrap/>
            <w:vAlign w:val="center"/>
          </w:tcPr>
          <w:p w14:paraId="5F70DE82">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1</w:t>
            </w:r>
          </w:p>
        </w:tc>
        <w:tc>
          <w:tcPr>
            <w:tcW w:w="709" w:type="dxa"/>
            <w:shd w:val="clear" w:color="000000" w:fill="FFFFFF"/>
            <w:noWrap/>
            <w:vAlign w:val="center"/>
          </w:tcPr>
          <w:p w14:paraId="0A56A5B6">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台</w:t>
            </w:r>
          </w:p>
        </w:tc>
        <w:tc>
          <w:tcPr>
            <w:tcW w:w="4684" w:type="dxa"/>
            <w:vAlign w:val="center"/>
          </w:tcPr>
          <w:p w14:paraId="1A04A57A">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1、采用嵌入式Linux系统；采用双目宽动态相机，分辨率：≥1920×1080，适应强光、逆光、暗光环境条件的人脸识识别。</w:t>
            </w:r>
          </w:p>
          <w:p w14:paraId="5910D19C">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2、≥10 英寸2.5D钢化玻璃触摸显示屏，支持多点触控操作，流明度≥350cd/㎡；分辨率≥600×1024，屏幕防破坏能力≥IK04，结构后壳防破坏能力≥IK07。</w:t>
            </w:r>
          </w:p>
          <w:p w14:paraId="174466E3">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3、本地支持≥20万张人脸白名单、≥40万张卡存储。</w:t>
            </w:r>
          </w:p>
          <w:p w14:paraId="3F40573D">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4、支持人脸识别后加密显示姓名（如张*某），且不显示人脸图片。</w:t>
            </w:r>
          </w:p>
          <w:p w14:paraId="4533AEB1">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5、支持佩戴口罩情况下的人脸识别功能；支持口罩佩戴监测模式并提示未佩戴口罩，能配置提醒模式、强制模式。</w:t>
            </w:r>
          </w:p>
          <w:p w14:paraId="11D3EE73">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6、提醒模式：未佩戴口罩时，能做身份验证及考勤签到，身份验证通过后提醒佩戴口罩；强制模式：未佩戴口罩时，无法做身份验证，并提醒佩戴口罩。</w:t>
            </w:r>
          </w:p>
          <w:p w14:paraId="640507E3">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7、支持通过WEB进行设备信息查询、用户信息管理、设备时间管理、系统维护、安全操作管理、人脸等技术参数配置、图像参数配置。</w:t>
            </w:r>
          </w:p>
          <w:p w14:paraId="0E2D9A1C">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8、支持在≤0.001lux 低照度无补光环境下正常实现人脸识别。</w:t>
            </w:r>
          </w:p>
          <w:p w14:paraId="4D638011">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9、人脸比对时间：≤175ms；最大人脸识别距离：≥3m；最小人脸识别距离：≤0.2m；人脸识别误识率≤0.01%的条件下，准确率≥99.9%。</w:t>
            </w:r>
          </w:p>
          <w:p w14:paraId="7332F60C">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10、支持防假体攻击功能，对视频、电子照片、打印照片中的人脸应不能进行人脸识别。</w:t>
            </w:r>
          </w:p>
          <w:p w14:paraId="5FA0367C">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11、支持对门的开启方式，人脸、密码的各种使用权限进行组合设置，实现不同场景的权限管理：（多重认证开门、多重+中心远程认证开门、多重+超级密码开门、多重+超级密码开门、首脸开门、超级权限开门、管理中心远程开门、APP 远程开门、室内机及管理机远程开门）。</w:t>
            </w:r>
          </w:p>
          <w:p w14:paraId="4929E195">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12、支持普通人、来宾、胁迫、超级、、巡更、黑名单等多种类型用户权限设置；支持按时间分时段管控门禁权限，支持≥255组时段计划管理，支持≥1024 个假日计划管理；支持常开、常闭时段管理；支持反潜回（防尾随）功能。</w:t>
            </w:r>
          </w:p>
          <w:p w14:paraId="39DA6189">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13、支持多种人脸注册方式：设备本地人脸注册；本地U盘导入人员信息；通过APP采集人脸并注册下发；支持对接现有教育综合安防管理平台远程中心下发人脸。</w:t>
            </w:r>
          </w:p>
          <w:p w14:paraId="035C0088">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14、支持中心下发黑名单信息；支持本地黑名单信息比对；支持本地黑名单事件报警功能，报警信息能上传至平台；支持≥50000 个人脸黑名单比对。</w:t>
            </w:r>
          </w:p>
          <w:p w14:paraId="38B9FD7B">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15、支持不开启白光补光灯实现人脸识别。</w:t>
            </w:r>
          </w:p>
          <w:p w14:paraId="7A6BFC8D">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16、具有≥1个RS485、≥1个韦根、≥1个USB、≥1个喇叭扬声器、≥1个门锁I/O输出、≥1个门磁I/O输入、≥1个报警I/O输出、≥2个事件 I/O 输入、双色LED 状态灯提示结果输出接口、≥1个机械防拆开关。</w:t>
            </w:r>
          </w:p>
          <w:p w14:paraId="3B5AA858">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17、设备和已有通道无刷摆闸配套使用，不在原有闸机开孔，不破坏闸机实现人脸识别认证通行，身份证/校园卡识别认证通行。有授权人员和未授权陌生人刷脸时，设备支持抓拍图片并实时上传教育综合安防管理平台。</w:t>
            </w:r>
          </w:p>
          <w:p w14:paraId="7B155B25">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18、支持接入教育综合安防管理平台，实现校园内部人员或访客信息的身份信息下发，为保证本次建设系统的兼容性和统一规划，满足各个系统数据相互融通的要求，设备应支持由校园人脸库系统统一下发人脸权限功能，实现数据互通，资源库共享。</w:t>
            </w:r>
          </w:p>
          <w:p w14:paraId="68BD990F">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19、为保证本次建设系统的兼容性和统一规划，满足系统之间数据相互融通的要求，设备需接入教育综合安防管理平台进行统一管理，须与广西师范大学校园一卡通系统及其对应数据库完全兼容并可实现无缝连接，实现校园学生/教职工人员基础信息与学生/教职工校园卡信息相互匹配。</w:t>
            </w:r>
          </w:p>
        </w:tc>
        <w:tc>
          <w:tcPr>
            <w:tcW w:w="1400" w:type="dxa"/>
            <w:vAlign w:val="center"/>
          </w:tcPr>
          <w:p w14:paraId="7D134322">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 xml:space="preserve">5400.00 </w:t>
            </w:r>
          </w:p>
        </w:tc>
      </w:tr>
      <w:tr w14:paraId="298D6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629" w:type="dxa"/>
            <w:shd w:val="clear" w:color="auto" w:fill="auto"/>
            <w:noWrap/>
            <w:vAlign w:val="center"/>
          </w:tcPr>
          <w:p w14:paraId="3E43A769">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4</w:t>
            </w:r>
          </w:p>
        </w:tc>
        <w:tc>
          <w:tcPr>
            <w:tcW w:w="1683" w:type="dxa"/>
            <w:shd w:val="clear" w:color="000000" w:fill="FFFFFF"/>
            <w:noWrap/>
            <w:vAlign w:val="center"/>
          </w:tcPr>
          <w:p w14:paraId="6ACFDBE0">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遮阳罩</w:t>
            </w:r>
          </w:p>
        </w:tc>
        <w:tc>
          <w:tcPr>
            <w:tcW w:w="850" w:type="dxa"/>
            <w:shd w:val="clear" w:color="auto" w:fill="auto"/>
            <w:noWrap/>
            <w:vAlign w:val="center"/>
          </w:tcPr>
          <w:p w14:paraId="6799AD5A">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1</w:t>
            </w:r>
          </w:p>
        </w:tc>
        <w:tc>
          <w:tcPr>
            <w:tcW w:w="709" w:type="dxa"/>
            <w:shd w:val="clear" w:color="000000" w:fill="FFFFFF"/>
            <w:noWrap/>
            <w:vAlign w:val="center"/>
          </w:tcPr>
          <w:p w14:paraId="22833561">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台</w:t>
            </w:r>
          </w:p>
        </w:tc>
        <w:tc>
          <w:tcPr>
            <w:tcW w:w="4684" w:type="dxa"/>
            <w:vAlign w:val="center"/>
          </w:tcPr>
          <w:p w14:paraId="0FA16020">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搭配人脸识别面板（人行通道）使用，室外使用加配遮阳罩防逆光，提升识别速度。</w:t>
            </w:r>
          </w:p>
        </w:tc>
        <w:tc>
          <w:tcPr>
            <w:tcW w:w="1400" w:type="dxa"/>
            <w:vAlign w:val="center"/>
          </w:tcPr>
          <w:p w14:paraId="5FE534DE">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 xml:space="preserve">140.00 </w:t>
            </w:r>
          </w:p>
        </w:tc>
      </w:tr>
      <w:tr w14:paraId="4DD7B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629" w:type="dxa"/>
            <w:shd w:val="clear" w:color="auto" w:fill="auto"/>
            <w:noWrap/>
            <w:vAlign w:val="center"/>
          </w:tcPr>
          <w:p w14:paraId="6CF5E048">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5</w:t>
            </w:r>
          </w:p>
        </w:tc>
        <w:tc>
          <w:tcPr>
            <w:tcW w:w="1683" w:type="dxa"/>
            <w:shd w:val="clear" w:color="000000" w:fill="FFFFFF"/>
            <w:noWrap/>
            <w:vAlign w:val="center"/>
          </w:tcPr>
          <w:p w14:paraId="76798FA7">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人脸识别面板（非机动车通道）</w:t>
            </w:r>
          </w:p>
        </w:tc>
        <w:tc>
          <w:tcPr>
            <w:tcW w:w="850" w:type="dxa"/>
            <w:shd w:val="clear" w:color="auto" w:fill="auto"/>
            <w:noWrap/>
            <w:vAlign w:val="center"/>
          </w:tcPr>
          <w:p w14:paraId="6191DF64">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1</w:t>
            </w:r>
          </w:p>
        </w:tc>
        <w:tc>
          <w:tcPr>
            <w:tcW w:w="709" w:type="dxa"/>
            <w:shd w:val="clear" w:color="000000" w:fill="FFFFFF"/>
            <w:noWrap/>
            <w:vAlign w:val="center"/>
          </w:tcPr>
          <w:p w14:paraId="1FEA5D1F">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台</w:t>
            </w:r>
          </w:p>
        </w:tc>
        <w:tc>
          <w:tcPr>
            <w:tcW w:w="4684" w:type="dxa"/>
            <w:vAlign w:val="center"/>
          </w:tcPr>
          <w:p w14:paraId="2CAACCAF">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1、采用≥7 英寸全贴合工艺触摸屏，玻璃屏占比≥90%。屏幕流明度≥600cd/m2；屏幕分辨率≥600*1024，屏显下端具有圆形呼吸指示灯。</w:t>
            </w:r>
          </w:p>
          <w:p w14:paraId="0229E00A">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2、能在≤0.001lux 低照度无补光环境下正常实现人脸验证，可在强光、逆光、暗光环境条件的人脸验证；在无可见光补光及低照度环境下实现全彩图输出预览图像。</w:t>
            </w:r>
          </w:p>
          <w:p w14:paraId="0C7C2238">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3、支持防假体攻击功能，对视频、电子照片、打印照片、头模、3D 模型攻击应能防伪；显示图像具有美颜功能，美颜功能开启后支持美白参数及磨皮参数配置。</w:t>
            </w:r>
          </w:p>
          <w:p w14:paraId="6F71D14F">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4、支持≥5个人脸同时做人脸验证，并分别输出比对结果；人脸验证垂直及水平区域范围应能设置 ，支持人脸在上下、左右角度偏转±45°范围内识别；支持人脸验证角度调节范围 ≥0°～90°自由设置，支持≥5 个人脸比对阈值设置。</w:t>
            </w:r>
          </w:p>
          <w:p w14:paraId="3F0CF79D">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5、支持 IC 卡识读；支持识读模块的扩展功能，模块支持热插拔连接，形成一体化识别终端；支持人脸、刷卡、指纹、二维码、蓝牙和密码认证；二维码模块支持静态及动态二维码识读，能对由 512 字符生成的二维码进行识读，支持格式应包括：QR Code、Micro QR、Code128、Code39、Codabar；支持配置防卡片复制安全机制，功能开启后第三方卡片或复制卡片可屏蔽识读。</w:t>
            </w:r>
          </w:p>
          <w:p w14:paraId="1AA7F79F">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6、支持刷卡+密码、人脸+密码、人脸+刷卡、人脸+二维码+蓝牙的复合认证。</w:t>
            </w:r>
          </w:p>
          <w:p w14:paraId="3D1F0CEC">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7、采用≥200W 像素双目摄像头，帧率≥25 帧/s；支持接入平台实现视频监控录像； 支持双码流技术，主码流和子码流均为 1280×720@25fps 输出；视频编码格式具有 H.265、H.264、MPEG-4、MJPEG 设置选项；可将 H.265、H.264 格式设置为Baseline/Mai n/High Profile。</w:t>
            </w:r>
          </w:p>
          <w:p w14:paraId="7BAB7D74">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8、面板本地具有≥10 万人脸库、≥10万张卡、≥1000段声纹、≥15 万条事件记录存储容量。</w:t>
            </w:r>
          </w:p>
          <w:p w14:paraId="3A39B49C">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9、支持通过文字转换为提示语音的 TTS 功能；支持图片、文字、视频广告节目播放；支持在设备端查看人员信息、设备状态、显示模式。</w:t>
            </w:r>
          </w:p>
          <w:p w14:paraId="6A0F9152">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10、支持佩戴口罩情况下的人脸验证功能，提示模式应分为提醒模式或强制模式；提醒模式下，未佩戴口罩时，应能做身份验证及考勤签到，身份验证通过后提醒佩戴口罩；强制模式下未佩戴口罩时，应无法做身份验证，并提醒佩戴口罩。</w:t>
            </w:r>
          </w:p>
          <w:p w14:paraId="1A95FA91">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11、支持根据比对结果，输出开关量信号联动门禁等设备；支持通过 RS-485 接口或 Wiegand 接口外接读卡器，实现刷卡功能。</w:t>
            </w:r>
          </w:p>
          <w:p w14:paraId="7BADB122">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12、支持通过 WEB 端进行设备信息查询、用户信息管理、设备时间管理、系统维护、安全操作管理、人脸或指纹等技术参数配置、 设备图像参数配置、图像美颜参数配置、梯控项目配置、待机广告界面图片下发及播放时间配置、比对结果提示语音自定义配置，支持按时段配置自定义语音，每天支持≥8 个时段自定义。</w:t>
            </w:r>
          </w:p>
          <w:p w14:paraId="6B915658">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13、面板接入现有平台后能支持视频联动报警功能；未授权人员刷人脸时，能支持抓拍图片并实时上报平台预警；具有应急开启的方法，如支持接入消防应急信号联动开门；根据设定事件的联动关系，当检测到该事件发生时，能触发对应的动作。</w:t>
            </w:r>
          </w:p>
          <w:p w14:paraId="3C97F4CE">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14、支持防拆报警、门被外力开起报警、胁迫卡和胁迫密码报警等。</w:t>
            </w:r>
          </w:p>
          <w:p w14:paraId="5D6F2EC8">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15、具有声纹确认功能，即声纹识别作为复合识别的方式之一。</w:t>
            </w:r>
          </w:p>
          <w:p w14:paraId="31DC055B">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16、具有≥1个10M/100M/1000M 自适应网口、4G网络、≥1个RS-485 串口、≥1个输入、输出韦根接口、≥2个USB 接口、≥1个内置扬声器╳、≥1个门锁 I/O 输出、≥1个门磁 I/O 输入、≥1个开门按钮 I/O 输入、≥1个报警 I/O 输出、≥2个报警事件 I/O 输入、≥1个micro SIM 卡槽、≥1个机械防拆开关、≥1个 音频输出接口、≥1个micro SD 卡槽扩展、≥1个音频输入采集。</w:t>
            </w:r>
          </w:p>
          <w:p w14:paraId="7C5CF951">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17、设备和已有非机动车通行闸机配套使用，不在原有闸机开孔，不破坏闸机实现人脸识别认证通行，身份证/校园卡识别认证通行。有授权人员和未授权陌生人刷脸时，设备支持抓拍图片并实时上传教育综合安防管理平台。</w:t>
            </w:r>
          </w:p>
          <w:p w14:paraId="094EAB57">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18、支持接入教育综合安防管理平台，实现校园内部人员或访客信息的身份信息下发，为保证本次建设系统的兼容性和统一规划，满足各个系统数据相互融通的要求，设备应支持由校园人脸库系统统一下发人脸权限功能，实现数据互通，资源库共享。</w:t>
            </w:r>
          </w:p>
          <w:p w14:paraId="2B8B3A91">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19、为保证本次建设系统的兼容性和统一规划，满足系统之间数据相互融通的要求，设备需接入教育综合安防管理平台进行统一管理，须与广西师范大学校园一卡通系统及其对应数据库完全兼容并可实现无缝连接，实现校园学生/教职工人员基础信息与学生/教职工校园卡信息相互匹配。（</w:t>
            </w:r>
            <w:r>
              <w:rPr>
                <w:rFonts w:hint="eastAsia" w:ascii="宋体" w:hAnsi="宋体" w:cs="宋体"/>
                <w:b/>
                <w:bCs/>
                <w:color w:val="auto"/>
                <w:szCs w:val="21"/>
                <w:highlight w:val="none"/>
              </w:rPr>
              <w:t>要求供应商于响应文件中必须提供兼容性承诺函原件，并加盖供应商电子签章，否则响应文件按无效处理</w:t>
            </w:r>
            <w:r>
              <w:rPr>
                <w:rFonts w:hint="eastAsia" w:ascii="宋体" w:hAnsi="宋体" w:cs="宋体"/>
                <w:color w:val="auto"/>
                <w:szCs w:val="21"/>
                <w:highlight w:val="none"/>
              </w:rPr>
              <w:t>）</w:t>
            </w:r>
          </w:p>
          <w:p w14:paraId="1BC3A79D">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20、前面板防破坏能力≥IK07 的要求；结构后壳防破坏能力≥ IK10 的要求；防水等级≥IP65；支持选择嵌入式、壁挂、桌面、立式、人员通道安装。</w:t>
            </w:r>
          </w:p>
        </w:tc>
        <w:tc>
          <w:tcPr>
            <w:tcW w:w="1400" w:type="dxa"/>
            <w:vAlign w:val="center"/>
          </w:tcPr>
          <w:p w14:paraId="06EC8751">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 xml:space="preserve">4200.00 </w:t>
            </w:r>
          </w:p>
        </w:tc>
      </w:tr>
      <w:tr w14:paraId="1ADC7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29" w:type="dxa"/>
            <w:shd w:val="clear" w:color="auto" w:fill="auto"/>
            <w:noWrap/>
            <w:vAlign w:val="center"/>
          </w:tcPr>
          <w:p w14:paraId="44D45C5E">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6</w:t>
            </w:r>
          </w:p>
        </w:tc>
        <w:tc>
          <w:tcPr>
            <w:tcW w:w="1683" w:type="dxa"/>
            <w:shd w:val="clear" w:color="000000" w:fill="FFFFFF"/>
            <w:noWrap/>
            <w:vAlign w:val="center"/>
          </w:tcPr>
          <w:p w14:paraId="71A80540">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遮阳帽</w:t>
            </w:r>
          </w:p>
        </w:tc>
        <w:tc>
          <w:tcPr>
            <w:tcW w:w="850" w:type="dxa"/>
            <w:shd w:val="clear" w:color="auto" w:fill="auto"/>
            <w:noWrap/>
            <w:vAlign w:val="center"/>
          </w:tcPr>
          <w:p w14:paraId="7CF9FE8B">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1</w:t>
            </w:r>
          </w:p>
        </w:tc>
        <w:tc>
          <w:tcPr>
            <w:tcW w:w="709" w:type="dxa"/>
            <w:shd w:val="clear" w:color="000000" w:fill="FFFFFF"/>
            <w:noWrap/>
            <w:vAlign w:val="center"/>
          </w:tcPr>
          <w:p w14:paraId="0C8FCD13">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台</w:t>
            </w:r>
          </w:p>
        </w:tc>
        <w:tc>
          <w:tcPr>
            <w:tcW w:w="4684" w:type="dxa"/>
            <w:vAlign w:val="center"/>
          </w:tcPr>
          <w:p w14:paraId="3876C97A">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搭配人脸识别面板（非机动车通道）使用，室外使用加配遮阳罩防逆光，提升识别速度。</w:t>
            </w:r>
          </w:p>
        </w:tc>
        <w:tc>
          <w:tcPr>
            <w:tcW w:w="1400" w:type="dxa"/>
            <w:vAlign w:val="center"/>
          </w:tcPr>
          <w:p w14:paraId="08AB5564">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 xml:space="preserve">50.00 </w:t>
            </w:r>
          </w:p>
        </w:tc>
      </w:tr>
      <w:tr w14:paraId="49D03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629" w:type="dxa"/>
            <w:shd w:val="clear" w:color="auto" w:fill="auto"/>
            <w:noWrap/>
            <w:vAlign w:val="center"/>
          </w:tcPr>
          <w:p w14:paraId="7898DEC1">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7</w:t>
            </w:r>
          </w:p>
        </w:tc>
        <w:tc>
          <w:tcPr>
            <w:tcW w:w="1683" w:type="dxa"/>
            <w:shd w:val="clear" w:color="000000" w:fill="FFFFFF"/>
            <w:noWrap/>
            <w:vAlign w:val="center"/>
          </w:tcPr>
          <w:p w14:paraId="74C62009">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600万像素高清摄像机</w:t>
            </w:r>
          </w:p>
        </w:tc>
        <w:tc>
          <w:tcPr>
            <w:tcW w:w="850" w:type="dxa"/>
            <w:shd w:val="clear" w:color="000000" w:fill="FFFFFF"/>
            <w:noWrap/>
            <w:vAlign w:val="center"/>
          </w:tcPr>
          <w:p w14:paraId="507355D1">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200</w:t>
            </w:r>
          </w:p>
        </w:tc>
        <w:tc>
          <w:tcPr>
            <w:tcW w:w="709" w:type="dxa"/>
            <w:noWrap/>
            <w:vAlign w:val="center"/>
          </w:tcPr>
          <w:p w14:paraId="06D20D0E">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台</w:t>
            </w:r>
          </w:p>
        </w:tc>
        <w:tc>
          <w:tcPr>
            <w:tcW w:w="4684" w:type="dxa"/>
            <w:vAlign w:val="center"/>
          </w:tcPr>
          <w:p w14:paraId="0456BFAC">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1、≥600万像素，靶面尺寸≥1/2.4"，支持柔光灯/红外灯双补光，，红外补光距离≥50米，柔光补光≥30米。</w:t>
            </w:r>
            <w:r>
              <w:rPr>
                <w:rFonts w:hint="eastAsia" w:ascii="宋体" w:hAnsi="宋体" w:cs="宋体"/>
                <w:color w:val="auto"/>
                <w:szCs w:val="21"/>
                <w:highlight w:val="none"/>
              </w:rPr>
              <w:br w:type="textWrapping"/>
            </w:r>
            <w:r>
              <w:rPr>
                <w:rFonts w:hint="eastAsia" w:ascii="宋体" w:hAnsi="宋体" w:cs="宋体"/>
                <w:color w:val="auto"/>
                <w:szCs w:val="21"/>
                <w:highlight w:val="none"/>
              </w:rPr>
              <w:t>2、支持最低照度彩色≤0.005 lx，支持背光补偿、强光抑制、3D数字降噪。</w:t>
            </w:r>
            <w:r>
              <w:rPr>
                <w:rFonts w:hint="eastAsia" w:ascii="宋体" w:hAnsi="宋体" w:cs="宋体"/>
                <w:color w:val="auto"/>
                <w:szCs w:val="21"/>
                <w:highlight w:val="none"/>
              </w:rPr>
              <w:br w:type="textWrapping"/>
            </w:r>
            <w:r>
              <w:rPr>
                <w:rFonts w:hint="eastAsia" w:ascii="宋体" w:hAnsi="宋体" w:cs="宋体"/>
                <w:color w:val="auto"/>
                <w:szCs w:val="21"/>
                <w:highlight w:val="none"/>
              </w:rPr>
              <w:t>3、内置≥1颗CPU、GPU、NPU一体化芯片。</w:t>
            </w:r>
            <w:r>
              <w:rPr>
                <w:rFonts w:hint="eastAsia" w:ascii="宋体" w:hAnsi="宋体" w:cs="宋体"/>
                <w:color w:val="auto"/>
                <w:szCs w:val="21"/>
                <w:highlight w:val="none"/>
              </w:rPr>
              <w:br w:type="textWrapping"/>
            </w:r>
            <w:r>
              <w:rPr>
                <w:rFonts w:hint="eastAsia" w:ascii="宋体" w:hAnsi="宋体" w:cs="宋体"/>
                <w:color w:val="auto"/>
                <w:szCs w:val="21"/>
                <w:highlight w:val="none"/>
              </w:rPr>
              <w:t>4、同一静止场景相同图像质量下，设备在H.264或H.265编码方式时，开启智能编码功能和不开启智能编码相比，码率节约≥80%。</w:t>
            </w:r>
            <w:r>
              <w:rPr>
                <w:rFonts w:hint="eastAsia" w:ascii="宋体" w:hAnsi="宋体" w:cs="宋体"/>
                <w:color w:val="auto"/>
                <w:szCs w:val="21"/>
                <w:highlight w:val="none"/>
              </w:rPr>
              <w:br w:type="textWrapping"/>
            </w:r>
            <w:r>
              <w:rPr>
                <w:rFonts w:hint="eastAsia" w:ascii="宋体" w:hAnsi="宋体" w:cs="宋体"/>
                <w:color w:val="auto"/>
                <w:szCs w:val="21"/>
                <w:highlight w:val="none"/>
              </w:rPr>
              <w:t>5、支持回放录像时可设置播放时间，并可实现抓图、剪辑、电子放大、下载录像功能。</w:t>
            </w:r>
            <w:r>
              <w:rPr>
                <w:rFonts w:hint="eastAsia" w:ascii="宋体" w:hAnsi="宋体" w:cs="宋体"/>
                <w:color w:val="auto"/>
                <w:szCs w:val="21"/>
                <w:highlight w:val="none"/>
              </w:rPr>
              <w:br w:type="textWrapping"/>
            </w:r>
            <w:r>
              <w:rPr>
                <w:rFonts w:hint="eastAsia" w:ascii="宋体" w:hAnsi="宋体" w:cs="宋体"/>
                <w:color w:val="auto"/>
                <w:szCs w:val="21"/>
                <w:highlight w:val="none"/>
              </w:rPr>
              <w:t>6、可按时间进行录像查询，可将录像类型通过不同颜色在时间轴上进行显示。</w:t>
            </w:r>
            <w:r>
              <w:rPr>
                <w:rFonts w:hint="eastAsia" w:ascii="宋体" w:hAnsi="宋体" w:cs="宋体"/>
                <w:color w:val="auto"/>
                <w:szCs w:val="21"/>
                <w:highlight w:val="none"/>
              </w:rPr>
              <w:br w:type="textWrapping"/>
            </w:r>
            <w:r>
              <w:rPr>
                <w:rFonts w:hint="eastAsia" w:ascii="宋体" w:hAnsi="宋体" w:cs="宋体"/>
                <w:color w:val="auto"/>
                <w:szCs w:val="21"/>
                <w:highlight w:val="none"/>
              </w:rPr>
              <w:t>7、可通过IE浏览器设置码流套餐为画质优先、均衡模式、存储优先及自定义4种类型。</w:t>
            </w:r>
            <w:r>
              <w:rPr>
                <w:rFonts w:hint="eastAsia" w:ascii="宋体" w:hAnsi="宋体" w:cs="宋体"/>
                <w:color w:val="auto"/>
                <w:szCs w:val="21"/>
                <w:highlight w:val="none"/>
              </w:rPr>
              <w:br w:type="textWrapping"/>
            </w:r>
            <w:r>
              <w:rPr>
                <w:rFonts w:hint="eastAsia" w:ascii="宋体" w:hAnsi="宋体" w:cs="宋体"/>
                <w:color w:val="auto"/>
                <w:szCs w:val="21"/>
                <w:highlight w:val="none"/>
              </w:rPr>
              <w:t>8、补光灯灯杯采用双层透镜结构，外表平面为柔光层，采用复眼式微透镜阵列，具有六边形阵列纹路;下层束光层为鳞甲TIR透镜，内壁具有鳞甲阵列纹路（</w:t>
            </w:r>
            <w:r>
              <w:rPr>
                <w:rFonts w:hint="eastAsia" w:ascii="宋体" w:hAnsi="宋体" w:cs="宋体"/>
                <w:b/>
                <w:bCs/>
                <w:color w:val="auto"/>
                <w:szCs w:val="21"/>
                <w:highlight w:val="none"/>
              </w:rPr>
              <w:t>要求供应商于响应文件中必须提供所竞产品由国家认可的第三方检测机构出具含有并符合本项技术要求的合格有效的检验（检测）报告扫描件，并加盖供应商电子签章，否则响应文件按无效处理</w:t>
            </w:r>
            <w:r>
              <w:rPr>
                <w:rFonts w:hint="eastAsia" w:ascii="宋体" w:hAnsi="宋体" w:cs="宋体"/>
                <w:color w:val="auto"/>
                <w:szCs w:val="21"/>
                <w:highlight w:val="none"/>
              </w:rPr>
              <w:t>）。</w:t>
            </w:r>
            <w:r>
              <w:rPr>
                <w:rFonts w:hint="eastAsia" w:ascii="宋体" w:hAnsi="宋体" w:cs="宋体"/>
                <w:color w:val="auto"/>
                <w:szCs w:val="21"/>
                <w:highlight w:val="none"/>
              </w:rPr>
              <w:br w:type="textWrapping"/>
            </w:r>
            <w:r>
              <w:rPr>
                <w:rFonts w:hint="eastAsia" w:ascii="宋体" w:hAnsi="宋体" w:cs="宋体"/>
                <w:color w:val="auto"/>
                <w:szCs w:val="21"/>
                <w:highlight w:val="none"/>
              </w:rPr>
              <w:t>9、补光灯开启后，灯光为椭圆形形状，且补光灯均匀无波纹状、圆环状、麻点状、条纹状和不规则亮斑（</w:t>
            </w:r>
            <w:r>
              <w:rPr>
                <w:rFonts w:hint="eastAsia" w:ascii="宋体" w:hAnsi="宋体" w:cs="宋体"/>
                <w:b/>
                <w:bCs/>
                <w:color w:val="auto"/>
                <w:szCs w:val="21"/>
                <w:highlight w:val="none"/>
              </w:rPr>
              <w:t>要求供应商于响应文件中必须提供所竞产品由国家认可的第三方检测机构出具含有并符合本项技术要求的合格有效的检验（检测）报告扫描件，并加盖供应商电子签章，否则响应文件按无效处理</w:t>
            </w:r>
            <w:r>
              <w:rPr>
                <w:rFonts w:hint="eastAsia" w:ascii="宋体" w:hAnsi="宋体" w:cs="宋体"/>
                <w:color w:val="auto"/>
                <w:szCs w:val="21"/>
                <w:highlight w:val="none"/>
              </w:rPr>
              <w:t>）。</w:t>
            </w:r>
            <w:r>
              <w:rPr>
                <w:rFonts w:hint="eastAsia" w:ascii="宋体" w:hAnsi="宋体" w:cs="宋体"/>
                <w:color w:val="auto"/>
                <w:szCs w:val="21"/>
                <w:highlight w:val="none"/>
              </w:rPr>
              <w:br w:type="textWrapping"/>
            </w:r>
            <w:r>
              <w:rPr>
                <w:rFonts w:hint="eastAsia" w:ascii="宋体" w:hAnsi="宋体" w:cs="宋体"/>
                <w:color w:val="auto"/>
                <w:szCs w:val="21"/>
                <w:highlight w:val="none"/>
              </w:rPr>
              <w:t>10、具备区域入侵、越界、进入区域、离开区域等智能分析功能，当以上智能分析行为达到设定的阈值时，可通过客户端软件或IE浏览器给出报警提示。</w:t>
            </w:r>
            <w:r>
              <w:rPr>
                <w:rFonts w:hint="eastAsia" w:ascii="宋体" w:hAnsi="宋体" w:cs="宋体"/>
                <w:color w:val="auto"/>
                <w:szCs w:val="21"/>
                <w:highlight w:val="none"/>
              </w:rPr>
              <w:br w:type="textWrapping"/>
            </w:r>
            <w:r>
              <w:rPr>
                <w:rFonts w:hint="eastAsia" w:ascii="宋体" w:hAnsi="宋体" w:cs="宋体"/>
                <w:color w:val="auto"/>
                <w:szCs w:val="21"/>
                <w:highlight w:val="none"/>
              </w:rPr>
              <w:t>11、具有日夜场景自适应功能，在白天和夜晚环境下，均可输出彩色图像，在夜晚自动开启补光灯条件下，夜晚图像清晰度应不低于白天图像清晰度的95%（</w:t>
            </w:r>
            <w:r>
              <w:rPr>
                <w:rFonts w:hint="eastAsia" w:ascii="宋体" w:hAnsi="宋体" w:cs="宋体"/>
                <w:b/>
                <w:bCs/>
                <w:color w:val="auto"/>
                <w:szCs w:val="21"/>
                <w:highlight w:val="none"/>
              </w:rPr>
              <w:t>要求供应商于响应文件中必须提供所竞产品由国家认可的第三方检测机构出具含有并符合本项技术要求的合格有效的检验（检测）报告扫描件，并加盖供应商电子签章，否则响应文件按无效处理</w:t>
            </w:r>
            <w:r>
              <w:rPr>
                <w:rFonts w:hint="eastAsia" w:ascii="宋体" w:hAnsi="宋体" w:cs="宋体"/>
                <w:color w:val="auto"/>
                <w:szCs w:val="21"/>
                <w:highlight w:val="none"/>
              </w:rPr>
              <w:t>）。</w:t>
            </w:r>
            <w:r>
              <w:rPr>
                <w:rFonts w:hint="eastAsia" w:ascii="宋体" w:hAnsi="宋体" w:cs="宋体"/>
                <w:color w:val="auto"/>
                <w:szCs w:val="21"/>
                <w:highlight w:val="none"/>
              </w:rPr>
              <w:br w:type="textWrapping"/>
            </w:r>
            <w:r>
              <w:rPr>
                <w:rFonts w:hint="eastAsia" w:ascii="宋体" w:hAnsi="宋体" w:cs="宋体"/>
                <w:color w:val="auto"/>
                <w:szCs w:val="21"/>
                <w:highlight w:val="none"/>
              </w:rPr>
              <w:t>12、具有AI-ISP图像质量提升功能，在低照度环境下，可自动调节预览场景视频画面中人脸、人体、车辆等目标及预览场景视频画面的区域曝光、亮度、色彩饱和度、对比度、锐度等（</w:t>
            </w:r>
            <w:r>
              <w:rPr>
                <w:rFonts w:hint="eastAsia" w:ascii="宋体" w:hAnsi="宋体" w:cs="宋体"/>
                <w:b/>
                <w:bCs/>
                <w:color w:val="auto"/>
                <w:szCs w:val="21"/>
                <w:highlight w:val="none"/>
              </w:rPr>
              <w:t>要求供应商于响应文件中必须提供所竞产品由国家认可的第三方检测机构出具含有并符合本项技术要求的合格有效的检验（检测）报告扫描件，并加盖供应商电子签章，否则响应文件按无效处理</w:t>
            </w:r>
            <w:r>
              <w:rPr>
                <w:rFonts w:hint="eastAsia" w:ascii="宋体" w:hAnsi="宋体" w:cs="宋体"/>
                <w:color w:val="auto"/>
                <w:szCs w:val="21"/>
                <w:highlight w:val="none"/>
              </w:rPr>
              <w:t>）。</w:t>
            </w:r>
            <w:r>
              <w:rPr>
                <w:rFonts w:hint="eastAsia" w:ascii="宋体" w:hAnsi="宋体" w:cs="宋体"/>
                <w:color w:val="auto"/>
                <w:szCs w:val="21"/>
                <w:highlight w:val="none"/>
              </w:rPr>
              <w:br w:type="textWrapping"/>
            </w:r>
            <w:r>
              <w:rPr>
                <w:rFonts w:hint="eastAsia" w:ascii="宋体" w:hAnsi="宋体" w:cs="宋体"/>
                <w:color w:val="auto"/>
                <w:szCs w:val="21"/>
                <w:highlight w:val="none"/>
              </w:rPr>
              <w:t>13、≥1个内置麦克风、≥1个内置扬声器，支持双向语音对讲。</w:t>
            </w:r>
            <w:r>
              <w:rPr>
                <w:rFonts w:hint="eastAsia" w:ascii="宋体" w:hAnsi="宋体" w:cs="宋体"/>
                <w:color w:val="auto"/>
                <w:szCs w:val="21"/>
                <w:highlight w:val="none"/>
              </w:rPr>
              <w:br w:type="textWrapping"/>
            </w:r>
            <w:r>
              <w:rPr>
                <w:rFonts w:hint="eastAsia" w:ascii="宋体" w:hAnsi="宋体" w:cs="宋体"/>
                <w:color w:val="auto"/>
                <w:szCs w:val="21"/>
                <w:highlight w:val="none"/>
              </w:rPr>
              <w:t>14、防护等级≥IP66，支持DC12V或POE供电。</w:t>
            </w:r>
          </w:p>
        </w:tc>
        <w:tc>
          <w:tcPr>
            <w:tcW w:w="1400" w:type="dxa"/>
            <w:vAlign w:val="center"/>
          </w:tcPr>
          <w:p w14:paraId="6F9BD1FB">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 xml:space="preserve">950.00 </w:t>
            </w:r>
          </w:p>
        </w:tc>
      </w:tr>
      <w:tr w14:paraId="69E6B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629" w:type="dxa"/>
            <w:shd w:val="clear" w:color="auto" w:fill="auto"/>
            <w:noWrap/>
            <w:vAlign w:val="center"/>
          </w:tcPr>
          <w:p w14:paraId="1F93DBD6">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8</w:t>
            </w:r>
          </w:p>
        </w:tc>
        <w:tc>
          <w:tcPr>
            <w:tcW w:w="1683" w:type="dxa"/>
            <w:shd w:val="clear" w:color="000000" w:fill="FFFFFF"/>
            <w:noWrap/>
            <w:vAlign w:val="center"/>
          </w:tcPr>
          <w:p w14:paraId="4E2815A7">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壁装支架</w:t>
            </w:r>
          </w:p>
        </w:tc>
        <w:tc>
          <w:tcPr>
            <w:tcW w:w="850" w:type="dxa"/>
            <w:shd w:val="clear" w:color="000000" w:fill="FFFFFF"/>
            <w:noWrap/>
            <w:vAlign w:val="center"/>
          </w:tcPr>
          <w:p w14:paraId="673CB82E">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200</w:t>
            </w:r>
          </w:p>
        </w:tc>
        <w:tc>
          <w:tcPr>
            <w:tcW w:w="709" w:type="dxa"/>
            <w:noWrap/>
            <w:vAlign w:val="center"/>
          </w:tcPr>
          <w:p w14:paraId="1188272A">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个</w:t>
            </w:r>
          </w:p>
        </w:tc>
        <w:tc>
          <w:tcPr>
            <w:tcW w:w="4684" w:type="dxa"/>
            <w:vAlign w:val="center"/>
          </w:tcPr>
          <w:p w14:paraId="77E106D7">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1、铝合金材质壁装支架。</w:t>
            </w:r>
          </w:p>
          <w:p w14:paraId="120F0637">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2、表面做喷塑处理。</w:t>
            </w:r>
          </w:p>
          <w:p w14:paraId="5BD803C0">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3、支架带出线孔。</w:t>
            </w:r>
          </w:p>
          <w:p w14:paraId="78E45FCA">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4、安装座表面有海绵垫。</w:t>
            </w:r>
          </w:p>
          <w:p w14:paraId="610489DD">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5、调整角度：水平：≥360°，垂直：≥-45°~45°。</w:t>
            </w:r>
          </w:p>
        </w:tc>
        <w:tc>
          <w:tcPr>
            <w:tcW w:w="1400" w:type="dxa"/>
            <w:vAlign w:val="center"/>
          </w:tcPr>
          <w:p w14:paraId="09125BE1">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 xml:space="preserve">50.00 </w:t>
            </w:r>
          </w:p>
        </w:tc>
      </w:tr>
      <w:tr w14:paraId="003F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629" w:type="dxa"/>
            <w:noWrap/>
            <w:vAlign w:val="center"/>
          </w:tcPr>
          <w:p w14:paraId="3BA61179">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9</w:t>
            </w:r>
          </w:p>
        </w:tc>
        <w:tc>
          <w:tcPr>
            <w:tcW w:w="1683" w:type="dxa"/>
            <w:noWrap/>
            <w:vAlign w:val="center"/>
          </w:tcPr>
          <w:p w14:paraId="16A46E43">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录像存储磁盘阵列</w:t>
            </w:r>
          </w:p>
        </w:tc>
        <w:tc>
          <w:tcPr>
            <w:tcW w:w="850" w:type="dxa"/>
            <w:noWrap/>
            <w:vAlign w:val="center"/>
          </w:tcPr>
          <w:p w14:paraId="3817FBBB">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1</w:t>
            </w:r>
          </w:p>
        </w:tc>
        <w:tc>
          <w:tcPr>
            <w:tcW w:w="709" w:type="dxa"/>
            <w:noWrap/>
            <w:vAlign w:val="center"/>
          </w:tcPr>
          <w:p w14:paraId="39C0A2AF">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台</w:t>
            </w:r>
          </w:p>
        </w:tc>
        <w:tc>
          <w:tcPr>
            <w:tcW w:w="4684" w:type="dxa"/>
            <w:vAlign w:val="center"/>
          </w:tcPr>
          <w:p w14:paraId="58380788">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1、配置1颗≥64位多核处理器、≥8GB内存，内置EMMC系统盘和企业级硬盘，支持可热插拔冗余温控调速风扇。</w:t>
            </w:r>
          </w:p>
          <w:p w14:paraId="48681A7B">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2、支持接入≥450路2M码流前端设备，支持回放路数≥45路。</w:t>
            </w:r>
          </w:p>
          <w:p w14:paraId="669C880E">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3、支持ONVIF、GB/T 28181、RTSP等标准协议。</w:t>
            </w:r>
          </w:p>
          <w:p w14:paraId="741C1E32">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4、可接入MPEG4、H.264、H.265、Smart265、SVAC编码格式和分辨率为4096×2160的前端设备并存储录像文件。</w:t>
            </w:r>
          </w:p>
          <w:p w14:paraId="0AFD88CB">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5、能对视频进行直存，无须存储服务器的参与，平台服务器宕机时，存储业务正常。</w:t>
            </w:r>
          </w:p>
          <w:p w14:paraId="1F2D719E">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6、能在RAID内丢失2块（含）以上硬盘但至少有8块正常磁盘时，无需等待丢失盘恢复，保留的硬盘中的数据可正常读出，且新数据可正常写入。</w:t>
            </w:r>
          </w:p>
          <w:p w14:paraId="574F16EA">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7、支持一键配置存储模式，自动实现RAID创建和空间划分及CVR服务配置。</w:t>
            </w:r>
          </w:p>
          <w:p w14:paraId="1F687155">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8、可对录像存储过程中加入特殊字段，防止录像被篡改或伪造，以保证录像的原始性及完整性。可对录像的某个时间点添加标签，并可进行查询、回放、下载。</w:t>
            </w:r>
          </w:p>
          <w:p w14:paraId="59A6DAEB">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9、设备存储池添加、删除硬盘时，业务不中断，数据不丢失，并可自动重新配置负载均衡（</w:t>
            </w:r>
            <w:r>
              <w:rPr>
                <w:rFonts w:hint="eastAsia" w:ascii="宋体" w:hAnsi="宋体" w:cs="宋体"/>
                <w:b/>
                <w:bCs/>
                <w:color w:val="auto"/>
                <w:szCs w:val="21"/>
                <w:highlight w:val="none"/>
              </w:rPr>
              <w:t>要求供应商于响应文件中必须提供所竞产品由国家认可的第三方检测机构出具含有并符合本项技术要求的合格有效的检验（检测）报告扫描件，并加盖供应商电子签章，否则响应文件按无效处理</w:t>
            </w:r>
            <w:r>
              <w:rPr>
                <w:rFonts w:hint="eastAsia" w:ascii="宋体" w:hAnsi="宋体" w:cs="宋体"/>
                <w:color w:val="auto"/>
                <w:szCs w:val="21"/>
                <w:highlight w:val="none"/>
              </w:rPr>
              <w:t>）。</w:t>
            </w:r>
          </w:p>
          <w:p w14:paraId="069E307B">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10、支持远程实现每一块硬盘指示灯的单独点亮操作，可定位磁盘位置（</w:t>
            </w:r>
            <w:r>
              <w:rPr>
                <w:rFonts w:hint="eastAsia" w:ascii="宋体" w:hAnsi="宋体" w:cs="宋体"/>
                <w:b/>
                <w:bCs/>
                <w:color w:val="auto"/>
                <w:szCs w:val="21"/>
                <w:highlight w:val="none"/>
              </w:rPr>
              <w:t>要求供应商于响应文件中必须提供所竞产品由国家认可的第三方检测机构出具含有并符合本项技术要求的合格有效的检验（检测）报告扫描件，并加盖供应商电子签章，否则响应文件按无效处理</w:t>
            </w:r>
            <w:r>
              <w:rPr>
                <w:rFonts w:hint="eastAsia" w:ascii="宋体" w:hAnsi="宋体" w:cs="宋体"/>
                <w:color w:val="auto"/>
                <w:szCs w:val="21"/>
                <w:highlight w:val="none"/>
              </w:rPr>
              <w:t>）。</w:t>
            </w:r>
          </w:p>
          <w:p w14:paraId="258BBAA4">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11、硬盘上的视（音）频信息，取出存储后，第三方无法识别硬盘的数据信息（</w:t>
            </w:r>
            <w:r>
              <w:rPr>
                <w:rFonts w:hint="eastAsia" w:ascii="宋体" w:hAnsi="宋体" w:cs="宋体"/>
                <w:b/>
                <w:bCs/>
                <w:color w:val="auto"/>
                <w:szCs w:val="21"/>
                <w:highlight w:val="none"/>
              </w:rPr>
              <w:t>要求供应商于响应文件中必须提供所竞产品由国家认可的第三方检测机构出具含有并符合本项技术要求的合格有效的检验（检测）报告扫描件，并加盖供应商电子签章，否则响应文件按无效处理</w:t>
            </w:r>
            <w:r>
              <w:rPr>
                <w:rFonts w:hint="eastAsia" w:ascii="宋体" w:hAnsi="宋体" w:cs="宋体"/>
                <w:color w:val="auto"/>
                <w:szCs w:val="21"/>
                <w:highlight w:val="none"/>
              </w:rPr>
              <w:t>）。</w:t>
            </w:r>
          </w:p>
          <w:p w14:paraId="5E7F55CD">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12、能预录报警触发前≥30秒的视频录像。</w:t>
            </w:r>
          </w:p>
          <w:p w14:paraId="34B7AE9D">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13、当接入的视频图像的警戒区域内探测到移动目标时，可给出报警提示信息并进行录像。</w:t>
            </w:r>
          </w:p>
          <w:p w14:paraId="29424D6F">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14、支持磁盘容错处理：故障盘超过冗余限制，剩余硬盘数据可读，且新数据可正常写入。</w:t>
            </w:r>
          </w:p>
          <w:p w14:paraId="0A0DD4BB">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15、支持定时录像、手动录像等多种录像方式，支持关键视频数据的加锁保护功能。</w:t>
            </w:r>
          </w:p>
          <w:p w14:paraId="0F36CDD2">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16、可将接入的网络设备IP地址、端口号等信息以excel形式进行导入导出。</w:t>
            </w:r>
          </w:p>
          <w:p w14:paraId="55828285">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17、具有≥4个2.5G网口、≥1个VGA接口、≥1个HDMI接口、≥4个USB接口、≥1个COM接口。</w:t>
            </w:r>
          </w:p>
          <w:p w14:paraId="7680B356">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18、配套≥360TB企业级硬盘。</w:t>
            </w:r>
          </w:p>
        </w:tc>
        <w:tc>
          <w:tcPr>
            <w:tcW w:w="1400" w:type="dxa"/>
            <w:vAlign w:val="center"/>
          </w:tcPr>
          <w:p w14:paraId="5FB287E5">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 xml:space="preserve">177500.00 </w:t>
            </w:r>
          </w:p>
        </w:tc>
      </w:tr>
      <w:tr w14:paraId="4E623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629" w:type="dxa"/>
            <w:noWrap/>
            <w:vAlign w:val="center"/>
          </w:tcPr>
          <w:p w14:paraId="1BF867A5">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10</w:t>
            </w:r>
          </w:p>
        </w:tc>
        <w:tc>
          <w:tcPr>
            <w:tcW w:w="1683" w:type="dxa"/>
            <w:noWrap/>
            <w:vAlign w:val="center"/>
          </w:tcPr>
          <w:p w14:paraId="3CE310D9">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教育综合安防管理平台（扩容）</w:t>
            </w:r>
          </w:p>
        </w:tc>
        <w:tc>
          <w:tcPr>
            <w:tcW w:w="850" w:type="dxa"/>
            <w:noWrap/>
            <w:vAlign w:val="center"/>
          </w:tcPr>
          <w:p w14:paraId="2E4F2386">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1</w:t>
            </w:r>
          </w:p>
        </w:tc>
        <w:tc>
          <w:tcPr>
            <w:tcW w:w="709" w:type="dxa"/>
            <w:noWrap/>
            <w:vAlign w:val="center"/>
          </w:tcPr>
          <w:p w14:paraId="11E88CF5">
            <w:pPr>
              <w:widowControl/>
              <w:spacing w:line="360" w:lineRule="auto"/>
              <w:textAlignment w:val="center"/>
              <w:rPr>
                <w:rFonts w:ascii="宋体" w:hAnsi="宋体" w:cs="宋体"/>
                <w:color w:val="auto"/>
                <w:szCs w:val="21"/>
                <w:highlight w:val="none"/>
              </w:rPr>
            </w:pPr>
            <w:r>
              <w:rPr>
                <w:rFonts w:hint="eastAsia" w:ascii="宋体" w:hAnsi="宋体" w:cs="宋体"/>
                <w:color w:val="auto"/>
                <w:szCs w:val="21"/>
                <w:highlight w:val="none"/>
              </w:rPr>
              <w:t>项</w:t>
            </w:r>
          </w:p>
        </w:tc>
        <w:tc>
          <w:tcPr>
            <w:tcW w:w="4684" w:type="dxa"/>
            <w:vAlign w:val="center"/>
          </w:tcPr>
          <w:p w14:paraId="5B75D80C">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1、采购人现有监控软件平台为海康威视iSecure Center-Education，育才校区及雁山校区2套平台共扩容授权</w:t>
            </w:r>
            <w:bookmarkStart w:id="47" w:name="OLE_LINK2"/>
            <w:r>
              <w:rPr>
                <w:rFonts w:hint="eastAsia" w:ascii="宋体" w:hAnsi="宋体" w:cs="宋体"/>
                <w:color w:val="auto"/>
                <w:szCs w:val="21"/>
                <w:highlight w:val="none"/>
              </w:rPr>
              <w:t>≥300路</w:t>
            </w:r>
            <w:bookmarkEnd w:id="47"/>
            <w:r>
              <w:rPr>
                <w:rFonts w:hint="eastAsia" w:ascii="宋体" w:hAnsi="宋体" w:cs="宋体"/>
                <w:color w:val="auto"/>
                <w:szCs w:val="21"/>
                <w:highlight w:val="none"/>
              </w:rPr>
              <w:t>以满足视频监控画面、智能监控实时画面，≥60路人脸抓拍授权。</w:t>
            </w:r>
          </w:p>
          <w:p w14:paraId="513F51D0">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2、平台支持视频监控画面、智能监控实时画面、门禁出入信息、出入口进出信息在一个客户端页面进行展示。</w:t>
            </w:r>
          </w:p>
          <w:p w14:paraId="177BCB39">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3、视频监控支持视频预览、云台控制、对讲、声音开关、抓图、主子码流切换、电子放大等操作。</w:t>
            </w:r>
          </w:p>
          <w:p w14:paraId="419EE508">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4、支持预览和回放模式切换，支持查看录像回放。</w:t>
            </w:r>
          </w:p>
          <w:p w14:paraId="70A34A7C">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5、支持展示门禁刷卡刷脸数据，门禁数据关联视频录像回放。</w:t>
            </w:r>
          </w:p>
          <w:p w14:paraId="6B09FF2F">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6、支持展示实时过车数据；可对车道道闸进行开闸、关闸、常开闸等操作。</w:t>
            </w:r>
          </w:p>
          <w:p w14:paraId="1D241850">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7、可对停车场车道进行对讲，支持矫正车牌、异常放行和人工匹配等操作。</w:t>
            </w:r>
          </w:p>
          <w:p w14:paraId="262CAF26">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8、支持展示智能监控人脸信息，并标识陌生人、危险区域高频人员、人员姓名。单个窗口绑定或移除单个或多个资源点（最多支持绑定不少于1个监控点+9个门禁或1个监控点+9个出入口）。</w:t>
            </w:r>
          </w:p>
          <w:p w14:paraId="4B42D6C4">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9、支持UDP、RTSP、RTMP、HLS和HTTP等流媒体协议输入和输出；具备对流媒体代理分发系统的管理，动态调整流媒体代理分发的系统负载。</w:t>
            </w:r>
          </w:p>
          <w:p w14:paraId="709921D3">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10、人员特征条件搜索：支持按抓拍设备、性别、年龄段、是否佩戴眼镜、自定义（是否戴帽子、是否戴口罩、上衣颜色、下衣颜色、是否背包、是否拎东西、是否骑车）进行人员检索；检索条件中的抓拍设备，支持设置是否包含下级区域，勾选后可下级区域节点的设备；支持选择某区域中的全部设备。</w:t>
            </w:r>
          </w:p>
          <w:p w14:paraId="79EBE3A0">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11、支持按人员特征、嫌疑人以图搜图、门禁记录模糊检索系统中人员通行记录；支持同时查询多个后端设备的记录；门禁记录：支持按门禁设备、姓名、人员编号、部门进行人员检索。</w:t>
            </w:r>
          </w:p>
          <w:p w14:paraId="4C4AD20B">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12、支持以人脸图片搜索该人员目标在门禁设备、监控点下的抓拍记录。</w:t>
            </w:r>
          </w:p>
          <w:p w14:paraId="0601EE13">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13、支持以人体图片进行嫌疑人搜图。</w:t>
            </w:r>
          </w:p>
          <w:p w14:paraId="3E24B085">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14、支持基于校内人员重点目标库的嫌疑人搜图。</w:t>
            </w:r>
          </w:p>
          <w:p w14:paraId="087D5D44">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15、支持查看检索人员通行记录的动线。</w:t>
            </w:r>
          </w:p>
        </w:tc>
        <w:tc>
          <w:tcPr>
            <w:tcW w:w="1400" w:type="dxa"/>
            <w:vAlign w:val="center"/>
          </w:tcPr>
          <w:p w14:paraId="0C0A6B19">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26000.00</w:t>
            </w:r>
          </w:p>
        </w:tc>
      </w:tr>
      <w:tr w14:paraId="2909A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629" w:type="dxa"/>
            <w:noWrap/>
            <w:vAlign w:val="center"/>
          </w:tcPr>
          <w:p w14:paraId="793D2F7C">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11</w:t>
            </w:r>
          </w:p>
        </w:tc>
        <w:tc>
          <w:tcPr>
            <w:tcW w:w="1683" w:type="dxa"/>
            <w:noWrap/>
            <w:vAlign w:val="center"/>
          </w:tcPr>
          <w:p w14:paraId="525BE8FD">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短焦人脸识别半球</w:t>
            </w:r>
          </w:p>
        </w:tc>
        <w:tc>
          <w:tcPr>
            <w:tcW w:w="850" w:type="dxa"/>
            <w:noWrap/>
            <w:vAlign w:val="center"/>
          </w:tcPr>
          <w:p w14:paraId="13463CF7">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26</w:t>
            </w:r>
          </w:p>
        </w:tc>
        <w:tc>
          <w:tcPr>
            <w:tcW w:w="709" w:type="dxa"/>
            <w:noWrap/>
            <w:vAlign w:val="center"/>
          </w:tcPr>
          <w:p w14:paraId="39FB8601">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台</w:t>
            </w:r>
          </w:p>
        </w:tc>
        <w:tc>
          <w:tcPr>
            <w:tcW w:w="4684" w:type="dxa"/>
            <w:vAlign w:val="center"/>
          </w:tcPr>
          <w:p w14:paraId="4F45862E">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1、≥400万像素，具有不小于1/1.8"靶面尺寸，2.7～13mm变焦镜头，内置高性能芯片，宽动态能力不小于120dB。</w:t>
            </w:r>
          </w:p>
          <w:p w14:paraId="1766BB91">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2、内置≥2个麦克风，≥1个扬声器，最低照度彩色≤0.0002lx，黑白≤0.0001 lx，最大亮度鉴别等级≥11级。</w:t>
            </w:r>
          </w:p>
          <w:p w14:paraId="07624620">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3、分辨率设置2560×1440@50fps，分辨力≥1400TVL，支持H.264、H.265、MJPEG等视频编码格式，且具有High Profile编码能力。</w:t>
            </w:r>
          </w:p>
          <w:p w14:paraId="0D94472D">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4、可同时支持≥10路客户端和≥5路web端事件布防，设备在布防时间段内主动上传感知数据，断网重连后，报警信息与报警图片可继续上传，同时支持≥3路web监听通道，设备响应web端发送的查询请求，并返回对应的感知数据，断网重连后，报警信息可继续上传。</w:t>
            </w:r>
          </w:p>
          <w:p w14:paraId="4C0B8521">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5、支持同时检测并且抓拍≥30张人脸，支持对运动人脸进行检测、跟踪、抓拍、评分、筛选输出最优的人脸抓图，支持最佳抓拍、快速抓拍。</w:t>
            </w:r>
          </w:p>
          <w:p w14:paraId="43D24F52">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6、支持对运动目标进行检测、抓拍、评分、筛选，输出人脸、人体、车辆、车牌、非机动车抓拍结果和车牌号码识别。</w:t>
            </w:r>
          </w:p>
          <w:p w14:paraId="73E1121B">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7、可通过IE浏览器设置登录超时时间，当登录后无操作时长达到设置阈值后，设备自动退出并重新进入登录界面，在IE浏览器下，具有设备重启和布防动态报警数据感知与记录功能。</w:t>
            </w:r>
          </w:p>
          <w:p w14:paraId="2442CD9B">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8、支持防补光过曝开启和关闭，开启下支持自动和手动，手动支持根据距离等级控制补光灯亮度。</w:t>
            </w:r>
          </w:p>
          <w:p w14:paraId="004196A6">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9、设备具有耀光抑制功能，耀光区域≤1%，设备支持重瞳检测抓拍功能，可通过IE浏览器或客户端开启/关闭重瞳检测抓拍功能。</w:t>
            </w:r>
          </w:p>
          <w:p w14:paraId="30FD3C69">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10、支持车牌识别并抓拍，车牌号码/车身颜色/车辆类型/车辆品牌；混行检测：检测正向或逆向行驶的车辆以及行人和非机动车，自动对车辆牌照进行识别，可以抓拍无车牌的车辆图片。</w:t>
            </w:r>
          </w:p>
          <w:p w14:paraId="274C9BEE">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11、可在IE浏览器或客户端软件下将人脸和人体图片、人脸和非机动车图片、车牌和车辆图片进行关联显示，在IE浏览器下，支持查询指定类型或指定时间段的感知数据。</w:t>
            </w:r>
          </w:p>
          <w:p w14:paraId="721D9462">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12、支持人员密度、人数异常触发和停留时间报警，支持区域人数检测、停留时长检测。</w:t>
            </w:r>
          </w:p>
          <w:p w14:paraId="4798CF3F">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13、支持离岗检测、在离岗检测报警。</w:t>
            </w:r>
          </w:p>
          <w:p w14:paraId="7CF26FDF">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14、补光距离≥30米，≥IP67防护等级。</w:t>
            </w:r>
          </w:p>
          <w:p w14:paraId="6F14D0B5">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15、支持GB35114-2017。</w:t>
            </w:r>
          </w:p>
        </w:tc>
        <w:tc>
          <w:tcPr>
            <w:tcW w:w="1400" w:type="dxa"/>
            <w:vAlign w:val="center"/>
          </w:tcPr>
          <w:p w14:paraId="25CDFA1C">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 xml:space="preserve">2000.00 </w:t>
            </w:r>
          </w:p>
        </w:tc>
      </w:tr>
      <w:tr w14:paraId="2204C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629" w:type="dxa"/>
            <w:noWrap/>
            <w:vAlign w:val="center"/>
          </w:tcPr>
          <w:p w14:paraId="1437F4DB">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12</w:t>
            </w:r>
          </w:p>
        </w:tc>
        <w:tc>
          <w:tcPr>
            <w:tcW w:w="1683" w:type="dxa"/>
            <w:noWrap/>
            <w:vAlign w:val="center"/>
          </w:tcPr>
          <w:p w14:paraId="5A4692C1">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多摄大模型全结构化摄像机</w:t>
            </w:r>
          </w:p>
        </w:tc>
        <w:tc>
          <w:tcPr>
            <w:tcW w:w="850" w:type="dxa"/>
            <w:noWrap/>
            <w:vAlign w:val="center"/>
          </w:tcPr>
          <w:p w14:paraId="1CCC87B3">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4</w:t>
            </w:r>
          </w:p>
        </w:tc>
        <w:tc>
          <w:tcPr>
            <w:tcW w:w="709" w:type="dxa"/>
            <w:noWrap/>
            <w:vAlign w:val="center"/>
          </w:tcPr>
          <w:p w14:paraId="40D6F00F">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台</w:t>
            </w:r>
          </w:p>
        </w:tc>
        <w:tc>
          <w:tcPr>
            <w:tcW w:w="4684" w:type="dxa"/>
            <w:vAlign w:val="center"/>
          </w:tcPr>
          <w:p w14:paraId="041E4733">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1、摄像机内置≥2个镜头、≥1颗GPU芯片，最大焦距≥50mm。</w:t>
            </w:r>
          </w:p>
          <w:p w14:paraId="5CFB3CEF">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2、细节通道分辨率≥3840×2160，全景通道分辨率≥2560×1440。</w:t>
            </w:r>
          </w:p>
          <w:p w14:paraId="1E646365">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3、采用基于transformer架构的大模型算法，内置算力≥8TOPS（</w:t>
            </w:r>
            <w:r>
              <w:rPr>
                <w:rFonts w:hint="eastAsia" w:ascii="宋体" w:hAnsi="宋体" w:cs="宋体"/>
                <w:b/>
                <w:bCs/>
                <w:color w:val="auto"/>
                <w:szCs w:val="21"/>
                <w:highlight w:val="none"/>
              </w:rPr>
              <w:t>要求供应商于响应文件中必须提供所竞产品由国家认可的第三方检测机构出具含有并符合本项技术要求的合格有效的检验（检测）报告扫描件，并加盖供应商电子签章，否则响应文件按无效处理</w:t>
            </w:r>
            <w:r>
              <w:rPr>
                <w:rFonts w:hint="eastAsia" w:ascii="宋体" w:hAnsi="宋体" w:cs="宋体"/>
                <w:color w:val="auto"/>
                <w:szCs w:val="21"/>
                <w:highlight w:val="none"/>
              </w:rPr>
              <w:t>）。</w:t>
            </w:r>
          </w:p>
          <w:p w14:paraId="5C30924A">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4、支持大模型结构化混行目标检测功能，支持混行目标（类型包括行人、人脸、车辆、非机动车）检测、拍抓及结构化属性分析。可关联显示人脸/人体图片和车牌/车辆图片，并可将抓拍结果上传平台，上传延时不超过1s（</w:t>
            </w:r>
            <w:r>
              <w:rPr>
                <w:rFonts w:hint="eastAsia" w:ascii="宋体" w:hAnsi="宋体" w:cs="宋体"/>
                <w:b/>
                <w:bCs/>
                <w:color w:val="auto"/>
                <w:szCs w:val="21"/>
                <w:highlight w:val="none"/>
              </w:rPr>
              <w:t>要求供应商于响应文件中必须提供所竞产品由国家认可的第三方检测机构出具含有并符合本项技术要求的合格有效的检验（检测）报告扫描件，并加盖供应商电子签章，否则响应文件按无效处理</w:t>
            </w:r>
            <w:r>
              <w:rPr>
                <w:rFonts w:hint="eastAsia" w:ascii="宋体" w:hAnsi="宋体" w:cs="宋体"/>
                <w:color w:val="auto"/>
                <w:szCs w:val="21"/>
                <w:highlight w:val="none"/>
              </w:rPr>
              <w:t>）。</w:t>
            </w:r>
          </w:p>
          <w:p w14:paraId="43E5AF37">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5、支持大模型人脸比对功能，对监控画面中出现的人脸与人脸库中的人脸图片进行比对，比对准确率不低于95%；支持大模型人脸成像增强功能，开启后可提升低照度、雨、雾等环境下的人脸抓拍图片的成像效果（</w:t>
            </w:r>
            <w:r>
              <w:rPr>
                <w:rFonts w:hint="eastAsia" w:ascii="宋体" w:hAnsi="宋体" w:cs="宋体"/>
                <w:b/>
                <w:bCs/>
                <w:color w:val="auto"/>
                <w:szCs w:val="21"/>
                <w:highlight w:val="none"/>
              </w:rPr>
              <w:t>要求供应商于响应文件中必须提供所竞产品由国家认可的第三方检测机构出具含有并符合本项技术要求的合格有效的检验（检测）报告扫描件，并加盖供应商电子签章，否则响应文件按无效处理</w:t>
            </w:r>
            <w:r>
              <w:rPr>
                <w:rFonts w:hint="eastAsia" w:ascii="宋体" w:hAnsi="宋体" w:cs="宋体"/>
                <w:color w:val="auto"/>
                <w:szCs w:val="21"/>
                <w:highlight w:val="none"/>
              </w:rPr>
              <w:t>）。</w:t>
            </w:r>
          </w:p>
          <w:p w14:paraId="0476123C">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6、支持开启、关闭智能文搜功能，功能开启后，可上传目标场景图片及目标信息，目标信息包括出现的时间、目标类别、在视场中的位置（</w:t>
            </w:r>
            <w:r>
              <w:rPr>
                <w:rFonts w:hint="eastAsia" w:ascii="宋体" w:hAnsi="宋体" w:cs="宋体"/>
                <w:b/>
                <w:bCs/>
                <w:color w:val="auto"/>
                <w:szCs w:val="21"/>
                <w:highlight w:val="none"/>
              </w:rPr>
              <w:t>要求供应商于响应文件中必须提供所竞产品由国家认可的第三方检测机构出具含有并符合本项技术要求的合格有效的检验（检测）报告扫描件，并加盖供应商电子签章，否则响应文件按无效处理</w:t>
            </w:r>
            <w:r>
              <w:rPr>
                <w:rFonts w:hint="eastAsia" w:ascii="宋体" w:hAnsi="宋体" w:cs="宋体"/>
                <w:color w:val="auto"/>
                <w:szCs w:val="21"/>
                <w:highlight w:val="none"/>
              </w:rPr>
              <w:t>）。</w:t>
            </w:r>
          </w:p>
          <w:p w14:paraId="12599E2D">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7、支持通道1和通道2互为180°夹角监控。</w:t>
            </w:r>
          </w:p>
          <w:p w14:paraId="70CAEBEF">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8、通道1和通道2均具有电动控制PT功能，支持远程电动调节，通道1水平方向支持0至355°旋转，垂直方向支持-15°至30°旋转，通道2垂直方向支持-5°至15°旋转。</w:t>
            </w:r>
          </w:p>
          <w:p w14:paraId="4827D718">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9、具有AI-ISP图像质量提升功能，在低照度环境下，可自动调节预览场景视频画面中人脸、人体、车辆等目标及预览场景视频画面的区域曝光、亮度、色彩饱和度、对比度、锐度等。</w:t>
            </w:r>
          </w:p>
          <w:p w14:paraId="4FCF8B05">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10、支持人脸比对、不同人脸库不同时间布防、支持非授权名单比对成功报警输出、支持人脸快速比对，最佳比对方式设置。</w:t>
            </w:r>
          </w:p>
          <w:p w14:paraId="3E8A0926">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11、支持车牌识别并抓拍，车牌号码/车身颜色/车辆类型/车辆品牌；检测正向或逆向行驶的车辆以及行人和非机动车，自动对车辆牌照进行识别，可以抓拍无车牌的车辆图片。</w:t>
            </w:r>
          </w:p>
          <w:p w14:paraId="5548FEC4">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12、支持越界侦测，区域入侵侦测，进入区域侦测，离开区域侦测。</w:t>
            </w:r>
          </w:p>
          <w:p w14:paraId="38855997">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13、内置≥2个麦克风、≥1个扬声器，具有≥2个音频输入接口、≥1个音频输出接口、≥3个报警输入接口、≥2个报警输出接口。</w:t>
            </w:r>
          </w:p>
          <w:p w14:paraId="6177B1BA">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14、摄像机的零部件应装配牢固，连接可靠，摄像机主要由上、下两部分采集通道组成，上通道具有≥4颗鳞镜式混合补光灯，下通道具有≥2颗鳞镜式混合补光灯，上下采集通道由中部的水平/垂直云台连接于一体。</w:t>
            </w:r>
          </w:p>
          <w:p w14:paraId="38A57097">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15、外壳防护等级≥IP67。</w:t>
            </w:r>
          </w:p>
          <w:p w14:paraId="12A914F0">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16、支持GB35114 A级安全加密。</w:t>
            </w:r>
          </w:p>
        </w:tc>
        <w:tc>
          <w:tcPr>
            <w:tcW w:w="1400" w:type="dxa"/>
            <w:vAlign w:val="center"/>
          </w:tcPr>
          <w:p w14:paraId="5DC69902">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 xml:space="preserve">7900.00 </w:t>
            </w:r>
          </w:p>
        </w:tc>
      </w:tr>
      <w:tr w14:paraId="3CDE1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629" w:type="dxa"/>
            <w:noWrap/>
            <w:vAlign w:val="center"/>
          </w:tcPr>
          <w:p w14:paraId="3E07F142">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13</w:t>
            </w:r>
          </w:p>
        </w:tc>
        <w:tc>
          <w:tcPr>
            <w:tcW w:w="1683" w:type="dxa"/>
            <w:noWrap/>
            <w:vAlign w:val="center"/>
          </w:tcPr>
          <w:p w14:paraId="1EC3199F">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8口千兆交换机</w:t>
            </w:r>
          </w:p>
        </w:tc>
        <w:tc>
          <w:tcPr>
            <w:tcW w:w="850" w:type="dxa"/>
            <w:noWrap/>
            <w:vAlign w:val="center"/>
          </w:tcPr>
          <w:p w14:paraId="11CE5D88">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10</w:t>
            </w:r>
          </w:p>
        </w:tc>
        <w:tc>
          <w:tcPr>
            <w:tcW w:w="709" w:type="dxa"/>
            <w:noWrap/>
            <w:vAlign w:val="center"/>
          </w:tcPr>
          <w:p w14:paraId="21BBDAB6">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台</w:t>
            </w:r>
          </w:p>
        </w:tc>
        <w:tc>
          <w:tcPr>
            <w:tcW w:w="4684" w:type="dxa"/>
            <w:vAlign w:val="center"/>
          </w:tcPr>
          <w:p w14:paraId="1F880B39">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1、≥8个千兆电口。</w:t>
            </w:r>
          </w:p>
          <w:p w14:paraId="45742A29">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2、≥16 Gbps交换容量。</w:t>
            </w:r>
          </w:p>
          <w:p w14:paraId="01ADC7AF">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3、≥11.90 Mpps包转发率。</w:t>
            </w:r>
          </w:p>
          <w:p w14:paraId="6D99C771">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4、≥6kV网口浪涌防护。</w:t>
            </w:r>
          </w:p>
          <w:p w14:paraId="3E55EB8A">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5、线速转发、无阻塞设计。</w:t>
            </w:r>
          </w:p>
          <w:p w14:paraId="55827C82">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6、金属外壳。</w:t>
            </w:r>
          </w:p>
        </w:tc>
        <w:tc>
          <w:tcPr>
            <w:tcW w:w="1400" w:type="dxa"/>
            <w:vAlign w:val="center"/>
          </w:tcPr>
          <w:p w14:paraId="3F16D98D">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270.00</w:t>
            </w:r>
          </w:p>
        </w:tc>
      </w:tr>
      <w:tr w14:paraId="6C9B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29" w:type="dxa"/>
            <w:noWrap/>
            <w:vAlign w:val="center"/>
          </w:tcPr>
          <w:p w14:paraId="1BBA8CE8">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14</w:t>
            </w:r>
          </w:p>
        </w:tc>
        <w:tc>
          <w:tcPr>
            <w:tcW w:w="1683" w:type="dxa"/>
            <w:noWrap/>
            <w:vAlign w:val="center"/>
          </w:tcPr>
          <w:p w14:paraId="1741258D">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5口千兆交换机</w:t>
            </w:r>
          </w:p>
        </w:tc>
        <w:tc>
          <w:tcPr>
            <w:tcW w:w="850" w:type="dxa"/>
            <w:noWrap/>
            <w:vAlign w:val="center"/>
          </w:tcPr>
          <w:p w14:paraId="5AD05571">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10</w:t>
            </w:r>
          </w:p>
        </w:tc>
        <w:tc>
          <w:tcPr>
            <w:tcW w:w="709" w:type="dxa"/>
            <w:noWrap/>
            <w:vAlign w:val="center"/>
          </w:tcPr>
          <w:p w14:paraId="08350DDF">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台</w:t>
            </w:r>
          </w:p>
        </w:tc>
        <w:tc>
          <w:tcPr>
            <w:tcW w:w="4684" w:type="dxa"/>
          </w:tcPr>
          <w:p w14:paraId="77A61F40">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1、≥5个千兆电口。</w:t>
            </w:r>
            <w:r>
              <w:rPr>
                <w:rFonts w:hint="eastAsia" w:ascii="宋体" w:hAnsi="宋体" w:cs="宋体"/>
                <w:color w:val="auto"/>
                <w:szCs w:val="21"/>
                <w:highlight w:val="none"/>
              </w:rPr>
              <w:br w:type="textWrapping"/>
            </w:r>
            <w:r>
              <w:rPr>
                <w:rFonts w:hint="eastAsia" w:ascii="宋体" w:hAnsi="宋体" w:cs="宋体"/>
                <w:color w:val="auto"/>
                <w:szCs w:val="21"/>
                <w:highlight w:val="none"/>
              </w:rPr>
              <w:t>2、≥10 Gbps交换容量。</w:t>
            </w:r>
            <w:r>
              <w:rPr>
                <w:rFonts w:hint="eastAsia" w:ascii="宋体" w:hAnsi="宋体" w:cs="宋体"/>
                <w:color w:val="auto"/>
                <w:szCs w:val="21"/>
                <w:highlight w:val="none"/>
              </w:rPr>
              <w:br w:type="textWrapping"/>
            </w:r>
            <w:r>
              <w:rPr>
                <w:rFonts w:hint="eastAsia" w:ascii="宋体" w:hAnsi="宋体" w:cs="宋体"/>
                <w:color w:val="auto"/>
                <w:szCs w:val="21"/>
                <w:highlight w:val="none"/>
              </w:rPr>
              <w:t>3、≥7.44 Mpps包转发率。</w:t>
            </w:r>
            <w:r>
              <w:rPr>
                <w:rFonts w:hint="eastAsia" w:ascii="宋体" w:hAnsi="宋体" w:cs="宋体"/>
                <w:color w:val="auto"/>
                <w:szCs w:val="21"/>
                <w:highlight w:val="none"/>
              </w:rPr>
              <w:br w:type="textWrapping"/>
            </w:r>
            <w:r>
              <w:rPr>
                <w:rFonts w:hint="eastAsia" w:ascii="宋体" w:hAnsi="宋体" w:cs="宋体"/>
                <w:color w:val="auto"/>
                <w:szCs w:val="21"/>
                <w:highlight w:val="none"/>
              </w:rPr>
              <w:t>4、≥6 kV网口浪涌防护。</w:t>
            </w:r>
            <w:r>
              <w:rPr>
                <w:rFonts w:hint="eastAsia" w:ascii="宋体" w:hAnsi="宋体" w:cs="宋体"/>
                <w:color w:val="auto"/>
                <w:szCs w:val="21"/>
                <w:highlight w:val="none"/>
              </w:rPr>
              <w:br w:type="textWrapping"/>
            </w:r>
            <w:r>
              <w:rPr>
                <w:rFonts w:hint="eastAsia" w:ascii="宋体" w:hAnsi="宋体" w:cs="宋体"/>
                <w:color w:val="auto"/>
                <w:szCs w:val="21"/>
                <w:highlight w:val="none"/>
              </w:rPr>
              <w:t>5、线速转发、无阻塞设计。</w:t>
            </w:r>
            <w:r>
              <w:rPr>
                <w:rFonts w:hint="eastAsia" w:ascii="宋体" w:hAnsi="宋体" w:cs="宋体"/>
                <w:color w:val="auto"/>
                <w:szCs w:val="21"/>
                <w:highlight w:val="none"/>
              </w:rPr>
              <w:br w:type="textWrapping"/>
            </w:r>
            <w:r>
              <w:rPr>
                <w:rFonts w:hint="eastAsia" w:ascii="宋体" w:hAnsi="宋体" w:cs="宋体"/>
                <w:color w:val="auto"/>
                <w:szCs w:val="21"/>
                <w:highlight w:val="none"/>
              </w:rPr>
              <w:t>6、金属外壳。</w:t>
            </w:r>
          </w:p>
        </w:tc>
        <w:tc>
          <w:tcPr>
            <w:tcW w:w="1400" w:type="dxa"/>
            <w:vAlign w:val="center"/>
          </w:tcPr>
          <w:p w14:paraId="3FE10FC4">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 xml:space="preserve">165.00 </w:t>
            </w:r>
          </w:p>
        </w:tc>
      </w:tr>
      <w:tr w14:paraId="03355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29" w:type="dxa"/>
            <w:noWrap/>
            <w:vAlign w:val="center"/>
          </w:tcPr>
          <w:p w14:paraId="7CDD5B7F">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15</w:t>
            </w:r>
          </w:p>
        </w:tc>
        <w:tc>
          <w:tcPr>
            <w:tcW w:w="1683" w:type="dxa"/>
            <w:noWrap/>
            <w:vAlign w:val="center"/>
          </w:tcPr>
          <w:p w14:paraId="56F23EEA">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24口POE交换机</w:t>
            </w:r>
          </w:p>
        </w:tc>
        <w:tc>
          <w:tcPr>
            <w:tcW w:w="850" w:type="dxa"/>
            <w:noWrap/>
            <w:vAlign w:val="center"/>
          </w:tcPr>
          <w:p w14:paraId="4DC5FBF8">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1</w:t>
            </w:r>
          </w:p>
        </w:tc>
        <w:tc>
          <w:tcPr>
            <w:tcW w:w="709" w:type="dxa"/>
            <w:noWrap/>
            <w:vAlign w:val="center"/>
          </w:tcPr>
          <w:p w14:paraId="10007846">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台</w:t>
            </w:r>
          </w:p>
        </w:tc>
        <w:tc>
          <w:tcPr>
            <w:tcW w:w="4684" w:type="dxa"/>
          </w:tcPr>
          <w:p w14:paraId="65C27F60">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1、≥24个千兆PoE电口、≥2个千兆光口。</w:t>
            </w:r>
            <w:r>
              <w:rPr>
                <w:rFonts w:hint="eastAsia" w:ascii="宋体" w:hAnsi="宋体" w:cs="宋体"/>
                <w:color w:val="auto"/>
                <w:szCs w:val="21"/>
                <w:highlight w:val="none"/>
              </w:rPr>
              <w:br w:type="textWrapping"/>
            </w:r>
            <w:r>
              <w:rPr>
                <w:rFonts w:hint="eastAsia" w:ascii="宋体" w:hAnsi="宋体" w:cs="宋体"/>
                <w:color w:val="auto"/>
                <w:szCs w:val="21"/>
                <w:highlight w:val="none"/>
              </w:rPr>
              <w:t>2、≥52 Gbps交换容量、≥38.69 Mpps包转发率。</w:t>
            </w:r>
            <w:r>
              <w:rPr>
                <w:rFonts w:hint="eastAsia" w:ascii="宋体" w:hAnsi="宋体" w:cs="宋体"/>
                <w:color w:val="auto"/>
                <w:szCs w:val="21"/>
                <w:highlight w:val="none"/>
              </w:rPr>
              <w:br w:type="textWrapping"/>
            </w:r>
            <w:r>
              <w:rPr>
                <w:rFonts w:hint="eastAsia" w:ascii="宋体" w:hAnsi="宋体" w:cs="宋体"/>
                <w:color w:val="auto"/>
                <w:szCs w:val="21"/>
                <w:highlight w:val="none"/>
              </w:rPr>
              <w:t>3、支持IEEE 802.3at/af。</w:t>
            </w:r>
            <w:r>
              <w:rPr>
                <w:rFonts w:hint="eastAsia" w:ascii="宋体" w:hAnsi="宋体" w:cs="宋体"/>
                <w:color w:val="auto"/>
                <w:szCs w:val="21"/>
                <w:highlight w:val="none"/>
              </w:rPr>
              <w:br w:type="textWrapping"/>
            </w:r>
            <w:r>
              <w:rPr>
                <w:rFonts w:hint="eastAsia" w:ascii="宋体" w:hAnsi="宋体" w:cs="宋体"/>
                <w:color w:val="auto"/>
                <w:szCs w:val="21"/>
                <w:highlight w:val="none"/>
              </w:rPr>
              <w:t>4、≥30 W端口最大供电功率。</w:t>
            </w:r>
            <w:r>
              <w:rPr>
                <w:rFonts w:hint="eastAsia" w:ascii="宋体" w:hAnsi="宋体" w:cs="宋体"/>
                <w:color w:val="auto"/>
                <w:szCs w:val="21"/>
                <w:highlight w:val="none"/>
              </w:rPr>
              <w:br w:type="textWrapping"/>
            </w:r>
            <w:r>
              <w:rPr>
                <w:rFonts w:hint="eastAsia" w:ascii="宋体" w:hAnsi="宋体" w:cs="宋体"/>
                <w:color w:val="auto"/>
                <w:szCs w:val="21"/>
                <w:highlight w:val="none"/>
              </w:rPr>
              <w:t>5、≥225W整机最大供电功率。</w:t>
            </w:r>
            <w:r>
              <w:rPr>
                <w:rFonts w:hint="eastAsia" w:ascii="宋体" w:hAnsi="宋体" w:cs="宋体"/>
                <w:color w:val="auto"/>
                <w:szCs w:val="21"/>
                <w:highlight w:val="none"/>
              </w:rPr>
              <w:br w:type="textWrapping"/>
            </w:r>
            <w:r>
              <w:rPr>
                <w:rFonts w:hint="eastAsia" w:ascii="宋体" w:hAnsi="宋体" w:cs="宋体"/>
                <w:color w:val="auto"/>
                <w:szCs w:val="21"/>
                <w:highlight w:val="none"/>
              </w:rPr>
              <w:t>6、支持PoE输出功率管理。</w:t>
            </w:r>
            <w:r>
              <w:rPr>
                <w:rFonts w:hint="eastAsia" w:ascii="宋体" w:hAnsi="宋体" w:cs="宋体"/>
                <w:color w:val="auto"/>
                <w:szCs w:val="21"/>
                <w:highlight w:val="none"/>
              </w:rPr>
              <w:br w:type="textWrapping"/>
            </w:r>
            <w:r>
              <w:rPr>
                <w:rFonts w:hint="eastAsia" w:ascii="宋体" w:hAnsi="宋体" w:cs="宋体"/>
                <w:color w:val="auto"/>
                <w:szCs w:val="21"/>
                <w:highlight w:val="none"/>
              </w:rPr>
              <w:t>7、支持6 KV防浪涌（PoE口）。</w:t>
            </w:r>
            <w:r>
              <w:rPr>
                <w:rFonts w:hint="eastAsia" w:ascii="宋体" w:hAnsi="宋体" w:cs="宋体"/>
                <w:color w:val="auto"/>
                <w:szCs w:val="21"/>
                <w:highlight w:val="none"/>
              </w:rPr>
              <w:br w:type="textWrapping"/>
            </w:r>
            <w:r>
              <w:rPr>
                <w:rFonts w:hint="eastAsia" w:ascii="宋体" w:hAnsi="宋体" w:cs="宋体"/>
                <w:color w:val="auto"/>
                <w:szCs w:val="21"/>
                <w:highlight w:val="none"/>
              </w:rPr>
              <w:t>8、机架式安装方式。</w:t>
            </w:r>
          </w:p>
        </w:tc>
        <w:tc>
          <w:tcPr>
            <w:tcW w:w="1400" w:type="dxa"/>
            <w:vAlign w:val="center"/>
          </w:tcPr>
          <w:p w14:paraId="64481096">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 xml:space="preserve">1800.00 </w:t>
            </w:r>
          </w:p>
        </w:tc>
      </w:tr>
      <w:tr w14:paraId="4CC0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29" w:type="dxa"/>
            <w:noWrap/>
            <w:vAlign w:val="center"/>
          </w:tcPr>
          <w:p w14:paraId="7D3B1C3C">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16</w:t>
            </w:r>
          </w:p>
        </w:tc>
        <w:tc>
          <w:tcPr>
            <w:tcW w:w="1683" w:type="dxa"/>
            <w:noWrap/>
            <w:vAlign w:val="center"/>
          </w:tcPr>
          <w:p w14:paraId="7D0A8B82">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5口POE交换机</w:t>
            </w:r>
          </w:p>
        </w:tc>
        <w:tc>
          <w:tcPr>
            <w:tcW w:w="850" w:type="dxa"/>
            <w:noWrap/>
            <w:vAlign w:val="center"/>
          </w:tcPr>
          <w:p w14:paraId="784046E2">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20</w:t>
            </w:r>
          </w:p>
        </w:tc>
        <w:tc>
          <w:tcPr>
            <w:tcW w:w="709" w:type="dxa"/>
            <w:noWrap/>
            <w:vAlign w:val="center"/>
          </w:tcPr>
          <w:p w14:paraId="6E3BD726">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台</w:t>
            </w:r>
          </w:p>
        </w:tc>
        <w:tc>
          <w:tcPr>
            <w:tcW w:w="4684" w:type="dxa"/>
          </w:tcPr>
          <w:p w14:paraId="1B69725B">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1、≥4个千兆PoE电口、≥1个千兆电口。</w:t>
            </w:r>
            <w:r>
              <w:rPr>
                <w:rFonts w:hint="eastAsia" w:ascii="宋体" w:hAnsi="宋体" w:cs="宋体"/>
                <w:color w:val="auto"/>
                <w:szCs w:val="21"/>
                <w:highlight w:val="none"/>
              </w:rPr>
              <w:br w:type="textWrapping"/>
            </w:r>
            <w:r>
              <w:rPr>
                <w:rFonts w:hint="eastAsia" w:ascii="宋体" w:hAnsi="宋体" w:cs="宋体"/>
                <w:color w:val="auto"/>
                <w:szCs w:val="21"/>
                <w:highlight w:val="none"/>
              </w:rPr>
              <w:t>2、≥10 Gbps交换容量、≥7.44 Mpps包转发率</w:t>
            </w:r>
            <w:r>
              <w:rPr>
                <w:rFonts w:hint="eastAsia" w:ascii="宋体" w:hAnsi="宋体" w:cs="宋体"/>
                <w:color w:val="auto"/>
                <w:szCs w:val="21"/>
                <w:highlight w:val="none"/>
              </w:rPr>
              <w:br w:type="textWrapping"/>
            </w:r>
            <w:r>
              <w:rPr>
                <w:rFonts w:hint="eastAsia" w:ascii="宋体" w:hAnsi="宋体" w:cs="宋体"/>
                <w:color w:val="auto"/>
                <w:szCs w:val="21"/>
                <w:highlight w:val="none"/>
              </w:rPr>
              <w:t>3、支持IEEE 802.3at/af。</w:t>
            </w:r>
            <w:r>
              <w:rPr>
                <w:rFonts w:hint="eastAsia" w:ascii="宋体" w:hAnsi="宋体" w:cs="宋体"/>
                <w:color w:val="auto"/>
                <w:szCs w:val="21"/>
                <w:highlight w:val="none"/>
              </w:rPr>
              <w:br w:type="textWrapping"/>
            </w:r>
            <w:r>
              <w:rPr>
                <w:rFonts w:hint="eastAsia" w:ascii="宋体" w:hAnsi="宋体" w:cs="宋体"/>
                <w:color w:val="auto"/>
                <w:szCs w:val="21"/>
                <w:highlight w:val="none"/>
              </w:rPr>
              <w:t>4、≥30 W端口最大供电功率。</w:t>
            </w:r>
            <w:r>
              <w:rPr>
                <w:rFonts w:hint="eastAsia" w:ascii="宋体" w:hAnsi="宋体" w:cs="宋体"/>
                <w:color w:val="auto"/>
                <w:szCs w:val="21"/>
                <w:highlight w:val="none"/>
              </w:rPr>
              <w:br w:type="textWrapping"/>
            </w:r>
            <w:r>
              <w:rPr>
                <w:rFonts w:hint="eastAsia" w:ascii="宋体" w:hAnsi="宋体" w:cs="宋体"/>
                <w:color w:val="auto"/>
                <w:szCs w:val="21"/>
                <w:highlight w:val="none"/>
              </w:rPr>
              <w:t>5、≥35W整机最大供电功率。</w:t>
            </w:r>
            <w:r>
              <w:rPr>
                <w:rFonts w:hint="eastAsia" w:ascii="宋体" w:hAnsi="宋体" w:cs="宋体"/>
                <w:color w:val="auto"/>
                <w:szCs w:val="21"/>
                <w:highlight w:val="none"/>
              </w:rPr>
              <w:br w:type="textWrapping"/>
            </w:r>
            <w:r>
              <w:rPr>
                <w:rFonts w:hint="eastAsia" w:ascii="宋体" w:hAnsi="宋体" w:cs="宋体"/>
                <w:color w:val="auto"/>
                <w:szCs w:val="21"/>
                <w:highlight w:val="none"/>
              </w:rPr>
              <w:t>6、支持PoE输出功率管理。</w:t>
            </w:r>
            <w:r>
              <w:rPr>
                <w:rFonts w:hint="eastAsia" w:ascii="宋体" w:hAnsi="宋体" w:cs="宋体"/>
                <w:color w:val="auto"/>
                <w:szCs w:val="21"/>
                <w:highlight w:val="none"/>
              </w:rPr>
              <w:br w:type="textWrapping"/>
            </w:r>
            <w:r>
              <w:rPr>
                <w:rFonts w:hint="eastAsia" w:ascii="宋体" w:hAnsi="宋体" w:cs="宋体"/>
                <w:color w:val="auto"/>
                <w:szCs w:val="21"/>
                <w:highlight w:val="none"/>
              </w:rPr>
              <w:t>7、支持6 KV防浪涌（PoE口）。</w:t>
            </w:r>
            <w:r>
              <w:rPr>
                <w:rFonts w:hint="eastAsia" w:ascii="宋体" w:hAnsi="宋体" w:cs="宋体"/>
                <w:color w:val="auto"/>
                <w:szCs w:val="21"/>
                <w:highlight w:val="none"/>
              </w:rPr>
              <w:br w:type="textWrapping"/>
            </w:r>
            <w:r>
              <w:rPr>
                <w:rFonts w:hint="eastAsia" w:ascii="宋体" w:hAnsi="宋体" w:cs="宋体"/>
                <w:color w:val="auto"/>
                <w:szCs w:val="21"/>
                <w:highlight w:val="none"/>
              </w:rPr>
              <w:t>8、金属外壳。</w:t>
            </w:r>
          </w:p>
        </w:tc>
        <w:tc>
          <w:tcPr>
            <w:tcW w:w="1400" w:type="dxa"/>
            <w:vAlign w:val="center"/>
          </w:tcPr>
          <w:p w14:paraId="58166A93">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 xml:space="preserve">300.00 </w:t>
            </w:r>
          </w:p>
        </w:tc>
      </w:tr>
      <w:tr w14:paraId="36452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29" w:type="dxa"/>
            <w:noWrap/>
            <w:vAlign w:val="center"/>
          </w:tcPr>
          <w:p w14:paraId="726795BE">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17</w:t>
            </w:r>
          </w:p>
        </w:tc>
        <w:tc>
          <w:tcPr>
            <w:tcW w:w="1683" w:type="dxa"/>
            <w:noWrap/>
            <w:vAlign w:val="center"/>
          </w:tcPr>
          <w:p w14:paraId="6B48BB93">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8口POE交换机</w:t>
            </w:r>
          </w:p>
        </w:tc>
        <w:tc>
          <w:tcPr>
            <w:tcW w:w="850" w:type="dxa"/>
            <w:noWrap/>
            <w:vAlign w:val="center"/>
          </w:tcPr>
          <w:p w14:paraId="58C03F99">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15</w:t>
            </w:r>
          </w:p>
        </w:tc>
        <w:tc>
          <w:tcPr>
            <w:tcW w:w="709" w:type="dxa"/>
            <w:noWrap/>
            <w:vAlign w:val="center"/>
          </w:tcPr>
          <w:p w14:paraId="0D845349">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台</w:t>
            </w:r>
          </w:p>
        </w:tc>
        <w:tc>
          <w:tcPr>
            <w:tcW w:w="4684" w:type="dxa"/>
          </w:tcPr>
          <w:p w14:paraId="5C115FFA">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1、≥8个千兆PoE电口、≥1个千兆光口、≥1个千兆电口。</w:t>
            </w:r>
            <w:r>
              <w:rPr>
                <w:rFonts w:hint="eastAsia" w:ascii="宋体" w:hAnsi="宋体" w:cs="宋体"/>
                <w:color w:val="auto"/>
                <w:szCs w:val="21"/>
                <w:highlight w:val="none"/>
              </w:rPr>
              <w:br w:type="textWrapping"/>
            </w:r>
            <w:r>
              <w:rPr>
                <w:rFonts w:hint="eastAsia" w:ascii="宋体" w:hAnsi="宋体" w:cs="宋体"/>
                <w:color w:val="auto"/>
                <w:szCs w:val="21"/>
                <w:highlight w:val="none"/>
              </w:rPr>
              <w:t>2、≥20 Gbps交换容量、≥14.88 Mpps包转发率</w:t>
            </w:r>
            <w:r>
              <w:rPr>
                <w:rFonts w:hint="eastAsia" w:ascii="宋体" w:hAnsi="宋体" w:cs="宋体"/>
                <w:color w:val="auto"/>
                <w:szCs w:val="21"/>
                <w:highlight w:val="none"/>
              </w:rPr>
              <w:br w:type="textWrapping"/>
            </w:r>
            <w:r>
              <w:rPr>
                <w:rFonts w:hint="eastAsia" w:ascii="宋体" w:hAnsi="宋体" w:cs="宋体"/>
                <w:color w:val="auto"/>
                <w:szCs w:val="21"/>
                <w:highlight w:val="none"/>
              </w:rPr>
              <w:t>3、支持IEEE 802.3at/af。</w:t>
            </w:r>
            <w:r>
              <w:rPr>
                <w:rFonts w:hint="eastAsia" w:ascii="宋体" w:hAnsi="宋体" w:cs="宋体"/>
                <w:color w:val="auto"/>
                <w:szCs w:val="21"/>
                <w:highlight w:val="none"/>
              </w:rPr>
              <w:br w:type="textWrapping"/>
            </w:r>
            <w:r>
              <w:rPr>
                <w:rFonts w:hint="eastAsia" w:ascii="宋体" w:hAnsi="宋体" w:cs="宋体"/>
                <w:color w:val="auto"/>
                <w:szCs w:val="21"/>
                <w:highlight w:val="none"/>
              </w:rPr>
              <w:t>4、≥30 W端口最大供电功率。</w:t>
            </w:r>
            <w:r>
              <w:rPr>
                <w:rFonts w:hint="eastAsia" w:ascii="宋体" w:hAnsi="宋体" w:cs="宋体"/>
                <w:color w:val="auto"/>
                <w:szCs w:val="21"/>
                <w:highlight w:val="none"/>
              </w:rPr>
              <w:br w:type="textWrapping"/>
            </w:r>
            <w:r>
              <w:rPr>
                <w:rFonts w:hint="eastAsia" w:ascii="宋体" w:hAnsi="宋体" w:cs="宋体"/>
                <w:color w:val="auto"/>
                <w:szCs w:val="21"/>
                <w:highlight w:val="none"/>
              </w:rPr>
              <w:t>5、≥60W整机最大供电功率。</w:t>
            </w:r>
            <w:r>
              <w:rPr>
                <w:rFonts w:hint="eastAsia" w:ascii="宋体" w:hAnsi="宋体" w:cs="宋体"/>
                <w:color w:val="auto"/>
                <w:szCs w:val="21"/>
                <w:highlight w:val="none"/>
              </w:rPr>
              <w:br w:type="textWrapping"/>
            </w:r>
            <w:r>
              <w:rPr>
                <w:rFonts w:hint="eastAsia" w:ascii="宋体" w:hAnsi="宋体" w:cs="宋体"/>
                <w:color w:val="auto"/>
                <w:szCs w:val="21"/>
                <w:highlight w:val="none"/>
              </w:rPr>
              <w:t>6、支持PoE输出功率管理。</w:t>
            </w:r>
            <w:r>
              <w:rPr>
                <w:rFonts w:hint="eastAsia" w:ascii="宋体" w:hAnsi="宋体" w:cs="宋体"/>
                <w:color w:val="auto"/>
                <w:szCs w:val="21"/>
                <w:highlight w:val="none"/>
              </w:rPr>
              <w:br w:type="textWrapping"/>
            </w:r>
            <w:r>
              <w:rPr>
                <w:rFonts w:hint="eastAsia" w:ascii="宋体" w:hAnsi="宋体" w:cs="宋体"/>
                <w:color w:val="auto"/>
                <w:szCs w:val="21"/>
                <w:highlight w:val="none"/>
              </w:rPr>
              <w:t>7、支持6 KV防浪涌（PoE口）。</w:t>
            </w:r>
            <w:r>
              <w:rPr>
                <w:rFonts w:hint="eastAsia" w:ascii="宋体" w:hAnsi="宋体" w:cs="宋体"/>
                <w:color w:val="auto"/>
                <w:szCs w:val="21"/>
                <w:highlight w:val="none"/>
              </w:rPr>
              <w:br w:type="textWrapping"/>
            </w:r>
            <w:r>
              <w:rPr>
                <w:rFonts w:hint="eastAsia" w:ascii="宋体" w:hAnsi="宋体" w:cs="宋体"/>
                <w:color w:val="auto"/>
                <w:szCs w:val="21"/>
                <w:highlight w:val="none"/>
              </w:rPr>
              <w:t>8、金属外壳。</w:t>
            </w:r>
          </w:p>
        </w:tc>
        <w:tc>
          <w:tcPr>
            <w:tcW w:w="1400" w:type="dxa"/>
            <w:vAlign w:val="center"/>
          </w:tcPr>
          <w:p w14:paraId="02489324">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 xml:space="preserve">640.00 </w:t>
            </w:r>
          </w:p>
        </w:tc>
      </w:tr>
      <w:tr w14:paraId="00AF3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29" w:type="dxa"/>
            <w:noWrap/>
            <w:vAlign w:val="center"/>
          </w:tcPr>
          <w:p w14:paraId="3E38A462">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18</w:t>
            </w:r>
          </w:p>
        </w:tc>
        <w:tc>
          <w:tcPr>
            <w:tcW w:w="1683" w:type="dxa"/>
            <w:noWrap/>
            <w:vAlign w:val="center"/>
          </w:tcPr>
          <w:p w14:paraId="08A7DB87">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16口POE交换机</w:t>
            </w:r>
          </w:p>
        </w:tc>
        <w:tc>
          <w:tcPr>
            <w:tcW w:w="850" w:type="dxa"/>
            <w:noWrap/>
            <w:vAlign w:val="center"/>
          </w:tcPr>
          <w:p w14:paraId="4BEE533D">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3</w:t>
            </w:r>
          </w:p>
        </w:tc>
        <w:tc>
          <w:tcPr>
            <w:tcW w:w="709" w:type="dxa"/>
            <w:noWrap/>
            <w:vAlign w:val="center"/>
          </w:tcPr>
          <w:p w14:paraId="07C98FA0">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台</w:t>
            </w:r>
          </w:p>
        </w:tc>
        <w:tc>
          <w:tcPr>
            <w:tcW w:w="4684" w:type="dxa"/>
          </w:tcPr>
          <w:p w14:paraId="5A2C5036">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1、≥16个千兆PoE电口、≥2个千兆光口。</w:t>
            </w:r>
            <w:r>
              <w:rPr>
                <w:rFonts w:hint="eastAsia" w:ascii="宋体" w:hAnsi="宋体" w:cs="宋体"/>
                <w:color w:val="auto"/>
                <w:szCs w:val="21"/>
                <w:highlight w:val="none"/>
              </w:rPr>
              <w:br w:type="textWrapping"/>
            </w:r>
            <w:r>
              <w:rPr>
                <w:rFonts w:hint="eastAsia" w:ascii="宋体" w:hAnsi="宋体" w:cs="宋体"/>
                <w:color w:val="auto"/>
                <w:szCs w:val="21"/>
                <w:highlight w:val="none"/>
              </w:rPr>
              <w:t>2、≥36 Gbps交换容量、≥26.78 Mpps包转发率</w:t>
            </w:r>
            <w:r>
              <w:rPr>
                <w:rFonts w:hint="eastAsia" w:ascii="宋体" w:hAnsi="宋体" w:cs="宋体"/>
                <w:color w:val="auto"/>
                <w:szCs w:val="21"/>
                <w:highlight w:val="none"/>
              </w:rPr>
              <w:br w:type="textWrapping"/>
            </w:r>
            <w:r>
              <w:rPr>
                <w:rFonts w:hint="eastAsia" w:ascii="宋体" w:hAnsi="宋体" w:cs="宋体"/>
                <w:color w:val="auto"/>
                <w:szCs w:val="21"/>
                <w:highlight w:val="none"/>
              </w:rPr>
              <w:t>3、支持IEEE 802.3at/af。</w:t>
            </w:r>
            <w:r>
              <w:rPr>
                <w:rFonts w:hint="eastAsia" w:ascii="宋体" w:hAnsi="宋体" w:cs="宋体"/>
                <w:color w:val="auto"/>
                <w:szCs w:val="21"/>
                <w:highlight w:val="none"/>
              </w:rPr>
              <w:br w:type="textWrapping"/>
            </w:r>
            <w:r>
              <w:rPr>
                <w:rFonts w:hint="eastAsia" w:ascii="宋体" w:hAnsi="宋体" w:cs="宋体"/>
                <w:color w:val="auto"/>
                <w:szCs w:val="21"/>
                <w:highlight w:val="none"/>
              </w:rPr>
              <w:t>4、≥30 W端口最大供电功率。</w:t>
            </w:r>
            <w:r>
              <w:rPr>
                <w:rFonts w:hint="eastAsia" w:ascii="宋体" w:hAnsi="宋体" w:cs="宋体"/>
                <w:color w:val="auto"/>
                <w:szCs w:val="21"/>
                <w:highlight w:val="none"/>
              </w:rPr>
              <w:br w:type="textWrapping"/>
            </w:r>
            <w:r>
              <w:rPr>
                <w:rFonts w:hint="eastAsia" w:ascii="宋体" w:hAnsi="宋体" w:cs="宋体"/>
                <w:color w:val="auto"/>
                <w:szCs w:val="21"/>
                <w:highlight w:val="none"/>
              </w:rPr>
              <w:t>5、≥125W整机最大供电功率。</w:t>
            </w:r>
            <w:r>
              <w:rPr>
                <w:rFonts w:hint="eastAsia" w:ascii="宋体" w:hAnsi="宋体" w:cs="宋体"/>
                <w:color w:val="auto"/>
                <w:szCs w:val="21"/>
                <w:highlight w:val="none"/>
              </w:rPr>
              <w:br w:type="textWrapping"/>
            </w:r>
            <w:r>
              <w:rPr>
                <w:rFonts w:hint="eastAsia" w:ascii="宋体" w:hAnsi="宋体" w:cs="宋体"/>
                <w:color w:val="auto"/>
                <w:szCs w:val="21"/>
                <w:highlight w:val="none"/>
              </w:rPr>
              <w:t>6、支持PoE输出功率管理。</w:t>
            </w:r>
            <w:r>
              <w:rPr>
                <w:rFonts w:hint="eastAsia" w:ascii="宋体" w:hAnsi="宋体" w:cs="宋体"/>
                <w:color w:val="auto"/>
                <w:szCs w:val="21"/>
                <w:highlight w:val="none"/>
              </w:rPr>
              <w:br w:type="textWrapping"/>
            </w:r>
            <w:r>
              <w:rPr>
                <w:rFonts w:hint="eastAsia" w:ascii="宋体" w:hAnsi="宋体" w:cs="宋体"/>
                <w:color w:val="auto"/>
                <w:szCs w:val="21"/>
                <w:highlight w:val="none"/>
              </w:rPr>
              <w:t>7、支持6 KV防浪涌（PoE口）。</w:t>
            </w:r>
            <w:r>
              <w:rPr>
                <w:rFonts w:hint="eastAsia" w:ascii="宋体" w:hAnsi="宋体" w:cs="宋体"/>
                <w:color w:val="auto"/>
                <w:szCs w:val="21"/>
                <w:highlight w:val="none"/>
              </w:rPr>
              <w:br w:type="textWrapping"/>
            </w:r>
            <w:r>
              <w:rPr>
                <w:rFonts w:hint="eastAsia" w:ascii="宋体" w:hAnsi="宋体" w:cs="宋体"/>
                <w:color w:val="auto"/>
                <w:szCs w:val="21"/>
                <w:highlight w:val="none"/>
              </w:rPr>
              <w:t>8、机架式安装方式。</w:t>
            </w:r>
            <w:r>
              <w:rPr>
                <w:rFonts w:hint="eastAsia" w:ascii="宋体" w:hAnsi="宋体" w:cs="宋体"/>
                <w:color w:val="auto"/>
                <w:szCs w:val="21"/>
                <w:highlight w:val="none"/>
              </w:rPr>
              <w:br w:type="textWrapping"/>
            </w:r>
            <w:r>
              <w:rPr>
                <w:rFonts w:hint="eastAsia" w:ascii="宋体" w:hAnsi="宋体" w:cs="宋体"/>
                <w:color w:val="auto"/>
                <w:szCs w:val="21"/>
                <w:highlight w:val="none"/>
              </w:rPr>
              <w:t>9、金属外壳。</w:t>
            </w:r>
          </w:p>
        </w:tc>
        <w:tc>
          <w:tcPr>
            <w:tcW w:w="1400" w:type="dxa"/>
            <w:vAlign w:val="center"/>
          </w:tcPr>
          <w:p w14:paraId="7830E75B">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 xml:space="preserve">1400.00 </w:t>
            </w:r>
          </w:p>
        </w:tc>
      </w:tr>
      <w:tr w14:paraId="3D7C3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29" w:type="dxa"/>
            <w:noWrap/>
            <w:vAlign w:val="center"/>
          </w:tcPr>
          <w:p w14:paraId="6268B6EF">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19</w:t>
            </w:r>
          </w:p>
        </w:tc>
        <w:tc>
          <w:tcPr>
            <w:tcW w:w="1683" w:type="dxa"/>
            <w:noWrap/>
            <w:vAlign w:val="center"/>
          </w:tcPr>
          <w:p w14:paraId="1340AFA6">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千兆单模光模块</w:t>
            </w:r>
          </w:p>
        </w:tc>
        <w:tc>
          <w:tcPr>
            <w:tcW w:w="850" w:type="dxa"/>
            <w:noWrap/>
            <w:vAlign w:val="center"/>
          </w:tcPr>
          <w:p w14:paraId="2573FEE4">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20</w:t>
            </w:r>
          </w:p>
        </w:tc>
        <w:tc>
          <w:tcPr>
            <w:tcW w:w="709" w:type="dxa"/>
            <w:noWrap/>
            <w:vAlign w:val="center"/>
          </w:tcPr>
          <w:p w14:paraId="1214BAAE">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对</w:t>
            </w:r>
          </w:p>
        </w:tc>
        <w:tc>
          <w:tcPr>
            <w:tcW w:w="4684" w:type="dxa"/>
          </w:tcPr>
          <w:p w14:paraId="628D2C11">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1、传输速率为：≥1.25Gbps。</w:t>
            </w:r>
            <w:r>
              <w:rPr>
                <w:rFonts w:hint="eastAsia" w:ascii="宋体" w:hAnsi="宋体" w:cs="宋体"/>
                <w:color w:val="auto"/>
                <w:szCs w:val="21"/>
                <w:highlight w:val="none"/>
              </w:rPr>
              <w:br w:type="textWrapping"/>
            </w:r>
            <w:r>
              <w:rPr>
                <w:rFonts w:hint="eastAsia" w:ascii="宋体" w:hAnsi="宋体" w:cs="宋体"/>
                <w:color w:val="auto"/>
                <w:szCs w:val="21"/>
                <w:highlight w:val="none"/>
              </w:rPr>
              <w:t>2、光纤接口为标准LC。</w:t>
            </w:r>
            <w:r>
              <w:rPr>
                <w:rFonts w:hint="eastAsia" w:ascii="宋体" w:hAnsi="宋体" w:cs="宋体"/>
                <w:color w:val="auto"/>
                <w:szCs w:val="21"/>
                <w:highlight w:val="none"/>
              </w:rPr>
              <w:br w:type="textWrapping"/>
            </w:r>
            <w:r>
              <w:rPr>
                <w:rFonts w:hint="eastAsia" w:ascii="宋体" w:hAnsi="宋体" w:cs="宋体"/>
                <w:color w:val="auto"/>
                <w:szCs w:val="21"/>
                <w:highlight w:val="none"/>
              </w:rPr>
              <w:t>3、单模光纤，传输距离可达：≥20公里。</w:t>
            </w:r>
            <w:r>
              <w:rPr>
                <w:rFonts w:hint="eastAsia" w:ascii="宋体" w:hAnsi="宋体" w:cs="宋体"/>
                <w:color w:val="auto"/>
                <w:szCs w:val="21"/>
                <w:highlight w:val="none"/>
              </w:rPr>
              <w:br w:type="textWrapping"/>
            </w:r>
            <w:r>
              <w:rPr>
                <w:rFonts w:hint="eastAsia" w:ascii="宋体" w:hAnsi="宋体" w:cs="宋体"/>
                <w:color w:val="auto"/>
                <w:szCs w:val="21"/>
                <w:highlight w:val="none"/>
              </w:rPr>
              <w:t>4、发射光功率:≥-9～-1dBm。</w:t>
            </w:r>
            <w:r>
              <w:rPr>
                <w:rFonts w:hint="eastAsia" w:ascii="宋体" w:hAnsi="宋体" w:cs="宋体"/>
                <w:color w:val="auto"/>
                <w:szCs w:val="21"/>
                <w:highlight w:val="none"/>
              </w:rPr>
              <w:br w:type="textWrapping"/>
            </w:r>
            <w:r>
              <w:rPr>
                <w:rFonts w:hint="eastAsia" w:ascii="宋体" w:hAnsi="宋体" w:cs="宋体"/>
                <w:color w:val="auto"/>
                <w:szCs w:val="21"/>
                <w:highlight w:val="none"/>
              </w:rPr>
              <w:t>5、接收灵敏度:≥-21dBm。</w:t>
            </w:r>
            <w:r>
              <w:rPr>
                <w:rFonts w:hint="eastAsia" w:ascii="宋体" w:hAnsi="宋体" w:cs="宋体"/>
                <w:color w:val="auto"/>
                <w:szCs w:val="21"/>
                <w:highlight w:val="none"/>
              </w:rPr>
              <w:br w:type="textWrapping"/>
            </w:r>
            <w:r>
              <w:rPr>
                <w:rFonts w:hint="eastAsia" w:ascii="宋体" w:hAnsi="宋体" w:cs="宋体"/>
                <w:color w:val="auto"/>
                <w:szCs w:val="21"/>
                <w:highlight w:val="none"/>
              </w:rPr>
              <w:t>6、工业级设计,即插即用。</w:t>
            </w:r>
            <w:r>
              <w:rPr>
                <w:rFonts w:hint="eastAsia" w:ascii="宋体" w:hAnsi="宋体" w:cs="宋体"/>
                <w:color w:val="auto"/>
                <w:szCs w:val="21"/>
                <w:highlight w:val="none"/>
              </w:rPr>
              <w:br w:type="textWrapping"/>
            </w:r>
            <w:r>
              <w:rPr>
                <w:rFonts w:hint="eastAsia" w:ascii="宋体" w:hAnsi="宋体" w:cs="宋体"/>
                <w:color w:val="auto"/>
                <w:szCs w:val="21"/>
                <w:highlight w:val="none"/>
              </w:rPr>
              <w:t>7、工作环境温度为≥-40～85℃。</w:t>
            </w:r>
            <w:r>
              <w:rPr>
                <w:rFonts w:hint="eastAsia" w:ascii="宋体" w:hAnsi="宋体" w:cs="宋体"/>
                <w:color w:val="auto"/>
                <w:szCs w:val="21"/>
                <w:highlight w:val="none"/>
              </w:rPr>
              <w:br w:type="textWrapping"/>
            </w:r>
            <w:r>
              <w:rPr>
                <w:rFonts w:hint="eastAsia" w:ascii="宋体" w:hAnsi="宋体" w:cs="宋体"/>
                <w:color w:val="auto"/>
                <w:szCs w:val="21"/>
                <w:highlight w:val="none"/>
              </w:rPr>
              <w:t>8、单模单纤光模块。</w:t>
            </w:r>
          </w:p>
        </w:tc>
        <w:tc>
          <w:tcPr>
            <w:tcW w:w="1400" w:type="dxa"/>
            <w:vAlign w:val="center"/>
          </w:tcPr>
          <w:p w14:paraId="413DB01D">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 xml:space="preserve">600.00 </w:t>
            </w:r>
          </w:p>
        </w:tc>
      </w:tr>
      <w:tr w14:paraId="1D7CC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29" w:type="dxa"/>
            <w:noWrap/>
            <w:vAlign w:val="center"/>
          </w:tcPr>
          <w:p w14:paraId="65E23FB7">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20</w:t>
            </w:r>
          </w:p>
        </w:tc>
        <w:tc>
          <w:tcPr>
            <w:tcW w:w="1683" w:type="dxa"/>
            <w:noWrap/>
            <w:vAlign w:val="center"/>
          </w:tcPr>
          <w:p w14:paraId="5AE855A1">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千兆光纤收发器</w:t>
            </w:r>
          </w:p>
        </w:tc>
        <w:tc>
          <w:tcPr>
            <w:tcW w:w="850" w:type="dxa"/>
            <w:noWrap/>
            <w:vAlign w:val="center"/>
          </w:tcPr>
          <w:p w14:paraId="1ACBFA67">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10</w:t>
            </w:r>
          </w:p>
        </w:tc>
        <w:tc>
          <w:tcPr>
            <w:tcW w:w="709" w:type="dxa"/>
            <w:noWrap/>
            <w:vAlign w:val="center"/>
          </w:tcPr>
          <w:p w14:paraId="5D1959C4">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台</w:t>
            </w:r>
          </w:p>
        </w:tc>
        <w:tc>
          <w:tcPr>
            <w:tcW w:w="4684" w:type="dxa"/>
          </w:tcPr>
          <w:p w14:paraId="041EEC3B">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1、≥1千兆电口、≥1千兆光口。</w:t>
            </w:r>
            <w:r>
              <w:rPr>
                <w:rFonts w:hint="eastAsia" w:ascii="宋体" w:hAnsi="宋体" w:cs="宋体"/>
                <w:color w:val="auto"/>
                <w:szCs w:val="21"/>
                <w:highlight w:val="none"/>
              </w:rPr>
              <w:br w:type="textWrapping"/>
            </w:r>
            <w:r>
              <w:rPr>
                <w:rFonts w:hint="eastAsia" w:ascii="宋体" w:hAnsi="宋体" w:cs="宋体"/>
                <w:color w:val="auto"/>
                <w:szCs w:val="21"/>
                <w:highlight w:val="none"/>
              </w:rPr>
              <w:t>2、传输距离：≥3 km。</w:t>
            </w:r>
            <w:r>
              <w:rPr>
                <w:rFonts w:hint="eastAsia" w:ascii="宋体" w:hAnsi="宋体" w:cs="宋体"/>
                <w:color w:val="auto"/>
                <w:szCs w:val="21"/>
                <w:highlight w:val="none"/>
              </w:rPr>
              <w:br w:type="textWrapping"/>
            </w:r>
            <w:r>
              <w:rPr>
                <w:rFonts w:hint="eastAsia" w:ascii="宋体" w:hAnsi="宋体" w:cs="宋体"/>
                <w:color w:val="auto"/>
                <w:szCs w:val="21"/>
                <w:highlight w:val="none"/>
              </w:rPr>
              <w:t>3、发射功率：≥–9 dBm~–1 dBm。</w:t>
            </w:r>
            <w:r>
              <w:rPr>
                <w:rFonts w:hint="eastAsia" w:ascii="宋体" w:hAnsi="宋体" w:cs="宋体"/>
                <w:color w:val="auto"/>
                <w:szCs w:val="21"/>
                <w:highlight w:val="none"/>
              </w:rPr>
              <w:br w:type="textWrapping"/>
            </w:r>
            <w:r>
              <w:rPr>
                <w:rFonts w:hint="eastAsia" w:ascii="宋体" w:hAnsi="宋体" w:cs="宋体"/>
                <w:color w:val="auto"/>
                <w:szCs w:val="21"/>
                <w:highlight w:val="none"/>
              </w:rPr>
              <w:t>4、接收灵敏度：≤ –21 dBm。</w:t>
            </w:r>
            <w:r>
              <w:rPr>
                <w:rFonts w:hint="eastAsia" w:ascii="宋体" w:hAnsi="宋体" w:cs="宋体"/>
                <w:color w:val="auto"/>
                <w:szCs w:val="21"/>
                <w:highlight w:val="none"/>
              </w:rPr>
              <w:br w:type="textWrapping"/>
            </w:r>
            <w:r>
              <w:rPr>
                <w:rFonts w:hint="eastAsia" w:ascii="宋体" w:hAnsi="宋体" w:cs="宋体"/>
                <w:color w:val="auto"/>
                <w:szCs w:val="21"/>
                <w:highlight w:val="none"/>
              </w:rPr>
              <w:t>5、工作温度：≥–30 °C - 70 °C。</w:t>
            </w:r>
            <w:r>
              <w:rPr>
                <w:rFonts w:hint="eastAsia" w:ascii="宋体" w:hAnsi="宋体" w:cs="宋体"/>
                <w:color w:val="auto"/>
                <w:szCs w:val="21"/>
                <w:highlight w:val="none"/>
              </w:rPr>
              <w:br w:type="textWrapping"/>
            </w:r>
            <w:r>
              <w:rPr>
                <w:rFonts w:hint="eastAsia" w:ascii="宋体" w:hAnsi="宋体" w:cs="宋体"/>
                <w:color w:val="auto"/>
                <w:szCs w:val="21"/>
                <w:highlight w:val="none"/>
              </w:rPr>
              <w:t>6、桌面式或机框安装。</w:t>
            </w:r>
          </w:p>
        </w:tc>
        <w:tc>
          <w:tcPr>
            <w:tcW w:w="1400" w:type="dxa"/>
            <w:vAlign w:val="center"/>
          </w:tcPr>
          <w:p w14:paraId="64745E67">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 xml:space="preserve">580.00 </w:t>
            </w:r>
          </w:p>
        </w:tc>
      </w:tr>
      <w:tr w14:paraId="52C15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629" w:type="dxa"/>
            <w:noWrap/>
            <w:vAlign w:val="center"/>
          </w:tcPr>
          <w:p w14:paraId="06D5375C">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21</w:t>
            </w:r>
          </w:p>
        </w:tc>
        <w:tc>
          <w:tcPr>
            <w:tcW w:w="1683" w:type="dxa"/>
            <w:noWrap/>
            <w:vAlign w:val="center"/>
          </w:tcPr>
          <w:p w14:paraId="0D4C29F4">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物联终端接入防护系统</w:t>
            </w:r>
          </w:p>
        </w:tc>
        <w:tc>
          <w:tcPr>
            <w:tcW w:w="850" w:type="dxa"/>
            <w:noWrap/>
            <w:vAlign w:val="center"/>
          </w:tcPr>
          <w:p w14:paraId="1D7AF325">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1</w:t>
            </w:r>
          </w:p>
        </w:tc>
        <w:tc>
          <w:tcPr>
            <w:tcW w:w="709" w:type="dxa"/>
            <w:noWrap/>
            <w:vAlign w:val="center"/>
          </w:tcPr>
          <w:p w14:paraId="7617F82A">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台</w:t>
            </w:r>
          </w:p>
        </w:tc>
        <w:tc>
          <w:tcPr>
            <w:tcW w:w="4684" w:type="dxa"/>
          </w:tcPr>
          <w:p w14:paraId="242367DE">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1、网络层吞吐量≥1Gbps；IPS吞吐量≥500Mbps；AV吞吐量≥300Mbps；IPSec吞吐量≥800Mbps；IPSec 隧道数≥500；并发连接数≥100万；每秒新建连接数≥1万。</w:t>
            </w:r>
            <w:r>
              <w:rPr>
                <w:rFonts w:hint="eastAsia" w:ascii="宋体" w:hAnsi="宋体" w:cs="宋体"/>
                <w:color w:val="auto"/>
                <w:szCs w:val="21"/>
                <w:highlight w:val="none"/>
              </w:rPr>
              <w:br w:type="textWrapping"/>
            </w:r>
            <w:r>
              <w:rPr>
                <w:rFonts w:hint="eastAsia" w:ascii="宋体" w:hAnsi="宋体" w:cs="宋体"/>
                <w:color w:val="auto"/>
                <w:szCs w:val="21"/>
                <w:highlight w:val="none"/>
              </w:rPr>
              <w:t>2、桌面型机箱，配置≥10个千兆电口，≥2个千兆光口；≥1个CON口；≥1个USB 2.0口；交流单电源。</w:t>
            </w:r>
            <w:r>
              <w:rPr>
                <w:rFonts w:hint="eastAsia" w:ascii="宋体" w:hAnsi="宋体" w:cs="宋体"/>
                <w:color w:val="auto"/>
                <w:szCs w:val="21"/>
                <w:highlight w:val="none"/>
              </w:rPr>
              <w:br w:type="textWrapping"/>
            </w:r>
            <w:r>
              <w:rPr>
                <w:rFonts w:hint="eastAsia" w:ascii="宋体" w:hAnsi="宋体" w:cs="宋体"/>
                <w:color w:val="auto"/>
                <w:szCs w:val="21"/>
                <w:highlight w:val="none"/>
              </w:rPr>
              <w:t>3、支持GB/T 28181协议准入、GB35114协议准入、支持RTSP协议准入、支持SIP协议准入、支持ONVIF协议准入、支持HIKSDK协议准入、支持DAHUASDK协议准入、支持SSH协议准入、支持GA/T1400协议准入控制、支持Ehome协议准入控制、支持ISUP协议准入控制（</w:t>
            </w:r>
            <w:r>
              <w:rPr>
                <w:rFonts w:hint="eastAsia" w:ascii="宋体" w:hAnsi="宋体" w:cs="宋体"/>
                <w:b/>
                <w:bCs/>
                <w:color w:val="auto"/>
                <w:szCs w:val="21"/>
                <w:highlight w:val="none"/>
              </w:rPr>
              <w:t>要求供应商于响应文件中必须提供所竞产品由国家认可的第三方检测机构出具含有并符合本项技术要求的合格有效的检验（检测）报告扫描件，并加盖供应商电子签章，否则响应文件按无效处理</w:t>
            </w:r>
            <w:r>
              <w:rPr>
                <w:rFonts w:hint="eastAsia" w:ascii="宋体" w:hAnsi="宋体" w:cs="宋体"/>
                <w:color w:val="auto"/>
                <w:szCs w:val="21"/>
                <w:highlight w:val="none"/>
              </w:rPr>
              <w:t>）。</w:t>
            </w:r>
            <w:r>
              <w:rPr>
                <w:rFonts w:hint="eastAsia" w:ascii="宋体" w:hAnsi="宋体" w:cs="宋体"/>
                <w:color w:val="auto"/>
                <w:szCs w:val="21"/>
                <w:highlight w:val="none"/>
              </w:rPr>
              <w:br w:type="textWrapping"/>
            </w:r>
            <w:r>
              <w:rPr>
                <w:rFonts w:hint="eastAsia" w:ascii="宋体" w:hAnsi="宋体" w:cs="宋体"/>
                <w:color w:val="auto"/>
                <w:szCs w:val="21"/>
                <w:highlight w:val="none"/>
              </w:rPr>
              <w:t>4、支持NAT扩展和端口复用，可实现NAT地址的单个端口上建立多条会话（</w:t>
            </w:r>
            <w:r>
              <w:rPr>
                <w:rFonts w:hint="eastAsia" w:ascii="宋体" w:hAnsi="宋体" w:cs="宋体"/>
                <w:b/>
                <w:bCs/>
                <w:color w:val="auto"/>
                <w:szCs w:val="21"/>
                <w:highlight w:val="none"/>
              </w:rPr>
              <w:t>要求供应商于响应文件中必须提供所竞产品由国家认可的第三方检测机构出具含有并符合本项技术要求的合格有效的检验（检测）报告扫描件，并加盖供应商电子签章，否则响应文件按无效处理</w:t>
            </w:r>
            <w:r>
              <w:rPr>
                <w:rFonts w:hint="eastAsia" w:ascii="宋体" w:hAnsi="宋体" w:cs="宋体"/>
                <w:color w:val="auto"/>
                <w:szCs w:val="21"/>
                <w:highlight w:val="none"/>
              </w:rPr>
              <w:t>）。</w:t>
            </w:r>
            <w:r>
              <w:rPr>
                <w:rFonts w:hint="eastAsia" w:ascii="宋体" w:hAnsi="宋体" w:cs="宋体"/>
                <w:color w:val="auto"/>
                <w:szCs w:val="21"/>
                <w:highlight w:val="none"/>
              </w:rPr>
              <w:br w:type="textWrapping"/>
            </w:r>
            <w:r>
              <w:rPr>
                <w:rFonts w:hint="eastAsia" w:ascii="宋体" w:hAnsi="宋体" w:cs="宋体"/>
                <w:color w:val="auto"/>
                <w:szCs w:val="21"/>
                <w:highlight w:val="none"/>
              </w:rPr>
              <w:t>5、支持外链检查防护，支持自定义外链特例防护动作，类型支持HTTP、HTTPS、FTP，支持记录日志或重置操作（</w:t>
            </w:r>
            <w:r>
              <w:rPr>
                <w:rFonts w:hint="eastAsia" w:ascii="宋体" w:hAnsi="宋体" w:cs="宋体"/>
                <w:b/>
                <w:bCs/>
                <w:color w:val="auto"/>
                <w:szCs w:val="21"/>
                <w:highlight w:val="none"/>
              </w:rPr>
              <w:t>要求供应商于响应文件中必须提供所竞产品由国家认可的第三方检测机构出具含有并符合本项技术要求的合格有效的检验（检测）报告扫描件，并加盖供应商电子签章，否则响应文件按无效处理</w:t>
            </w:r>
            <w:r>
              <w:rPr>
                <w:rFonts w:hint="eastAsia" w:ascii="宋体" w:hAnsi="宋体" w:cs="宋体"/>
                <w:color w:val="auto"/>
                <w:szCs w:val="21"/>
                <w:highlight w:val="none"/>
              </w:rPr>
              <w:t>）。</w:t>
            </w:r>
            <w:r>
              <w:rPr>
                <w:rFonts w:hint="eastAsia" w:ascii="宋体" w:hAnsi="宋体" w:cs="宋体"/>
                <w:color w:val="auto"/>
                <w:szCs w:val="21"/>
                <w:highlight w:val="none"/>
              </w:rPr>
              <w:br w:type="textWrapping"/>
            </w:r>
            <w:r>
              <w:rPr>
                <w:rFonts w:hint="eastAsia" w:ascii="宋体" w:hAnsi="宋体" w:cs="宋体"/>
                <w:color w:val="auto"/>
                <w:szCs w:val="21"/>
                <w:highlight w:val="none"/>
              </w:rPr>
              <w:t>6、支持入站SmartDNS,能自动判断访问者的IP地址并解析出对应的IP地址,提升网站访问速度。</w:t>
            </w:r>
            <w:r>
              <w:rPr>
                <w:rFonts w:hint="eastAsia" w:ascii="宋体" w:hAnsi="宋体" w:cs="宋体"/>
                <w:color w:val="auto"/>
                <w:szCs w:val="21"/>
                <w:highlight w:val="none"/>
              </w:rPr>
              <w:br w:type="textWrapping"/>
            </w:r>
            <w:r>
              <w:rPr>
                <w:rFonts w:hint="eastAsia" w:ascii="宋体" w:hAnsi="宋体" w:cs="宋体"/>
                <w:color w:val="auto"/>
                <w:szCs w:val="21"/>
                <w:highlight w:val="none"/>
              </w:rPr>
              <w:t>7、支持NetFlow技术，支持配置主动超时时间、源接口、模板刷新时间、数据包数量、企业字段等信息，实现对高速转发的IP数据流进行测试和统计。</w:t>
            </w:r>
            <w:r>
              <w:rPr>
                <w:rFonts w:hint="eastAsia" w:ascii="宋体" w:hAnsi="宋体" w:cs="宋体"/>
                <w:color w:val="auto"/>
                <w:szCs w:val="21"/>
                <w:highlight w:val="none"/>
              </w:rPr>
              <w:br w:type="textWrapping"/>
            </w:r>
            <w:r>
              <w:rPr>
                <w:rFonts w:hint="eastAsia" w:ascii="宋体" w:hAnsi="宋体" w:cs="宋体"/>
                <w:color w:val="auto"/>
                <w:szCs w:val="21"/>
                <w:highlight w:val="none"/>
              </w:rPr>
              <w:t>8、支持流量自学习功能，可设置自学习时间，并自动生成DDoS防范策略。</w:t>
            </w:r>
            <w:r>
              <w:rPr>
                <w:rFonts w:hint="eastAsia" w:ascii="宋体" w:hAnsi="宋体" w:cs="宋体"/>
                <w:color w:val="auto"/>
                <w:szCs w:val="21"/>
                <w:highlight w:val="none"/>
              </w:rPr>
              <w:br w:type="textWrapping"/>
            </w:r>
            <w:r>
              <w:rPr>
                <w:rFonts w:hint="eastAsia" w:ascii="宋体" w:hAnsi="宋体" w:cs="宋体"/>
                <w:color w:val="auto"/>
                <w:szCs w:val="21"/>
                <w:highlight w:val="none"/>
              </w:rPr>
              <w:t>9、支持HTTPS加密流量的安全检测，支持TCP代理和SSL代理，且代理策略中可同时配置多类过滤条件，具体包括：源安全域、目的安全域、源地址、目的地址、用户和服务。一类过滤条件可以配置多个匹配项。</w:t>
            </w:r>
            <w:r>
              <w:rPr>
                <w:rFonts w:hint="eastAsia" w:ascii="宋体" w:hAnsi="宋体" w:cs="宋体"/>
                <w:color w:val="auto"/>
                <w:szCs w:val="21"/>
                <w:highlight w:val="none"/>
              </w:rPr>
              <w:br w:type="textWrapping"/>
            </w:r>
            <w:r>
              <w:rPr>
                <w:rFonts w:hint="eastAsia" w:ascii="宋体" w:hAnsi="宋体" w:cs="宋体"/>
                <w:color w:val="auto"/>
                <w:szCs w:val="21"/>
                <w:highlight w:val="none"/>
              </w:rPr>
              <w:t>10、支持抓取原始数据包，查看网络威胁详情及分析取证。</w:t>
            </w:r>
            <w:r>
              <w:rPr>
                <w:rFonts w:hint="eastAsia" w:ascii="宋体" w:hAnsi="宋体" w:cs="宋体"/>
                <w:color w:val="auto"/>
                <w:szCs w:val="21"/>
                <w:highlight w:val="none"/>
              </w:rPr>
              <w:br w:type="textWrapping"/>
            </w:r>
            <w:r>
              <w:rPr>
                <w:rFonts w:hint="eastAsia" w:ascii="宋体" w:hAnsi="宋体" w:cs="宋体"/>
                <w:color w:val="auto"/>
                <w:szCs w:val="21"/>
                <w:highlight w:val="none"/>
              </w:rPr>
              <w:t>11、可基于每个SSL VPN用户的会话连接数、连接时间和流量阀值进行细颗粒度的管控。</w:t>
            </w:r>
            <w:r>
              <w:rPr>
                <w:rFonts w:hint="eastAsia" w:ascii="宋体" w:hAnsi="宋体" w:cs="宋体"/>
                <w:color w:val="auto"/>
                <w:szCs w:val="21"/>
                <w:highlight w:val="none"/>
              </w:rPr>
              <w:br w:type="textWrapping"/>
            </w:r>
            <w:r>
              <w:rPr>
                <w:rFonts w:hint="eastAsia" w:ascii="宋体" w:hAnsi="宋体" w:cs="宋体"/>
                <w:color w:val="auto"/>
                <w:szCs w:val="21"/>
                <w:highlight w:val="none"/>
              </w:rPr>
              <w:t>12、支持IPsec VPN智能选路，根据应用和隧道质量调度流量。</w:t>
            </w:r>
            <w:r>
              <w:rPr>
                <w:rFonts w:hint="eastAsia" w:ascii="宋体" w:hAnsi="宋体" w:cs="宋体"/>
                <w:color w:val="auto"/>
                <w:szCs w:val="21"/>
                <w:highlight w:val="none"/>
              </w:rPr>
              <w:br w:type="textWrapping"/>
            </w:r>
            <w:r>
              <w:rPr>
                <w:rFonts w:hint="eastAsia" w:ascii="宋体" w:hAnsi="宋体" w:cs="宋体"/>
                <w:color w:val="auto"/>
                <w:szCs w:val="21"/>
                <w:highlight w:val="none"/>
              </w:rPr>
              <w:t>13、支持防止共享上网功能，可识别共享上网终端的数量。</w:t>
            </w:r>
            <w:r>
              <w:rPr>
                <w:rFonts w:hint="eastAsia" w:ascii="宋体" w:hAnsi="宋体" w:cs="宋体"/>
                <w:color w:val="auto"/>
                <w:szCs w:val="21"/>
                <w:highlight w:val="none"/>
              </w:rPr>
              <w:br w:type="textWrapping"/>
            </w:r>
            <w:r>
              <w:rPr>
                <w:rFonts w:hint="eastAsia" w:ascii="宋体" w:hAnsi="宋体" w:cs="宋体"/>
                <w:color w:val="auto"/>
                <w:szCs w:val="21"/>
                <w:highlight w:val="none"/>
              </w:rPr>
              <w:t>14、支持网页诊断功能，用于当内网用户访问网页出现故障时，对网络进行基本的诊断，并给出故障原因。</w:t>
            </w:r>
            <w:r>
              <w:rPr>
                <w:rFonts w:hint="eastAsia" w:ascii="宋体" w:hAnsi="宋体" w:cs="宋体"/>
                <w:color w:val="auto"/>
                <w:szCs w:val="21"/>
                <w:highlight w:val="none"/>
              </w:rPr>
              <w:br w:type="textWrapping"/>
            </w:r>
            <w:r>
              <w:rPr>
                <w:rFonts w:hint="eastAsia" w:ascii="宋体" w:hAnsi="宋体" w:cs="宋体"/>
                <w:color w:val="auto"/>
                <w:szCs w:val="21"/>
                <w:highlight w:val="none"/>
              </w:rPr>
              <w:t>15、支持负载均衡功能，能根据安全策略将网络流量均衡到多台服务器上，并提供加权轮询、加权最小连接数、加权散列等多种负载均衡方式。</w:t>
            </w:r>
            <w:r>
              <w:rPr>
                <w:rFonts w:hint="eastAsia" w:ascii="宋体" w:hAnsi="宋体" w:cs="宋体"/>
                <w:color w:val="auto"/>
                <w:szCs w:val="21"/>
                <w:highlight w:val="none"/>
              </w:rPr>
              <w:br w:type="textWrapping"/>
            </w:r>
            <w:r>
              <w:rPr>
                <w:rFonts w:hint="eastAsia" w:ascii="宋体" w:hAnsi="宋体" w:cs="宋体"/>
                <w:color w:val="auto"/>
                <w:szCs w:val="21"/>
                <w:highlight w:val="none"/>
              </w:rPr>
              <w:t>16、支持路由转发模式，其安全策略生效；支持透明传输模式，其安全策略生效；支持旁路模式、混合模式部署。</w:t>
            </w:r>
            <w:r>
              <w:rPr>
                <w:rFonts w:hint="eastAsia" w:ascii="宋体" w:hAnsi="宋体" w:cs="宋体"/>
                <w:color w:val="auto"/>
                <w:szCs w:val="21"/>
                <w:highlight w:val="none"/>
              </w:rPr>
              <w:br w:type="textWrapping"/>
            </w:r>
            <w:r>
              <w:rPr>
                <w:rFonts w:hint="eastAsia" w:ascii="宋体" w:hAnsi="宋体" w:cs="宋体"/>
                <w:color w:val="auto"/>
                <w:szCs w:val="21"/>
                <w:highlight w:val="none"/>
              </w:rPr>
              <w:t>17、支持基于源、目的IP策略路由；支持基于接口的策略路由；支持基于协议和端口的策略路由；支持基于应用类型的策略路由；并支持设置全局匹配顺序。</w:t>
            </w:r>
            <w:r>
              <w:rPr>
                <w:rFonts w:hint="eastAsia" w:ascii="宋体" w:hAnsi="宋体" w:cs="宋体"/>
                <w:color w:val="auto"/>
                <w:szCs w:val="21"/>
                <w:highlight w:val="none"/>
              </w:rPr>
              <w:br w:type="textWrapping"/>
            </w:r>
            <w:r>
              <w:rPr>
                <w:rFonts w:hint="eastAsia" w:ascii="宋体" w:hAnsi="宋体" w:cs="宋体"/>
                <w:color w:val="auto"/>
                <w:szCs w:val="21"/>
                <w:highlight w:val="none"/>
              </w:rPr>
              <w:t>18、支持“多对一”的SNAT；支持“一对多”的DNAT；支持“多对多”的动态SNAT。</w:t>
            </w:r>
          </w:p>
        </w:tc>
        <w:tc>
          <w:tcPr>
            <w:tcW w:w="1400" w:type="dxa"/>
            <w:vAlign w:val="center"/>
          </w:tcPr>
          <w:p w14:paraId="4A336951">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 xml:space="preserve">7910.00 </w:t>
            </w:r>
          </w:p>
        </w:tc>
      </w:tr>
      <w:tr w14:paraId="182C6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629" w:type="dxa"/>
            <w:noWrap/>
            <w:vAlign w:val="center"/>
          </w:tcPr>
          <w:p w14:paraId="15564A12">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22</w:t>
            </w:r>
          </w:p>
        </w:tc>
        <w:tc>
          <w:tcPr>
            <w:tcW w:w="1683" w:type="dxa"/>
            <w:noWrap/>
            <w:vAlign w:val="center"/>
          </w:tcPr>
          <w:p w14:paraId="1F661545">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室外超五类网线</w:t>
            </w:r>
          </w:p>
        </w:tc>
        <w:tc>
          <w:tcPr>
            <w:tcW w:w="850" w:type="dxa"/>
            <w:noWrap/>
            <w:vAlign w:val="center"/>
          </w:tcPr>
          <w:p w14:paraId="3FD26018">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25</w:t>
            </w:r>
          </w:p>
        </w:tc>
        <w:tc>
          <w:tcPr>
            <w:tcW w:w="709" w:type="dxa"/>
            <w:noWrap/>
            <w:vAlign w:val="center"/>
          </w:tcPr>
          <w:p w14:paraId="2607FE87">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箱</w:t>
            </w:r>
          </w:p>
        </w:tc>
        <w:tc>
          <w:tcPr>
            <w:tcW w:w="4684" w:type="dxa"/>
          </w:tcPr>
          <w:p w14:paraId="3CAC67F1">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执行标准：YD/T1019、ISO/IEC11801</w:t>
            </w:r>
            <w:r>
              <w:rPr>
                <w:rFonts w:hint="eastAsia" w:ascii="宋体" w:hAnsi="宋体" w:cs="宋体"/>
                <w:color w:val="auto"/>
                <w:szCs w:val="21"/>
                <w:highlight w:val="none"/>
              </w:rPr>
              <w:br w:type="textWrapping"/>
            </w:r>
            <w:r>
              <w:rPr>
                <w:rFonts w:hint="eastAsia" w:ascii="宋体" w:hAnsi="宋体" w:cs="宋体"/>
                <w:color w:val="auto"/>
                <w:szCs w:val="21"/>
                <w:highlight w:val="none"/>
              </w:rPr>
              <w:t>带宽：满足100MHz测试符合最新超五类标准；                                                                                                                                                             双层护套，外护套采用PE材料</w:t>
            </w:r>
            <w:r>
              <w:rPr>
                <w:rFonts w:hint="eastAsia" w:ascii="宋体" w:hAnsi="宋体" w:cs="宋体"/>
                <w:color w:val="auto"/>
                <w:szCs w:val="21"/>
                <w:highlight w:val="none"/>
              </w:rPr>
              <w:br w:type="textWrapping"/>
            </w:r>
            <w:r>
              <w:rPr>
                <w:rFonts w:hint="eastAsia" w:ascii="宋体" w:hAnsi="宋体" w:cs="宋体"/>
                <w:color w:val="auto"/>
                <w:szCs w:val="21"/>
                <w:highlight w:val="none"/>
              </w:rPr>
              <w:t>铜导直径：0.48±0.005mm</w:t>
            </w:r>
            <w:r>
              <w:rPr>
                <w:rFonts w:hint="eastAsia" w:ascii="宋体" w:hAnsi="宋体" w:cs="宋体"/>
                <w:color w:val="auto"/>
                <w:szCs w:val="21"/>
                <w:highlight w:val="none"/>
              </w:rPr>
              <w:br w:type="textWrapping"/>
            </w:r>
            <w:r>
              <w:rPr>
                <w:rFonts w:hint="eastAsia" w:ascii="宋体" w:hAnsi="宋体" w:cs="宋体"/>
                <w:color w:val="auto"/>
                <w:szCs w:val="21"/>
                <w:highlight w:val="none"/>
              </w:rPr>
              <w:t>绝缘直径：0.91±0.03mm</w:t>
            </w:r>
            <w:r>
              <w:rPr>
                <w:rFonts w:hint="eastAsia" w:ascii="宋体" w:hAnsi="宋体" w:cs="宋体"/>
                <w:color w:val="auto"/>
                <w:szCs w:val="21"/>
                <w:highlight w:val="none"/>
              </w:rPr>
              <w:br w:type="textWrapping"/>
            </w:r>
            <w:r>
              <w:rPr>
                <w:rFonts w:hint="eastAsia" w:ascii="宋体" w:hAnsi="宋体" w:cs="宋体"/>
                <w:color w:val="auto"/>
                <w:szCs w:val="21"/>
                <w:highlight w:val="none"/>
              </w:rPr>
              <w:t>护套直径：5.3±0.2mm</w:t>
            </w:r>
            <w:r>
              <w:rPr>
                <w:rFonts w:hint="eastAsia" w:ascii="宋体" w:hAnsi="宋体" w:cs="宋体"/>
                <w:color w:val="auto"/>
                <w:szCs w:val="21"/>
                <w:highlight w:val="none"/>
              </w:rPr>
              <w:br w:type="textWrapping"/>
            </w:r>
            <w:r>
              <w:rPr>
                <w:rFonts w:hint="eastAsia" w:ascii="宋体" w:hAnsi="宋体" w:cs="宋体"/>
                <w:color w:val="auto"/>
                <w:szCs w:val="21"/>
                <w:highlight w:val="none"/>
              </w:rPr>
              <w:t>电缆包装：305米/箱</w:t>
            </w:r>
            <w:r>
              <w:rPr>
                <w:rFonts w:hint="eastAsia" w:ascii="宋体" w:hAnsi="宋体" w:cs="宋体"/>
                <w:color w:val="auto"/>
                <w:szCs w:val="21"/>
                <w:highlight w:val="none"/>
              </w:rPr>
              <w:br w:type="textWrapping"/>
            </w:r>
            <w:r>
              <w:rPr>
                <w:rFonts w:hint="eastAsia" w:ascii="宋体" w:hAnsi="宋体" w:cs="宋体"/>
                <w:color w:val="auto"/>
                <w:szCs w:val="21"/>
                <w:highlight w:val="none"/>
              </w:rPr>
              <w:t>最小弯曲半径（动态）：16.8mm</w:t>
            </w:r>
            <w:r>
              <w:rPr>
                <w:rFonts w:hint="eastAsia" w:ascii="宋体" w:hAnsi="宋体" w:cs="宋体"/>
                <w:color w:val="auto"/>
                <w:szCs w:val="21"/>
                <w:highlight w:val="none"/>
              </w:rPr>
              <w:br w:type="textWrapping"/>
            </w:r>
            <w:r>
              <w:rPr>
                <w:rFonts w:hint="eastAsia" w:ascii="宋体" w:hAnsi="宋体" w:cs="宋体"/>
                <w:color w:val="auto"/>
                <w:szCs w:val="21"/>
                <w:highlight w:val="none"/>
              </w:rPr>
              <w:t>最小弯曲半径（静态）：33.6mm</w:t>
            </w:r>
            <w:r>
              <w:rPr>
                <w:rFonts w:hint="eastAsia" w:ascii="宋体" w:hAnsi="宋体" w:cs="宋体"/>
                <w:color w:val="auto"/>
                <w:szCs w:val="21"/>
                <w:highlight w:val="none"/>
              </w:rPr>
              <w:br w:type="textWrapping"/>
            </w:r>
            <w:r>
              <w:rPr>
                <w:rFonts w:hint="eastAsia" w:ascii="宋体" w:hAnsi="宋体" w:cs="宋体"/>
                <w:color w:val="auto"/>
                <w:szCs w:val="21"/>
                <w:highlight w:val="none"/>
              </w:rPr>
              <w:t>最大安装拉力：25N/P</w:t>
            </w:r>
            <w:r>
              <w:rPr>
                <w:rFonts w:hint="eastAsia" w:ascii="宋体" w:hAnsi="宋体" w:cs="宋体"/>
                <w:color w:val="auto"/>
                <w:szCs w:val="21"/>
                <w:highlight w:val="none"/>
              </w:rPr>
              <w:br w:type="textWrapping"/>
            </w:r>
            <w:r>
              <w:rPr>
                <w:rFonts w:hint="eastAsia" w:ascii="宋体" w:hAnsi="宋体" w:cs="宋体"/>
                <w:color w:val="auto"/>
                <w:szCs w:val="21"/>
                <w:highlight w:val="none"/>
              </w:rPr>
              <w:t>工作温度：-20°C~+70°C</w:t>
            </w:r>
            <w:r>
              <w:rPr>
                <w:rFonts w:hint="eastAsia" w:ascii="宋体" w:hAnsi="宋体" w:cs="宋体"/>
                <w:color w:val="auto"/>
                <w:szCs w:val="21"/>
                <w:highlight w:val="none"/>
              </w:rPr>
              <w:br w:type="textWrapping"/>
            </w:r>
            <w:r>
              <w:rPr>
                <w:rFonts w:hint="eastAsia" w:ascii="宋体" w:hAnsi="宋体" w:cs="宋体"/>
                <w:color w:val="auto"/>
                <w:szCs w:val="21"/>
                <w:highlight w:val="none"/>
              </w:rPr>
              <w:t>安装温度：-0°C~+40°C</w:t>
            </w:r>
          </w:p>
        </w:tc>
        <w:tc>
          <w:tcPr>
            <w:tcW w:w="1400" w:type="dxa"/>
            <w:vAlign w:val="center"/>
          </w:tcPr>
          <w:p w14:paraId="3D483D9E">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850.00</w:t>
            </w:r>
          </w:p>
        </w:tc>
      </w:tr>
      <w:tr w14:paraId="275F9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629" w:type="dxa"/>
            <w:noWrap/>
            <w:vAlign w:val="center"/>
          </w:tcPr>
          <w:p w14:paraId="13207323">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23</w:t>
            </w:r>
          </w:p>
        </w:tc>
        <w:tc>
          <w:tcPr>
            <w:tcW w:w="1683" w:type="dxa"/>
            <w:noWrap/>
            <w:vAlign w:val="center"/>
          </w:tcPr>
          <w:p w14:paraId="49D8AF64">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电源线</w:t>
            </w:r>
          </w:p>
        </w:tc>
        <w:tc>
          <w:tcPr>
            <w:tcW w:w="850" w:type="dxa"/>
            <w:noWrap/>
            <w:vAlign w:val="center"/>
          </w:tcPr>
          <w:p w14:paraId="632CC379">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2000</w:t>
            </w:r>
          </w:p>
        </w:tc>
        <w:tc>
          <w:tcPr>
            <w:tcW w:w="709" w:type="dxa"/>
            <w:noWrap/>
            <w:vAlign w:val="center"/>
          </w:tcPr>
          <w:p w14:paraId="4B704DF7">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米</w:t>
            </w:r>
          </w:p>
        </w:tc>
        <w:tc>
          <w:tcPr>
            <w:tcW w:w="4684" w:type="dxa"/>
          </w:tcPr>
          <w:p w14:paraId="384537E8">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符合标准：GB/T5023.5-2008</w:t>
            </w:r>
            <w:r>
              <w:rPr>
                <w:rFonts w:hint="eastAsia" w:ascii="宋体" w:hAnsi="宋体" w:cs="宋体"/>
                <w:color w:val="auto"/>
                <w:szCs w:val="21"/>
                <w:highlight w:val="none"/>
              </w:rPr>
              <w:br w:type="textWrapping"/>
            </w:r>
            <w:r>
              <w:rPr>
                <w:rFonts w:hint="eastAsia" w:ascii="宋体" w:hAnsi="宋体" w:cs="宋体"/>
                <w:color w:val="auto"/>
                <w:szCs w:val="21"/>
                <w:highlight w:val="none"/>
              </w:rPr>
              <w:t>电压：300V/500V</w:t>
            </w:r>
            <w:r>
              <w:rPr>
                <w:rFonts w:hint="eastAsia" w:ascii="宋体" w:hAnsi="宋体" w:cs="宋体"/>
                <w:color w:val="auto"/>
                <w:szCs w:val="21"/>
                <w:highlight w:val="none"/>
              </w:rPr>
              <w:br w:type="textWrapping"/>
            </w:r>
            <w:r>
              <w:rPr>
                <w:rFonts w:hint="eastAsia" w:ascii="宋体" w:hAnsi="宋体" w:cs="宋体"/>
                <w:color w:val="auto"/>
                <w:szCs w:val="21"/>
                <w:highlight w:val="none"/>
              </w:rPr>
              <w:t>导体：多股铜导体</w:t>
            </w:r>
            <w:r>
              <w:rPr>
                <w:rFonts w:hint="eastAsia" w:ascii="宋体" w:hAnsi="宋体" w:cs="宋体"/>
                <w:color w:val="auto"/>
                <w:szCs w:val="21"/>
                <w:highlight w:val="none"/>
              </w:rPr>
              <w:br w:type="textWrapping"/>
            </w:r>
            <w:r>
              <w:rPr>
                <w:rFonts w:hint="eastAsia" w:ascii="宋体" w:hAnsi="宋体" w:cs="宋体"/>
                <w:color w:val="auto"/>
                <w:szCs w:val="21"/>
                <w:highlight w:val="none"/>
              </w:rPr>
              <w:t>绝缘：PVC</w:t>
            </w:r>
            <w:r>
              <w:rPr>
                <w:rFonts w:hint="eastAsia" w:ascii="宋体" w:hAnsi="宋体" w:cs="宋体"/>
                <w:color w:val="auto"/>
                <w:szCs w:val="21"/>
                <w:highlight w:val="none"/>
              </w:rPr>
              <w:br w:type="textWrapping"/>
            </w:r>
            <w:r>
              <w:rPr>
                <w:rFonts w:hint="eastAsia" w:ascii="宋体" w:hAnsi="宋体" w:cs="宋体"/>
                <w:color w:val="auto"/>
                <w:szCs w:val="21"/>
                <w:highlight w:val="none"/>
              </w:rPr>
              <w:t>护套：PE</w:t>
            </w:r>
            <w:r>
              <w:rPr>
                <w:rFonts w:hint="eastAsia" w:ascii="宋体" w:hAnsi="宋体" w:cs="宋体"/>
                <w:color w:val="auto"/>
                <w:szCs w:val="21"/>
                <w:highlight w:val="none"/>
              </w:rPr>
              <w:br w:type="textWrapping"/>
            </w:r>
            <w:r>
              <w:rPr>
                <w:rFonts w:hint="eastAsia" w:ascii="宋体" w:hAnsi="宋体" w:cs="宋体"/>
                <w:color w:val="auto"/>
                <w:szCs w:val="21"/>
                <w:highlight w:val="none"/>
              </w:rPr>
              <w:t>测试电压：2000V，5min</w:t>
            </w:r>
            <w:r>
              <w:rPr>
                <w:rFonts w:hint="eastAsia" w:ascii="宋体" w:hAnsi="宋体" w:cs="宋体"/>
                <w:color w:val="auto"/>
                <w:szCs w:val="21"/>
                <w:highlight w:val="none"/>
              </w:rPr>
              <w:br w:type="textWrapping"/>
            </w:r>
            <w:r>
              <w:rPr>
                <w:rFonts w:hint="eastAsia" w:ascii="宋体" w:hAnsi="宋体" w:cs="宋体"/>
                <w:color w:val="auto"/>
                <w:szCs w:val="21"/>
                <w:highlight w:val="none"/>
              </w:rPr>
              <w:t>绝缘电阻：&gt;200M欧姆×KM</w:t>
            </w:r>
            <w:r>
              <w:rPr>
                <w:rFonts w:hint="eastAsia" w:ascii="宋体" w:hAnsi="宋体" w:cs="宋体"/>
                <w:color w:val="auto"/>
                <w:szCs w:val="21"/>
                <w:highlight w:val="none"/>
              </w:rPr>
              <w:br w:type="textWrapping"/>
            </w:r>
            <w:r>
              <w:rPr>
                <w:rFonts w:hint="eastAsia" w:ascii="宋体" w:hAnsi="宋体" w:cs="宋体"/>
                <w:color w:val="auto"/>
                <w:szCs w:val="21"/>
                <w:highlight w:val="none"/>
              </w:rPr>
              <w:t>使用温度（固定安装）：-30~ +70℃</w:t>
            </w:r>
            <w:r>
              <w:rPr>
                <w:rFonts w:hint="eastAsia" w:ascii="宋体" w:hAnsi="宋体" w:cs="宋体"/>
                <w:color w:val="auto"/>
                <w:szCs w:val="21"/>
                <w:highlight w:val="none"/>
              </w:rPr>
              <w:br w:type="textWrapping"/>
            </w:r>
            <w:r>
              <w:rPr>
                <w:rFonts w:hint="eastAsia" w:ascii="宋体" w:hAnsi="宋体" w:cs="宋体"/>
                <w:color w:val="auto"/>
                <w:szCs w:val="21"/>
                <w:highlight w:val="none"/>
              </w:rPr>
              <w:t>弯曲半径：15×电缆外径</w:t>
            </w:r>
          </w:p>
        </w:tc>
        <w:tc>
          <w:tcPr>
            <w:tcW w:w="1400" w:type="dxa"/>
            <w:vAlign w:val="center"/>
          </w:tcPr>
          <w:p w14:paraId="2CF82576">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5.50</w:t>
            </w:r>
          </w:p>
        </w:tc>
      </w:tr>
      <w:tr w14:paraId="495AF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955" w:type="dxa"/>
            <w:gridSpan w:val="6"/>
            <w:noWrap/>
            <w:vAlign w:val="center"/>
          </w:tcPr>
          <w:p w14:paraId="31D2668C">
            <w:pPr>
              <w:widowControl/>
              <w:spacing w:line="360" w:lineRule="auto"/>
              <w:textAlignment w:val="center"/>
              <w:rPr>
                <w:rFonts w:ascii="宋体" w:hAnsi="宋体" w:cs="宋体"/>
                <w:color w:val="auto"/>
                <w:szCs w:val="21"/>
                <w:highlight w:val="none"/>
              </w:rPr>
            </w:pPr>
            <w:r>
              <w:rPr>
                <w:rFonts w:hint="eastAsia" w:ascii="宋体" w:hAnsi="宋体" w:cs="宋体"/>
                <w:b/>
                <w:color w:val="auto"/>
                <w:szCs w:val="21"/>
                <w:highlight w:val="none"/>
              </w:rPr>
              <w:t>商务要求表：</w:t>
            </w:r>
          </w:p>
        </w:tc>
      </w:tr>
      <w:tr w14:paraId="4B70E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312" w:type="dxa"/>
            <w:gridSpan w:val="2"/>
            <w:noWrap/>
            <w:vAlign w:val="center"/>
          </w:tcPr>
          <w:p w14:paraId="07A55CEB">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合同签订时间</w:t>
            </w:r>
          </w:p>
        </w:tc>
        <w:tc>
          <w:tcPr>
            <w:tcW w:w="7643" w:type="dxa"/>
            <w:gridSpan w:val="4"/>
            <w:noWrap/>
            <w:vAlign w:val="center"/>
          </w:tcPr>
          <w:p w14:paraId="3788D64E">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自成交通知书发出之日起25日内（成交人需在成交通知书发出之日起15日内反馈签订的合同文本于采购人）。</w:t>
            </w:r>
          </w:p>
        </w:tc>
      </w:tr>
      <w:tr w14:paraId="0262A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2312" w:type="dxa"/>
            <w:gridSpan w:val="2"/>
            <w:noWrap/>
            <w:vAlign w:val="center"/>
          </w:tcPr>
          <w:p w14:paraId="50C82BB3">
            <w:pPr>
              <w:jc w:val="center"/>
              <w:rPr>
                <w:rFonts w:ascii="宋体" w:hAnsi="宋体" w:cs="宋体"/>
                <w:b/>
                <w:bCs/>
                <w:color w:val="auto"/>
                <w:szCs w:val="21"/>
                <w:highlight w:val="none"/>
              </w:rPr>
            </w:pPr>
            <w:r>
              <w:rPr>
                <w:rFonts w:hint="eastAsia" w:ascii="宋体" w:hAnsi="宋体" w:cs="宋体"/>
                <w:b/>
                <w:bCs/>
                <w:color w:val="auto"/>
                <w:szCs w:val="21"/>
                <w:highlight w:val="none"/>
              </w:rPr>
              <w:t>交货时间及地点</w:t>
            </w:r>
          </w:p>
        </w:tc>
        <w:tc>
          <w:tcPr>
            <w:tcW w:w="7643" w:type="dxa"/>
            <w:gridSpan w:val="4"/>
            <w:noWrap/>
            <w:vAlign w:val="center"/>
          </w:tcPr>
          <w:p w14:paraId="0D1C2684">
            <w:pPr>
              <w:widowControl/>
              <w:spacing w:line="360" w:lineRule="auto"/>
              <w:ind w:firstLine="420" w:firstLineChars="200"/>
              <w:rPr>
                <w:color w:val="auto"/>
                <w:szCs w:val="21"/>
                <w:highlight w:val="none"/>
              </w:rPr>
            </w:pPr>
            <w:r>
              <w:rPr>
                <w:rFonts w:hint="eastAsia"/>
                <w:color w:val="auto"/>
                <w:szCs w:val="21"/>
                <w:highlight w:val="none"/>
              </w:rPr>
              <w:t>交货时间：</w:t>
            </w:r>
            <w:r>
              <w:rPr>
                <w:rFonts w:hint="eastAsia" w:ascii="宋体" w:hAnsi="宋体" w:cs="宋体"/>
                <w:color w:val="auto"/>
                <w:szCs w:val="21"/>
                <w:highlight w:val="none"/>
              </w:rPr>
              <w:t>自签订合同之日起60个日历天</w:t>
            </w:r>
            <w:r>
              <w:rPr>
                <w:color w:val="auto"/>
                <w:kern w:val="0"/>
                <w:sz w:val="22"/>
                <w:szCs w:val="22"/>
                <w:highlight w:val="none"/>
              </w:rPr>
              <w:t>内到货并安装</w:t>
            </w:r>
            <w:r>
              <w:rPr>
                <w:rFonts w:hint="eastAsia"/>
                <w:color w:val="auto"/>
                <w:kern w:val="0"/>
                <w:sz w:val="22"/>
                <w:szCs w:val="22"/>
                <w:highlight w:val="none"/>
              </w:rPr>
              <w:t>调试验收</w:t>
            </w:r>
            <w:r>
              <w:rPr>
                <w:color w:val="auto"/>
                <w:kern w:val="0"/>
                <w:sz w:val="22"/>
                <w:szCs w:val="22"/>
                <w:highlight w:val="none"/>
              </w:rPr>
              <w:t>完毕</w:t>
            </w:r>
            <w:r>
              <w:rPr>
                <w:rFonts w:hint="eastAsia" w:ascii="宋体" w:hAnsi="宋体" w:cs="宋体"/>
                <w:color w:val="auto"/>
                <w:szCs w:val="21"/>
                <w:highlight w:val="none"/>
              </w:rPr>
              <w:t>。</w:t>
            </w:r>
          </w:p>
          <w:p w14:paraId="172A9D3B">
            <w:pPr>
              <w:widowControl/>
              <w:spacing w:line="360" w:lineRule="auto"/>
              <w:ind w:firstLine="420" w:firstLineChars="200"/>
              <w:rPr>
                <w:rFonts w:ascii="宋体" w:hAnsi="宋体" w:cs="宋体"/>
                <w:color w:val="auto"/>
                <w:szCs w:val="21"/>
                <w:highlight w:val="none"/>
              </w:rPr>
            </w:pPr>
            <w:r>
              <w:rPr>
                <w:rFonts w:hint="eastAsia"/>
                <w:color w:val="auto"/>
                <w:szCs w:val="21"/>
                <w:highlight w:val="none"/>
              </w:rPr>
              <w:t>交货地点：</w:t>
            </w:r>
            <w:r>
              <w:rPr>
                <w:rFonts w:hint="eastAsia" w:ascii="宋体" w:hAnsi="宋体" w:cs="宋体"/>
                <w:color w:val="auto"/>
                <w:szCs w:val="21"/>
                <w:highlight w:val="none"/>
              </w:rPr>
              <w:t>广西师范大学雁山校区、育才校区。</w:t>
            </w:r>
          </w:p>
        </w:tc>
      </w:tr>
      <w:tr w14:paraId="46504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312" w:type="dxa"/>
            <w:gridSpan w:val="2"/>
            <w:noWrap/>
            <w:vAlign w:val="center"/>
          </w:tcPr>
          <w:p w14:paraId="39710E4D">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付款条件（进度和方式）</w:t>
            </w:r>
          </w:p>
        </w:tc>
        <w:tc>
          <w:tcPr>
            <w:tcW w:w="7643" w:type="dxa"/>
            <w:gridSpan w:val="4"/>
            <w:noWrap/>
            <w:vAlign w:val="center"/>
          </w:tcPr>
          <w:p w14:paraId="535538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成交供应商按合同约定交货验收合格后15日内采购人支付合同总金额的100%，采购人在支付合同款项前，成交供应商须按采购人要求开具相应发票并办理支付手续（无息）</w:t>
            </w:r>
          </w:p>
        </w:tc>
      </w:tr>
      <w:tr w14:paraId="4B68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312" w:type="dxa"/>
            <w:gridSpan w:val="2"/>
            <w:noWrap/>
            <w:vAlign w:val="center"/>
          </w:tcPr>
          <w:p w14:paraId="5D29A0EB">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售后服务</w:t>
            </w:r>
          </w:p>
        </w:tc>
        <w:tc>
          <w:tcPr>
            <w:tcW w:w="7643" w:type="dxa"/>
            <w:gridSpan w:val="4"/>
            <w:noWrap/>
            <w:vAlign w:val="center"/>
          </w:tcPr>
          <w:p w14:paraId="42DFB04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1.按国家有关产品“三包”规定执行“三包”，免费保修(质保)期自验收合格之日起不少于3年（“技术需求”中有特别规定的从其规定）。</w:t>
            </w:r>
          </w:p>
          <w:p w14:paraId="388D41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货物若出现问题60分钟内响应，4小时内派技术人员到现场，并在24小时内完成采购人提出的维修要求（特殊配件更换除外）；如故障不能在48小时内解决，免费保修(质保)期内必须提供备用设备供采购人使用，且不收取任何费用；不能维修、维护的负责换新；非产品质量原因导致的故障，如果需要更换新品及配件的，要求更换的新品及配件应跟被更换的品牌、类型相一致或者是同类同档次的替代品，后者需征得用户方管理人员同意。若产品自带软件的，则须提供免费保修（维护、升级）期内升级服务。</w:t>
            </w:r>
          </w:p>
          <w:p w14:paraId="349606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3.负责送货上门、提供产品原厂工程师现场安装、安装调试服务、技术培训和12个月远程服务。</w:t>
            </w:r>
          </w:p>
          <w:p w14:paraId="0BC264CE">
            <w:pPr>
              <w:pStyle w:val="4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bCs/>
                <w:color w:val="auto"/>
                <w:kern w:val="0"/>
                <w:szCs w:val="21"/>
                <w:highlight w:val="none"/>
              </w:rPr>
              <w:t>质量保证期</w:t>
            </w:r>
            <w:r>
              <w:rPr>
                <w:rFonts w:hint="eastAsia" w:ascii="宋体" w:hAnsi="宋体" w:cs="宋体"/>
                <w:color w:val="auto"/>
                <w:szCs w:val="21"/>
                <w:highlight w:val="none"/>
              </w:rPr>
              <w:t>内因设备性能故障检修三次仍不能正常使用的，一个月内重新更换新设备交付采购人。在超出</w:t>
            </w:r>
            <w:r>
              <w:rPr>
                <w:rFonts w:hint="eastAsia" w:ascii="宋体" w:hAnsi="宋体" w:cs="宋体"/>
                <w:bCs/>
                <w:color w:val="auto"/>
                <w:kern w:val="0"/>
                <w:szCs w:val="21"/>
                <w:highlight w:val="none"/>
              </w:rPr>
              <w:t>质量保证期</w:t>
            </w:r>
            <w:r>
              <w:rPr>
                <w:rFonts w:hint="eastAsia" w:ascii="宋体" w:hAnsi="宋体" w:cs="宋体"/>
                <w:color w:val="auto"/>
                <w:szCs w:val="21"/>
                <w:highlight w:val="none"/>
              </w:rPr>
              <w:t>后，如产品发生故障，可派技术员上门服务；如需更换配件，配件均按市场最优惠价格供应。</w:t>
            </w:r>
          </w:p>
          <w:p w14:paraId="2DEC2E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5.终身提供技术协助服务。</w:t>
            </w:r>
          </w:p>
          <w:p w14:paraId="2C2F1E8B">
            <w:pPr>
              <w:tabs>
                <w:tab w:val="left" w:pos="42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6.提供原厂技术人员对采购人的操作技术培训和相关技术资料。提供不少于2次/每年的主要设备厂商工程师安装配置等实操培训课程，场地、交通等与培训相关的费用均由成交供应商承担。</w:t>
            </w:r>
          </w:p>
          <w:p w14:paraId="5CBEE3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7.提供验收与培训时开机实验必需的配件及耗材,以保障验收与培训的正常开展。</w:t>
            </w:r>
          </w:p>
        </w:tc>
      </w:tr>
      <w:tr w14:paraId="3D1E7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312" w:type="dxa"/>
            <w:gridSpan w:val="2"/>
            <w:noWrap/>
            <w:vAlign w:val="center"/>
          </w:tcPr>
          <w:p w14:paraId="5966928A">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质量保证要求</w:t>
            </w:r>
          </w:p>
        </w:tc>
        <w:tc>
          <w:tcPr>
            <w:tcW w:w="7643" w:type="dxa"/>
            <w:gridSpan w:val="4"/>
            <w:noWrap/>
            <w:vAlign w:val="center"/>
          </w:tcPr>
          <w:p w14:paraId="46E78DFE">
            <w:pPr>
              <w:tabs>
                <w:tab w:val="left" w:pos="420"/>
              </w:tabs>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1</w:t>
            </w:r>
            <w:r>
              <w:rPr>
                <w:rFonts w:hint="eastAsia" w:ascii="宋体" w:hAnsi="宋体" w:cs="宋体"/>
                <w:color w:val="auto"/>
                <w:szCs w:val="21"/>
                <w:highlight w:val="none"/>
              </w:rPr>
              <w:t>.</w:t>
            </w:r>
            <w:r>
              <w:rPr>
                <w:rFonts w:hint="eastAsia" w:ascii="宋体" w:hAnsi="宋体" w:cs="宋体"/>
                <w:color w:val="auto"/>
                <w:kern w:val="0"/>
                <w:szCs w:val="21"/>
                <w:highlight w:val="none"/>
              </w:rPr>
              <w:t>在质量保证期内，对出现的</w:t>
            </w:r>
            <w:r>
              <w:rPr>
                <w:rFonts w:hint="eastAsia" w:ascii="宋体" w:hAnsi="宋体" w:cs="宋体"/>
                <w:color w:val="auto"/>
                <w:szCs w:val="21"/>
                <w:highlight w:val="none"/>
              </w:rPr>
              <w:t>任何故障及损失，成交供应商负责维修、更换配件，并负责软件更新升级、系统维护和远程服务。</w:t>
            </w:r>
          </w:p>
          <w:p w14:paraId="3828B8D5">
            <w:pPr>
              <w:tabs>
                <w:tab w:val="left" w:pos="42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质量保证期满后，终身维护，且以市场最优惠价格提供维修和备件更换、软件更新升级，且承诺为用户提供终身技术咨询服务。</w:t>
            </w:r>
          </w:p>
          <w:p w14:paraId="2D00ED54">
            <w:pPr>
              <w:tabs>
                <w:tab w:val="left" w:pos="42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3.成交供应商应为质量保证期服务配备充足的技术人员、工具和备件并保证提供的联系方式畅通。</w:t>
            </w:r>
          </w:p>
          <w:p w14:paraId="26A3F81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4.成交供应商在质量保证期内应对设备进行定期巡检。</w:t>
            </w:r>
          </w:p>
        </w:tc>
      </w:tr>
      <w:tr w14:paraId="0925E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312" w:type="dxa"/>
            <w:gridSpan w:val="2"/>
            <w:shd w:val="clear" w:color="auto" w:fill="auto"/>
            <w:noWrap/>
            <w:vAlign w:val="center"/>
          </w:tcPr>
          <w:p w14:paraId="1A64338B">
            <w:pPr>
              <w:spacing w:line="360" w:lineRule="auto"/>
              <w:jc w:val="center"/>
              <w:rPr>
                <w:rFonts w:ascii="宋体" w:hAnsi="宋体" w:cs="宋体"/>
                <w:b/>
                <w:bCs/>
                <w:color w:val="auto"/>
                <w:szCs w:val="21"/>
                <w:highlight w:val="none"/>
              </w:rPr>
            </w:pPr>
            <w:r>
              <w:rPr>
                <w:rFonts w:hint="eastAsia" w:ascii="宋体" w:hAnsi="宋体" w:cs="Arial"/>
                <w:b/>
                <w:bCs/>
                <w:color w:val="auto"/>
                <w:szCs w:val="21"/>
                <w:highlight w:val="none"/>
              </w:rPr>
              <w:t>规范标准</w:t>
            </w:r>
          </w:p>
        </w:tc>
        <w:tc>
          <w:tcPr>
            <w:tcW w:w="7643" w:type="dxa"/>
            <w:gridSpan w:val="4"/>
            <w:shd w:val="clear" w:color="auto" w:fill="auto"/>
            <w:noWrap/>
          </w:tcPr>
          <w:p w14:paraId="2A42998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1.采购标的需执行国家标准、行业标准、地方标准或者其他标准、规范。</w:t>
            </w:r>
          </w:p>
          <w:p w14:paraId="07717C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2.验收过程中所产生的一切费用均由成交供应商承担。报价时应考虑相关费用。</w:t>
            </w:r>
          </w:p>
          <w:p w14:paraId="531C70D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3.采购项目需求有其他要求的按其要求。</w:t>
            </w:r>
          </w:p>
        </w:tc>
      </w:tr>
      <w:tr w14:paraId="6151C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312" w:type="dxa"/>
            <w:gridSpan w:val="2"/>
            <w:noWrap/>
            <w:vAlign w:val="center"/>
          </w:tcPr>
          <w:p w14:paraId="2F89BA9B">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包装和运输</w:t>
            </w:r>
          </w:p>
        </w:tc>
        <w:tc>
          <w:tcPr>
            <w:tcW w:w="7643" w:type="dxa"/>
            <w:gridSpan w:val="4"/>
            <w:noWrap/>
            <w:vAlign w:val="center"/>
          </w:tcPr>
          <w:p w14:paraId="5E9B914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bCs/>
                <w:color w:val="auto"/>
                <w:kern w:val="0"/>
                <w:szCs w:val="21"/>
                <w:highlight w:val="none"/>
              </w:rPr>
              <w:t>原厂原包装，包装完好、完整无破损、未开封</w:t>
            </w:r>
            <w:r>
              <w:rPr>
                <w:rFonts w:hint="eastAsia" w:ascii="宋体" w:hAnsi="宋体" w:cs="宋体"/>
                <w:color w:val="auto"/>
                <w:szCs w:val="21"/>
                <w:highlight w:val="none"/>
              </w:rPr>
              <w:t>。</w:t>
            </w:r>
          </w:p>
          <w:p w14:paraId="1D7ADF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kern w:val="0"/>
                <w:szCs w:val="21"/>
                <w:highlight w:val="none"/>
              </w:rPr>
              <w:t>包装及运输方式应综合考虑运输距离、防潮、防震、防锈和防破损装卸等要求</w:t>
            </w:r>
            <w:r>
              <w:rPr>
                <w:rFonts w:hint="eastAsia" w:ascii="宋体" w:hAnsi="宋体" w:cs="宋体"/>
                <w:color w:val="auto"/>
                <w:szCs w:val="21"/>
                <w:highlight w:val="none"/>
              </w:rPr>
              <w:t>。</w:t>
            </w:r>
          </w:p>
          <w:p w14:paraId="23319F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bCs/>
                <w:color w:val="auto"/>
                <w:kern w:val="0"/>
                <w:szCs w:val="21"/>
                <w:highlight w:val="none"/>
              </w:rPr>
              <w:t>国家对包装及运输有相关强制性标准或要求的</w:t>
            </w:r>
            <w:r>
              <w:rPr>
                <w:rFonts w:hint="eastAsia" w:ascii="宋体" w:hAnsi="宋体" w:cs="宋体"/>
                <w:color w:val="auto"/>
                <w:szCs w:val="21"/>
                <w:highlight w:val="none"/>
              </w:rPr>
              <w:t>，成交供应商应当执行。</w:t>
            </w:r>
          </w:p>
          <w:p w14:paraId="77FA72B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bCs/>
                <w:color w:val="auto"/>
                <w:kern w:val="0"/>
                <w:szCs w:val="21"/>
                <w:highlight w:val="none"/>
              </w:rPr>
              <w:t>产品（含包装）运抵采购人指定交付地点前发生损坏的</w:t>
            </w:r>
            <w:r>
              <w:rPr>
                <w:rFonts w:hint="eastAsia" w:ascii="宋体" w:hAnsi="宋体" w:cs="宋体"/>
                <w:color w:val="auto"/>
                <w:szCs w:val="21"/>
                <w:highlight w:val="none"/>
              </w:rPr>
              <w:t>，相关损失由成交供应商自行承担。</w:t>
            </w:r>
          </w:p>
        </w:tc>
      </w:tr>
      <w:tr w14:paraId="28FEE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312" w:type="dxa"/>
            <w:gridSpan w:val="2"/>
            <w:noWrap/>
            <w:vAlign w:val="center"/>
          </w:tcPr>
          <w:p w14:paraId="14EECFE5">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保险</w:t>
            </w:r>
          </w:p>
        </w:tc>
        <w:tc>
          <w:tcPr>
            <w:tcW w:w="7643" w:type="dxa"/>
            <w:gridSpan w:val="4"/>
            <w:noWrap/>
            <w:vAlign w:val="center"/>
          </w:tcPr>
          <w:p w14:paraId="7CA99E99">
            <w:pPr>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若供应商为本项目标的及标的涉及的相关材料、设备、人员、运输等购买保险的，相关费用由供应商自行承担。</w:t>
            </w:r>
          </w:p>
        </w:tc>
      </w:tr>
      <w:tr w14:paraId="2DE64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312" w:type="dxa"/>
            <w:gridSpan w:val="2"/>
            <w:noWrap/>
            <w:vAlign w:val="center"/>
          </w:tcPr>
          <w:p w14:paraId="34614BC9">
            <w:pPr>
              <w:widowControl/>
              <w:spacing w:line="360" w:lineRule="auto"/>
              <w:jc w:val="center"/>
              <w:rPr>
                <w:rFonts w:ascii="宋体" w:hAnsi="宋体" w:cs="宋体"/>
                <w:b/>
                <w:bCs/>
                <w:color w:val="auto"/>
                <w:szCs w:val="21"/>
                <w:highlight w:val="none"/>
              </w:rPr>
            </w:pPr>
            <w:r>
              <w:rPr>
                <w:rFonts w:hint="eastAsia" w:ascii="宋体" w:hAnsi="宋体" w:cs="宋体"/>
                <w:b/>
                <w:bCs/>
                <w:color w:val="auto"/>
                <w:kern w:val="0"/>
                <w:szCs w:val="21"/>
                <w:highlight w:val="none"/>
              </w:rPr>
              <w:t>验收标准</w:t>
            </w:r>
          </w:p>
        </w:tc>
        <w:tc>
          <w:tcPr>
            <w:tcW w:w="7643" w:type="dxa"/>
            <w:gridSpan w:val="4"/>
            <w:noWrap/>
          </w:tcPr>
          <w:p w14:paraId="2D589BC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1.质量标准：本项目执行国家相关标准、行业标准、地方标准或者其他标准、规范。如具体采购需求与标准、规范不一致的，高于标准、规范的按具体采购需求执行；低于标准、规范的按标准、规范执行。</w:t>
            </w:r>
            <w:r>
              <w:rPr>
                <w:rFonts w:hint="eastAsia" w:ascii="宋体" w:hAnsi="宋体" w:cs="宋体"/>
                <w:bCs/>
                <w:color w:val="auto"/>
                <w:kern w:val="0"/>
                <w:szCs w:val="21"/>
                <w:highlight w:val="none"/>
              </w:rPr>
              <w:t>供应商</w:t>
            </w:r>
            <w:r>
              <w:rPr>
                <w:rFonts w:hint="eastAsia" w:ascii="宋体" w:hAnsi="宋体" w:cs="宋体"/>
                <w:color w:val="auto"/>
                <w:szCs w:val="21"/>
                <w:highlight w:val="none"/>
              </w:rPr>
              <w:t>所提供的产品必须是全新、完好、无破损、未经使用的原装产品，产品符合制造厂家合格产品的出厂质量标准，且在正常安装、使用和保养条件下，其使用寿命期内各项指标均达到质量要求。</w:t>
            </w:r>
          </w:p>
          <w:p w14:paraId="08D00C7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产品到货后，采购人现场根据采购文件要求及响应文件承诺逐条对应进行核验（含测试或试运行），对所有要求出具的文件和材料的原件进行核查，如不符合采购文件要求或提供虚假承诺、虚假检测报告等任何虚假材料的，采购人有权拒绝验收并认定成交供应商违约，采购人有权单方解除合同，成交供应商承担所有责任和费用，采购人保留进一步追究责任的权利。</w:t>
            </w:r>
          </w:p>
          <w:p w14:paraId="18D2F08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3.设备开机试运行，测试设备的技术性能指标，确认各项功能正常运行，同时检查随机文件应齐整。</w:t>
            </w:r>
          </w:p>
          <w:p w14:paraId="143C9D2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验收时，采购人有权邀请国家认可的第三方检测计量单位到现场进行校准，并出具校准报告，所涉及的相关费用由成交供应商承担（供应商自行将费用综合考虑进入竞标报价中），采购人不再另行支付。校准不合格的，采购人不予验收。</w:t>
            </w:r>
          </w:p>
          <w:p w14:paraId="0A580EA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5.因产品质量问题发生争议的，应邀请国家认可的质量检测机构对产品质量进行鉴定。产品符合标准的，鉴定费由采购人承担；产品不符合标准的，鉴定费由成交供应商承担。</w:t>
            </w:r>
          </w:p>
          <w:p w14:paraId="1EB57877">
            <w:pPr>
              <w:pStyle w:val="44"/>
              <w:spacing w:line="360" w:lineRule="auto"/>
              <w:ind w:firstLine="420" w:firstLineChars="200"/>
              <w:rPr>
                <w:rFonts w:ascii="宋体" w:hAnsi="宋体" w:cs="宋体"/>
                <w:color w:val="auto"/>
                <w:highlight w:val="none"/>
              </w:rPr>
            </w:pPr>
            <w:r>
              <w:rPr>
                <w:rFonts w:hint="eastAsia" w:ascii="宋体" w:hAnsi="宋体" w:cs="宋体"/>
                <w:color w:val="auto"/>
                <w:highlight w:val="none"/>
              </w:rPr>
              <w:t>6.货物经过双方检验认可后，签署验收报告。由成交供应商提供产品保修文件。</w:t>
            </w:r>
          </w:p>
          <w:p w14:paraId="412DABB7">
            <w:pPr>
              <w:pStyle w:val="44"/>
              <w:spacing w:line="360" w:lineRule="auto"/>
              <w:ind w:firstLine="420" w:firstLineChars="200"/>
              <w:rPr>
                <w:rFonts w:ascii="宋体" w:hAnsi="宋体" w:cs="宋体"/>
                <w:color w:val="auto"/>
                <w:highlight w:val="none"/>
              </w:rPr>
            </w:pPr>
            <w:r>
              <w:rPr>
                <w:rFonts w:hint="eastAsia" w:ascii="宋体" w:hAnsi="宋体" w:cs="宋体"/>
                <w:color w:val="auto"/>
                <w:highlight w:val="none"/>
              </w:rPr>
              <w:t>7.当满足以下条件时，采购人才向成交供应商签发货物验收报告：</w:t>
            </w:r>
          </w:p>
          <w:p w14:paraId="7960F409">
            <w:pPr>
              <w:pStyle w:val="44"/>
              <w:spacing w:line="360" w:lineRule="auto"/>
              <w:ind w:firstLine="420" w:firstLineChars="200"/>
              <w:rPr>
                <w:rFonts w:ascii="宋体" w:hAnsi="宋体" w:cs="宋体"/>
                <w:color w:val="auto"/>
                <w:highlight w:val="none"/>
              </w:rPr>
            </w:pPr>
            <w:r>
              <w:rPr>
                <w:rFonts w:hint="eastAsia" w:ascii="宋体" w:hAnsi="宋体" w:cs="宋体"/>
                <w:color w:val="auto"/>
                <w:highlight w:val="none"/>
              </w:rPr>
              <w:t>（1）成交供应商已按照合同规定提供了全部产品及完整的技术资料。</w:t>
            </w:r>
          </w:p>
          <w:p w14:paraId="07EDDBD9">
            <w:pPr>
              <w:pStyle w:val="44"/>
              <w:spacing w:line="360" w:lineRule="auto"/>
              <w:ind w:firstLine="420" w:firstLineChars="200"/>
              <w:rPr>
                <w:rFonts w:ascii="宋体" w:hAnsi="宋体" w:cs="宋体"/>
                <w:color w:val="auto"/>
                <w:highlight w:val="none"/>
              </w:rPr>
            </w:pPr>
            <w:r>
              <w:rPr>
                <w:rFonts w:hint="eastAsia" w:ascii="宋体" w:hAnsi="宋体" w:cs="宋体"/>
                <w:color w:val="auto"/>
                <w:highlight w:val="none"/>
              </w:rPr>
              <w:t>（2）货物各项参数完全符合《技术参数及性能（配置）要求》的要求，性能满足要求。</w:t>
            </w:r>
          </w:p>
          <w:p w14:paraId="5C3DC50D">
            <w:pPr>
              <w:pStyle w:val="44"/>
              <w:spacing w:line="360" w:lineRule="auto"/>
              <w:ind w:firstLine="420" w:firstLineChars="200"/>
              <w:rPr>
                <w:rFonts w:ascii="宋体" w:hAnsi="宋体" w:cs="宋体"/>
                <w:color w:val="auto"/>
                <w:highlight w:val="none"/>
              </w:rPr>
            </w:pPr>
            <w:r>
              <w:rPr>
                <w:rFonts w:hint="eastAsia" w:ascii="宋体" w:hAnsi="宋体" w:cs="宋体"/>
                <w:color w:val="auto"/>
                <w:highlight w:val="none"/>
              </w:rPr>
              <w:t>（3）成交供应商需负责安装、调试（测试），并完成采购人的使用操作培训。</w:t>
            </w:r>
          </w:p>
          <w:p w14:paraId="770882A8">
            <w:pPr>
              <w:pStyle w:val="44"/>
              <w:spacing w:line="360" w:lineRule="auto"/>
              <w:ind w:firstLine="420" w:firstLineChars="200"/>
              <w:rPr>
                <w:rFonts w:ascii="宋体" w:hAnsi="宋体" w:cs="宋体"/>
                <w:color w:val="auto"/>
                <w:highlight w:val="none"/>
              </w:rPr>
            </w:pPr>
            <w:r>
              <w:rPr>
                <w:rFonts w:hint="eastAsia" w:ascii="宋体" w:hAnsi="宋体" w:cs="宋体"/>
                <w:color w:val="auto"/>
                <w:highlight w:val="none"/>
              </w:rPr>
              <w:t>8.采购人预验收及履约验收过程中所产生的一切费用均由成交供应商承担，报价时应考虑相关费用。</w:t>
            </w:r>
          </w:p>
          <w:p w14:paraId="0C023207">
            <w:pPr>
              <w:pStyle w:val="44"/>
              <w:spacing w:line="360" w:lineRule="auto"/>
              <w:ind w:firstLine="420" w:firstLineChars="200"/>
              <w:rPr>
                <w:color w:val="auto"/>
                <w:highlight w:val="none"/>
              </w:rPr>
            </w:pPr>
            <w:r>
              <w:rPr>
                <w:rFonts w:hint="eastAsia" w:ascii="宋体" w:hAnsi="宋体" w:cs="宋体"/>
                <w:color w:val="auto"/>
                <w:highlight w:val="none"/>
              </w:rPr>
              <w:t>9.成交产品不能涉及任何法律纠纷。</w:t>
            </w:r>
          </w:p>
        </w:tc>
      </w:tr>
      <w:tr w14:paraId="45341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2312" w:type="dxa"/>
            <w:gridSpan w:val="2"/>
            <w:noWrap/>
            <w:vAlign w:val="center"/>
          </w:tcPr>
          <w:p w14:paraId="26BC14A1">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知识产权</w:t>
            </w:r>
          </w:p>
        </w:tc>
        <w:tc>
          <w:tcPr>
            <w:tcW w:w="7643" w:type="dxa"/>
            <w:gridSpan w:val="4"/>
            <w:noWrap/>
          </w:tcPr>
          <w:p w14:paraId="1985889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保证所提供的产品及服务涉及到的知识产权和相关技术资料是合法取得的，采购人在使用产品及服务时不会侵犯任何第三方的专利权、商标权、工业设计权或其他权利，不会因为采购人的使用遭受第三方侵权指控，包括被责令致歉、停止使用、追偿或要求赔偿损失等。否则，供应商负责解决由此引起的一切纠纷，采购人有权追究成交供应商的法律责任，其不利后果由供应商全部承担。</w:t>
            </w:r>
          </w:p>
        </w:tc>
      </w:tr>
      <w:tr w14:paraId="7D85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2312" w:type="dxa"/>
            <w:gridSpan w:val="2"/>
            <w:noWrap/>
            <w:vAlign w:val="center"/>
          </w:tcPr>
          <w:p w14:paraId="57AEE1AF">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采购预算</w:t>
            </w:r>
            <w:r>
              <w:rPr>
                <w:rFonts w:ascii="宋体" w:hAnsi="宋体" w:cs="宋体"/>
                <w:b/>
                <w:bCs/>
                <w:color w:val="auto"/>
                <w:highlight w:val="none"/>
              </w:rPr>
              <w:t>（最高限价）</w:t>
            </w:r>
            <w:r>
              <w:rPr>
                <w:rFonts w:hint="eastAsia" w:ascii="宋体" w:hAnsi="宋体" w:cs="宋体"/>
                <w:b/>
                <w:bCs/>
                <w:color w:val="auto"/>
                <w:szCs w:val="21"/>
                <w:highlight w:val="none"/>
              </w:rPr>
              <w:t>金额</w:t>
            </w:r>
          </w:p>
        </w:tc>
        <w:tc>
          <w:tcPr>
            <w:tcW w:w="7643" w:type="dxa"/>
            <w:gridSpan w:val="4"/>
            <w:noWrap/>
          </w:tcPr>
          <w:p w14:paraId="4DB80FE0">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本标项采购预算</w:t>
            </w:r>
            <w:r>
              <w:rPr>
                <w:rFonts w:ascii="宋体" w:hAnsi="宋体" w:cs="宋体"/>
                <w:b/>
                <w:bCs/>
                <w:color w:val="auto"/>
                <w:highlight w:val="none"/>
              </w:rPr>
              <w:t>（最高限价）</w:t>
            </w:r>
            <w:r>
              <w:rPr>
                <w:rFonts w:hint="eastAsia" w:ascii="宋体" w:hAnsi="宋体" w:cs="宋体"/>
                <w:bCs/>
                <w:color w:val="auto"/>
                <w:szCs w:val="21"/>
                <w:highlight w:val="none"/>
              </w:rPr>
              <w:t>金额：人民币壹佰零肆万元整（¥1040000.00）。</w:t>
            </w:r>
          </w:p>
          <w:p w14:paraId="518C10D7">
            <w:pPr>
              <w:spacing w:line="360" w:lineRule="auto"/>
              <w:ind w:firstLine="422" w:firstLineChars="200"/>
              <w:rPr>
                <w:rFonts w:ascii="宋体" w:hAnsi="宋体" w:cs="宋体"/>
                <w:color w:val="auto"/>
                <w:szCs w:val="21"/>
                <w:highlight w:val="none"/>
              </w:rPr>
            </w:pPr>
            <w:r>
              <w:rPr>
                <w:rFonts w:ascii="宋体" w:hAnsi="宋体" w:cs="宋体"/>
                <w:b/>
                <w:bCs/>
                <w:color w:val="auto"/>
                <w:szCs w:val="21"/>
                <w:highlight w:val="none"/>
              </w:rPr>
              <w:t>注:</w:t>
            </w:r>
            <w:r>
              <w:rPr>
                <w:rFonts w:hAnsi="宋体" w:cs="宋体"/>
                <w:b/>
                <w:bCs/>
                <w:color w:val="auto"/>
                <w:szCs w:val="21"/>
                <w:highlight w:val="none"/>
              </w:rPr>
              <w:t>①</w:t>
            </w:r>
            <w:r>
              <w:rPr>
                <w:rFonts w:hint="eastAsia" w:hAnsi="宋体" w:cs="宋体"/>
                <w:b/>
                <w:bCs/>
                <w:color w:val="auto"/>
                <w:szCs w:val="21"/>
                <w:highlight w:val="none"/>
              </w:rPr>
              <w:t>竞标</w:t>
            </w:r>
            <w:r>
              <w:rPr>
                <w:rFonts w:ascii="宋体" w:hAnsi="宋体" w:cs="宋体"/>
                <w:b/>
                <w:bCs/>
                <w:color w:val="auto"/>
                <w:szCs w:val="21"/>
                <w:highlight w:val="none"/>
              </w:rPr>
              <w:t>报价不得高于</w:t>
            </w:r>
            <w:r>
              <w:rPr>
                <w:rFonts w:ascii="宋体" w:hAnsi="宋体" w:cs="宋体"/>
                <w:b/>
                <w:bCs/>
                <w:color w:val="auto"/>
                <w:highlight w:val="none"/>
              </w:rPr>
              <w:t>采购预算（最高限价）</w:t>
            </w:r>
            <w:r>
              <w:rPr>
                <w:rFonts w:ascii="宋体" w:hAnsi="宋体" w:cs="宋体"/>
                <w:b/>
                <w:bCs/>
                <w:color w:val="auto"/>
                <w:szCs w:val="21"/>
                <w:highlight w:val="none"/>
              </w:rPr>
              <w:t>，否则响应文件按无效响应处理。</w:t>
            </w:r>
            <w:r>
              <w:rPr>
                <w:rFonts w:hAnsi="宋体" w:cs="宋体"/>
                <w:b/>
                <w:bCs/>
                <w:color w:val="auto"/>
                <w:szCs w:val="21"/>
                <w:highlight w:val="none"/>
              </w:rPr>
              <w:t>②</w:t>
            </w:r>
            <w:r>
              <w:rPr>
                <w:rFonts w:ascii="宋体" w:hAnsi="宋体" w:cs="宋体"/>
                <w:b/>
                <w:bCs/>
                <w:color w:val="auto"/>
                <w:szCs w:val="21"/>
                <w:highlight w:val="none"/>
              </w:rPr>
              <w:t>供应商的</w:t>
            </w:r>
            <w:r>
              <w:rPr>
                <w:rFonts w:hint="eastAsia" w:ascii="宋体" w:hAnsi="宋体" w:cs="宋体"/>
                <w:b/>
                <w:bCs/>
                <w:color w:val="auto"/>
                <w:szCs w:val="21"/>
                <w:highlight w:val="none"/>
              </w:rPr>
              <w:t>竞标</w:t>
            </w:r>
            <w:r>
              <w:rPr>
                <w:rFonts w:ascii="宋体" w:hAnsi="宋体" w:cs="宋体"/>
                <w:b/>
                <w:bCs/>
                <w:color w:val="auto"/>
                <w:szCs w:val="21"/>
                <w:highlight w:val="none"/>
              </w:rPr>
              <w:t>单价均不能超过</w:t>
            </w:r>
            <w:r>
              <w:rPr>
                <w:rFonts w:hint="eastAsia" w:ascii="宋体" w:hAnsi="宋体" w:cs="宋体"/>
                <w:b/>
                <w:bCs/>
                <w:color w:val="auto"/>
                <w:szCs w:val="21"/>
                <w:highlight w:val="none"/>
              </w:rPr>
              <w:t>对应</w:t>
            </w:r>
            <w:r>
              <w:rPr>
                <w:rFonts w:ascii="宋体" w:hAnsi="宋体" w:cs="宋体"/>
                <w:b/>
                <w:bCs/>
                <w:color w:val="auto"/>
                <w:szCs w:val="21"/>
                <w:highlight w:val="none"/>
              </w:rPr>
              <w:t>的</w:t>
            </w:r>
            <w:r>
              <w:rPr>
                <w:rFonts w:hint="eastAsia" w:ascii="宋体" w:hAnsi="宋体" w:cs="宋体"/>
                <w:b/>
                <w:bCs/>
                <w:color w:val="auto"/>
                <w:kern w:val="0"/>
                <w:szCs w:val="21"/>
                <w:highlight w:val="none"/>
              </w:rPr>
              <w:t>采购控制单价</w:t>
            </w:r>
            <w:r>
              <w:rPr>
                <w:rFonts w:ascii="宋体" w:hAnsi="宋体" w:cs="宋体"/>
                <w:b/>
                <w:bCs/>
                <w:color w:val="auto"/>
                <w:szCs w:val="21"/>
                <w:highlight w:val="none"/>
              </w:rPr>
              <w:t>，否则按无效响应处理。</w:t>
            </w:r>
          </w:p>
        </w:tc>
      </w:tr>
      <w:tr w14:paraId="64CC3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2312" w:type="dxa"/>
            <w:gridSpan w:val="2"/>
            <w:noWrap/>
            <w:vAlign w:val="center"/>
          </w:tcPr>
          <w:p w14:paraId="3509D546">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核心产品</w:t>
            </w:r>
          </w:p>
        </w:tc>
        <w:tc>
          <w:tcPr>
            <w:tcW w:w="7643" w:type="dxa"/>
            <w:gridSpan w:val="4"/>
            <w:noWrap/>
          </w:tcPr>
          <w:p w14:paraId="4BD3FD36">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本标项核心产品为“第2项机动车/非机动直杆道闸”</w:t>
            </w:r>
          </w:p>
        </w:tc>
      </w:tr>
      <w:tr w14:paraId="152A9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312" w:type="dxa"/>
            <w:gridSpan w:val="2"/>
            <w:noWrap/>
            <w:vAlign w:val="center"/>
          </w:tcPr>
          <w:p w14:paraId="333388BD">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其他要求</w:t>
            </w:r>
          </w:p>
        </w:tc>
        <w:tc>
          <w:tcPr>
            <w:tcW w:w="7643" w:type="dxa"/>
            <w:gridSpan w:val="4"/>
            <w:noWrap/>
            <w:vAlign w:val="center"/>
          </w:tcPr>
          <w:p w14:paraId="0F0C3A05">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要求供货产品是全新的、未经改装的、合格的、满足本项目技术需求及要求的货物。所有零部件、配件必须是未经使用的全新的并符合国家有关质量安全标准的产品。提供设备使用培训、操作技能训练等；提供相关设备说明书、管理和配置指南手册、使用手册和故障定位/排除指南手册等。</w:t>
            </w:r>
          </w:p>
          <w:p w14:paraId="786D10FC">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本项目实行总价包干制，报价合计金额包括货物价款、配套软件、标准附件、随配附件、备品备件、辅助材料、专用工具、包装、运抵指定交货地点、运输、装卸、完工清场清洁、货到就位、安装、调试、检验、技术培训、技术资料、售后服务、保险、投标费用、预验收及履约验收及售后服务、人工费、一切税费等全部费用。税费因政策等原因发生变化的，由成交供应商承担。合同履行过程中，采购人不再支付合同以外的其他费用。</w:t>
            </w:r>
          </w:p>
          <w:p w14:paraId="7170973A">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3.成交供应商承担货物交付验收前的运输、安装等作业工人人身、设备安全责任。验收前，如果设备丢失、因供应商自身原因及第三方原因导致损坏，成交供应商应自行负责并承担不能交付货物的责任。</w:t>
            </w:r>
          </w:p>
          <w:p w14:paraId="49B823BF">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4.为保证项目与现有系统整合和衔接，要求供应商所竞多摄大模型全结构化摄像机、600万像素高清摄像机、短焦人脸识别半球产品必须支持与采购人现有的监控软件平台（现有监控软件平台为：海康威视iSecure Center-Education）对接，实现数据共享、平台互通、全面接管、功能齐备，数据需要上传至原有总平台系统，如供应商所竞产品与采购人现有平台品牌（海康威视）不同，要求负责开放设备SDK，并预留定制开发费用于定制接入现有平台（本条所涉及的开放、接入等相关费用均包含在竞标报价中，采购人不再另行付费）满足接入采购人现有人脸对比服务器：海康威视DS-IE6332EL/FA、DS-IE6316EL/EA及现有集群版人脸分析系统：海康威视DS-IX2002-A7U/LX，可实现统一的视频预览、录像回放、解码显示功能，具备人脸比对报警提醒、以脸搜脸、轨迹分析、人/车结构化分析及检索等应用。</w:t>
            </w:r>
          </w:p>
          <w:p w14:paraId="4DD36A5D">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采购人现有的监控软件平台（现有监控软件平台为：海康威视iSecure Center-Education），考虑统一管理要求，超高清解码器要求无缝接入现有监控软件平台，可解码显示平台里所有视频监控点位，功能包含系统内监控点位的实时预览解码上墙、历史录像解码上墙、视频监控事件告警上墙；如供应商所竞产品与现有系统品牌不同，供应商须承诺免费开放设备SDK，并预留定制开发费用于定制接入现有系统，同时承诺所提供的接口能实现监控实时流解码上墙、监控录像流上墙、监控告警事件上墙功能。</w:t>
            </w:r>
          </w:p>
          <w:p w14:paraId="595ED595">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本标项履约过程中，如因采购人实际需要导致供货数量发生变动，成交供应商应予以配合，调整部分的结算按实际发生量乘以成交单价计算。所有调整（含货物数量增加及伴随服务变更）累计增加金额不得超过本项目原合同金额的10%。达到或超过10%的，采购人应重新组织采购；未超过的，双方签订补充协议执行。</w:t>
            </w:r>
          </w:p>
          <w:p w14:paraId="48214CD6">
            <w:pPr>
              <w:spacing w:line="360" w:lineRule="auto"/>
              <w:ind w:firstLine="420" w:firstLineChars="200"/>
              <w:rPr>
                <w:rFonts w:ascii="宋体" w:hAnsi="宋体" w:cs="宋体"/>
                <w:b/>
                <w:bCs/>
                <w:color w:val="auto"/>
                <w:szCs w:val="21"/>
                <w:highlight w:val="none"/>
              </w:rPr>
            </w:pPr>
            <w:r>
              <w:rPr>
                <w:rFonts w:hint="eastAsia" w:ascii="宋体" w:hAnsi="宋体" w:cs="宋体"/>
                <w:bCs/>
                <w:color w:val="auto"/>
                <w:szCs w:val="21"/>
                <w:highlight w:val="none"/>
              </w:rPr>
              <w:t>6.</w:t>
            </w:r>
            <w:r>
              <w:rPr>
                <w:rFonts w:hint="eastAsia" w:ascii="宋体" w:hAnsi="宋体" w:cs="宋体"/>
                <w:b/>
                <w:bCs/>
                <w:color w:val="auto"/>
                <w:szCs w:val="21"/>
                <w:highlight w:val="none"/>
              </w:rPr>
              <w:t>本标项采购需求中的所有条款均为实质性要求，并按照采购标的汇总表中“技术要求”，提供对应符合要求的佐证材料，若不满足、无法提供佐证材料，视为无效响应。</w:t>
            </w:r>
          </w:p>
        </w:tc>
      </w:tr>
      <w:tr w14:paraId="50708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312" w:type="dxa"/>
            <w:gridSpan w:val="2"/>
            <w:noWrap/>
            <w:vAlign w:val="center"/>
          </w:tcPr>
          <w:p w14:paraId="3907A224">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进口产品说明</w:t>
            </w:r>
          </w:p>
        </w:tc>
        <w:tc>
          <w:tcPr>
            <w:tcW w:w="7643" w:type="dxa"/>
            <w:gridSpan w:val="4"/>
            <w:noWrap/>
            <w:vAlign w:val="center"/>
          </w:tcPr>
          <w:p w14:paraId="1C538F34">
            <w:pPr>
              <w:spacing w:line="360" w:lineRule="auto"/>
              <w:ind w:firstLine="420" w:firstLineChars="200"/>
              <w:rPr>
                <w:rFonts w:ascii="宋体" w:hAnsi="宋体" w:cs="宋体"/>
                <w:b/>
                <w:bCs/>
                <w:color w:val="auto"/>
                <w:szCs w:val="21"/>
                <w:highlight w:val="none"/>
              </w:rPr>
            </w:pPr>
            <w:r>
              <w:rPr>
                <w:rFonts w:hint="eastAsia" w:ascii="宋体" w:hAnsi="宋体" w:cs="宋体"/>
                <w:bCs/>
                <w:color w:val="auto"/>
                <w:szCs w:val="21"/>
                <w:highlight w:val="none"/>
              </w:rPr>
              <w:t>本标项采购货物不接受进口产品（即通过中国海关报关验放进入中国境内且产自关境外的产品）参与竞标，如有进口产品参与竞标的，其响应文件作无效处理。</w:t>
            </w:r>
          </w:p>
        </w:tc>
      </w:tr>
    </w:tbl>
    <w:p w14:paraId="46E2C6BE">
      <w:pPr>
        <w:rPr>
          <w:rFonts w:ascii="宋体" w:hAnsi="宋体" w:cs="宋体"/>
          <w:color w:val="auto"/>
          <w:highlight w:val="none"/>
        </w:rPr>
      </w:pPr>
      <w:r>
        <w:rPr>
          <w:rFonts w:hint="eastAsia" w:ascii="宋体" w:hAnsi="宋体" w:cs="宋体"/>
          <w:color w:val="auto"/>
          <w:highlight w:val="none"/>
        </w:rPr>
        <w:br w:type="page"/>
      </w:r>
    </w:p>
    <w:tbl>
      <w:tblPr>
        <w:tblStyle w:val="30"/>
        <w:tblW w:w="9888"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686"/>
        <w:gridCol w:w="851"/>
        <w:gridCol w:w="710"/>
        <w:gridCol w:w="4657"/>
        <w:gridCol w:w="1354"/>
      </w:tblGrid>
      <w:tr w14:paraId="7EBAD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888" w:type="dxa"/>
            <w:gridSpan w:val="6"/>
            <w:noWrap/>
            <w:vAlign w:val="center"/>
          </w:tcPr>
          <w:p w14:paraId="6954B0AD">
            <w:pPr>
              <w:widowControl/>
              <w:spacing w:line="360" w:lineRule="auto"/>
              <w:jc w:val="center"/>
              <w:textAlignment w:val="center"/>
              <w:rPr>
                <w:rFonts w:ascii="宋体" w:hAnsi="宋体" w:cs="宋体"/>
                <w:b/>
                <w:bCs/>
                <w:color w:val="auto"/>
                <w:kern w:val="0"/>
                <w:szCs w:val="21"/>
                <w:highlight w:val="none"/>
              </w:rPr>
            </w:pPr>
            <w:r>
              <w:rPr>
                <w:rFonts w:hint="eastAsia" w:ascii="宋体" w:hAnsi="宋体" w:cs="宋体"/>
                <w:b/>
                <w:bCs/>
                <w:color w:val="auto"/>
                <w:kern w:val="0"/>
                <w:sz w:val="28"/>
                <w:szCs w:val="28"/>
                <w:highlight w:val="none"/>
              </w:rPr>
              <w:t>标项二</w:t>
            </w:r>
          </w:p>
        </w:tc>
      </w:tr>
      <w:tr w14:paraId="27676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30" w:type="dxa"/>
            <w:noWrap/>
            <w:vAlign w:val="center"/>
          </w:tcPr>
          <w:p w14:paraId="481DCED2">
            <w:pPr>
              <w:widowControl/>
              <w:spacing w:line="360" w:lineRule="auto"/>
              <w:jc w:val="center"/>
              <w:textAlignment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686" w:type="dxa"/>
            <w:noWrap/>
            <w:vAlign w:val="center"/>
          </w:tcPr>
          <w:p w14:paraId="4E5C5AEA">
            <w:pPr>
              <w:widowControl/>
              <w:spacing w:line="360" w:lineRule="auto"/>
              <w:jc w:val="center"/>
              <w:textAlignment w:val="center"/>
              <w:rPr>
                <w:rFonts w:ascii="宋体" w:hAnsi="宋体" w:cs="宋体"/>
                <w:b/>
                <w:bCs/>
                <w:color w:val="auto"/>
                <w:szCs w:val="21"/>
                <w:highlight w:val="none"/>
              </w:rPr>
            </w:pPr>
            <w:r>
              <w:rPr>
                <w:rFonts w:hint="eastAsia" w:ascii="宋体" w:hAnsi="宋体" w:cs="宋体"/>
                <w:b/>
                <w:bCs/>
                <w:color w:val="auto"/>
                <w:szCs w:val="21"/>
                <w:highlight w:val="none"/>
              </w:rPr>
              <w:t>标的名称</w:t>
            </w:r>
          </w:p>
        </w:tc>
        <w:tc>
          <w:tcPr>
            <w:tcW w:w="851" w:type="dxa"/>
            <w:noWrap/>
            <w:vAlign w:val="center"/>
          </w:tcPr>
          <w:p w14:paraId="709003F2">
            <w:pPr>
              <w:widowControl/>
              <w:spacing w:line="360" w:lineRule="auto"/>
              <w:jc w:val="center"/>
              <w:textAlignment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数量</w:t>
            </w:r>
          </w:p>
        </w:tc>
        <w:tc>
          <w:tcPr>
            <w:tcW w:w="710" w:type="dxa"/>
            <w:vAlign w:val="center"/>
          </w:tcPr>
          <w:p w14:paraId="351E0599">
            <w:pPr>
              <w:widowControl/>
              <w:spacing w:line="360" w:lineRule="auto"/>
              <w:jc w:val="center"/>
              <w:textAlignment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计量</w:t>
            </w:r>
            <w:r>
              <w:rPr>
                <w:rFonts w:hint="eastAsia" w:ascii="宋体" w:hAnsi="宋体" w:cs="宋体"/>
                <w:b/>
                <w:bCs/>
                <w:color w:val="auto"/>
                <w:kern w:val="0"/>
                <w:szCs w:val="21"/>
                <w:highlight w:val="none"/>
              </w:rPr>
              <w:br w:type="textWrapping"/>
            </w:r>
            <w:r>
              <w:rPr>
                <w:rFonts w:hint="eastAsia" w:ascii="宋体" w:hAnsi="宋体" w:cs="宋体"/>
                <w:b/>
                <w:bCs/>
                <w:color w:val="auto"/>
                <w:kern w:val="0"/>
                <w:szCs w:val="21"/>
                <w:highlight w:val="none"/>
              </w:rPr>
              <w:t>单位</w:t>
            </w:r>
          </w:p>
        </w:tc>
        <w:tc>
          <w:tcPr>
            <w:tcW w:w="4657" w:type="dxa"/>
            <w:vAlign w:val="center"/>
          </w:tcPr>
          <w:p w14:paraId="47FE35FC">
            <w:pPr>
              <w:widowControl/>
              <w:spacing w:line="360" w:lineRule="auto"/>
              <w:jc w:val="center"/>
              <w:textAlignment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技术参数及性能（配置）要求</w:t>
            </w:r>
          </w:p>
        </w:tc>
        <w:tc>
          <w:tcPr>
            <w:tcW w:w="1354" w:type="dxa"/>
            <w:vAlign w:val="center"/>
          </w:tcPr>
          <w:p w14:paraId="70C59674">
            <w:pPr>
              <w:widowControl/>
              <w:spacing w:line="360" w:lineRule="auto"/>
              <w:jc w:val="center"/>
              <w:textAlignment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采购控制单价（元）</w:t>
            </w:r>
          </w:p>
        </w:tc>
      </w:tr>
      <w:tr w14:paraId="151CF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630" w:type="dxa"/>
            <w:noWrap/>
            <w:vAlign w:val="center"/>
          </w:tcPr>
          <w:p w14:paraId="5C946571">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w:t>
            </w:r>
          </w:p>
        </w:tc>
        <w:tc>
          <w:tcPr>
            <w:tcW w:w="1686" w:type="dxa"/>
            <w:vAlign w:val="center"/>
          </w:tcPr>
          <w:p w14:paraId="10F527CA">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雷达视频一体机</w:t>
            </w:r>
          </w:p>
        </w:tc>
        <w:tc>
          <w:tcPr>
            <w:tcW w:w="851" w:type="dxa"/>
            <w:noWrap/>
            <w:vAlign w:val="center"/>
          </w:tcPr>
          <w:p w14:paraId="0886E7E8">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15</w:t>
            </w:r>
          </w:p>
        </w:tc>
        <w:tc>
          <w:tcPr>
            <w:tcW w:w="710" w:type="dxa"/>
            <w:noWrap/>
            <w:vAlign w:val="center"/>
          </w:tcPr>
          <w:p w14:paraId="60C133A6">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台</w:t>
            </w:r>
          </w:p>
        </w:tc>
        <w:tc>
          <w:tcPr>
            <w:tcW w:w="4657" w:type="dxa"/>
            <w:vAlign w:val="center"/>
          </w:tcPr>
          <w:p w14:paraId="2B286E99">
            <w:pPr>
              <w:widowControl/>
              <w:spacing w:line="360" w:lineRule="auto"/>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1、防护等级为IP66。具有专业防尘、防水、防拆、抗腐蚀功能，适合生产恶劣环境使用。</w:t>
            </w:r>
          </w:p>
          <w:p w14:paraId="6387DF28">
            <w:pPr>
              <w:widowControl/>
              <w:spacing w:line="360" w:lineRule="auto"/>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2、支持毫米波雷达， 支持双向≥4车道多目标轨迹跟踪检测及目标可视化，内置车辆特征识别功能、车辆轨迹跟踪。</w:t>
            </w:r>
          </w:p>
          <w:p w14:paraId="505E4257">
            <w:pPr>
              <w:widowControl/>
              <w:spacing w:line="360" w:lineRule="auto"/>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3、摄像机分辨率支持≥800万,支持最低照度：彩色≤0.01Lux，黑白≤0.001Lux，亮度等级≥11级，支持网络与RS485数据上传。</w:t>
            </w:r>
          </w:p>
          <w:p w14:paraId="1F51D525">
            <w:pPr>
              <w:widowControl/>
              <w:spacing w:line="360" w:lineRule="auto"/>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4、视频和抓拍图片分辨率支持（3840×2160）像素，雷达检测范围可自动适配覆盖视频监控检测范围。</w:t>
            </w:r>
          </w:p>
          <w:p w14:paraId="66B45023">
            <w:pPr>
              <w:widowControl/>
              <w:spacing w:line="360" w:lineRule="auto"/>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5、支持在视频预览画面实时显示雷达检测目标的速度信息，并可叠加到视频预览画面中的目标的位置。</w:t>
            </w:r>
          </w:p>
          <w:p w14:paraId="3E283FB0">
            <w:pPr>
              <w:widowControl/>
              <w:spacing w:line="360" w:lineRule="auto"/>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6、支持区分距离≤0.5m的相邻交通目标</w:t>
            </w:r>
            <w:r>
              <w:rPr>
                <w:rFonts w:hint="eastAsia" w:ascii="宋体" w:hAnsi="宋体" w:cs="宋体"/>
                <w:b/>
                <w:bCs/>
                <w:color w:val="auto"/>
                <w:kern w:val="0"/>
                <w:szCs w:val="21"/>
                <w:highlight w:val="none"/>
              </w:rPr>
              <w:t>[供应商于响应文件中必须提供由国家认可的第三方检测机构出具的所竞产品符合本项技术要求的合格有效的检验（检测）报告证明，并加盖供应商电子签章，否则响应文件按无效处理</w:t>
            </w:r>
            <w:r>
              <w:rPr>
                <w:rFonts w:hint="eastAsia" w:ascii="宋体" w:hAnsi="宋体" w:cs="宋体"/>
                <w:color w:val="auto"/>
                <w:kern w:val="0"/>
                <w:szCs w:val="21"/>
                <w:highlight w:val="none"/>
              </w:rPr>
              <w:t>]。</w:t>
            </w:r>
          </w:p>
          <w:p w14:paraId="0D1EC91F">
            <w:pPr>
              <w:widowControl/>
              <w:spacing w:line="360" w:lineRule="auto"/>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7、支持雷达检测和视频检测结果坐标融合，支持手动标定，自动标定。</w:t>
            </w:r>
          </w:p>
          <w:p w14:paraId="22B6DE98">
            <w:pPr>
              <w:widowControl/>
              <w:spacing w:line="360" w:lineRule="auto"/>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8、支持检测的机动车车道数量≥12个</w:t>
            </w:r>
            <w:r>
              <w:rPr>
                <w:rFonts w:hint="eastAsia" w:ascii="宋体" w:hAnsi="宋体" w:cs="宋体"/>
                <w:b/>
                <w:bCs/>
                <w:color w:val="auto"/>
                <w:kern w:val="0"/>
                <w:szCs w:val="21"/>
                <w:highlight w:val="none"/>
              </w:rPr>
              <w:t>[供应商于响应文件中必须提供由国家认可的第三方检测机构出具的所竞产品符合本项技术要求的合格有效的检验（检测）报告证明，并加盖供应商电子签章，否则响应文件按无效处理</w:t>
            </w:r>
            <w:r>
              <w:rPr>
                <w:rFonts w:hint="eastAsia" w:ascii="宋体" w:hAnsi="宋体" w:cs="宋体"/>
                <w:color w:val="auto"/>
                <w:kern w:val="0"/>
                <w:szCs w:val="21"/>
                <w:highlight w:val="none"/>
              </w:rPr>
              <w:t>]。</w:t>
            </w:r>
          </w:p>
          <w:p w14:paraId="6176ECBB">
            <w:pPr>
              <w:widowControl/>
              <w:spacing w:line="360" w:lineRule="auto"/>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9、支持实时显示目标的相对位置坐标输出、车道号、速度、航向角。</w:t>
            </w:r>
          </w:p>
          <w:p w14:paraId="410ECEB2">
            <w:pPr>
              <w:widowControl/>
              <w:spacing w:line="360" w:lineRule="auto"/>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10、支持实时输出检测目标的经纬度信息。</w:t>
            </w:r>
          </w:p>
          <w:p w14:paraId="0F722D11">
            <w:pPr>
              <w:widowControl/>
              <w:spacing w:line="360" w:lineRule="auto"/>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11、支持对雷达参数进行设置，包括检测速度、原点坐标、车道数、车道宽度、方向、架设高度、距离修正参数、角度修正参数；支持对单车道的平均速度进行统计，在（-3km/h）的误差范围内，经过检测区域的平均速度统计准确率≥99%。</w:t>
            </w:r>
          </w:p>
          <w:p w14:paraId="74CF58A0">
            <w:pPr>
              <w:widowControl/>
              <w:spacing w:line="360" w:lineRule="auto"/>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12、支持对≥100个交通目标进行检测，可对交通目标进行轨迹跟踪监测[</w:t>
            </w:r>
            <w:r>
              <w:rPr>
                <w:rFonts w:hint="eastAsia" w:ascii="宋体" w:hAnsi="宋体" w:cs="宋体"/>
                <w:b/>
                <w:bCs/>
                <w:color w:val="auto"/>
                <w:kern w:val="0"/>
                <w:szCs w:val="21"/>
                <w:highlight w:val="none"/>
              </w:rPr>
              <w:t>供应商于响应文件中必须提供由国家认可的第三方检测机构出具的所竞产品符合本项技术要求的合格有效的检验（检测）报告证明，并加盖供应商电子签章，否则响应文件按无效处理</w:t>
            </w:r>
            <w:r>
              <w:rPr>
                <w:rFonts w:hint="eastAsia" w:ascii="宋体" w:hAnsi="宋体" w:cs="宋体"/>
                <w:color w:val="auto"/>
                <w:kern w:val="0"/>
                <w:szCs w:val="21"/>
                <w:highlight w:val="none"/>
              </w:rPr>
              <w:t>]。</w:t>
            </w:r>
          </w:p>
          <w:p w14:paraId="42D09FCD">
            <w:pPr>
              <w:widowControl/>
              <w:spacing w:line="360" w:lineRule="auto"/>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13、支持目标轨迹跟踪和显示，可在web端展示目标轨迹。</w:t>
            </w:r>
          </w:p>
          <w:p w14:paraId="17F29C80">
            <w:pPr>
              <w:widowControl/>
              <w:spacing w:line="360" w:lineRule="auto"/>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14、支持实时输出目标的结构化信息，结构化信息包括车牌号、车牌颜色、车辆类型、车辆颜色、速度、车道号等；可检测来向行驶和去向行驶的车辆目标。</w:t>
            </w:r>
          </w:p>
          <w:p w14:paraId="68AF7D83">
            <w:pPr>
              <w:widowControl/>
              <w:spacing w:line="360" w:lineRule="auto"/>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15、在夜间环境照度较低的情况下，通过雷达视频融合检测车辆目标，抓拍率≥99%。</w:t>
            </w:r>
          </w:p>
          <w:p w14:paraId="7176D315">
            <w:pPr>
              <w:widowControl/>
              <w:spacing w:line="360" w:lineRule="auto"/>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16、支持区域状态数据输出，包括秒级排队长度、车辆数、队首/尾车辆信息、车道车辆分布信息等。</w:t>
            </w:r>
          </w:p>
          <w:p w14:paraId="24187164">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17、设备上传的数据、图片等兼容学校现有测速系统。</w:t>
            </w:r>
          </w:p>
        </w:tc>
        <w:tc>
          <w:tcPr>
            <w:tcW w:w="1354" w:type="dxa"/>
            <w:vAlign w:val="center"/>
          </w:tcPr>
          <w:p w14:paraId="6A720631">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16000</w:t>
            </w:r>
          </w:p>
        </w:tc>
      </w:tr>
      <w:tr w14:paraId="6678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630" w:type="dxa"/>
            <w:noWrap/>
            <w:vAlign w:val="center"/>
          </w:tcPr>
          <w:p w14:paraId="694220A1">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2</w:t>
            </w:r>
          </w:p>
        </w:tc>
        <w:tc>
          <w:tcPr>
            <w:tcW w:w="1686" w:type="dxa"/>
            <w:noWrap/>
            <w:vAlign w:val="center"/>
          </w:tcPr>
          <w:p w14:paraId="1E77DBD8">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摄像杆</w:t>
            </w:r>
          </w:p>
        </w:tc>
        <w:tc>
          <w:tcPr>
            <w:tcW w:w="851" w:type="dxa"/>
            <w:noWrap/>
            <w:vAlign w:val="center"/>
          </w:tcPr>
          <w:p w14:paraId="1DEB6287">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3</w:t>
            </w:r>
          </w:p>
        </w:tc>
        <w:tc>
          <w:tcPr>
            <w:tcW w:w="710" w:type="dxa"/>
            <w:noWrap/>
            <w:vAlign w:val="center"/>
          </w:tcPr>
          <w:p w14:paraId="211FD023">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套</w:t>
            </w:r>
          </w:p>
        </w:tc>
        <w:tc>
          <w:tcPr>
            <w:tcW w:w="4657" w:type="dxa"/>
            <w:vAlign w:val="center"/>
          </w:tcPr>
          <w:p w14:paraId="60F3EE4B">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悬臂杆，立柱φ180*6500，横臂φ140*6000，基础1000*1000*1500砼现浇</w:t>
            </w:r>
          </w:p>
        </w:tc>
        <w:tc>
          <w:tcPr>
            <w:tcW w:w="1354" w:type="dxa"/>
            <w:vAlign w:val="center"/>
          </w:tcPr>
          <w:p w14:paraId="6B523592">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4300</w:t>
            </w:r>
          </w:p>
        </w:tc>
      </w:tr>
      <w:tr w14:paraId="3E252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630" w:type="dxa"/>
            <w:shd w:val="clear" w:color="auto" w:fill="auto"/>
            <w:noWrap/>
            <w:vAlign w:val="center"/>
          </w:tcPr>
          <w:p w14:paraId="54D730A4">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3</w:t>
            </w:r>
          </w:p>
        </w:tc>
        <w:tc>
          <w:tcPr>
            <w:tcW w:w="1686" w:type="dxa"/>
            <w:shd w:val="clear" w:color="000000" w:fill="FFFFFF"/>
            <w:noWrap/>
            <w:vAlign w:val="center"/>
          </w:tcPr>
          <w:p w14:paraId="16110A53">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挂杆箱</w:t>
            </w:r>
          </w:p>
        </w:tc>
        <w:tc>
          <w:tcPr>
            <w:tcW w:w="851" w:type="dxa"/>
            <w:shd w:val="clear" w:color="auto" w:fill="auto"/>
            <w:noWrap/>
            <w:vAlign w:val="center"/>
          </w:tcPr>
          <w:p w14:paraId="07EFD118">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3</w:t>
            </w:r>
          </w:p>
        </w:tc>
        <w:tc>
          <w:tcPr>
            <w:tcW w:w="710" w:type="dxa"/>
            <w:shd w:val="clear" w:color="000000" w:fill="FFFFFF"/>
            <w:noWrap/>
            <w:vAlign w:val="center"/>
          </w:tcPr>
          <w:p w14:paraId="6934F675">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个</w:t>
            </w:r>
          </w:p>
        </w:tc>
        <w:tc>
          <w:tcPr>
            <w:tcW w:w="4657" w:type="dxa"/>
            <w:vAlign w:val="center"/>
          </w:tcPr>
          <w:p w14:paraId="3AE8346C">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1.0mm冷轧板制作，外表面静电喷涂，箱体尺寸450*200*360mm，内置防雷器、空气开关，排插、安装隔板等</w:t>
            </w:r>
          </w:p>
        </w:tc>
        <w:tc>
          <w:tcPr>
            <w:tcW w:w="1354" w:type="dxa"/>
            <w:vAlign w:val="center"/>
          </w:tcPr>
          <w:p w14:paraId="74FD85D5">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600</w:t>
            </w:r>
          </w:p>
        </w:tc>
      </w:tr>
      <w:tr w14:paraId="37E5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630" w:type="dxa"/>
            <w:shd w:val="clear" w:color="auto" w:fill="auto"/>
            <w:noWrap/>
            <w:vAlign w:val="center"/>
          </w:tcPr>
          <w:p w14:paraId="7A66F376">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4</w:t>
            </w:r>
          </w:p>
        </w:tc>
        <w:tc>
          <w:tcPr>
            <w:tcW w:w="1686" w:type="dxa"/>
            <w:shd w:val="clear" w:color="000000" w:fill="FFFFFF"/>
            <w:noWrap/>
            <w:vAlign w:val="center"/>
          </w:tcPr>
          <w:p w14:paraId="0FE1012F">
            <w:pPr>
              <w:widowControl/>
              <w:spacing w:line="360" w:lineRule="auto"/>
              <w:jc w:val="center"/>
              <w:textAlignment w:val="center"/>
              <w:rPr>
                <w:rFonts w:ascii="宋体" w:hAnsi="宋体" w:cs="宋体"/>
                <w:color w:val="auto"/>
                <w:szCs w:val="21"/>
                <w:highlight w:val="none"/>
              </w:rPr>
            </w:pPr>
            <w:r>
              <w:rPr>
                <w:color w:val="auto"/>
                <w:kern w:val="0"/>
                <w:szCs w:val="21"/>
                <w:highlight w:val="none"/>
              </w:rPr>
              <w:t>边缘计算工作站</w:t>
            </w:r>
          </w:p>
        </w:tc>
        <w:tc>
          <w:tcPr>
            <w:tcW w:w="851" w:type="dxa"/>
            <w:shd w:val="clear" w:color="auto" w:fill="auto"/>
            <w:noWrap/>
            <w:vAlign w:val="center"/>
          </w:tcPr>
          <w:p w14:paraId="622588DF">
            <w:pPr>
              <w:widowControl/>
              <w:spacing w:line="360" w:lineRule="auto"/>
              <w:jc w:val="center"/>
              <w:textAlignment w:val="center"/>
              <w:rPr>
                <w:rFonts w:ascii="宋体" w:hAnsi="宋体" w:cs="宋体"/>
                <w:color w:val="auto"/>
                <w:szCs w:val="21"/>
                <w:highlight w:val="none"/>
              </w:rPr>
            </w:pPr>
            <w:r>
              <w:rPr>
                <w:rFonts w:hint="eastAsia"/>
                <w:color w:val="auto"/>
                <w:kern w:val="0"/>
                <w:szCs w:val="21"/>
                <w:highlight w:val="none"/>
              </w:rPr>
              <w:t>3</w:t>
            </w:r>
          </w:p>
        </w:tc>
        <w:tc>
          <w:tcPr>
            <w:tcW w:w="710" w:type="dxa"/>
            <w:shd w:val="clear" w:color="000000" w:fill="FFFFFF"/>
            <w:noWrap/>
            <w:vAlign w:val="center"/>
          </w:tcPr>
          <w:p w14:paraId="54F470E9">
            <w:pPr>
              <w:widowControl/>
              <w:spacing w:line="360" w:lineRule="auto"/>
              <w:jc w:val="center"/>
              <w:textAlignment w:val="center"/>
              <w:rPr>
                <w:rFonts w:ascii="宋体" w:hAnsi="宋体" w:cs="宋体"/>
                <w:color w:val="auto"/>
                <w:szCs w:val="21"/>
                <w:highlight w:val="none"/>
              </w:rPr>
            </w:pPr>
            <w:r>
              <w:rPr>
                <w:color w:val="auto"/>
                <w:kern w:val="0"/>
                <w:szCs w:val="21"/>
                <w:highlight w:val="none"/>
              </w:rPr>
              <w:t>台</w:t>
            </w:r>
          </w:p>
        </w:tc>
        <w:tc>
          <w:tcPr>
            <w:tcW w:w="4657" w:type="dxa"/>
            <w:vAlign w:val="center"/>
          </w:tcPr>
          <w:p w14:paraId="04E3D9C8">
            <w:pPr>
              <w:widowControl/>
              <w:spacing w:line="360" w:lineRule="auto"/>
              <w:jc w:val="left"/>
              <w:textAlignment w:val="center"/>
              <w:rPr>
                <w:rFonts w:ascii="宋体" w:hAnsi="宋体" w:cs="宋体"/>
                <w:color w:val="auto"/>
                <w:szCs w:val="21"/>
                <w:highlight w:val="none"/>
              </w:rPr>
            </w:pPr>
            <w:r>
              <w:rPr>
                <w:color w:val="auto"/>
                <w:kern w:val="0"/>
                <w:szCs w:val="21"/>
                <w:highlight w:val="none"/>
              </w:rPr>
              <w:t>支持Windows，Linux、Ubuntu操作系统；</w:t>
            </w:r>
            <w:r>
              <w:rPr>
                <w:color w:val="auto"/>
                <w:kern w:val="0"/>
                <w:szCs w:val="21"/>
                <w:highlight w:val="none"/>
              </w:rPr>
              <w:br w:type="textWrapping"/>
            </w:r>
            <w:r>
              <w:rPr>
                <w:color w:val="auto"/>
                <w:kern w:val="0"/>
                <w:szCs w:val="21"/>
                <w:highlight w:val="none"/>
              </w:rPr>
              <w:t>CPU：intel i3处理器，Intel H610E 芯片组，Intel I219V / I226V嵌入式网络控制器，3.30GHz频率；</w:t>
            </w:r>
            <w:r>
              <w:rPr>
                <w:color w:val="auto"/>
                <w:kern w:val="0"/>
                <w:szCs w:val="21"/>
                <w:highlight w:val="none"/>
              </w:rPr>
              <w:br w:type="textWrapping"/>
            </w:r>
            <w:r>
              <w:rPr>
                <w:color w:val="auto"/>
                <w:kern w:val="0"/>
                <w:szCs w:val="21"/>
                <w:highlight w:val="none"/>
              </w:rPr>
              <w:t>GPU：Intel UHD Graphics 770</w:t>
            </w:r>
            <w:r>
              <w:rPr>
                <w:color w:val="auto"/>
                <w:kern w:val="0"/>
                <w:szCs w:val="21"/>
                <w:highlight w:val="none"/>
              </w:rPr>
              <w:br w:type="textWrapping"/>
            </w:r>
            <w:r>
              <w:rPr>
                <w:color w:val="auto"/>
                <w:kern w:val="0"/>
                <w:szCs w:val="21"/>
                <w:highlight w:val="none"/>
              </w:rPr>
              <w:t>缓存：12MB</w:t>
            </w:r>
            <w:r>
              <w:rPr>
                <w:color w:val="auto"/>
                <w:kern w:val="0"/>
                <w:szCs w:val="21"/>
                <w:highlight w:val="none"/>
              </w:rPr>
              <w:br w:type="textWrapping"/>
            </w:r>
            <w:r>
              <w:rPr>
                <w:color w:val="auto"/>
                <w:kern w:val="0"/>
                <w:szCs w:val="21"/>
                <w:highlight w:val="none"/>
              </w:rPr>
              <w:t>内存：8GB，</w:t>
            </w:r>
            <w:r>
              <w:rPr>
                <w:color w:val="auto"/>
                <w:kern w:val="0"/>
                <w:szCs w:val="21"/>
                <w:highlight w:val="none"/>
              </w:rPr>
              <w:br w:type="textWrapping"/>
            </w:r>
            <w:r>
              <w:rPr>
                <w:color w:val="auto"/>
                <w:kern w:val="0"/>
                <w:szCs w:val="21"/>
                <w:highlight w:val="none"/>
              </w:rPr>
              <w:t>存储：256GB</w:t>
            </w:r>
          </w:p>
        </w:tc>
        <w:tc>
          <w:tcPr>
            <w:tcW w:w="1354" w:type="dxa"/>
            <w:vAlign w:val="center"/>
          </w:tcPr>
          <w:p w14:paraId="6425926F">
            <w:pPr>
              <w:widowControl/>
              <w:spacing w:line="360" w:lineRule="auto"/>
              <w:jc w:val="center"/>
              <w:textAlignment w:val="center"/>
              <w:rPr>
                <w:rFonts w:ascii="宋体" w:hAnsi="宋体" w:cs="宋体"/>
                <w:color w:val="auto"/>
                <w:szCs w:val="21"/>
                <w:highlight w:val="none"/>
              </w:rPr>
            </w:pPr>
            <w:r>
              <w:rPr>
                <w:color w:val="auto"/>
                <w:kern w:val="0"/>
                <w:szCs w:val="21"/>
                <w:highlight w:val="none"/>
              </w:rPr>
              <w:t>8200</w:t>
            </w:r>
          </w:p>
        </w:tc>
      </w:tr>
      <w:tr w14:paraId="1F1B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630" w:type="dxa"/>
            <w:shd w:val="clear" w:color="auto" w:fill="auto"/>
            <w:noWrap/>
            <w:vAlign w:val="center"/>
          </w:tcPr>
          <w:p w14:paraId="2E48080F">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5</w:t>
            </w:r>
          </w:p>
        </w:tc>
        <w:tc>
          <w:tcPr>
            <w:tcW w:w="1686" w:type="dxa"/>
            <w:shd w:val="clear" w:color="000000" w:fill="FFFFFF"/>
            <w:noWrap/>
            <w:vAlign w:val="center"/>
          </w:tcPr>
          <w:p w14:paraId="76951B36">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交通管理信息发布终端1</w:t>
            </w:r>
          </w:p>
        </w:tc>
        <w:tc>
          <w:tcPr>
            <w:tcW w:w="851" w:type="dxa"/>
            <w:shd w:val="clear" w:color="auto" w:fill="auto"/>
            <w:noWrap/>
            <w:vAlign w:val="center"/>
          </w:tcPr>
          <w:p w14:paraId="5B69BE51">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15</w:t>
            </w:r>
          </w:p>
        </w:tc>
        <w:tc>
          <w:tcPr>
            <w:tcW w:w="710" w:type="dxa"/>
            <w:shd w:val="clear" w:color="000000" w:fill="FFFFFF"/>
            <w:noWrap/>
            <w:vAlign w:val="center"/>
          </w:tcPr>
          <w:p w14:paraId="02E87FA2">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块</w:t>
            </w:r>
          </w:p>
        </w:tc>
        <w:tc>
          <w:tcPr>
            <w:tcW w:w="4657" w:type="dxa"/>
            <w:vAlign w:val="center"/>
          </w:tcPr>
          <w:p w14:paraId="31593912">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交通管理信息专用户外发布终端，显示区尺寸为960*1280mm，RGB三基色P10点阵间距，模块化设计，互联网控制卡，支持屏幕显示内容回读功能。</w:t>
            </w:r>
          </w:p>
        </w:tc>
        <w:tc>
          <w:tcPr>
            <w:tcW w:w="1354" w:type="dxa"/>
            <w:vAlign w:val="center"/>
          </w:tcPr>
          <w:p w14:paraId="65DF7C58">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8500</w:t>
            </w:r>
          </w:p>
        </w:tc>
      </w:tr>
      <w:tr w14:paraId="48DA9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630" w:type="dxa"/>
            <w:shd w:val="clear" w:color="auto" w:fill="auto"/>
            <w:noWrap/>
            <w:vAlign w:val="center"/>
          </w:tcPr>
          <w:p w14:paraId="1FB21891">
            <w:pPr>
              <w:widowControl/>
              <w:spacing w:line="360"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1686" w:type="dxa"/>
            <w:shd w:val="clear" w:color="000000" w:fill="FFFFFF"/>
            <w:noWrap/>
            <w:vAlign w:val="center"/>
          </w:tcPr>
          <w:p w14:paraId="0818D60B">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小屏立杆</w:t>
            </w:r>
          </w:p>
        </w:tc>
        <w:tc>
          <w:tcPr>
            <w:tcW w:w="851" w:type="dxa"/>
            <w:shd w:val="clear" w:color="auto" w:fill="auto"/>
            <w:noWrap/>
            <w:vAlign w:val="center"/>
          </w:tcPr>
          <w:p w14:paraId="369230AC">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17</w:t>
            </w:r>
          </w:p>
        </w:tc>
        <w:tc>
          <w:tcPr>
            <w:tcW w:w="710" w:type="dxa"/>
            <w:shd w:val="clear" w:color="000000" w:fill="FFFFFF"/>
            <w:noWrap/>
            <w:vAlign w:val="center"/>
          </w:tcPr>
          <w:p w14:paraId="01C19C8E">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套</w:t>
            </w:r>
          </w:p>
        </w:tc>
        <w:tc>
          <w:tcPr>
            <w:tcW w:w="4657" w:type="dxa"/>
            <w:vAlign w:val="center"/>
          </w:tcPr>
          <w:p w14:paraId="41C12CF9">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单柱式杆件，立柱φ89*2500mm，不锈钢管制作，含杆顶侧斜撑；基础开挖尺寸1000*1000*1200mm，C25砼现浇，4根M20*700mm预埋螺栓，基础法兰400*400*20mm</w:t>
            </w:r>
          </w:p>
        </w:tc>
        <w:tc>
          <w:tcPr>
            <w:tcW w:w="1354" w:type="dxa"/>
            <w:vAlign w:val="center"/>
          </w:tcPr>
          <w:p w14:paraId="71B51347">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650</w:t>
            </w:r>
          </w:p>
        </w:tc>
      </w:tr>
      <w:tr w14:paraId="49071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630" w:type="dxa"/>
            <w:shd w:val="clear" w:color="auto" w:fill="auto"/>
            <w:noWrap/>
            <w:vAlign w:val="center"/>
          </w:tcPr>
          <w:p w14:paraId="2F6DD925">
            <w:pPr>
              <w:widowControl/>
              <w:spacing w:line="360"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1686" w:type="dxa"/>
            <w:shd w:val="clear" w:color="000000" w:fill="FFFFFF"/>
            <w:noWrap/>
            <w:vAlign w:val="center"/>
          </w:tcPr>
          <w:p w14:paraId="37B7A391">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辅材</w:t>
            </w:r>
          </w:p>
        </w:tc>
        <w:tc>
          <w:tcPr>
            <w:tcW w:w="851" w:type="dxa"/>
            <w:shd w:val="clear" w:color="auto" w:fill="auto"/>
            <w:noWrap/>
            <w:vAlign w:val="center"/>
          </w:tcPr>
          <w:p w14:paraId="7C42CE71">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w:t>
            </w:r>
          </w:p>
        </w:tc>
        <w:tc>
          <w:tcPr>
            <w:tcW w:w="710" w:type="dxa"/>
            <w:shd w:val="clear" w:color="000000" w:fill="FFFFFF"/>
            <w:noWrap/>
            <w:vAlign w:val="center"/>
          </w:tcPr>
          <w:p w14:paraId="798DD6AD">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项</w:t>
            </w:r>
          </w:p>
        </w:tc>
        <w:tc>
          <w:tcPr>
            <w:tcW w:w="4657" w:type="dxa"/>
            <w:vAlign w:val="center"/>
          </w:tcPr>
          <w:p w14:paraId="549EDF57">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RVV2*2.供电电源线，超五类室外网线，单模四芯光纤、交换机等</w:t>
            </w:r>
          </w:p>
        </w:tc>
        <w:tc>
          <w:tcPr>
            <w:tcW w:w="1354" w:type="dxa"/>
            <w:vAlign w:val="center"/>
          </w:tcPr>
          <w:p w14:paraId="7BAE5E65">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12150</w:t>
            </w:r>
          </w:p>
        </w:tc>
      </w:tr>
      <w:tr w14:paraId="5C731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630" w:type="dxa"/>
            <w:shd w:val="clear" w:color="auto" w:fill="auto"/>
            <w:noWrap/>
            <w:vAlign w:val="center"/>
          </w:tcPr>
          <w:p w14:paraId="5ECF3D88">
            <w:pPr>
              <w:widowControl/>
              <w:spacing w:line="360"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1686" w:type="dxa"/>
            <w:shd w:val="clear" w:color="000000" w:fill="FFFFFF"/>
            <w:noWrap/>
            <w:vAlign w:val="center"/>
          </w:tcPr>
          <w:p w14:paraId="7E083F76">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软件升级</w:t>
            </w:r>
          </w:p>
        </w:tc>
        <w:tc>
          <w:tcPr>
            <w:tcW w:w="851" w:type="dxa"/>
            <w:shd w:val="clear" w:color="auto" w:fill="auto"/>
            <w:noWrap/>
            <w:vAlign w:val="center"/>
          </w:tcPr>
          <w:p w14:paraId="6D691E67">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w:t>
            </w:r>
          </w:p>
        </w:tc>
        <w:tc>
          <w:tcPr>
            <w:tcW w:w="710" w:type="dxa"/>
            <w:shd w:val="clear" w:color="000000" w:fill="FFFFFF"/>
            <w:noWrap/>
            <w:vAlign w:val="center"/>
          </w:tcPr>
          <w:p w14:paraId="260A0334">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套</w:t>
            </w:r>
          </w:p>
        </w:tc>
        <w:tc>
          <w:tcPr>
            <w:tcW w:w="4657" w:type="dxa"/>
            <w:vAlign w:val="center"/>
          </w:tcPr>
          <w:p w14:paraId="5B1BA951">
            <w:pPr>
              <w:widowControl/>
              <w:spacing w:line="360" w:lineRule="auto"/>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根据测速系统的功能需求，升级开发包含但不限于以下功能的综合管理软件：</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1、新增测速点位及设备，按照现有系统要求接入；</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2、超速车辆短信提醒功能完善，含临时登记预约车辆超速提醒；</w:t>
            </w:r>
          </w:p>
          <w:p w14:paraId="2E26C446">
            <w:pPr>
              <w:widowControl/>
              <w:spacing w:line="360" w:lineRule="auto"/>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3、对接校园停车管理系统，对预约车、超速黑名单车辆进行数据同步；</w:t>
            </w:r>
          </w:p>
          <w:p w14:paraId="5B6BD832">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4、优化非机动车抓拍人脸识别后预览功能；</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5、根据招标人实际要求开发的其它系统功能。</w:t>
            </w:r>
          </w:p>
        </w:tc>
        <w:tc>
          <w:tcPr>
            <w:tcW w:w="1354" w:type="dxa"/>
            <w:vAlign w:val="center"/>
          </w:tcPr>
          <w:p w14:paraId="7C98D6D4">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20000</w:t>
            </w:r>
          </w:p>
        </w:tc>
      </w:tr>
      <w:tr w14:paraId="2A33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888" w:type="dxa"/>
            <w:gridSpan w:val="6"/>
            <w:noWrap/>
            <w:vAlign w:val="center"/>
          </w:tcPr>
          <w:p w14:paraId="1B206C09">
            <w:pPr>
              <w:widowControl/>
              <w:spacing w:line="360" w:lineRule="auto"/>
              <w:textAlignment w:val="center"/>
              <w:rPr>
                <w:rFonts w:ascii="宋体" w:hAnsi="宋体" w:cs="宋体"/>
                <w:color w:val="auto"/>
                <w:szCs w:val="21"/>
                <w:highlight w:val="none"/>
              </w:rPr>
            </w:pPr>
            <w:r>
              <w:rPr>
                <w:rFonts w:hint="eastAsia" w:ascii="宋体" w:hAnsi="宋体" w:cs="宋体"/>
                <w:b/>
                <w:color w:val="auto"/>
                <w:szCs w:val="21"/>
                <w:highlight w:val="none"/>
              </w:rPr>
              <w:t>商务要求表：</w:t>
            </w:r>
          </w:p>
        </w:tc>
      </w:tr>
      <w:tr w14:paraId="0EA17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316" w:type="dxa"/>
            <w:gridSpan w:val="2"/>
            <w:noWrap/>
            <w:vAlign w:val="center"/>
          </w:tcPr>
          <w:p w14:paraId="21E0FEF7">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合同签订时间</w:t>
            </w:r>
          </w:p>
        </w:tc>
        <w:tc>
          <w:tcPr>
            <w:tcW w:w="7572" w:type="dxa"/>
            <w:gridSpan w:val="4"/>
            <w:noWrap/>
            <w:vAlign w:val="center"/>
          </w:tcPr>
          <w:p w14:paraId="53542B9C">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自成交通知书发出之日起25日内（成交人需在成交通知书发出之日起15日内反馈签订的合同文本于采购人）。</w:t>
            </w:r>
          </w:p>
        </w:tc>
      </w:tr>
      <w:tr w14:paraId="4BB3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316" w:type="dxa"/>
            <w:gridSpan w:val="2"/>
            <w:noWrap/>
            <w:vAlign w:val="center"/>
          </w:tcPr>
          <w:p w14:paraId="7663411D">
            <w:pPr>
              <w:jc w:val="center"/>
              <w:rPr>
                <w:rFonts w:ascii="宋体" w:hAnsi="宋体" w:cs="宋体"/>
                <w:b/>
                <w:bCs/>
                <w:color w:val="auto"/>
                <w:szCs w:val="21"/>
                <w:highlight w:val="none"/>
              </w:rPr>
            </w:pPr>
            <w:r>
              <w:rPr>
                <w:rFonts w:hint="eastAsia" w:ascii="宋体" w:hAnsi="宋体" w:cs="宋体"/>
                <w:b/>
                <w:bCs/>
                <w:color w:val="auto"/>
                <w:szCs w:val="21"/>
                <w:highlight w:val="none"/>
              </w:rPr>
              <w:t>交货时间及地点</w:t>
            </w:r>
          </w:p>
        </w:tc>
        <w:tc>
          <w:tcPr>
            <w:tcW w:w="7572" w:type="dxa"/>
            <w:gridSpan w:val="4"/>
            <w:noWrap/>
            <w:vAlign w:val="center"/>
          </w:tcPr>
          <w:p w14:paraId="3D1A7C39">
            <w:pPr>
              <w:tabs>
                <w:tab w:val="left" w:pos="420"/>
              </w:tabs>
              <w:spacing w:line="360" w:lineRule="auto"/>
              <w:ind w:firstLine="420" w:firstLineChars="200"/>
              <w:rPr>
                <w:color w:val="auto"/>
                <w:szCs w:val="21"/>
                <w:highlight w:val="none"/>
              </w:rPr>
            </w:pPr>
            <w:r>
              <w:rPr>
                <w:rFonts w:hint="eastAsia"/>
                <w:color w:val="auto"/>
                <w:szCs w:val="21"/>
                <w:highlight w:val="none"/>
              </w:rPr>
              <w:t>交货时间：</w:t>
            </w:r>
            <w:r>
              <w:rPr>
                <w:rFonts w:hint="eastAsia" w:ascii="宋体" w:hAnsi="宋体" w:cs="宋体"/>
                <w:color w:val="auto"/>
                <w:szCs w:val="21"/>
                <w:highlight w:val="none"/>
              </w:rPr>
              <w:t>自签订合同之日起60个日历天</w:t>
            </w:r>
            <w:r>
              <w:rPr>
                <w:color w:val="auto"/>
                <w:kern w:val="0"/>
                <w:sz w:val="22"/>
                <w:szCs w:val="22"/>
                <w:highlight w:val="none"/>
              </w:rPr>
              <w:t>内到货并安装</w:t>
            </w:r>
            <w:r>
              <w:rPr>
                <w:rFonts w:hint="eastAsia"/>
                <w:color w:val="auto"/>
                <w:kern w:val="0"/>
                <w:sz w:val="22"/>
                <w:szCs w:val="22"/>
                <w:highlight w:val="none"/>
              </w:rPr>
              <w:t>调试验收</w:t>
            </w:r>
            <w:r>
              <w:rPr>
                <w:color w:val="auto"/>
                <w:kern w:val="0"/>
                <w:sz w:val="22"/>
                <w:szCs w:val="22"/>
                <w:highlight w:val="none"/>
              </w:rPr>
              <w:t>完毕</w:t>
            </w:r>
            <w:r>
              <w:rPr>
                <w:rFonts w:hint="eastAsia" w:ascii="宋体" w:hAnsi="宋体" w:cs="宋体"/>
                <w:color w:val="auto"/>
                <w:szCs w:val="21"/>
                <w:highlight w:val="none"/>
              </w:rPr>
              <w:t>。</w:t>
            </w:r>
          </w:p>
          <w:p w14:paraId="017F6586">
            <w:pPr>
              <w:tabs>
                <w:tab w:val="left" w:pos="420"/>
              </w:tabs>
              <w:spacing w:line="360" w:lineRule="auto"/>
              <w:ind w:firstLine="420" w:firstLineChars="200"/>
              <w:rPr>
                <w:rFonts w:ascii="宋体" w:hAnsi="宋体" w:cs="宋体"/>
                <w:color w:val="auto"/>
                <w:szCs w:val="21"/>
                <w:highlight w:val="none"/>
              </w:rPr>
            </w:pPr>
            <w:r>
              <w:rPr>
                <w:rFonts w:hint="eastAsia"/>
                <w:color w:val="auto"/>
                <w:szCs w:val="21"/>
                <w:highlight w:val="none"/>
              </w:rPr>
              <w:t>交货地点：</w:t>
            </w:r>
            <w:r>
              <w:rPr>
                <w:rFonts w:hint="eastAsia" w:ascii="宋体" w:hAnsi="宋体" w:cs="宋体"/>
                <w:color w:val="auto"/>
                <w:szCs w:val="21"/>
                <w:highlight w:val="none"/>
              </w:rPr>
              <w:t>广西师范大学雁山校区、育才校区。</w:t>
            </w:r>
          </w:p>
        </w:tc>
      </w:tr>
      <w:tr w14:paraId="6C235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316" w:type="dxa"/>
            <w:gridSpan w:val="2"/>
            <w:noWrap/>
            <w:vAlign w:val="center"/>
          </w:tcPr>
          <w:p w14:paraId="41449392">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付款条件（进度和方式）</w:t>
            </w:r>
          </w:p>
        </w:tc>
        <w:tc>
          <w:tcPr>
            <w:tcW w:w="7572" w:type="dxa"/>
            <w:gridSpan w:val="4"/>
            <w:noWrap/>
            <w:vAlign w:val="center"/>
          </w:tcPr>
          <w:p w14:paraId="321D16AA">
            <w:pPr>
              <w:spacing w:line="360" w:lineRule="auto"/>
              <w:ind w:firstLine="411" w:firstLineChars="196"/>
              <w:rPr>
                <w:rFonts w:hint="eastAsia" w:ascii="宋体" w:hAnsi="宋体" w:cs="宋体"/>
                <w:color w:val="auto"/>
                <w:szCs w:val="21"/>
                <w:highlight w:val="none"/>
              </w:rPr>
            </w:pPr>
            <w:r>
              <w:rPr>
                <w:rFonts w:hint="eastAsia" w:ascii="Arial" w:hAnsi="Arial" w:cs="Arial"/>
                <w:color w:val="auto"/>
                <w:szCs w:val="21"/>
                <w:highlight w:val="none"/>
                <w:lang w:val="en-US" w:eastAsia="zh-CN"/>
              </w:rPr>
              <w:t>成交供应商</w:t>
            </w:r>
            <w:r>
              <w:rPr>
                <w:rFonts w:hint="eastAsia" w:ascii="Arial" w:hAnsi="Arial" w:cs="Arial"/>
                <w:color w:val="auto"/>
                <w:szCs w:val="21"/>
                <w:highlight w:val="none"/>
              </w:rPr>
              <w:t>按合同约定交货、测试验收合格后15日内</w:t>
            </w:r>
            <w:r>
              <w:rPr>
                <w:rFonts w:hint="eastAsia" w:ascii="Arial" w:hAnsi="Arial" w:cs="Arial"/>
                <w:color w:val="auto"/>
                <w:szCs w:val="21"/>
                <w:highlight w:val="none"/>
                <w:lang w:val="en-US" w:eastAsia="zh-CN"/>
              </w:rPr>
              <w:t>采购人</w:t>
            </w:r>
            <w:r>
              <w:rPr>
                <w:rFonts w:hint="eastAsia" w:ascii="Arial" w:hAnsi="Arial" w:cs="Arial"/>
                <w:color w:val="auto"/>
                <w:szCs w:val="21"/>
                <w:highlight w:val="none"/>
              </w:rPr>
              <w:t>支付合同总金额的100%，</w:t>
            </w:r>
            <w:r>
              <w:rPr>
                <w:rFonts w:hint="eastAsia" w:ascii="Arial" w:hAnsi="Arial" w:cs="Arial"/>
                <w:color w:val="auto"/>
                <w:szCs w:val="21"/>
                <w:highlight w:val="none"/>
                <w:lang w:val="en-US" w:eastAsia="zh-CN"/>
              </w:rPr>
              <w:t>采购人</w:t>
            </w:r>
            <w:r>
              <w:rPr>
                <w:rFonts w:hint="eastAsia" w:ascii="Arial" w:hAnsi="Arial" w:cs="Arial"/>
                <w:color w:val="auto"/>
                <w:szCs w:val="21"/>
                <w:highlight w:val="none"/>
              </w:rPr>
              <w:t>在支付合同款项前，</w:t>
            </w:r>
            <w:r>
              <w:rPr>
                <w:rFonts w:hint="eastAsia" w:ascii="Arial" w:hAnsi="Arial" w:cs="Arial"/>
                <w:color w:val="auto"/>
                <w:szCs w:val="21"/>
                <w:highlight w:val="none"/>
                <w:lang w:val="en-US" w:eastAsia="zh-CN"/>
              </w:rPr>
              <w:t>成交供应商</w:t>
            </w:r>
            <w:r>
              <w:rPr>
                <w:rFonts w:hint="eastAsia" w:ascii="Arial" w:hAnsi="Arial" w:cs="Arial"/>
                <w:color w:val="auto"/>
                <w:szCs w:val="21"/>
                <w:highlight w:val="none"/>
              </w:rPr>
              <w:t>须按</w:t>
            </w:r>
            <w:r>
              <w:rPr>
                <w:rFonts w:hint="eastAsia" w:ascii="Arial" w:hAnsi="Arial" w:cs="Arial"/>
                <w:color w:val="auto"/>
                <w:szCs w:val="21"/>
                <w:highlight w:val="none"/>
                <w:lang w:val="en-US" w:eastAsia="zh-CN"/>
              </w:rPr>
              <w:t>采购人</w:t>
            </w:r>
            <w:r>
              <w:rPr>
                <w:rFonts w:hint="eastAsia" w:ascii="Arial" w:hAnsi="Arial" w:cs="Arial"/>
                <w:color w:val="auto"/>
                <w:szCs w:val="21"/>
                <w:highlight w:val="none"/>
              </w:rPr>
              <w:t>要求开具相应发票并办理支付手续（无息）。</w:t>
            </w:r>
          </w:p>
        </w:tc>
      </w:tr>
      <w:tr w14:paraId="0E087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316" w:type="dxa"/>
            <w:gridSpan w:val="2"/>
            <w:noWrap/>
            <w:vAlign w:val="center"/>
          </w:tcPr>
          <w:p w14:paraId="182C27A1">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售后服务</w:t>
            </w:r>
          </w:p>
        </w:tc>
        <w:tc>
          <w:tcPr>
            <w:tcW w:w="7572" w:type="dxa"/>
            <w:gridSpan w:val="4"/>
            <w:noWrap/>
            <w:vAlign w:val="center"/>
          </w:tcPr>
          <w:p w14:paraId="7986A89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1.按国家有关产品“三包”规定执行“三包”，免费保修(质保)期自验收合格之日起不少于3年（“技术需求”中有特别规定的从其规定）。</w:t>
            </w:r>
          </w:p>
          <w:p w14:paraId="243F4B3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货物若出现问题60分钟内响应，4小时内派技术人员到现场，并在24小时内完成采购人提出的维修要求（特殊配件更换除外）；如故障不能在48小时内解决，免费保修(质保)期内必须提供备用设备供采购人使用，且不收取任何费用；不能维修、维护的负责换新；非产品质量原因导致的故障，如果需要更换新品及配件的，要求更换的新品及配件应跟被更换的品牌、类型相一致或者是同类同档次的替代品，后者需征得用户方管理人员同意。若产品自带软件的，则须提供免费保修（维护、升级）期内升级服务。</w:t>
            </w:r>
          </w:p>
          <w:p w14:paraId="6C71E6E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3.负责送货上门、提供产品原厂工程师现场安装、安装调试服务、技术培训和12个月远程服务。</w:t>
            </w:r>
          </w:p>
          <w:p w14:paraId="03002A86">
            <w:pPr>
              <w:pStyle w:val="4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bCs/>
                <w:color w:val="auto"/>
                <w:kern w:val="0"/>
                <w:szCs w:val="21"/>
                <w:highlight w:val="none"/>
              </w:rPr>
              <w:t>质量保证期</w:t>
            </w:r>
            <w:r>
              <w:rPr>
                <w:rFonts w:hint="eastAsia" w:ascii="宋体" w:hAnsi="宋体" w:cs="宋体"/>
                <w:color w:val="auto"/>
                <w:szCs w:val="21"/>
                <w:highlight w:val="none"/>
              </w:rPr>
              <w:t>内因设备性能故障检修三次仍不能正常使用的，一个月内重新更换新设备交付采购人。在超出</w:t>
            </w:r>
            <w:r>
              <w:rPr>
                <w:rFonts w:hint="eastAsia" w:ascii="宋体" w:hAnsi="宋体" w:cs="宋体"/>
                <w:bCs/>
                <w:color w:val="auto"/>
                <w:kern w:val="0"/>
                <w:szCs w:val="21"/>
                <w:highlight w:val="none"/>
              </w:rPr>
              <w:t>质量保证期</w:t>
            </w:r>
            <w:r>
              <w:rPr>
                <w:rFonts w:hint="eastAsia" w:ascii="宋体" w:hAnsi="宋体" w:cs="宋体"/>
                <w:color w:val="auto"/>
                <w:szCs w:val="21"/>
                <w:highlight w:val="none"/>
              </w:rPr>
              <w:t>后，如产品发生故障，可派技术员上门服务；如需更换配件，配件均按市场最优惠价格供应。</w:t>
            </w:r>
          </w:p>
          <w:p w14:paraId="2257F2A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5.终身提供技术协助服务。</w:t>
            </w:r>
          </w:p>
          <w:p w14:paraId="408F1488">
            <w:pPr>
              <w:tabs>
                <w:tab w:val="left" w:pos="42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6.提供原厂技术人员对采购人的操作技术培训和相关技术资料。提供不少于2次/每年的主要设备厂商工程师安装配置等实操培训课程，场地、交通等与培训相关的费用均由成交供应商承担。</w:t>
            </w:r>
          </w:p>
          <w:p w14:paraId="0DAC74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7.提供验收与培训时开机实验必需的配件及耗材,以保障验收与培训的正常开展。</w:t>
            </w:r>
          </w:p>
        </w:tc>
      </w:tr>
      <w:tr w14:paraId="1F7A4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316" w:type="dxa"/>
            <w:gridSpan w:val="2"/>
            <w:noWrap/>
            <w:vAlign w:val="center"/>
          </w:tcPr>
          <w:p w14:paraId="455AF95B">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质量保证要求</w:t>
            </w:r>
          </w:p>
        </w:tc>
        <w:tc>
          <w:tcPr>
            <w:tcW w:w="7572" w:type="dxa"/>
            <w:gridSpan w:val="4"/>
            <w:noWrap/>
            <w:vAlign w:val="center"/>
          </w:tcPr>
          <w:p w14:paraId="5F282F7B">
            <w:pPr>
              <w:tabs>
                <w:tab w:val="left" w:pos="420"/>
              </w:tabs>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1</w:t>
            </w:r>
            <w:r>
              <w:rPr>
                <w:rFonts w:hint="eastAsia" w:ascii="宋体" w:hAnsi="宋体" w:cs="宋体"/>
                <w:color w:val="auto"/>
                <w:szCs w:val="21"/>
                <w:highlight w:val="none"/>
              </w:rPr>
              <w:t>.</w:t>
            </w:r>
            <w:r>
              <w:rPr>
                <w:rFonts w:hint="eastAsia" w:ascii="宋体" w:hAnsi="宋体" w:cs="宋体"/>
                <w:color w:val="auto"/>
                <w:kern w:val="0"/>
                <w:szCs w:val="21"/>
                <w:highlight w:val="none"/>
              </w:rPr>
              <w:t>在质量保证期内，对出现的</w:t>
            </w:r>
            <w:r>
              <w:rPr>
                <w:rFonts w:hint="eastAsia" w:ascii="宋体" w:hAnsi="宋体" w:cs="宋体"/>
                <w:color w:val="auto"/>
                <w:szCs w:val="21"/>
                <w:highlight w:val="none"/>
              </w:rPr>
              <w:t>任何故障及损失，成交供应商负责维修、更换配件，并负责软件更新升级、系统维护和远程服务。</w:t>
            </w:r>
          </w:p>
          <w:p w14:paraId="1794AF54">
            <w:pPr>
              <w:tabs>
                <w:tab w:val="left" w:pos="42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质量保证期满后，终身维护，且以市场最优惠价格提供维修和备件更换、软件更新升级，且承诺为用户提供终身技术咨询服务。</w:t>
            </w:r>
          </w:p>
          <w:p w14:paraId="7FD0C1E4">
            <w:pPr>
              <w:tabs>
                <w:tab w:val="left" w:pos="42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3.成交供应商应为质量保证期服务配备充足的技术人员、工具和备件并保证提供的联系方式畅通。</w:t>
            </w:r>
          </w:p>
          <w:p w14:paraId="205B40C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4.成交供应商在质量保证期内应对设备进行定期巡检。</w:t>
            </w:r>
          </w:p>
        </w:tc>
      </w:tr>
      <w:tr w14:paraId="3BDEA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316" w:type="dxa"/>
            <w:gridSpan w:val="2"/>
            <w:shd w:val="clear" w:color="auto" w:fill="auto"/>
            <w:noWrap/>
            <w:vAlign w:val="center"/>
          </w:tcPr>
          <w:p w14:paraId="59DEDF46">
            <w:pPr>
              <w:spacing w:line="360" w:lineRule="auto"/>
              <w:jc w:val="center"/>
              <w:rPr>
                <w:rFonts w:ascii="宋体" w:hAnsi="宋体" w:cs="宋体"/>
                <w:b/>
                <w:bCs/>
                <w:color w:val="auto"/>
                <w:szCs w:val="21"/>
                <w:highlight w:val="none"/>
              </w:rPr>
            </w:pPr>
            <w:r>
              <w:rPr>
                <w:rFonts w:hint="eastAsia" w:ascii="宋体" w:hAnsi="宋体" w:cs="Arial"/>
                <w:b/>
                <w:bCs/>
                <w:color w:val="auto"/>
                <w:szCs w:val="21"/>
                <w:highlight w:val="none"/>
              </w:rPr>
              <w:t>规范标准</w:t>
            </w:r>
          </w:p>
        </w:tc>
        <w:tc>
          <w:tcPr>
            <w:tcW w:w="7572" w:type="dxa"/>
            <w:gridSpan w:val="4"/>
            <w:shd w:val="clear" w:color="auto" w:fill="auto"/>
            <w:noWrap/>
          </w:tcPr>
          <w:p w14:paraId="77E000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1.采购标的需执行国家标准、行业标准、地方标准或者其他标准、规范。</w:t>
            </w:r>
          </w:p>
          <w:p w14:paraId="68A3A77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2.验收过程中所产生的一切费用均由成交供应商承担。报价时应考虑相关费用。</w:t>
            </w:r>
          </w:p>
          <w:p w14:paraId="0829057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3.采购项目需求有其他要求的按其要求。</w:t>
            </w:r>
          </w:p>
        </w:tc>
      </w:tr>
      <w:tr w14:paraId="0D870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316" w:type="dxa"/>
            <w:gridSpan w:val="2"/>
            <w:noWrap/>
            <w:vAlign w:val="center"/>
          </w:tcPr>
          <w:p w14:paraId="56AFAB7F">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包装和运输</w:t>
            </w:r>
          </w:p>
        </w:tc>
        <w:tc>
          <w:tcPr>
            <w:tcW w:w="7572" w:type="dxa"/>
            <w:gridSpan w:val="4"/>
            <w:noWrap/>
            <w:vAlign w:val="center"/>
          </w:tcPr>
          <w:p w14:paraId="445A02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bCs/>
                <w:color w:val="auto"/>
                <w:kern w:val="0"/>
                <w:szCs w:val="21"/>
                <w:highlight w:val="none"/>
              </w:rPr>
              <w:t>原厂原包装，包装完好、完整无破损、未开封</w:t>
            </w:r>
            <w:r>
              <w:rPr>
                <w:rFonts w:hint="eastAsia" w:ascii="宋体" w:hAnsi="宋体" w:cs="宋体"/>
                <w:color w:val="auto"/>
                <w:szCs w:val="21"/>
                <w:highlight w:val="none"/>
              </w:rPr>
              <w:t>。</w:t>
            </w:r>
          </w:p>
          <w:p w14:paraId="6FEFC4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kern w:val="0"/>
                <w:szCs w:val="21"/>
                <w:highlight w:val="none"/>
              </w:rPr>
              <w:t>包装及运输方式应综合考虑运输距离、防潮、防震、防锈和防破损装卸等要求</w:t>
            </w:r>
            <w:r>
              <w:rPr>
                <w:rFonts w:hint="eastAsia" w:ascii="宋体" w:hAnsi="宋体" w:cs="宋体"/>
                <w:color w:val="auto"/>
                <w:szCs w:val="21"/>
                <w:highlight w:val="none"/>
              </w:rPr>
              <w:t>。</w:t>
            </w:r>
          </w:p>
          <w:p w14:paraId="37B6641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bCs/>
                <w:color w:val="auto"/>
                <w:kern w:val="0"/>
                <w:szCs w:val="21"/>
                <w:highlight w:val="none"/>
              </w:rPr>
              <w:t>国家对包装及运输有相关强制性标准或要求的</w:t>
            </w:r>
            <w:r>
              <w:rPr>
                <w:rFonts w:hint="eastAsia" w:ascii="宋体" w:hAnsi="宋体" w:cs="宋体"/>
                <w:color w:val="auto"/>
                <w:szCs w:val="21"/>
                <w:highlight w:val="none"/>
              </w:rPr>
              <w:t>，成交供应商应当执行。</w:t>
            </w:r>
          </w:p>
          <w:p w14:paraId="016893B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bCs/>
                <w:color w:val="auto"/>
                <w:kern w:val="0"/>
                <w:szCs w:val="21"/>
                <w:highlight w:val="none"/>
              </w:rPr>
              <w:t>产品（含包装）运抵采购人指定交付地点前发生损坏的</w:t>
            </w:r>
            <w:r>
              <w:rPr>
                <w:rFonts w:hint="eastAsia" w:ascii="宋体" w:hAnsi="宋体" w:cs="宋体"/>
                <w:color w:val="auto"/>
                <w:szCs w:val="21"/>
                <w:highlight w:val="none"/>
              </w:rPr>
              <w:t>，相关损失由成交供应商自行承担。</w:t>
            </w:r>
          </w:p>
        </w:tc>
      </w:tr>
      <w:tr w14:paraId="3622B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316" w:type="dxa"/>
            <w:gridSpan w:val="2"/>
            <w:noWrap/>
            <w:vAlign w:val="center"/>
          </w:tcPr>
          <w:p w14:paraId="112E12D1">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保险</w:t>
            </w:r>
          </w:p>
        </w:tc>
        <w:tc>
          <w:tcPr>
            <w:tcW w:w="7572" w:type="dxa"/>
            <w:gridSpan w:val="4"/>
            <w:noWrap/>
            <w:vAlign w:val="center"/>
          </w:tcPr>
          <w:p w14:paraId="2A7E3F26">
            <w:pPr>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若供应商为本项目标的及标的涉及的相关材料、设备、人员、运输等购买保险的，相关费用由供应商自行承担。</w:t>
            </w:r>
          </w:p>
        </w:tc>
      </w:tr>
      <w:tr w14:paraId="68741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316" w:type="dxa"/>
            <w:gridSpan w:val="2"/>
            <w:noWrap/>
            <w:vAlign w:val="center"/>
          </w:tcPr>
          <w:p w14:paraId="4030050C">
            <w:pPr>
              <w:widowControl/>
              <w:spacing w:line="360" w:lineRule="auto"/>
              <w:jc w:val="center"/>
              <w:rPr>
                <w:rFonts w:ascii="宋体" w:hAnsi="宋体" w:cs="宋体"/>
                <w:b/>
                <w:bCs/>
                <w:color w:val="auto"/>
                <w:szCs w:val="21"/>
                <w:highlight w:val="none"/>
              </w:rPr>
            </w:pPr>
            <w:r>
              <w:rPr>
                <w:rFonts w:hint="eastAsia" w:ascii="宋体" w:hAnsi="宋体" w:cs="宋体"/>
                <w:b/>
                <w:bCs/>
                <w:color w:val="auto"/>
                <w:kern w:val="0"/>
                <w:szCs w:val="21"/>
                <w:highlight w:val="none"/>
              </w:rPr>
              <w:t>验收标准</w:t>
            </w:r>
          </w:p>
        </w:tc>
        <w:tc>
          <w:tcPr>
            <w:tcW w:w="7572" w:type="dxa"/>
            <w:gridSpan w:val="4"/>
            <w:noWrap/>
          </w:tcPr>
          <w:p w14:paraId="66B3FDD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1.质量标准：本项目执行国家相关标准、行业标准、地方标准或者其他标准、规范。如具体采购需求与标准、规范不一致的，高于标准、规范的按具体采购需求执行；低于标准、规范的按标准、规范执行。</w:t>
            </w:r>
            <w:r>
              <w:rPr>
                <w:rFonts w:hint="eastAsia" w:ascii="宋体" w:hAnsi="宋体" w:cs="宋体"/>
                <w:bCs/>
                <w:color w:val="auto"/>
                <w:kern w:val="0"/>
                <w:szCs w:val="21"/>
                <w:highlight w:val="none"/>
              </w:rPr>
              <w:t>供应商</w:t>
            </w:r>
            <w:r>
              <w:rPr>
                <w:rFonts w:hint="eastAsia" w:ascii="宋体" w:hAnsi="宋体" w:cs="宋体"/>
                <w:color w:val="auto"/>
                <w:szCs w:val="21"/>
                <w:highlight w:val="none"/>
              </w:rPr>
              <w:t>所提供的产品必须是全新、完好、无破损、未经使用的原装产品，产品符合制造厂家合格产品的出厂质量标准，且在正常安装、使用和保养条件下，其使用寿命期内各项指标均达到质量要求。</w:t>
            </w:r>
          </w:p>
          <w:p w14:paraId="0EC757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产品到货后，采购人现场根据采购文件要求及响应文件承诺逐条对应进行核验（含测试或试运行），对所有要求出具的文件和材料的原件进行核查，如不符合采购文件要求或提供虚假承诺、虚假检测报告等任何虚假材料的，采购人有权拒绝验收并认定成交供应商违约，采购人有权单方解除合同，成交供应商承担所有责任和费用，采购人保留进一步追究责任的权利。</w:t>
            </w:r>
          </w:p>
          <w:p w14:paraId="54A546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3.设备开机试运行，测试设备的技术性能指标，确认各项功能正常运行，同时检查随机文件应齐整。</w:t>
            </w:r>
          </w:p>
          <w:p w14:paraId="0B9DEA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验收时，采购人有权邀请国家认可的第三方检测计量单位到现场进行校准，并出具校准报告，所涉及的相关费用由成交供应商承担（供应商自行将费用综合考虑进入竞标报价中），采购人不再另行支付。校准不合格的，采购人不予验收。</w:t>
            </w:r>
          </w:p>
          <w:p w14:paraId="365AF4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5.因产品质量问题发生争议的，应邀请国家认可的质量检测机构对产品质量进行鉴定。产品符合标准的，鉴定费由采购人承担；产品不符合标准的，鉴定费由成交供应商承担。</w:t>
            </w:r>
          </w:p>
          <w:p w14:paraId="7EEF8E82">
            <w:pPr>
              <w:pStyle w:val="44"/>
              <w:spacing w:line="360" w:lineRule="auto"/>
              <w:ind w:firstLine="420" w:firstLineChars="200"/>
              <w:rPr>
                <w:rFonts w:ascii="宋体" w:hAnsi="宋体" w:cs="宋体"/>
                <w:color w:val="auto"/>
                <w:highlight w:val="none"/>
              </w:rPr>
            </w:pPr>
            <w:r>
              <w:rPr>
                <w:rFonts w:hint="eastAsia" w:ascii="宋体" w:hAnsi="宋体" w:cs="宋体"/>
                <w:color w:val="auto"/>
                <w:highlight w:val="none"/>
              </w:rPr>
              <w:t>6.货物经过双方检验认可后，签署验收报告。由成交供应商提供产品保修文件。</w:t>
            </w:r>
          </w:p>
          <w:p w14:paraId="014CA4DD">
            <w:pPr>
              <w:pStyle w:val="44"/>
              <w:spacing w:line="360" w:lineRule="auto"/>
              <w:ind w:firstLine="420" w:firstLineChars="200"/>
              <w:rPr>
                <w:rFonts w:ascii="宋体" w:hAnsi="宋体" w:cs="宋体"/>
                <w:color w:val="auto"/>
                <w:highlight w:val="none"/>
              </w:rPr>
            </w:pPr>
            <w:r>
              <w:rPr>
                <w:rFonts w:hint="eastAsia" w:ascii="宋体" w:hAnsi="宋体" w:cs="宋体"/>
                <w:color w:val="auto"/>
                <w:highlight w:val="none"/>
              </w:rPr>
              <w:t>7.当满足以下条件时，采购人才向成交供应商签发货物验收报告：</w:t>
            </w:r>
          </w:p>
          <w:p w14:paraId="1AA8E0BB">
            <w:pPr>
              <w:pStyle w:val="44"/>
              <w:spacing w:line="360" w:lineRule="auto"/>
              <w:ind w:firstLine="420" w:firstLineChars="200"/>
              <w:rPr>
                <w:rFonts w:ascii="宋体" w:hAnsi="宋体" w:cs="宋体"/>
                <w:color w:val="auto"/>
                <w:highlight w:val="none"/>
              </w:rPr>
            </w:pPr>
            <w:r>
              <w:rPr>
                <w:rFonts w:hint="eastAsia" w:ascii="宋体" w:hAnsi="宋体" w:cs="宋体"/>
                <w:color w:val="auto"/>
                <w:highlight w:val="none"/>
              </w:rPr>
              <w:t>（1）成交供应商已按照合同规定提供了全部产品及完整的技术资料。</w:t>
            </w:r>
          </w:p>
          <w:p w14:paraId="2CC5E5FB">
            <w:pPr>
              <w:pStyle w:val="44"/>
              <w:spacing w:line="360" w:lineRule="auto"/>
              <w:ind w:firstLine="420" w:firstLineChars="200"/>
              <w:rPr>
                <w:rFonts w:ascii="宋体" w:hAnsi="宋体" w:cs="宋体"/>
                <w:color w:val="auto"/>
                <w:highlight w:val="none"/>
              </w:rPr>
            </w:pPr>
            <w:r>
              <w:rPr>
                <w:rFonts w:hint="eastAsia" w:ascii="宋体" w:hAnsi="宋体" w:cs="宋体"/>
                <w:color w:val="auto"/>
                <w:highlight w:val="none"/>
              </w:rPr>
              <w:t>（2）货物各项参数完全符合《技术参数及性能（配置）要求》的要求，性能满足要求。</w:t>
            </w:r>
          </w:p>
          <w:p w14:paraId="380CCCD3">
            <w:pPr>
              <w:pStyle w:val="44"/>
              <w:spacing w:line="360" w:lineRule="auto"/>
              <w:ind w:firstLine="420" w:firstLineChars="200"/>
              <w:rPr>
                <w:rFonts w:ascii="宋体" w:hAnsi="宋体" w:cs="宋体"/>
                <w:color w:val="auto"/>
                <w:highlight w:val="none"/>
              </w:rPr>
            </w:pPr>
            <w:r>
              <w:rPr>
                <w:rFonts w:hint="eastAsia" w:ascii="宋体" w:hAnsi="宋体" w:cs="宋体"/>
                <w:color w:val="auto"/>
                <w:highlight w:val="none"/>
              </w:rPr>
              <w:t>（3）成交供应商需负责安装、调试（测试），并完成采购人的使用操作培训。</w:t>
            </w:r>
          </w:p>
          <w:p w14:paraId="12441FA2">
            <w:pPr>
              <w:pStyle w:val="44"/>
              <w:spacing w:line="360" w:lineRule="auto"/>
              <w:ind w:firstLine="420" w:firstLineChars="200"/>
              <w:rPr>
                <w:rFonts w:ascii="宋体" w:hAnsi="宋体" w:cs="宋体"/>
                <w:color w:val="auto"/>
                <w:highlight w:val="none"/>
              </w:rPr>
            </w:pPr>
            <w:r>
              <w:rPr>
                <w:rFonts w:hint="eastAsia" w:ascii="宋体" w:hAnsi="宋体" w:cs="宋体"/>
                <w:color w:val="auto"/>
                <w:highlight w:val="none"/>
              </w:rPr>
              <w:t>8.采购人预验收及履约验收过程中所产生的一切费用均由成交供应商承担，报价时应考虑相关费用。</w:t>
            </w:r>
          </w:p>
          <w:p w14:paraId="78E48B79">
            <w:pPr>
              <w:pStyle w:val="44"/>
              <w:spacing w:line="360" w:lineRule="auto"/>
              <w:ind w:firstLine="420" w:firstLineChars="200"/>
              <w:rPr>
                <w:color w:val="auto"/>
                <w:highlight w:val="none"/>
              </w:rPr>
            </w:pPr>
            <w:r>
              <w:rPr>
                <w:rFonts w:hint="eastAsia" w:ascii="宋体" w:hAnsi="宋体" w:cs="宋体"/>
                <w:color w:val="auto"/>
                <w:highlight w:val="none"/>
              </w:rPr>
              <w:t>9.成交产品不能涉及任何法律纠纷。</w:t>
            </w:r>
          </w:p>
        </w:tc>
      </w:tr>
      <w:tr w14:paraId="732B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2316" w:type="dxa"/>
            <w:gridSpan w:val="2"/>
            <w:noWrap/>
            <w:vAlign w:val="center"/>
          </w:tcPr>
          <w:p w14:paraId="4FFC3B7F">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知识产权</w:t>
            </w:r>
          </w:p>
        </w:tc>
        <w:tc>
          <w:tcPr>
            <w:tcW w:w="7572" w:type="dxa"/>
            <w:gridSpan w:val="4"/>
            <w:noWrap/>
          </w:tcPr>
          <w:p w14:paraId="065085A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保证所提供的产品及服务涉及到的知识产权和相关技术资料是合法取得的，采购人在使用产品及服务时不会侵犯任何第三方的专利权、商标权、工业设计权或其他权利，不会因为采购人的使用遭受第三方侵权指控，包括被责令致歉、停止使用、追偿或要求赔偿损失等。否则，供应商负责解决由此引起的一切纠纷，采购人有权追究成交供应商的法律责任，其不利后果由供应商全部承担。</w:t>
            </w:r>
          </w:p>
        </w:tc>
      </w:tr>
      <w:tr w14:paraId="335B3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2316" w:type="dxa"/>
            <w:gridSpan w:val="2"/>
            <w:noWrap/>
            <w:vAlign w:val="center"/>
          </w:tcPr>
          <w:p w14:paraId="18956EA5">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采购预算</w:t>
            </w:r>
            <w:r>
              <w:rPr>
                <w:rFonts w:ascii="宋体" w:hAnsi="宋体" w:cs="宋体"/>
                <w:b/>
                <w:bCs/>
                <w:color w:val="auto"/>
                <w:highlight w:val="none"/>
              </w:rPr>
              <w:t>（最高限价）</w:t>
            </w:r>
            <w:r>
              <w:rPr>
                <w:rFonts w:hint="eastAsia" w:ascii="宋体" w:hAnsi="宋体" w:cs="宋体"/>
                <w:b/>
                <w:bCs/>
                <w:color w:val="auto"/>
                <w:szCs w:val="21"/>
                <w:highlight w:val="none"/>
              </w:rPr>
              <w:t>金额</w:t>
            </w:r>
          </w:p>
        </w:tc>
        <w:tc>
          <w:tcPr>
            <w:tcW w:w="7572" w:type="dxa"/>
            <w:gridSpan w:val="4"/>
            <w:noWrap/>
          </w:tcPr>
          <w:p w14:paraId="10CBFE19">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本标项采购预算</w:t>
            </w:r>
            <w:r>
              <w:rPr>
                <w:rFonts w:ascii="宋体" w:hAnsi="宋体" w:cs="宋体"/>
                <w:b/>
                <w:bCs/>
                <w:color w:val="auto"/>
                <w:highlight w:val="none"/>
              </w:rPr>
              <w:t>（最高限价）</w:t>
            </w:r>
            <w:r>
              <w:rPr>
                <w:rFonts w:hint="eastAsia" w:ascii="宋体" w:hAnsi="宋体" w:cs="宋体"/>
                <w:bCs/>
                <w:color w:val="auto"/>
                <w:szCs w:val="21"/>
                <w:highlight w:val="none"/>
              </w:rPr>
              <w:t>金额：人民币肆拾伍万元整（¥450000.00）。</w:t>
            </w:r>
          </w:p>
          <w:p w14:paraId="23F4BDCE">
            <w:pPr>
              <w:pStyle w:val="44"/>
              <w:spacing w:line="360" w:lineRule="auto"/>
              <w:ind w:firstLine="422" w:firstLineChars="200"/>
              <w:rPr>
                <w:color w:val="auto"/>
                <w:highlight w:val="none"/>
              </w:rPr>
            </w:pPr>
            <w:r>
              <w:rPr>
                <w:rFonts w:ascii="宋体" w:hAnsi="宋体" w:cs="宋体"/>
                <w:b/>
                <w:bCs/>
                <w:color w:val="auto"/>
                <w:szCs w:val="21"/>
                <w:highlight w:val="none"/>
              </w:rPr>
              <w:t>注:</w:t>
            </w:r>
            <w:r>
              <w:rPr>
                <w:rFonts w:hAnsi="宋体" w:cs="宋体"/>
                <w:b/>
                <w:bCs/>
                <w:color w:val="auto"/>
                <w:szCs w:val="21"/>
                <w:highlight w:val="none"/>
              </w:rPr>
              <w:t>①</w:t>
            </w:r>
            <w:r>
              <w:rPr>
                <w:rFonts w:hint="eastAsia" w:hAnsi="宋体" w:cs="宋体"/>
                <w:b/>
                <w:bCs/>
                <w:color w:val="auto"/>
                <w:szCs w:val="21"/>
                <w:highlight w:val="none"/>
              </w:rPr>
              <w:t>竞标</w:t>
            </w:r>
            <w:r>
              <w:rPr>
                <w:rFonts w:ascii="宋体" w:hAnsi="宋体" w:cs="宋体"/>
                <w:b/>
                <w:bCs/>
                <w:color w:val="auto"/>
                <w:szCs w:val="21"/>
                <w:highlight w:val="none"/>
              </w:rPr>
              <w:t>报价不得高于</w:t>
            </w:r>
            <w:r>
              <w:rPr>
                <w:rFonts w:ascii="宋体" w:hAnsi="宋体" w:cs="宋体"/>
                <w:b/>
                <w:bCs/>
                <w:color w:val="auto"/>
                <w:szCs w:val="24"/>
                <w:highlight w:val="none"/>
              </w:rPr>
              <w:t>采购预算（最高限价）</w:t>
            </w:r>
            <w:r>
              <w:rPr>
                <w:rFonts w:ascii="宋体" w:hAnsi="宋体" w:cs="宋体"/>
                <w:b/>
                <w:bCs/>
                <w:color w:val="auto"/>
                <w:szCs w:val="21"/>
                <w:highlight w:val="none"/>
              </w:rPr>
              <w:t>，否则响应文件按无效响应处理。</w:t>
            </w:r>
            <w:r>
              <w:rPr>
                <w:rFonts w:hAnsi="宋体" w:cs="宋体"/>
                <w:b/>
                <w:bCs/>
                <w:color w:val="auto"/>
                <w:szCs w:val="21"/>
                <w:highlight w:val="none"/>
              </w:rPr>
              <w:t>②</w:t>
            </w:r>
            <w:r>
              <w:rPr>
                <w:rFonts w:ascii="宋体" w:hAnsi="宋体" w:cs="宋体"/>
                <w:b/>
                <w:bCs/>
                <w:color w:val="auto"/>
                <w:szCs w:val="21"/>
                <w:highlight w:val="none"/>
              </w:rPr>
              <w:t>供应商的</w:t>
            </w:r>
            <w:r>
              <w:rPr>
                <w:rFonts w:hint="eastAsia" w:ascii="宋体" w:hAnsi="宋体" w:cs="宋体"/>
                <w:b/>
                <w:bCs/>
                <w:color w:val="auto"/>
                <w:szCs w:val="21"/>
                <w:highlight w:val="none"/>
              </w:rPr>
              <w:t>竞标</w:t>
            </w:r>
            <w:r>
              <w:rPr>
                <w:rFonts w:ascii="宋体" w:hAnsi="宋体" w:cs="宋体"/>
                <w:b/>
                <w:bCs/>
                <w:color w:val="auto"/>
                <w:szCs w:val="21"/>
                <w:highlight w:val="none"/>
              </w:rPr>
              <w:t>单价均不能超过</w:t>
            </w:r>
            <w:r>
              <w:rPr>
                <w:rFonts w:hint="eastAsia" w:ascii="宋体" w:hAnsi="宋体" w:cs="宋体"/>
                <w:b/>
                <w:bCs/>
                <w:color w:val="auto"/>
                <w:szCs w:val="21"/>
                <w:highlight w:val="none"/>
              </w:rPr>
              <w:t>对应</w:t>
            </w:r>
            <w:r>
              <w:rPr>
                <w:rFonts w:ascii="宋体" w:hAnsi="宋体" w:cs="宋体"/>
                <w:b/>
                <w:bCs/>
                <w:color w:val="auto"/>
                <w:szCs w:val="21"/>
                <w:highlight w:val="none"/>
              </w:rPr>
              <w:t>的</w:t>
            </w:r>
            <w:r>
              <w:rPr>
                <w:rFonts w:hint="eastAsia" w:ascii="宋体" w:hAnsi="宋体" w:cs="宋体"/>
                <w:b/>
                <w:bCs/>
                <w:color w:val="auto"/>
                <w:kern w:val="0"/>
                <w:szCs w:val="21"/>
                <w:highlight w:val="none"/>
              </w:rPr>
              <w:t>采购控制单价</w:t>
            </w:r>
            <w:r>
              <w:rPr>
                <w:rFonts w:ascii="宋体" w:hAnsi="宋体" w:cs="宋体"/>
                <w:b/>
                <w:bCs/>
                <w:color w:val="auto"/>
                <w:szCs w:val="21"/>
                <w:highlight w:val="none"/>
              </w:rPr>
              <w:t>，否则按无效响应处理。</w:t>
            </w:r>
          </w:p>
        </w:tc>
      </w:tr>
      <w:tr w14:paraId="62F76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2316" w:type="dxa"/>
            <w:gridSpan w:val="2"/>
            <w:noWrap/>
            <w:vAlign w:val="center"/>
          </w:tcPr>
          <w:p w14:paraId="331AE734">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核心产品</w:t>
            </w:r>
          </w:p>
        </w:tc>
        <w:tc>
          <w:tcPr>
            <w:tcW w:w="7572" w:type="dxa"/>
            <w:gridSpan w:val="4"/>
            <w:noWrap/>
          </w:tcPr>
          <w:p w14:paraId="0299843B">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本标项核心产品为“第1项雷达视频一体机”</w:t>
            </w:r>
          </w:p>
        </w:tc>
      </w:tr>
      <w:tr w14:paraId="2F03D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316" w:type="dxa"/>
            <w:gridSpan w:val="2"/>
            <w:noWrap/>
            <w:vAlign w:val="center"/>
          </w:tcPr>
          <w:p w14:paraId="49FBBA32">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其他要求</w:t>
            </w:r>
          </w:p>
        </w:tc>
        <w:tc>
          <w:tcPr>
            <w:tcW w:w="7572" w:type="dxa"/>
            <w:gridSpan w:val="4"/>
            <w:noWrap/>
            <w:vAlign w:val="center"/>
          </w:tcPr>
          <w:p w14:paraId="2971A656">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要求供货产品是全新的、未经改装的、合格的、满足本项目技术需求及要求的货物。所有零部件、配件必须是未经使用的全新的并符合国家有关质量安全标准的产品。提供设备使用培训、操作技能训练等；提供相关设备说明书、管理和配置指南手册、使用手册和故障定位/排除指南手册等。</w:t>
            </w:r>
          </w:p>
          <w:p w14:paraId="25C3D3C5">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本项目实行总价包干制，报价合计金额包括货物价款、配套软件、标准附件、随配附件、备品备件、辅助材料、专用工具、包装、运抵指定交货地点、运输、装卸、完工清场清洁、货到就位、安装、调试、检验、技术培训、技术资料、售后服务、保险、投标费用、预验收及履约验收及售后服务、人工费、一切税费等全部费用。税费因政策等原因发生变化的，由成交供应商承担。合同履行过程中，采购人不再支付合同以外的其他费用。</w:t>
            </w:r>
          </w:p>
          <w:p w14:paraId="473A5C40">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3.成交供应商承担货物交付验收前的运输、安装等作业工人人身、设备安全责任。验收前，如果设备丢失、因供应商自身原因及第三方原因导致损坏，成交供应商应自行负责并承担不能交付货物的责任。</w:t>
            </w:r>
          </w:p>
          <w:p w14:paraId="63F16608">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4.为保证项目与现有系统整合和衔接，要求供应商所竞多摄大模型全结构化摄像机、600万像素高清摄像机、短焦人脸识别半球产品必须支持与采购人现有的监控软件平台（现有监控软件平台为：海康威视iSecure Center-Education）对接，实现数据共享、平台互通、全面接管、功能齐备，数据需要上传至原有总平台系统，如供应商所竞产品与采购人现有平台品牌（海康威视）不同，要求负责开放设备SDK，并预留定制开发费用于定制接入现有平台（本条所涉及的开放、接入等相关费用均包含在竞标报价中，采购人不再另行付费）满足接入采购人现有人脸对比服务器：海康威视DS-IE6332EL/FA、DS-IE6316EL/EA及现有集群版人脸分析系统：海康威视DS-IX2002-A7U/LX，可实现统一的视频预览、录像回放、解码显示功能，具备人脸比对报警提醒、以脸搜脸、轨迹分析、人/车结构化分析及检索等应用。</w:t>
            </w:r>
          </w:p>
          <w:p w14:paraId="7E2D9907">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采购人现有的监控软件平台（现有监控软件平台为：海康威视iSecure Center-Education），考虑统一管理要求，超高清解码器要求无缝接入现有监控软件平台，可解码显示平台里所有视频监控点位，功能包含系统内监控点位的实时预览解码上墙、历史录像解码上墙、视频监控事件告警上墙；如供应商所竞产品与现有系统品牌不同，供应商须承诺免费开放设备SDK，并预留定制开发费用于定制接入现有系统，同时承诺所提供的接口能实现监控实时流解码上墙、监控录像流上墙、监控告警事件上墙功能。</w:t>
            </w:r>
          </w:p>
          <w:p w14:paraId="319E5F25">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本标项履约过程中，如因采购人实际需要导致供货数量发生变动，成交供应商应予以配合，调整部分的结算按实际发生量乘以成交单价计算。所有调整（含货物数量增加及伴随服务变更）累计增加金额不得超过本项目原合同金额的10%。达到或超过10%的，采购人应重新组织采购；未超过的，双方签订补充协议执行。</w:t>
            </w:r>
          </w:p>
          <w:p w14:paraId="1507AECB">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6.本标项采购需求中的所有条款均为实质性要求，并按照采购标的汇总表中“技术要求”，提供对应符合要求的佐证材料，若不满足、无法提供佐证材料，视为无效投标。</w:t>
            </w:r>
          </w:p>
        </w:tc>
      </w:tr>
      <w:tr w14:paraId="0D774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316" w:type="dxa"/>
            <w:gridSpan w:val="2"/>
            <w:noWrap/>
            <w:vAlign w:val="center"/>
          </w:tcPr>
          <w:p w14:paraId="39EF5D6C">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进口产品说明</w:t>
            </w:r>
          </w:p>
        </w:tc>
        <w:tc>
          <w:tcPr>
            <w:tcW w:w="7572" w:type="dxa"/>
            <w:gridSpan w:val="4"/>
            <w:noWrap/>
            <w:vAlign w:val="center"/>
          </w:tcPr>
          <w:p w14:paraId="2972FB2A">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本标项采购货物不接受进口产品（即通过中国海关报关验放进入中国境内且产自关境外的产品）参与竞标，如有进口产品参与竞标的，其响应文件作无效处理</w:t>
            </w:r>
          </w:p>
        </w:tc>
      </w:tr>
    </w:tbl>
    <w:p w14:paraId="5F94833D">
      <w:pPr>
        <w:spacing w:line="428" w:lineRule="exact"/>
        <w:ind w:left="119"/>
        <w:rPr>
          <w:rFonts w:ascii="Arial Unicode MS" w:hAnsi="Arial Unicode MS" w:eastAsia="Arial Unicode MS" w:cs="Arial Unicode MS"/>
          <w:color w:val="auto"/>
          <w:sz w:val="32"/>
          <w:szCs w:val="32"/>
          <w:highlight w:val="none"/>
        </w:rPr>
      </w:pPr>
      <w:r>
        <w:rPr>
          <w:rFonts w:hint="eastAsia" w:ascii="宋体" w:hAnsi="宋体" w:cs="宋体"/>
          <w:color w:val="auto"/>
          <w:highlight w:val="none"/>
        </w:rPr>
        <w:br w:type="page"/>
      </w:r>
      <w:r>
        <w:rPr>
          <w:rFonts w:hint="eastAsia" w:ascii="微软雅黑" w:hAnsi="微软雅黑" w:eastAsia="微软雅黑" w:cs="微软雅黑"/>
          <w:color w:val="auto"/>
          <w:sz w:val="32"/>
          <w:szCs w:val="32"/>
          <w:highlight w:val="none"/>
        </w:rPr>
        <w:t>附件</w:t>
      </w:r>
      <w:r>
        <w:rPr>
          <w:rFonts w:ascii="Arial Unicode MS" w:hAnsi="Arial Unicode MS" w:eastAsia="Arial Unicode MS" w:cs="Arial Unicode MS"/>
          <w:color w:val="auto"/>
          <w:sz w:val="32"/>
          <w:szCs w:val="32"/>
          <w:highlight w:val="none"/>
        </w:rPr>
        <w:t>1</w:t>
      </w:r>
      <w:r>
        <w:rPr>
          <w:rFonts w:hint="eastAsia" w:ascii="微软雅黑" w:hAnsi="微软雅黑" w:eastAsia="微软雅黑" w:cs="微软雅黑"/>
          <w:color w:val="auto"/>
          <w:sz w:val="32"/>
          <w:szCs w:val="32"/>
          <w:highlight w:val="none"/>
        </w:rPr>
        <w:t>：</w:t>
      </w:r>
    </w:p>
    <w:p w14:paraId="5F7BAE79">
      <w:pPr>
        <w:spacing w:before="7"/>
        <w:rPr>
          <w:rFonts w:ascii="Arial Unicode MS" w:hAnsi="Arial Unicode MS" w:eastAsia="Arial Unicode MS" w:cs="Arial Unicode MS"/>
          <w:color w:val="auto"/>
          <w:sz w:val="17"/>
          <w:szCs w:val="17"/>
          <w:highlight w:val="none"/>
        </w:rPr>
      </w:pPr>
    </w:p>
    <w:p w14:paraId="5E80CFD9">
      <w:pPr>
        <w:spacing w:line="528" w:lineRule="exact"/>
        <w:ind w:left="1871"/>
        <w:rPr>
          <w:rFonts w:ascii="Arial Unicode MS" w:hAnsi="Arial Unicode MS" w:eastAsia="Arial Unicode MS" w:cs="Arial Unicode MS"/>
          <w:color w:val="auto"/>
          <w:sz w:val="40"/>
          <w:szCs w:val="40"/>
          <w:highlight w:val="none"/>
        </w:rPr>
      </w:pPr>
      <w:r>
        <w:rPr>
          <w:rFonts w:hint="eastAsia" w:ascii="方正小标宋简体" w:hAnsi="方正小标宋简体" w:eastAsia="方正小标宋简体" w:cs="方正小标宋简体"/>
          <w:color w:val="auto"/>
          <w:sz w:val="44"/>
          <w:szCs w:val="44"/>
          <w:highlight w:val="none"/>
        </w:rPr>
        <w:t>节能产品政府采购品目清单</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422"/>
        <w:gridCol w:w="1496"/>
        <w:gridCol w:w="1530"/>
        <w:gridCol w:w="3452"/>
      </w:tblGrid>
      <w:tr w14:paraId="69D03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1" w:type="dxa"/>
            <w:tcBorders>
              <w:top w:val="single" w:color="000000" w:sz="4" w:space="0"/>
              <w:left w:val="single" w:color="000000" w:sz="4" w:space="0"/>
              <w:bottom w:val="single" w:color="000000" w:sz="4" w:space="0"/>
              <w:right w:val="single" w:color="000000" w:sz="4" w:space="0"/>
            </w:tcBorders>
            <w:vAlign w:val="center"/>
          </w:tcPr>
          <w:p w14:paraId="0EB29293">
            <w:pPr>
              <w:jc w:val="center"/>
              <w:rPr>
                <w:rFonts w:ascii="宋体" w:hAnsi="宋体"/>
                <w:color w:val="auto"/>
                <w:szCs w:val="21"/>
                <w:highlight w:val="none"/>
              </w:rPr>
            </w:pPr>
            <w:r>
              <w:rPr>
                <w:rFonts w:hint="eastAsia" w:ascii="宋体" w:hAnsi="宋体" w:cs="宋体"/>
                <w:b/>
                <w:bCs/>
                <w:color w:val="auto"/>
                <w:w w:val="99"/>
                <w:szCs w:val="21"/>
                <w:highlight w:val="none"/>
              </w:rPr>
              <w:t>品目序号</w:t>
            </w:r>
          </w:p>
        </w:tc>
        <w:tc>
          <w:tcPr>
            <w:tcW w:w="4448" w:type="dxa"/>
            <w:gridSpan w:val="3"/>
            <w:tcBorders>
              <w:top w:val="single" w:color="000000" w:sz="4" w:space="0"/>
              <w:left w:val="single" w:color="000000" w:sz="4" w:space="0"/>
              <w:bottom w:val="single" w:color="000000" w:sz="4" w:space="0"/>
              <w:right w:val="single" w:color="000000" w:sz="4" w:space="0"/>
            </w:tcBorders>
            <w:vAlign w:val="center"/>
          </w:tcPr>
          <w:p w14:paraId="73ADC39A">
            <w:pPr>
              <w:jc w:val="center"/>
              <w:rPr>
                <w:rFonts w:ascii="宋体" w:hAnsi="宋体"/>
                <w:color w:val="auto"/>
                <w:szCs w:val="21"/>
                <w:highlight w:val="none"/>
              </w:rPr>
            </w:pPr>
            <w:r>
              <w:rPr>
                <w:rFonts w:hint="eastAsia" w:ascii="宋体" w:hAnsi="宋体" w:cs="宋体"/>
                <w:b/>
                <w:bCs/>
                <w:color w:val="auto"/>
                <w:w w:val="99"/>
                <w:szCs w:val="21"/>
                <w:highlight w:val="none"/>
              </w:rPr>
              <w:t>名称</w:t>
            </w:r>
          </w:p>
        </w:tc>
        <w:tc>
          <w:tcPr>
            <w:tcW w:w="3452" w:type="dxa"/>
            <w:tcBorders>
              <w:top w:val="single" w:color="000000" w:sz="4" w:space="0"/>
              <w:left w:val="single" w:color="000000" w:sz="4" w:space="0"/>
              <w:bottom w:val="single" w:color="000000" w:sz="4" w:space="0"/>
              <w:right w:val="single" w:color="000000" w:sz="4" w:space="0"/>
            </w:tcBorders>
            <w:vAlign w:val="center"/>
          </w:tcPr>
          <w:p w14:paraId="6C35DF9B">
            <w:pPr>
              <w:jc w:val="center"/>
              <w:rPr>
                <w:rFonts w:ascii="宋体" w:hAnsi="宋体"/>
                <w:color w:val="auto"/>
                <w:szCs w:val="21"/>
                <w:highlight w:val="none"/>
              </w:rPr>
            </w:pPr>
            <w:r>
              <w:rPr>
                <w:rFonts w:hint="eastAsia" w:ascii="宋体" w:hAnsi="宋体" w:cs="宋体"/>
                <w:b/>
                <w:bCs/>
                <w:color w:val="auto"/>
                <w:w w:val="99"/>
                <w:szCs w:val="21"/>
                <w:highlight w:val="none"/>
              </w:rPr>
              <w:t>依据的标准</w:t>
            </w:r>
          </w:p>
        </w:tc>
      </w:tr>
      <w:tr w14:paraId="22FA2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73C6687E">
            <w:pPr>
              <w:jc w:val="center"/>
              <w:rPr>
                <w:rFonts w:ascii="宋体" w:hAnsi="宋体"/>
                <w:color w:val="auto"/>
                <w:szCs w:val="21"/>
                <w:highlight w:val="none"/>
              </w:rPr>
            </w:pPr>
            <w:r>
              <w:rPr>
                <w:rFonts w:hint="eastAsia" w:ascii="宋体" w:hAnsi="宋体"/>
                <w:color w:val="auto"/>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1DA38DE1">
            <w:pPr>
              <w:jc w:val="center"/>
              <w:rPr>
                <w:rFonts w:ascii="宋体" w:hAnsi="宋体"/>
                <w:color w:val="auto"/>
                <w:szCs w:val="21"/>
                <w:highlight w:val="none"/>
              </w:rPr>
            </w:pPr>
            <w:r>
              <w:rPr>
                <w:rFonts w:hint="eastAsia" w:ascii="宋体" w:hAnsi="宋体" w:cs="仿宋_GB2312"/>
                <w:color w:val="auto"/>
                <w:szCs w:val="21"/>
                <w:highlight w:val="none"/>
              </w:rPr>
              <w:t>A02010100</w:t>
            </w:r>
            <w:r>
              <w:rPr>
                <w:rFonts w:hint="eastAsia" w:ascii="宋体" w:hAnsi="宋体" w:cs="宋体"/>
                <w:color w:val="auto"/>
                <w:w w:val="99"/>
                <w:szCs w:val="21"/>
                <w:highlight w:val="none"/>
              </w:rPr>
              <w:t>计算机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2686BDFE">
            <w:pPr>
              <w:pStyle w:val="68"/>
              <w:spacing w:before="93"/>
              <w:ind w:left="7"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A02010105</w:t>
            </w:r>
            <w:r>
              <w:rPr>
                <w:rFonts w:hint="eastAsia" w:ascii="宋体" w:hAnsi="宋体" w:cs="宋体"/>
                <w:color w:val="auto"/>
                <w:w w:val="99"/>
                <w:kern w:val="2"/>
                <w:sz w:val="21"/>
                <w:szCs w:val="21"/>
                <w:highlight w:val="none"/>
              </w:rPr>
              <w:t>台式计算机</w:t>
            </w:r>
          </w:p>
        </w:tc>
        <w:tc>
          <w:tcPr>
            <w:tcW w:w="1530" w:type="dxa"/>
            <w:tcBorders>
              <w:top w:val="single" w:color="000000" w:sz="4" w:space="0"/>
              <w:left w:val="single" w:color="000000" w:sz="4" w:space="0"/>
              <w:bottom w:val="single" w:color="000000" w:sz="4" w:space="0"/>
              <w:right w:val="single" w:color="000000" w:sz="4" w:space="0"/>
            </w:tcBorders>
            <w:vAlign w:val="center"/>
          </w:tcPr>
          <w:p w14:paraId="1A33772B">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436F6172">
            <w:pPr>
              <w:pStyle w:val="6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1BED8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2D3E788">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66647BD">
            <w:pPr>
              <w:widowControl/>
              <w:jc w:val="left"/>
              <w:rPr>
                <w:rFonts w:ascii="宋体" w:hAnsi="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CDAF6E6">
            <w:pPr>
              <w:pStyle w:val="68"/>
              <w:spacing w:before="44"/>
              <w:ind w:left="7"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A02010108</w:t>
            </w:r>
            <w:r>
              <w:rPr>
                <w:rFonts w:hint="eastAsia" w:ascii="宋体" w:hAnsi="宋体" w:cs="宋体"/>
                <w:color w:val="auto"/>
                <w:w w:val="99"/>
                <w:kern w:val="2"/>
                <w:sz w:val="21"/>
                <w:szCs w:val="21"/>
                <w:highlight w:val="none"/>
              </w:rPr>
              <w:t>便携式计算机</w:t>
            </w:r>
          </w:p>
        </w:tc>
        <w:tc>
          <w:tcPr>
            <w:tcW w:w="1530" w:type="dxa"/>
            <w:tcBorders>
              <w:top w:val="single" w:color="000000" w:sz="4" w:space="0"/>
              <w:left w:val="single" w:color="000000" w:sz="4" w:space="0"/>
              <w:bottom w:val="single" w:color="000000" w:sz="4" w:space="0"/>
              <w:right w:val="single" w:color="000000" w:sz="4" w:space="0"/>
            </w:tcBorders>
            <w:vAlign w:val="center"/>
          </w:tcPr>
          <w:p w14:paraId="573EBC35">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1CC71140">
            <w:pPr>
              <w:pStyle w:val="6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2B9EC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3A62340">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7A2FF42">
            <w:pPr>
              <w:widowControl/>
              <w:jc w:val="left"/>
              <w:rPr>
                <w:rFonts w:ascii="宋体" w:hAnsi="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3273282">
            <w:pPr>
              <w:pStyle w:val="68"/>
              <w:spacing w:before="64"/>
              <w:ind w:left="7" w:right="5"/>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w:t>
            </w:r>
            <w:r>
              <w:rPr>
                <w:rFonts w:hint="eastAsia" w:ascii="宋体" w:hAnsi="宋体" w:cs="仿宋_GB2312"/>
                <w:color w:val="auto"/>
                <w:kern w:val="2"/>
                <w:sz w:val="21"/>
                <w:szCs w:val="21"/>
                <w:highlight w:val="none"/>
                <w:lang w:eastAsia="zh-CN"/>
              </w:rPr>
              <w:t>A02010109平板式计算机</w:t>
            </w:r>
          </w:p>
        </w:tc>
        <w:tc>
          <w:tcPr>
            <w:tcW w:w="1530" w:type="dxa"/>
            <w:tcBorders>
              <w:top w:val="single" w:color="000000" w:sz="4" w:space="0"/>
              <w:left w:val="single" w:color="000000" w:sz="4" w:space="0"/>
              <w:bottom w:val="single" w:color="000000" w:sz="4" w:space="0"/>
              <w:right w:val="single" w:color="000000" w:sz="4" w:space="0"/>
            </w:tcBorders>
            <w:vAlign w:val="center"/>
          </w:tcPr>
          <w:p w14:paraId="71C99385">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5D2D3D8A">
            <w:pPr>
              <w:pStyle w:val="6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3308D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05C96629">
            <w:pPr>
              <w:jc w:val="center"/>
              <w:rPr>
                <w:rFonts w:ascii="宋体" w:hAnsi="宋体"/>
                <w:color w:val="auto"/>
                <w:szCs w:val="21"/>
                <w:highlight w:val="none"/>
              </w:rPr>
            </w:pPr>
            <w:r>
              <w:rPr>
                <w:rFonts w:hint="eastAsia" w:ascii="宋体" w:hAnsi="宋体"/>
                <w:color w:val="auto"/>
                <w:szCs w:val="21"/>
                <w:highlight w:val="none"/>
              </w:rPr>
              <w:t>2</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1A60F835">
            <w:pPr>
              <w:pStyle w:val="68"/>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A02020000</w:t>
            </w:r>
            <w:r>
              <w:rPr>
                <w:rFonts w:hint="eastAsia" w:ascii="宋体" w:hAnsi="宋体" w:cs="宋体"/>
                <w:color w:val="auto"/>
                <w:w w:val="99"/>
                <w:kern w:val="2"/>
                <w:sz w:val="21"/>
                <w:szCs w:val="21"/>
                <w:highlight w:val="none"/>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151EBD68">
            <w:pPr>
              <w:jc w:val="center"/>
              <w:rPr>
                <w:rFonts w:ascii="宋体" w:hAnsi="宋体"/>
                <w:color w:val="auto"/>
                <w:szCs w:val="21"/>
                <w:highlight w:val="none"/>
              </w:rPr>
            </w:pPr>
            <w:r>
              <w:rPr>
                <w:rFonts w:hint="eastAsia" w:ascii="宋体" w:hAnsi="宋体" w:cs="宋体"/>
                <w:color w:val="auto"/>
                <w:spacing w:val="1"/>
                <w:w w:val="99"/>
                <w:szCs w:val="21"/>
                <w:highlight w:val="none"/>
              </w:rPr>
              <w:t>A02021000</w:t>
            </w:r>
            <w:r>
              <w:rPr>
                <w:rFonts w:hint="eastAsia" w:ascii="宋体" w:hAnsi="宋体" w:cs="Arial"/>
                <w:color w:val="auto"/>
                <w:szCs w:val="21"/>
                <w:highlight w:val="none"/>
                <w:shd w:val="clear" w:color="auto" w:fill="FFFFFF"/>
              </w:rPr>
              <w:t>打印机</w:t>
            </w:r>
          </w:p>
        </w:tc>
        <w:tc>
          <w:tcPr>
            <w:tcW w:w="1530" w:type="dxa"/>
            <w:tcBorders>
              <w:top w:val="single" w:color="000000" w:sz="4" w:space="0"/>
              <w:left w:val="single" w:color="000000" w:sz="4" w:space="0"/>
              <w:bottom w:val="single" w:color="000000" w:sz="4" w:space="0"/>
              <w:right w:val="single" w:color="000000" w:sz="4" w:space="0"/>
            </w:tcBorders>
            <w:vAlign w:val="center"/>
          </w:tcPr>
          <w:p w14:paraId="57550271">
            <w:pPr>
              <w:jc w:val="center"/>
              <w:rPr>
                <w:rFonts w:ascii="宋体" w:hAnsi="宋体"/>
                <w:color w:val="auto"/>
                <w:szCs w:val="21"/>
                <w:highlight w:val="none"/>
              </w:rPr>
            </w:pPr>
            <w:r>
              <w:rPr>
                <w:rFonts w:hint="eastAsia" w:ascii="宋体" w:hAnsi="宋体"/>
                <w:color w:val="auto"/>
                <w:szCs w:val="21"/>
                <w:highlight w:val="none"/>
              </w:rPr>
              <w:t>A02021001 A3黑白打印机</w:t>
            </w:r>
          </w:p>
        </w:tc>
        <w:tc>
          <w:tcPr>
            <w:tcW w:w="3452" w:type="dxa"/>
            <w:tcBorders>
              <w:top w:val="single" w:color="000000" w:sz="4" w:space="0"/>
              <w:left w:val="single" w:color="000000" w:sz="4" w:space="0"/>
              <w:bottom w:val="single" w:color="000000" w:sz="4" w:space="0"/>
              <w:right w:val="single" w:color="000000" w:sz="4" w:space="0"/>
            </w:tcBorders>
          </w:tcPr>
          <w:p w14:paraId="734B83B6">
            <w:pPr>
              <w:pStyle w:val="6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1498F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4E332C2">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B1F3C27">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85391CB">
            <w:pPr>
              <w:widowControl/>
              <w:jc w:val="left"/>
              <w:rPr>
                <w:rFonts w:ascii="宋体" w:hAnsi="宋体"/>
                <w:color w:val="auto"/>
                <w:szCs w:val="21"/>
                <w:highlight w:val="none"/>
              </w:rPr>
            </w:pPr>
          </w:p>
        </w:tc>
        <w:tc>
          <w:tcPr>
            <w:tcW w:w="1530" w:type="dxa"/>
            <w:tcBorders>
              <w:top w:val="single" w:color="000000" w:sz="4" w:space="0"/>
              <w:left w:val="single" w:color="000000" w:sz="4" w:space="0"/>
              <w:bottom w:val="single" w:color="000000" w:sz="4" w:space="0"/>
              <w:right w:val="single" w:color="000000" w:sz="4" w:space="0"/>
            </w:tcBorders>
            <w:vAlign w:val="center"/>
          </w:tcPr>
          <w:p w14:paraId="090CC243">
            <w:pPr>
              <w:jc w:val="center"/>
              <w:rPr>
                <w:rFonts w:ascii="宋体" w:hAnsi="宋体"/>
                <w:color w:val="auto"/>
                <w:szCs w:val="21"/>
                <w:highlight w:val="none"/>
              </w:rPr>
            </w:pPr>
            <w:r>
              <w:rPr>
                <w:rFonts w:hint="eastAsia" w:ascii="宋体" w:hAnsi="宋体"/>
                <w:color w:val="auto"/>
                <w:szCs w:val="21"/>
                <w:highlight w:val="none"/>
              </w:rPr>
              <w:t>A02021002 A3彩色打印机</w:t>
            </w:r>
          </w:p>
        </w:tc>
        <w:tc>
          <w:tcPr>
            <w:tcW w:w="3452" w:type="dxa"/>
            <w:tcBorders>
              <w:top w:val="single" w:color="000000" w:sz="4" w:space="0"/>
              <w:left w:val="single" w:color="000000" w:sz="4" w:space="0"/>
              <w:bottom w:val="single" w:color="000000" w:sz="4" w:space="0"/>
              <w:right w:val="single" w:color="000000" w:sz="4" w:space="0"/>
            </w:tcBorders>
          </w:tcPr>
          <w:p w14:paraId="49852994">
            <w:pPr>
              <w:pStyle w:val="6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29F4E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B4F15BF">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4021428">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ECC1F38">
            <w:pPr>
              <w:widowControl/>
              <w:jc w:val="left"/>
              <w:rPr>
                <w:rFonts w:ascii="宋体" w:hAnsi="宋体"/>
                <w:color w:val="auto"/>
                <w:szCs w:val="21"/>
                <w:highlight w:val="none"/>
              </w:rPr>
            </w:pPr>
          </w:p>
        </w:tc>
        <w:tc>
          <w:tcPr>
            <w:tcW w:w="1530" w:type="dxa"/>
            <w:tcBorders>
              <w:top w:val="single" w:color="000000" w:sz="4" w:space="0"/>
              <w:left w:val="single" w:color="000000" w:sz="4" w:space="0"/>
              <w:bottom w:val="single" w:color="000000" w:sz="4" w:space="0"/>
              <w:right w:val="single" w:color="000000" w:sz="4" w:space="0"/>
            </w:tcBorders>
            <w:vAlign w:val="center"/>
          </w:tcPr>
          <w:p w14:paraId="07D67546">
            <w:pPr>
              <w:jc w:val="center"/>
              <w:rPr>
                <w:rFonts w:ascii="宋体" w:hAnsi="宋体"/>
                <w:color w:val="auto"/>
                <w:szCs w:val="21"/>
                <w:highlight w:val="none"/>
              </w:rPr>
            </w:pPr>
            <w:r>
              <w:rPr>
                <w:rFonts w:hint="eastAsia" w:ascii="宋体" w:hAnsi="宋体"/>
                <w:color w:val="auto"/>
                <w:szCs w:val="21"/>
                <w:highlight w:val="none"/>
              </w:rPr>
              <w:t>A02021003 A4黑白打印机</w:t>
            </w:r>
          </w:p>
        </w:tc>
        <w:tc>
          <w:tcPr>
            <w:tcW w:w="3452" w:type="dxa"/>
            <w:tcBorders>
              <w:top w:val="single" w:color="000000" w:sz="4" w:space="0"/>
              <w:left w:val="single" w:color="000000" w:sz="4" w:space="0"/>
              <w:bottom w:val="single" w:color="000000" w:sz="4" w:space="0"/>
              <w:right w:val="single" w:color="000000" w:sz="4" w:space="0"/>
            </w:tcBorders>
          </w:tcPr>
          <w:p w14:paraId="495DAE4F">
            <w:pPr>
              <w:pStyle w:val="6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519B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3A1A948">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BE7EB66">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B3E8364">
            <w:pPr>
              <w:widowControl/>
              <w:jc w:val="left"/>
              <w:rPr>
                <w:rFonts w:ascii="宋体" w:hAnsi="宋体"/>
                <w:color w:val="auto"/>
                <w:szCs w:val="21"/>
                <w:highlight w:val="none"/>
              </w:rPr>
            </w:pPr>
          </w:p>
        </w:tc>
        <w:tc>
          <w:tcPr>
            <w:tcW w:w="1530" w:type="dxa"/>
            <w:tcBorders>
              <w:top w:val="single" w:color="000000" w:sz="4" w:space="0"/>
              <w:left w:val="single" w:color="000000" w:sz="4" w:space="0"/>
              <w:bottom w:val="single" w:color="000000" w:sz="4" w:space="0"/>
              <w:right w:val="single" w:color="000000" w:sz="4" w:space="0"/>
            </w:tcBorders>
            <w:vAlign w:val="center"/>
          </w:tcPr>
          <w:p w14:paraId="58437D47">
            <w:pPr>
              <w:jc w:val="center"/>
              <w:rPr>
                <w:rFonts w:ascii="宋体" w:hAnsi="宋体"/>
                <w:color w:val="auto"/>
                <w:szCs w:val="21"/>
                <w:highlight w:val="none"/>
              </w:rPr>
            </w:pPr>
            <w:r>
              <w:rPr>
                <w:rFonts w:hint="eastAsia" w:ascii="宋体" w:hAnsi="宋体"/>
                <w:color w:val="auto"/>
                <w:szCs w:val="21"/>
                <w:highlight w:val="none"/>
              </w:rPr>
              <w:t>A02021004 A4彩色打印机</w:t>
            </w:r>
          </w:p>
        </w:tc>
        <w:tc>
          <w:tcPr>
            <w:tcW w:w="3452" w:type="dxa"/>
            <w:tcBorders>
              <w:top w:val="single" w:color="000000" w:sz="4" w:space="0"/>
              <w:left w:val="single" w:color="000000" w:sz="4" w:space="0"/>
              <w:bottom w:val="single" w:color="000000" w:sz="4" w:space="0"/>
              <w:right w:val="single" w:color="000000" w:sz="4" w:space="0"/>
            </w:tcBorders>
          </w:tcPr>
          <w:p w14:paraId="3029E0A4">
            <w:pPr>
              <w:pStyle w:val="6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09A60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CDD24D1">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ADA3C8B">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1517970">
            <w:pPr>
              <w:widowControl/>
              <w:jc w:val="left"/>
              <w:rPr>
                <w:rFonts w:ascii="宋体" w:hAnsi="宋体"/>
                <w:color w:val="auto"/>
                <w:szCs w:val="21"/>
                <w:highlight w:val="none"/>
              </w:rPr>
            </w:pPr>
          </w:p>
        </w:tc>
        <w:tc>
          <w:tcPr>
            <w:tcW w:w="1530" w:type="dxa"/>
            <w:tcBorders>
              <w:top w:val="single" w:color="000000" w:sz="4" w:space="0"/>
              <w:left w:val="single" w:color="000000" w:sz="4" w:space="0"/>
              <w:bottom w:val="single" w:color="000000" w:sz="4" w:space="0"/>
              <w:right w:val="single" w:color="000000" w:sz="4" w:space="0"/>
            </w:tcBorders>
            <w:vAlign w:val="center"/>
          </w:tcPr>
          <w:p w14:paraId="7DAC8876">
            <w:pPr>
              <w:jc w:val="center"/>
              <w:rPr>
                <w:rFonts w:ascii="宋体" w:hAnsi="宋体"/>
                <w:color w:val="auto"/>
                <w:szCs w:val="21"/>
                <w:highlight w:val="none"/>
              </w:rPr>
            </w:pPr>
            <w:r>
              <w:rPr>
                <w:rFonts w:hint="eastAsia" w:ascii="宋体" w:hAnsi="宋体"/>
                <w:color w:val="auto"/>
                <w:szCs w:val="21"/>
                <w:highlight w:val="none"/>
              </w:rPr>
              <w:t>A02021005 3D打印机</w:t>
            </w:r>
          </w:p>
        </w:tc>
        <w:tc>
          <w:tcPr>
            <w:tcW w:w="3452" w:type="dxa"/>
            <w:tcBorders>
              <w:top w:val="single" w:color="000000" w:sz="4" w:space="0"/>
              <w:left w:val="single" w:color="000000" w:sz="4" w:space="0"/>
              <w:bottom w:val="single" w:color="000000" w:sz="4" w:space="0"/>
              <w:right w:val="single" w:color="000000" w:sz="4" w:space="0"/>
            </w:tcBorders>
          </w:tcPr>
          <w:p w14:paraId="5EFC21B5">
            <w:pPr>
              <w:pStyle w:val="6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78834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24A905A">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190A5A3">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52F28FE">
            <w:pPr>
              <w:widowControl/>
              <w:jc w:val="left"/>
              <w:rPr>
                <w:rFonts w:ascii="宋体" w:hAnsi="宋体"/>
                <w:color w:val="auto"/>
                <w:szCs w:val="21"/>
                <w:highlight w:val="none"/>
              </w:rPr>
            </w:pPr>
          </w:p>
        </w:tc>
        <w:tc>
          <w:tcPr>
            <w:tcW w:w="1530" w:type="dxa"/>
            <w:tcBorders>
              <w:top w:val="single" w:color="000000" w:sz="4" w:space="0"/>
              <w:left w:val="single" w:color="000000" w:sz="4" w:space="0"/>
              <w:bottom w:val="single" w:color="000000" w:sz="4" w:space="0"/>
              <w:right w:val="single" w:color="000000" w:sz="4" w:space="0"/>
            </w:tcBorders>
            <w:vAlign w:val="center"/>
          </w:tcPr>
          <w:p w14:paraId="5D447CC0">
            <w:pPr>
              <w:jc w:val="center"/>
              <w:rPr>
                <w:rFonts w:ascii="宋体" w:hAnsi="宋体"/>
                <w:color w:val="auto"/>
                <w:szCs w:val="21"/>
                <w:highlight w:val="none"/>
              </w:rPr>
            </w:pPr>
            <w:r>
              <w:rPr>
                <w:rFonts w:hint="eastAsia" w:ascii="宋体" w:hAnsi="宋体"/>
                <w:color w:val="auto"/>
                <w:szCs w:val="21"/>
                <w:highlight w:val="none"/>
              </w:rPr>
              <w:t>A02021006票据打印机</w:t>
            </w:r>
          </w:p>
        </w:tc>
        <w:tc>
          <w:tcPr>
            <w:tcW w:w="3452" w:type="dxa"/>
            <w:tcBorders>
              <w:top w:val="single" w:color="000000" w:sz="4" w:space="0"/>
              <w:left w:val="single" w:color="000000" w:sz="4" w:space="0"/>
              <w:bottom w:val="single" w:color="000000" w:sz="4" w:space="0"/>
              <w:right w:val="single" w:color="000000" w:sz="4" w:space="0"/>
            </w:tcBorders>
          </w:tcPr>
          <w:p w14:paraId="2772C1D8">
            <w:pPr>
              <w:pStyle w:val="6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163D2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FE59AF5">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67699ED">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EFBC250">
            <w:pPr>
              <w:widowControl/>
              <w:jc w:val="left"/>
              <w:rPr>
                <w:rFonts w:ascii="宋体" w:hAnsi="宋体"/>
                <w:color w:val="auto"/>
                <w:szCs w:val="21"/>
                <w:highlight w:val="none"/>
              </w:rPr>
            </w:pPr>
          </w:p>
        </w:tc>
        <w:tc>
          <w:tcPr>
            <w:tcW w:w="1530" w:type="dxa"/>
            <w:tcBorders>
              <w:top w:val="single" w:color="000000" w:sz="4" w:space="0"/>
              <w:left w:val="single" w:color="000000" w:sz="4" w:space="0"/>
              <w:bottom w:val="single" w:color="000000" w:sz="4" w:space="0"/>
              <w:right w:val="single" w:color="000000" w:sz="4" w:space="0"/>
            </w:tcBorders>
            <w:vAlign w:val="center"/>
          </w:tcPr>
          <w:p w14:paraId="6B5A26CA">
            <w:pPr>
              <w:jc w:val="center"/>
              <w:rPr>
                <w:rFonts w:ascii="宋体" w:hAnsi="宋体"/>
                <w:color w:val="auto"/>
                <w:szCs w:val="21"/>
                <w:highlight w:val="none"/>
              </w:rPr>
            </w:pPr>
            <w:r>
              <w:rPr>
                <w:rFonts w:hint="eastAsia" w:ascii="宋体" w:hAnsi="宋体"/>
                <w:color w:val="auto"/>
                <w:szCs w:val="21"/>
                <w:highlight w:val="none"/>
              </w:rPr>
              <w:t>A02021007条码打印机</w:t>
            </w:r>
          </w:p>
        </w:tc>
        <w:tc>
          <w:tcPr>
            <w:tcW w:w="3452" w:type="dxa"/>
            <w:tcBorders>
              <w:top w:val="single" w:color="000000" w:sz="4" w:space="0"/>
              <w:left w:val="single" w:color="000000" w:sz="4" w:space="0"/>
              <w:bottom w:val="single" w:color="000000" w:sz="4" w:space="0"/>
              <w:right w:val="single" w:color="000000" w:sz="4" w:space="0"/>
            </w:tcBorders>
          </w:tcPr>
          <w:p w14:paraId="7C8F0844">
            <w:pPr>
              <w:pStyle w:val="6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0BDF5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302363B">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6E75EC8">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52C0755">
            <w:pPr>
              <w:widowControl/>
              <w:jc w:val="left"/>
              <w:rPr>
                <w:rFonts w:ascii="宋体" w:hAnsi="宋体"/>
                <w:color w:val="auto"/>
                <w:szCs w:val="21"/>
                <w:highlight w:val="none"/>
              </w:rPr>
            </w:pPr>
          </w:p>
        </w:tc>
        <w:tc>
          <w:tcPr>
            <w:tcW w:w="1530" w:type="dxa"/>
            <w:tcBorders>
              <w:top w:val="single" w:color="000000" w:sz="4" w:space="0"/>
              <w:left w:val="single" w:color="000000" w:sz="4" w:space="0"/>
              <w:bottom w:val="single" w:color="000000" w:sz="4" w:space="0"/>
              <w:right w:val="single" w:color="000000" w:sz="4" w:space="0"/>
            </w:tcBorders>
            <w:vAlign w:val="center"/>
          </w:tcPr>
          <w:p w14:paraId="75221833">
            <w:pPr>
              <w:jc w:val="center"/>
              <w:rPr>
                <w:rFonts w:ascii="宋体" w:hAnsi="宋体"/>
                <w:color w:val="auto"/>
                <w:szCs w:val="21"/>
                <w:highlight w:val="none"/>
              </w:rPr>
            </w:pPr>
            <w:r>
              <w:rPr>
                <w:rFonts w:hint="eastAsia" w:ascii="宋体" w:hAnsi="宋体"/>
                <w:color w:val="auto"/>
                <w:szCs w:val="21"/>
                <w:highlight w:val="none"/>
              </w:rPr>
              <w:t>A02021008地址打印机</w:t>
            </w:r>
          </w:p>
        </w:tc>
        <w:tc>
          <w:tcPr>
            <w:tcW w:w="3452" w:type="dxa"/>
            <w:tcBorders>
              <w:top w:val="single" w:color="000000" w:sz="4" w:space="0"/>
              <w:left w:val="single" w:color="000000" w:sz="4" w:space="0"/>
              <w:bottom w:val="single" w:color="000000" w:sz="4" w:space="0"/>
              <w:right w:val="single" w:color="000000" w:sz="4" w:space="0"/>
            </w:tcBorders>
          </w:tcPr>
          <w:p w14:paraId="380751F1">
            <w:pPr>
              <w:pStyle w:val="6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4AEB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1FEBA51">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43E6FF1">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A596B70">
            <w:pPr>
              <w:widowControl/>
              <w:jc w:val="left"/>
              <w:rPr>
                <w:rFonts w:ascii="宋体" w:hAnsi="宋体"/>
                <w:color w:val="auto"/>
                <w:szCs w:val="21"/>
                <w:highlight w:val="none"/>
              </w:rPr>
            </w:pPr>
          </w:p>
        </w:tc>
        <w:tc>
          <w:tcPr>
            <w:tcW w:w="1530" w:type="dxa"/>
            <w:tcBorders>
              <w:top w:val="single" w:color="000000" w:sz="4" w:space="0"/>
              <w:left w:val="single" w:color="000000" w:sz="4" w:space="0"/>
              <w:bottom w:val="single" w:color="000000" w:sz="4" w:space="0"/>
              <w:right w:val="single" w:color="000000" w:sz="4" w:space="0"/>
            </w:tcBorders>
            <w:vAlign w:val="center"/>
          </w:tcPr>
          <w:p w14:paraId="737B56F7">
            <w:pPr>
              <w:jc w:val="center"/>
              <w:rPr>
                <w:rFonts w:ascii="宋体" w:hAnsi="宋体"/>
                <w:color w:val="auto"/>
                <w:szCs w:val="21"/>
                <w:highlight w:val="none"/>
              </w:rPr>
            </w:pPr>
            <w:r>
              <w:rPr>
                <w:rFonts w:hint="eastAsia" w:ascii="宋体" w:hAnsi="宋体"/>
                <w:color w:val="auto"/>
                <w:szCs w:val="21"/>
                <w:highlight w:val="none"/>
              </w:rPr>
              <w:t>A02021099其他打印机</w:t>
            </w:r>
          </w:p>
        </w:tc>
        <w:tc>
          <w:tcPr>
            <w:tcW w:w="3452" w:type="dxa"/>
            <w:tcBorders>
              <w:top w:val="single" w:color="000000" w:sz="4" w:space="0"/>
              <w:left w:val="single" w:color="000000" w:sz="4" w:space="0"/>
              <w:bottom w:val="single" w:color="000000" w:sz="4" w:space="0"/>
              <w:right w:val="single" w:color="000000" w:sz="4" w:space="0"/>
            </w:tcBorders>
          </w:tcPr>
          <w:p w14:paraId="5DC4332C">
            <w:pPr>
              <w:pStyle w:val="6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0CFBC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9C107CE">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D55591A">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2E483089">
            <w:pPr>
              <w:jc w:val="center"/>
              <w:rPr>
                <w:rFonts w:ascii="宋体" w:hAnsi="宋体"/>
                <w:color w:val="auto"/>
                <w:szCs w:val="21"/>
                <w:highlight w:val="none"/>
              </w:rPr>
            </w:pPr>
            <w:r>
              <w:rPr>
                <w:rFonts w:hint="eastAsia" w:ascii="宋体" w:hAnsi="宋体"/>
                <w:color w:val="auto"/>
                <w:szCs w:val="21"/>
                <w:highlight w:val="none"/>
              </w:rPr>
              <w:t>A02021100输入输出设备</w:t>
            </w:r>
          </w:p>
        </w:tc>
        <w:tc>
          <w:tcPr>
            <w:tcW w:w="1530" w:type="dxa"/>
            <w:tcBorders>
              <w:top w:val="single" w:color="000000" w:sz="4" w:space="0"/>
              <w:left w:val="single" w:color="000000" w:sz="4" w:space="0"/>
              <w:bottom w:val="single" w:color="000000" w:sz="4" w:space="0"/>
              <w:right w:val="single" w:color="000000" w:sz="4" w:space="0"/>
            </w:tcBorders>
            <w:vAlign w:val="center"/>
          </w:tcPr>
          <w:p w14:paraId="227AB570">
            <w:pPr>
              <w:jc w:val="center"/>
              <w:rPr>
                <w:rFonts w:ascii="宋体" w:hAnsi="宋体"/>
                <w:color w:val="auto"/>
                <w:szCs w:val="21"/>
                <w:highlight w:val="none"/>
              </w:rPr>
            </w:pPr>
            <w:r>
              <w:rPr>
                <w:rFonts w:hint="eastAsia" w:ascii="宋体" w:hAnsi="宋体" w:cs="宋体"/>
                <w:color w:val="auto"/>
                <w:w w:val="99"/>
                <w:szCs w:val="21"/>
                <w:highlight w:val="none"/>
              </w:rPr>
              <w:t>★</w:t>
            </w:r>
            <w:r>
              <w:rPr>
                <w:rFonts w:hint="eastAsia" w:ascii="宋体" w:hAnsi="宋体"/>
                <w:color w:val="auto"/>
                <w:szCs w:val="21"/>
                <w:highlight w:val="none"/>
              </w:rPr>
              <w:t>A02021104液晶显示器</w:t>
            </w:r>
          </w:p>
        </w:tc>
        <w:tc>
          <w:tcPr>
            <w:tcW w:w="3452" w:type="dxa"/>
            <w:tcBorders>
              <w:top w:val="single" w:color="000000" w:sz="4" w:space="0"/>
              <w:left w:val="single" w:color="000000" w:sz="4" w:space="0"/>
              <w:bottom w:val="single" w:color="000000" w:sz="4" w:space="0"/>
              <w:right w:val="single" w:color="000000" w:sz="4" w:space="0"/>
            </w:tcBorders>
            <w:vAlign w:val="center"/>
          </w:tcPr>
          <w:p w14:paraId="588F4FF8">
            <w:pPr>
              <w:pStyle w:val="6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《计算机显示器能效限定值及能效等级》（GB21520）</w:t>
            </w:r>
          </w:p>
        </w:tc>
      </w:tr>
      <w:tr w14:paraId="38EEB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1D36768">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632E051">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8D44D9B">
            <w:pPr>
              <w:widowControl/>
              <w:jc w:val="left"/>
              <w:rPr>
                <w:rFonts w:ascii="宋体" w:hAnsi="宋体"/>
                <w:color w:val="auto"/>
                <w:szCs w:val="21"/>
                <w:highlight w:val="none"/>
              </w:rPr>
            </w:pPr>
          </w:p>
        </w:tc>
        <w:tc>
          <w:tcPr>
            <w:tcW w:w="1530" w:type="dxa"/>
            <w:tcBorders>
              <w:top w:val="single" w:color="000000" w:sz="4" w:space="0"/>
              <w:left w:val="single" w:color="000000" w:sz="4" w:space="0"/>
              <w:bottom w:val="single" w:color="000000" w:sz="4" w:space="0"/>
              <w:right w:val="single" w:color="000000" w:sz="4" w:space="0"/>
            </w:tcBorders>
            <w:vAlign w:val="center"/>
          </w:tcPr>
          <w:p w14:paraId="43B20667">
            <w:pPr>
              <w:jc w:val="center"/>
              <w:rPr>
                <w:rFonts w:ascii="宋体" w:hAnsi="宋体"/>
                <w:color w:val="auto"/>
                <w:szCs w:val="21"/>
                <w:highlight w:val="none"/>
              </w:rPr>
            </w:pPr>
            <w:r>
              <w:rPr>
                <w:rFonts w:hint="eastAsia" w:ascii="宋体" w:hAnsi="宋体"/>
                <w:color w:val="auto"/>
                <w:szCs w:val="21"/>
                <w:highlight w:val="none"/>
              </w:rPr>
              <w:t>A02021118扫描仪</w:t>
            </w:r>
          </w:p>
        </w:tc>
        <w:tc>
          <w:tcPr>
            <w:tcW w:w="3452" w:type="dxa"/>
            <w:tcBorders>
              <w:top w:val="single" w:color="000000" w:sz="4" w:space="0"/>
              <w:left w:val="single" w:color="000000" w:sz="4" w:space="0"/>
              <w:bottom w:val="single" w:color="000000" w:sz="4" w:space="0"/>
              <w:right w:val="single" w:color="000000" w:sz="4" w:space="0"/>
            </w:tcBorders>
            <w:vAlign w:val="center"/>
          </w:tcPr>
          <w:p w14:paraId="1FAC881E">
            <w:pPr>
              <w:pStyle w:val="6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参照《复印机、打印机和传真机能效限定值及能效等级》（GB21521）中打印速度为15页/分的针式打印机相关要求</w:t>
            </w:r>
          </w:p>
        </w:tc>
      </w:tr>
      <w:tr w14:paraId="57AD2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86AFB18">
            <w:pPr>
              <w:jc w:val="center"/>
              <w:rPr>
                <w:rFonts w:ascii="宋体" w:hAnsi="宋体"/>
                <w:color w:val="auto"/>
                <w:szCs w:val="21"/>
                <w:highlight w:val="none"/>
              </w:rPr>
            </w:pPr>
            <w:r>
              <w:rPr>
                <w:rFonts w:hint="eastAsia" w:ascii="宋体" w:hAnsi="宋体"/>
                <w:color w:val="auto"/>
                <w:w w:val="99"/>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7B2F9D82">
            <w:pPr>
              <w:jc w:val="center"/>
              <w:rPr>
                <w:rFonts w:ascii="宋体" w:hAnsi="宋体"/>
                <w:color w:val="auto"/>
                <w:szCs w:val="21"/>
                <w:highlight w:val="none"/>
              </w:rPr>
            </w:pPr>
            <w:r>
              <w:rPr>
                <w:rFonts w:hint="eastAsia" w:ascii="宋体" w:hAnsi="宋体"/>
                <w:color w:val="auto"/>
                <w:szCs w:val="21"/>
                <w:highlight w:val="none"/>
              </w:rPr>
              <w:t>A02020200投影仪</w:t>
            </w:r>
          </w:p>
        </w:tc>
        <w:tc>
          <w:tcPr>
            <w:tcW w:w="1496" w:type="dxa"/>
            <w:tcBorders>
              <w:top w:val="single" w:color="000000" w:sz="4" w:space="0"/>
              <w:left w:val="single" w:color="000000" w:sz="4" w:space="0"/>
              <w:bottom w:val="single" w:color="000000" w:sz="4" w:space="0"/>
              <w:right w:val="single" w:color="000000" w:sz="4" w:space="0"/>
            </w:tcBorders>
            <w:vAlign w:val="center"/>
          </w:tcPr>
          <w:p w14:paraId="6CBA839A">
            <w:pPr>
              <w:jc w:val="center"/>
              <w:rPr>
                <w:rFonts w:ascii="宋体" w:hAnsi="宋体"/>
                <w:color w:val="auto"/>
                <w:szCs w:val="21"/>
                <w:highlight w:val="none"/>
              </w:rPr>
            </w:pPr>
          </w:p>
        </w:tc>
        <w:tc>
          <w:tcPr>
            <w:tcW w:w="1530" w:type="dxa"/>
            <w:tcBorders>
              <w:top w:val="single" w:color="000000" w:sz="4" w:space="0"/>
              <w:left w:val="single" w:color="000000" w:sz="4" w:space="0"/>
              <w:bottom w:val="single" w:color="000000" w:sz="4" w:space="0"/>
              <w:right w:val="single" w:color="000000" w:sz="4" w:space="0"/>
            </w:tcBorders>
            <w:vAlign w:val="center"/>
          </w:tcPr>
          <w:p w14:paraId="4A57A30E">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1F173085">
            <w:pPr>
              <w:pStyle w:val="6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《投影机能效限定值及能效等级》（GB32028）</w:t>
            </w:r>
          </w:p>
        </w:tc>
      </w:tr>
      <w:tr w14:paraId="45AA3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9FFD756">
            <w:pPr>
              <w:jc w:val="center"/>
              <w:rPr>
                <w:rFonts w:ascii="宋体" w:hAnsi="宋体"/>
                <w:color w:val="auto"/>
                <w:szCs w:val="21"/>
                <w:highlight w:val="none"/>
              </w:rPr>
            </w:pPr>
            <w:r>
              <w:rPr>
                <w:rFonts w:hint="eastAsia" w:ascii="宋体" w:hAnsi="宋体"/>
                <w:color w:val="auto"/>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56F4C712">
            <w:pPr>
              <w:pStyle w:val="68"/>
              <w:spacing w:before="66"/>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A02020400</w:t>
            </w:r>
            <w:r>
              <w:rPr>
                <w:rFonts w:hint="eastAsia" w:ascii="宋体" w:hAnsi="宋体" w:cs="宋体"/>
                <w:color w:val="auto"/>
                <w:w w:val="99"/>
                <w:kern w:val="2"/>
                <w:sz w:val="21"/>
                <w:szCs w:val="21"/>
                <w:highlight w:val="none"/>
              </w:rPr>
              <w:t>多功能一体机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0785ECA9">
            <w:pPr>
              <w:jc w:val="center"/>
              <w:rPr>
                <w:rFonts w:ascii="宋体" w:hAnsi="宋体"/>
                <w:color w:val="auto"/>
                <w:szCs w:val="21"/>
                <w:highlight w:val="none"/>
              </w:rPr>
            </w:pPr>
          </w:p>
        </w:tc>
        <w:tc>
          <w:tcPr>
            <w:tcW w:w="1530" w:type="dxa"/>
            <w:tcBorders>
              <w:top w:val="single" w:color="000000" w:sz="4" w:space="0"/>
              <w:left w:val="single" w:color="000000" w:sz="4" w:space="0"/>
              <w:bottom w:val="single" w:color="000000" w:sz="4" w:space="0"/>
              <w:right w:val="single" w:color="000000" w:sz="4" w:space="0"/>
            </w:tcBorders>
            <w:vAlign w:val="center"/>
          </w:tcPr>
          <w:p w14:paraId="37D4D12F">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7A69BDFB">
            <w:pPr>
              <w:pStyle w:val="6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6B625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D5018AF">
            <w:pPr>
              <w:pStyle w:val="68"/>
              <w:spacing w:before="160"/>
              <w:ind w:right="1"/>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5</w:t>
            </w:r>
          </w:p>
        </w:tc>
        <w:tc>
          <w:tcPr>
            <w:tcW w:w="1422" w:type="dxa"/>
            <w:tcBorders>
              <w:top w:val="single" w:color="000000" w:sz="4" w:space="0"/>
              <w:left w:val="single" w:color="000000" w:sz="4" w:space="0"/>
              <w:bottom w:val="single" w:color="000000" w:sz="4" w:space="0"/>
              <w:right w:val="single" w:color="000000" w:sz="4" w:space="0"/>
            </w:tcBorders>
            <w:vAlign w:val="center"/>
          </w:tcPr>
          <w:p w14:paraId="74CFCF3B">
            <w:pPr>
              <w:pStyle w:val="68"/>
              <w:spacing w:before="160"/>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A02051900</w:t>
            </w:r>
            <w:r>
              <w:rPr>
                <w:rFonts w:hint="eastAsia" w:ascii="宋体" w:hAnsi="宋体" w:cs="宋体"/>
                <w:color w:val="auto"/>
                <w:w w:val="99"/>
                <w:kern w:val="2"/>
                <w:sz w:val="21"/>
                <w:szCs w:val="21"/>
                <w:highlight w:val="none"/>
              </w:rPr>
              <w:t>泵</w:t>
            </w:r>
          </w:p>
        </w:tc>
        <w:tc>
          <w:tcPr>
            <w:tcW w:w="1496" w:type="dxa"/>
            <w:tcBorders>
              <w:top w:val="single" w:color="000000" w:sz="4" w:space="0"/>
              <w:left w:val="single" w:color="000000" w:sz="4" w:space="0"/>
              <w:bottom w:val="single" w:color="000000" w:sz="4" w:space="0"/>
              <w:right w:val="single" w:color="000000" w:sz="4" w:space="0"/>
            </w:tcBorders>
            <w:vAlign w:val="center"/>
          </w:tcPr>
          <w:p w14:paraId="634E0C95">
            <w:pPr>
              <w:pStyle w:val="68"/>
              <w:spacing w:before="160"/>
              <w:ind w:left="7"/>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05</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901离心泵</w:t>
            </w:r>
          </w:p>
        </w:tc>
        <w:tc>
          <w:tcPr>
            <w:tcW w:w="1530" w:type="dxa"/>
            <w:tcBorders>
              <w:top w:val="single" w:color="000000" w:sz="4" w:space="0"/>
              <w:left w:val="single" w:color="000000" w:sz="4" w:space="0"/>
              <w:bottom w:val="single" w:color="000000" w:sz="4" w:space="0"/>
              <w:right w:val="single" w:color="000000" w:sz="4" w:space="0"/>
            </w:tcBorders>
            <w:vAlign w:val="center"/>
          </w:tcPr>
          <w:p w14:paraId="44459D99">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3DBBDEE2">
            <w:pPr>
              <w:pStyle w:val="6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《清水离心泵能效限定值及节能评价值》（GB19762）</w:t>
            </w:r>
          </w:p>
        </w:tc>
      </w:tr>
      <w:tr w14:paraId="05BF8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36D4C292">
            <w:pPr>
              <w:jc w:val="center"/>
              <w:rPr>
                <w:rFonts w:ascii="宋体" w:hAnsi="宋体"/>
                <w:color w:val="auto"/>
                <w:szCs w:val="21"/>
                <w:highlight w:val="none"/>
              </w:rPr>
            </w:pPr>
            <w:r>
              <w:rPr>
                <w:rFonts w:hint="eastAsia" w:ascii="宋体" w:hAnsi="宋体"/>
                <w:color w:val="auto"/>
                <w:szCs w:val="21"/>
                <w:highlight w:val="none"/>
              </w:rPr>
              <w:t>6</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1B3924FF">
            <w:pPr>
              <w:pStyle w:val="68"/>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A02052300</w:t>
            </w:r>
            <w:r>
              <w:rPr>
                <w:rFonts w:hint="eastAsia" w:ascii="宋体" w:hAnsi="宋体" w:cs="宋体"/>
                <w:color w:val="auto"/>
                <w:w w:val="99"/>
                <w:kern w:val="2"/>
                <w:sz w:val="21"/>
                <w:szCs w:val="21"/>
                <w:highlight w:val="none"/>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7A4D08D3">
            <w:pPr>
              <w:pStyle w:val="68"/>
              <w:spacing w:line="276" w:lineRule="auto"/>
              <w:ind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52</w:t>
            </w:r>
            <w:r>
              <w:rPr>
                <w:rFonts w:hint="eastAsia" w:ascii="宋体" w:hAnsi="宋体" w:cs="宋体"/>
                <w:color w:val="auto"/>
                <w:spacing w:val="1"/>
                <w:w w:val="99"/>
                <w:kern w:val="2"/>
                <w:sz w:val="21"/>
                <w:szCs w:val="21"/>
                <w:highlight w:val="none"/>
              </w:rPr>
              <w:t>3</w:t>
            </w:r>
            <w:r>
              <w:rPr>
                <w:rFonts w:hint="eastAsia" w:ascii="宋体" w:hAnsi="宋体" w:cs="宋体"/>
                <w:color w:val="auto"/>
                <w:w w:val="99"/>
                <w:kern w:val="2"/>
                <w:sz w:val="21"/>
                <w:szCs w:val="21"/>
                <w:highlight w:val="none"/>
              </w:rPr>
              <w:t>01制冷压缩机</w:t>
            </w:r>
          </w:p>
        </w:tc>
        <w:tc>
          <w:tcPr>
            <w:tcW w:w="1530" w:type="dxa"/>
            <w:tcBorders>
              <w:top w:val="single" w:color="000000" w:sz="4" w:space="0"/>
              <w:left w:val="single" w:color="000000" w:sz="4" w:space="0"/>
              <w:bottom w:val="single" w:color="000000" w:sz="4" w:space="0"/>
              <w:right w:val="single" w:color="000000" w:sz="4" w:space="0"/>
            </w:tcBorders>
            <w:vAlign w:val="center"/>
          </w:tcPr>
          <w:p w14:paraId="78587DB6">
            <w:pPr>
              <w:pStyle w:val="6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冷水机组</w:t>
            </w:r>
          </w:p>
        </w:tc>
        <w:tc>
          <w:tcPr>
            <w:tcW w:w="3452" w:type="dxa"/>
            <w:tcBorders>
              <w:top w:val="single" w:color="000000" w:sz="4" w:space="0"/>
              <w:left w:val="single" w:color="000000" w:sz="4" w:space="0"/>
              <w:bottom w:val="single" w:color="000000" w:sz="4" w:space="0"/>
              <w:right w:val="single" w:color="000000" w:sz="4" w:space="0"/>
            </w:tcBorders>
          </w:tcPr>
          <w:p w14:paraId="75DBA115">
            <w:pPr>
              <w:pStyle w:val="6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《冷水机组能效限定值及能效等级》（GB19577），《低环境温度空气源热泵（冷水）机组能效限定值及能效等级》（GB37480）</w:t>
            </w:r>
          </w:p>
        </w:tc>
      </w:tr>
      <w:tr w14:paraId="7BD5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FAF06FB">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8AB7B71">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5AB50A2">
            <w:pPr>
              <w:widowControl/>
              <w:jc w:val="left"/>
              <w:rPr>
                <w:rFonts w:ascii="宋体" w:hAnsi="宋体" w:cs="宋体"/>
                <w:color w:val="auto"/>
                <w:szCs w:val="21"/>
                <w:highlight w:val="none"/>
              </w:rPr>
            </w:pPr>
          </w:p>
        </w:tc>
        <w:tc>
          <w:tcPr>
            <w:tcW w:w="1530" w:type="dxa"/>
            <w:tcBorders>
              <w:top w:val="single" w:color="000000" w:sz="4" w:space="0"/>
              <w:left w:val="single" w:color="000000" w:sz="4" w:space="0"/>
              <w:bottom w:val="single" w:color="000000" w:sz="4" w:space="0"/>
              <w:right w:val="single" w:color="000000" w:sz="4" w:space="0"/>
            </w:tcBorders>
            <w:vAlign w:val="center"/>
          </w:tcPr>
          <w:p w14:paraId="1840FB45">
            <w:pPr>
              <w:jc w:val="center"/>
              <w:rPr>
                <w:rFonts w:ascii="宋体" w:hAnsi="宋体"/>
                <w:color w:val="auto"/>
                <w:szCs w:val="21"/>
                <w:highlight w:val="none"/>
              </w:rPr>
            </w:pPr>
            <w:r>
              <w:rPr>
                <w:rFonts w:hint="eastAsia" w:ascii="宋体" w:hAnsi="宋体"/>
                <w:color w:val="auto"/>
                <w:szCs w:val="21"/>
                <w:highlight w:val="none"/>
              </w:rPr>
              <w:t>溴化锂吸收式冷水机组</w:t>
            </w:r>
          </w:p>
        </w:tc>
        <w:tc>
          <w:tcPr>
            <w:tcW w:w="3452" w:type="dxa"/>
            <w:tcBorders>
              <w:top w:val="single" w:color="000000" w:sz="4" w:space="0"/>
              <w:left w:val="single" w:color="000000" w:sz="4" w:space="0"/>
              <w:bottom w:val="single" w:color="000000" w:sz="4" w:space="0"/>
              <w:right w:val="single" w:color="000000" w:sz="4" w:space="0"/>
            </w:tcBorders>
            <w:vAlign w:val="center"/>
          </w:tcPr>
          <w:p w14:paraId="0FF4442F">
            <w:pPr>
              <w:pStyle w:val="6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《溴化锂吸收式冷水机组能效限</w:t>
            </w:r>
          </w:p>
          <w:p w14:paraId="28E888CE">
            <w:pPr>
              <w:spacing w:before="131" w:line="276" w:lineRule="auto"/>
              <w:ind w:right="4"/>
              <w:rPr>
                <w:rFonts w:ascii="宋体" w:hAnsi="宋体" w:cs="宋体"/>
                <w:color w:val="auto"/>
                <w:spacing w:val="10"/>
                <w:szCs w:val="21"/>
                <w:highlight w:val="none"/>
              </w:rPr>
            </w:pPr>
            <w:r>
              <w:rPr>
                <w:rFonts w:hint="eastAsia" w:ascii="宋体" w:hAnsi="宋体" w:cs="宋体"/>
                <w:color w:val="auto"/>
                <w:spacing w:val="10"/>
                <w:szCs w:val="21"/>
                <w:highlight w:val="none"/>
              </w:rPr>
              <w:t>定值及能效等级》（GB29540）</w:t>
            </w:r>
          </w:p>
        </w:tc>
      </w:tr>
      <w:tr w14:paraId="6E4C6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8CC701C">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5F5ACBA">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0CF02B26">
            <w:pPr>
              <w:pStyle w:val="68"/>
              <w:spacing w:line="276" w:lineRule="auto"/>
              <w:ind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★A02052305空调机组</w:t>
            </w:r>
          </w:p>
        </w:tc>
        <w:tc>
          <w:tcPr>
            <w:tcW w:w="1530" w:type="dxa"/>
            <w:tcBorders>
              <w:top w:val="single" w:color="000000" w:sz="4" w:space="0"/>
              <w:left w:val="single" w:color="000000" w:sz="4" w:space="0"/>
              <w:bottom w:val="single" w:color="000000" w:sz="4" w:space="0"/>
              <w:right w:val="single" w:color="000000" w:sz="4" w:space="0"/>
            </w:tcBorders>
            <w:vAlign w:val="center"/>
          </w:tcPr>
          <w:p w14:paraId="74B40088">
            <w:pPr>
              <w:pStyle w:val="68"/>
              <w:spacing w:before="4" w:line="276" w:lineRule="auto"/>
              <w:ind w:left="7" w:right="7"/>
              <w:jc w:val="center"/>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多联式空调（热泵）机组（制冷量&gt;14000W）</w:t>
            </w:r>
          </w:p>
        </w:tc>
        <w:tc>
          <w:tcPr>
            <w:tcW w:w="3452" w:type="dxa"/>
            <w:tcBorders>
              <w:top w:val="single" w:color="000000" w:sz="4" w:space="0"/>
              <w:left w:val="single" w:color="000000" w:sz="4" w:space="0"/>
              <w:bottom w:val="single" w:color="000000" w:sz="4" w:space="0"/>
              <w:right w:val="single" w:color="000000" w:sz="4" w:space="0"/>
            </w:tcBorders>
          </w:tcPr>
          <w:p w14:paraId="3885564C">
            <w:pPr>
              <w:pStyle w:val="6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《多联式空调（热泵）机组能效限定值及能源效率等级》（GB21454）</w:t>
            </w:r>
          </w:p>
        </w:tc>
      </w:tr>
      <w:tr w14:paraId="138FD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379E6DF">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69AB52D">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8257A15">
            <w:pPr>
              <w:widowControl/>
              <w:jc w:val="left"/>
              <w:rPr>
                <w:rFonts w:ascii="宋体" w:hAnsi="宋体" w:cs="宋体"/>
                <w:color w:val="auto"/>
                <w:szCs w:val="21"/>
                <w:highlight w:val="none"/>
              </w:rPr>
            </w:pPr>
          </w:p>
        </w:tc>
        <w:tc>
          <w:tcPr>
            <w:tcW w:w="1530" w:type="dxa"/>
            <w:tcBorders>
              <w:top w:val="single" w:color="000000" w:sz="4" w:space="0"/>
              <w:left w:val="single" w:color="000000" w:sz="4" w:space="0"/>
              <w:bottom w:val="single" w:color="000000" w:sz="4" w:space="0"/>
              <w:right w:val="single" w:color="000000" w:sz="4" w:space="0"/>
            </w:tcBorders>
            <w:vAlign w:val="center"/>
          </w:tcPr>
          <w:p w14:paraId="40C93F7C">
            <w:pPr>
              <w:jc w:val="center"/>
              <w:rPr>
                <w:rFonts w:ascii="宋体" w:hAnsi="宋体"/>
                <w:color w:val="auto"/>
                <w:szCs w:val="21"/>
                <w:highlight w:val="none"/>
              </w:rPr>
            </w:pPr>
            <w:r>
              <w:rPr>
                <w:rFonts w:hint="eastAsia" w:ascii="宋体" w:hAnsi="宋体" w:cs="宋体"/>
                <w:color w:val="auto"/>
                <w:w w:val="99"/>
                <w:szCs w:val="21"/>
                <w:highlight w:val="none"/>
              </w:rPr>
              <w:t>单元式空气调节机</w:t>
            </w:r>
          </w:p>
        </w:tc>
        <w:tc>
          <w:tcPr>
            <w:tcW w:w="3452" w:type="dxa"/>
            <w:tcBorders>
              <w:top w:val="single" w:color="000000" w:sz="4" w:space="0"/>
              <w:left w:val="single" w:color="000000" w:sz="4" w:space="0"/>
              <w:bottom w:val="single" w:color="000000" w:sz="4" w:space="0"/>
              <w:right w:val="single" w:color="000000" w:sz="4" w:space="0"/>
            </w:tcBorders>
          </w:tcPr>
          <w:p w14:paraId="0395594F">
            <w:pPr>
              <w:pStyle w:val="6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《单元式空气调节机能效限定值及能效等级》（GB19576）《风管送风式空调机组能效限定值及能效等级》（GB37479）</w:t>
            </w:r>
          </w:p>
        </w:tc>
      </w:tr>
      <w:tr w14:paraId="137B4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01E6248">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8AD311B">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741C78E">
            <w:pPr>
              <w:pStyle w:val="68"/>
              <w:spacing w:before="83"/>
              <w:ind w:left="7"/>
              <w:jc w:val="center"/>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★A02052309专用制冷、空调设备</w:t>
            </w:r>
          </w:p>
        </w:tc>
        <w:tc>
          <w:tcPr>
            <w:tcW w:w="1530" w:type="dxa"/>
            <w:tcBorders>
              <w:top w:val="single" w:color="000000" w:sz="4" w:space="0"/>
              <w:left w:val="single" w:color="000000" w:sz="4" w:space="0"/>
              <w:bottom w:val="single" w:color="000000" w:sz="4" w:space="0"/>
              <w:right w:val="single" w:color="000000" w:sz="4" w:space="0"/>
            </w:tcBorders>
            <w:vAlign w:val="center"/>
          </w:tcPr>
          <w:p w14:paraId="2191580C">
            <w:pPr>
              <w:pStyle w:val="6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机房空调</w:t>
            </w:r>
          </w:p>
        </w:tc>
        <w:tc>
          <w:tcPr>
            <w:tcW w:w="3452" w:type="dxa"/>
            <w:tcBorders>
              <w:top w:val="single" w:color="000000" w:sz="4" w:space="0"/>
              <w:left w:val="single" w:color="000000" w:sz="4" w:space="0"/>
              <w:bottom w:val="single" w:color="000000" w:sz="4" w:space="0"/>
              <w:right w:val="single" w:color="000000" w:sz="4" w:space="0"/>
            </w:tcBorders>
          </w:tcPr>
          <w:p w14:paraId="5FEB8672">
            <w:pPr>
              <w:pStyle w:val="6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w:t>
            </w:r>
          </w:p>
          <w:p w14:paraId="6991A531">
            <w:pPr>
              <w:pStyle w:val="6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及能效等级》（GB19576）</w:t>
            </w:r>
          </w:p>
        </w:tc>
      </w:tr>
      <w:tr w14:paraId="44F0E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BE8DA51">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F0C4B5D">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5B40508">
            <w:pPr>
              <w:pStyle w:val="68"/>
              <w:spacing w:line="254" w:lineRule="exact"/>
              <w:ind w:left="7"/>
              <w:jc w:val="center"/>
              <w:rPr>
                <w:rFonts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A02052399其他制冷</w:t>
            </w:r>
          </w:p>
          <w:p w14:paraId="6631BA01">
            <w:pPr>
              <w:pStyle w:val="68"/>
              <w:spacing w:line="254" w:lineRule="exact"/>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空调设备</w:t>
            </w:r>
          </w:p>
        </w:tc>
        <w:tc>
          <w:tcPr>
            <w:tcW w:w="1530" w:type="dxa"/>
            <w:tcBorders>
              <w:top w:val="single" w:color="000000" w:sz="4" w:space="0"/>
              <w:left w:val="single" w:color="000000" w:sz="4" w:space="0"/>
              <w:bottom w:val="single" w:color="000000" w:sz="4" w:space="0"/>
              <w:right w:val="single" w:color="000000" w:sz="4" w:space="0"/>
            </w:tcBorders>
            <w:vAlign w:val="center"/>
          </w:tcPr>
          <w:p w14:paraId="1CB997C0">
            <w:pPr>
              <w:widowControl/>
              <w:jc w:val="center"/>
              <w:rPr>
                <w:rFonts w:ascii="宋体" w:hAnsi="宋体" w:cs="宋体"/>
                <w:color w:val="auto"/>
                <w:szCs w:val="21"/>
                <w:highlight w:val="none"/>
                <w:lang w:eastAsia="en-US"/>
              </w:rPr>
            </w:pPr>
            <w:r>
              <w:rPr>
                <w:rFonts w:hint="eastAsia" w:ascii="宋体" w:hAnsi="宋体" w:cs="宋体"/>
                <w:color w:val="auto"/>
                <w:w w:val="99"/>
                <w:szCs w:val="21"/>
                <w:highlight w:val="none"/>
              </w:rPr>
              <w:t>冷却塔</w:t>
            </w:r>
          </w:p>
        </w:tc>
        <w:tc>
          <w:tcPr>
            <w:tcW w:w="3452" w:type="dxa"/>
            <w:tcBorders>
              <w:top w:val="single" w:color="000000" w:sz="4" w:space="0"/>
              <w:left w:val="single" w:color="000000" w:sz="4" w:space="0"/>
              <w:bottom w:val="single" w:color="000000" w:sz="4" w:space="0"/>
              <w:right w:val="single" w:color="000000" w:sz="4" w:space="0"/>
            </w:tcBorders>
          </w:tcPr>
          <w:p w14:paraId="16FF5CFF">
            <w:pPr>
              <w:pStyle w:val="6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《机械通风冷却塔第1部分：中小型开式冷却塔》（GB/T7190.1）</w:t>
            </w:r>
          </w:p>
          <w:p w14:paraId="5D9F579C">
            <w:pPr>
              <w:pStyle w:val="6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《机械通风冷却塔第2部分：大型开式冷却塔》（GB/T7190.2）</w:t>
            </w:r>
          </w:p>
        </w:tc>
      </w:tr>
      <w:tr w14:paraId="444EB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8A5D874">
            <w:pPr>
              <w:pStyle w:val="68"/>
              <w:ind w:right="1"/>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7</w:t>
            </w:r>
          </w:p>
        </w:tc>
        <w:tc>
          <w:tcPr>
            <w:tcW w:w="1422" w:type="dxa"/>
            <w:tcBorders>
              <w:top w:val="single" w:color="000000" w:sz="4" w:space="0"/>
              <w:left w:val="single" w:color="000000" w:sz="4" w:space="0"/>
              <w:bottom w:val="single" w:color="000000" w:sz="4" w:space="0"/>
              <w:right w:val="single" w:color="000000" w:sz="4" w:space="0"/>
            </w:tcBorders>
            <w:vAlign w:val="center"/>
          </w:tcPr>
          <w:p w14:paraId="3D6DD639">
            <w:pPr>
              <w:pStyle w:val="68"/>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A02060100</w:t>
            </w:r>
            <w:r>
              <w:rPr>
                <w:rFonts w:hint="eastAsia" w:ascii="宋体" w:hAnsi="宋体" w:cs="宋体"/>
                <w:color w:val="auto"/>
                <w:w w:val="99"/>
                <w:kern w:val="2"/>
                <w:sz w:val="21"/>
                <w:szCs w:val="21"/>
                <w:highlight w:val="none"/>
              </w:rPr>
              <w:t>电机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39C01AC1">
            <w:pPr>
              <w:jc w:val="center"/>
              <w:rPr>
                <w:rFonts w:ascii="宋体" w:hAnsi="宋体"/>
                <w:color w:val="auto"/>
                <w:szCs w:val="21"/>
                <w:highlight w:val="none"/>
              </w:rPr>
            </w:pPr>
          </w:p>
        </w:tc>
        <w:tc>
          <w:tcPr>
            <w:tcW w:w="1530" w:type="dxa"/>
            <w:tcBorders>
              <w:top w:val="single" w:color="000000" w:sz="4" w:space="0"/>
              <w:left w:val="single" w:color="000000" w:sz="4" w:space="0"/>
              <w:bottom w:val="single" w:color="000000" w:sz="4" w:space="0"/>
              <w:right w:val="single" w:color="000000" w:sz="4" w:space="0"/>
            </w:tcBorders>
            <w:vAlign w:val="center"/>
          </w:tcPr>
          <w:p w14:paraId="19CF33FC">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3D0A042B">
            <w:pPr>
              <w:pStyle w:val="6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《中小型三相异步电动机能效限定值及能效等级》（GB18613）</w:t>
            </w:r>
          </w:p>
        </w:tc>
      </w:tr>
      <w:tr w14:paraId="752B4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A3F589F">
            <w:pPr>
              <w:pStyle w:val="68"/>
              <w:ind w:right="1"/>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8</w:t>
            </w:r>
          </w:p>
        </w:tc>
        <w:tc>
          <w:tcPr>
            <w:tcW w:w="1422" w:type="dxa"/>
            <w:tcBorders>
              <w:top w:val="single" w:color="000000" w:sz="4" w:space="0"/>
              <w:left w:val="single" w:color="000000" w:sz="4" w:space="0"/>
              <w:bottom w:val="single" w:color="000000" w:sz="4" w:space="0"/>
              <w:right w:val="single" w:color="000000" w:sz="4" w:space="0"/>
            </w:tcBorders>
            <w:vAlign w:val="center"/>
          </w:tcPr>
          <w:p w14:paraId="0B379259">
            <w:pPr>
              <w:pStyle w:val="68"/>
              <w:spacing w:before="30"/>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A02060200</w:t>
            </w:r>
            <w:r>
              <w:rPr>
                <w:rFonts w:hint="eastAsia" w:ascii="宋体" w:hAnsi="宋体" w:cs="宋体"/>
                <w:color w:val="auto"/>
                <w:w w:val="99"/>
                <w:kern w:val="2"/>
                <w:sz w:val="21"/>
                <w:szCs w:val="21"/>
                <w:highlight w:val="none"/>
              </w:rPr>
              <w:t>变压</w:t>
            </w:r>
          </w:p>
        </w:tc>
        <w:tc>
          <w:tcPr>
            <w:tcW w:w="1496" w:type="dxa"/>
            <w:tcBorders>
              <w:top w:val="single" w:color="000000" w:sz="4" w:space="0"/>
              <w:left w:val="single" w:color="000000" w:sz="4" w:space="0"/>
              <w:bottom w:val="single" w:color="000000" w:sz="4" w:space="0"/>
              <w:right w:val="single" w:color="000000" w:sz="4" w:space="0"/>
            </w:tcBorders>
            <w:vAlign w:val="center"/>
          </w:tcPr>
          <w:p w14:paraId="6DF617DA">
            <w:pPr>
              <w:pStyle w:val="6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配电变压器</w:t>
            </w:r>
          </w:p>
        </w:tc>
        <w:tc>
          <w:tcPr>
            <w:tcW w:w="1530" w:type="dxa"/>
            <w:tcBorders>
              <w:top w:val="single" w:color="000000" w:sz="4" w:space="0"/>
              <w:left w:val="single" w:color="000000" w:sz="4" w:space="0"/>
              <w:bottom w:val="single" w:color="000000" w:sz="4" w:space="0"/>
              <w:right w:val="single" w:color="000000" w:sz="4" w:space="0"/>
            </w:tcBorders>
            <w:vAlign w:val="center"/>
          </w:tcPr>
          <w:p w14:paraId="14FDF6E4">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6DF5437F">
            <w:pPr>
              <w:pStyle w:val="6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《三相配电变压器能效限定值及能效等级》（GB 20052）</w:t>
            </w:r>
          </w:p>
        </w:tc>
      </w:tr>
      <w:tr w14:paraId="6EF86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78031C6">
            <w:pPr>
              <w:pStyle w:val="68"/>
              <w:ind w:right="1"/>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9</w:t>
            </w:r>
          </w:p>
        </w:tc>
        <w:tc>
          <w:tcPr>
            <w:tcW w:w="1422" w:type="dxa"/>
            <w:tcBorders>
              <w:top w:val="single" w:color="000000" w:sz="4" w:space="0"/>
              <w:left w:val="single" w:color="000000" w:sz="4" w:space="0"/>
              <w:bottom w:val="single" w:color="000000" w:sz="4" w:space="0"/>
              <w:right w:val="single" w:color="000000" w:sz="4" w:space="0"/>
            </w:tcBorders>
            <w:vAlign w:val="center"/>
          </w:tcPr>
          <w:p w14:paraId="2C022C68">
            <w:pPr>
              <w:pStyle w:val="68"/>
              <w:spacing w:before="126"/>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★A02060900镇流器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6A6E6373">
            <w:pPr>
              <w:pStyle w:val="6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管型荧光灯镇流器</w:t>
            </w:r>
          </w:p>
        </w:tc>
        <w:tc>
          <w:tcPr>
            <w:tcW w:w="1530" w:type="dxa"/>
            <w:tcBorders>
              <w:top w:val="single" w:color="000000" w:sz="4" w:space="0"/>
              <w:left w:val="single" w:color="000000" w:sz="4" w:space="0"/>
              <w:bottom w:val="single" w:color="000000" w:sz="4" w:space="0"/>
              <w:right w:val="single" w:color="000000" w:sz="4" w:space="0"/>
            </w:tcBorders>
            <w:vAlign w:val="center"/>
          </w:tcPr>
          <w:p w14:paraId="27EA3288">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5EA159A1">
            <w:pPr>
              <w:pStyle w:val="6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《管形荧光灯镇流器能效限定值及能效等级》（GB17896）</w:t>
            </w:r>
          </w:p>
        </w:tc>
      </w:tr>
      <w:tr w14:paraId="3CB2C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4AAB7149">
            <w:pPr>
              <w:pStyle w:val="68"/>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10</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2E25DE8E">
            <w:pPr>
              <w:pStyle w:val="6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A02061800生活用电器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7DD7A9AD">
            <w:pPr>
              <w:pStyle w:val="6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A02061801电冰箱</w:t>
            </w:r>
          </w:p>
        </w:tc>
        <w:tc>
          <w:tcPr>
            <w:tcW w:w="1530" w:type="dxa"/>
            <w:tcBorders>
              <w:top w:val="single" w:color="000000" w:sz="4" w:space="0"/>
              <w:left w:val="single" w:color="000000" w:sz="4" w:space="0"/>
              <w:bottom w:val="single" w:color="000000" w:sz="4" w:space="0"/>
              <w:right w:val="single" w:color="000000" w:sz="4" w:space="0"/>
            </w:tcBorders>
            <w:vAlign w:val="center"/>
          </w:tcPr>
          <w:p w14:paraId="5595459C">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5A9C63F0">
            <w:pPr>
              <w:pStyle w:val="6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《家用电冰箱耗电量限定值及能效等级》（GB12021.2）</w:t>
            </w:r>
          </w:p>
        </w:tc>
      </w:tr>
      <w:tr w14:paraId="56860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1B36616">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A602F43">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6701EBF0">
            <w:pPr>
              <w:pStyle w:val="68"/>
              <w:spacing w:before="17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A02061804</w:t>
            </w:r>
            <w:r>
              <w:rPr>
                <w:rFonts w:hint="eastAsia" w:ascii="宋体" w:hAnsi="宋体" w:cs="宋体"/>
                <w:color w:val="auto"/>
                <w:w w:val="99"/>
                <w:kern w:val="2"/>
                <w:sz w:val="21"/>
                <w:szCs w:val="21"/>
                <w:highlight w:val="none"/>
              </w:rPr>
              <w:t>空调机</w:t>
            </w:r>
          </w:p>
        </w:tc>
        <w:tc>
          <w:tcPr>
            <w:tcW w:w="1530" w:type="dxa"/>
            <w:tcBorders>
              <w:top w:val="single" w:color="000000" w:sz="4" w:space="0"/>
              <w:left w:val="single" w:color="000000" w:sz="4" w:space="0"/>
              <w:bottom w:val="single" w:color="000000" w:sz="4" w:space="0"/>
              <w:right w:val="single" w:color="000000" w:sz="4" w:space="0"/>
            </w:tcBorders>
            <w:vAlign w:val="center"/>
          </w:tcPr>
          <w:p w14:paraId="4FC544C8">
            <w:pPr>
              <w:pStyle w:val="6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房间空气调节器</w:t>
            </w:r>
          </w:p>
        </w:tc>
        <w:tc>
          <w:tcPr>
            <w:tcW w:w="3452" w:type="dxa"/>
            <w:tcBorders>
              <w:top w:val="single" w:color="000000" w:sz="4" w:space="0"/>
              <w:left w:val="single" w:color="000000" w:sz="4" w:space="0"/>
              <w:bottom w:val="single" w:color="000000" w:sz="4" w:space="0"/>
              <w:right w:val="single" w:color="000000" w:sz="4" w:space="0"/>
            </w:tcBorders>
          </w:tcPr>
          <w:p w14:paraId="5DEC8A64">
            <w:pPr>
              <w:pStyle w:val="6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《房间空气调节器能效限定值及能效等级》（GB21455-2019）</w:t>
            </w:r>
          </w:p>
        </w:tc>
      </w:tr>
      <w:tr w14:paraId="4FCDF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DE46BE7">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F0C5E9F">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896F492">
            <w:pPr>
              <w:widowControl/>
              <w:jc w:val="left"/>
              <w:rPr>
                <w:rFonts w:ascii="宋体" w:hAnsi="宋体" w:cs="宋体"/>
                <w:color w:val="auto"/>
                <w:szCs w:val="21"/>
                <w:highlight w:val="none"/>
              </w:rPr>
            </w:pPr>
          </w:p>
        </w:tc>
        <w:tc>
          <w:tcPr>
            <w:tcW w:w="1530" w:type="dxa"/>
            <w:tcBorders>
              <w:top w:val="single" w:color="000000" w:sz="4" w:space="0"/>
              <w:left w:val="single" w:color="000000" w:sz="4" w:space="0"/>
              <w:bottom w:val="single" w:color="000000" w:sz="4" w:space="0"/>
              <w:right w:val="single" w:color="000000" w:sz="4" w:space="0"/>
            </w:tcBorders>
            <w:vAlign w:val="center"/>
          </w:tcPr>
          <w:p w14:paraId="623153C9">
            <w:pPr>
              <w:pStyle w:val="68"/>
              <w:spacing w:before="4" w:line="276" w:lineRule="auto"/>
              <w:ind w:left="7"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 14000W）</w:t>
            </w:r>
          </w:p>
        </w:tc>
        <w:tc>
          <w:tcPr>
            <w:tcW w:w="3452" w:type="dxa"/>
            <w:tcBorders>
              <w:top w:val="single" w:color="000000" w:sz="4" w:space="0"/>
              <w:left w:val="single" w:color="000000" w:sz="4" w:space="0"/>
              <w:bottom w:val="single" w:color="000000" w:sz="4" w:space="0"/>
              <w:right w:val="single" w:color="000000" w:sz="4" w:space="0"/>
            </w:tcBorders>
          </w:tcPr>
          <w:p w14:paraId="1968428E">
            <w:pPr>
              <w:pStyle w:val="6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《多联式空调（热泵）机组能效限定值及能源效率等级》（GB21454）</w:t>
            </w:r>
          </w:p>
        </w:tc>
      </w:tr>
      <w:tr w14:paraId="7CA96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A987FFD">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772C8C7">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98D5927">
            <w:pPr>
              <w:widowControl/>
              <w:jc w:val="left"/>
              <w:rPr>
                <w:rFonts w:ascii="宋体" w:hAnsi="宋体" w:cs="宋体"/>
                <w:color w:val="auto"/>
                <w:szCs w:val="21"/>
                <w:highlight w:val="none"/>
              </w:rPr>
            </w:pPr>
          </w:p>
        </w:tc>
        <w:tc>
          <w:tcPr>
            <w:tcW w:w="1530" w:type="dxa"/>
            <w:tcBorders>
              <w:top w:val="single" w:color="000000" w:sz="4" w:space="0"/>
              <w:left w:val="single" w:color="000000" w:sz="4" w:space="0"/>
              <w:bottom w:val="single" w:color="000000" w:sz="4" w:space="0"/>
              <w:right w:val="single" w:color="000000" w:sz="4" w:space="0"/>
            </w:tcBorders>
            <w:vAlign w:val="center"/>
          </w:tcPr>
          <w:p w14:paraId="4EA2055C">
            <w:pPr>
              <w:pStyle w:val="68"/>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单元式空气调节机（制冷量≤ 14000W）</w:t>
            </w:r>
          </w:p>
        </w:tc>
        <w:tc>
          <w:tcPr>
            <w:tcW w:w="3452" w:type="dxa"/>
            <w:tcBorders>
              <w:top w:val="single" w:color="000000" w:sz="4" w:space="0"/>
              <w:left w:val="single" w:color="000000" w:sz="4" w:space="0"/>
              <w:bottom w:val="single" w:color="000000" w:sz="4" w:space="0"/>
              <w:right w:val="single" w:color="000000" w:sz="4" w:space="0"/>
            </w:tcBorders>
          </w:tcPr>
          <w:p w14:paraId="38B46C3F">
            <w:pPr>
              <w:pStyle w:val="6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《单元式空气调节机能效限定值及能源效率等级》（GB19576）《风管送风式空调机组能效限定值及能效等级》（GB37479）</w:t>
            </w:r>
          </w:p>
        </w:tc>
      </w:tr>
      <w:tr w14:paraId="3E45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AE80A2F">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2DB535E">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319E9A8">
            <w:pPr>
              <w:pStyle w:val="68"/>
              <w:spacing w:before="162"/>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A02061810</w:t>
            </w:r>
            <w:r>
              <w:rPr>
                <w:rFonts w:hint="eastAsia" w:ascii="宋体" w:hAnsi="宋体" w:cs="宋体"/>
                <w:color w:val="auto"/>
                <w:w w:val="99"/>
                <w:kern w:val="2"/>
                <w:sz w:val="21"/>
                <w:szCs w:val="21"/>
                <w:highlight w:val="none"/>
              </w:rPr>
              <w:t>洗衣机</w:t>
            </w:r>
          </w:p>
        </w:tc>
        <w:tc>
          <w:tcPr>
            <w:tcW w:w="1530" w:type="dxa"/>
            <w:tcBorders>
              <w:top w:val="single" w:color="000000" w:sz="4" w:space="0"/>
              <w:left w:val="single" w:color="000000" w:sz="4" w:space="0"/>
              <w:bottom w:val="single" w:color="000000" w:sz="4" w:space="0"/>
              <w:right w:val="single" w:color="000000" w:sz="4" w:space="0"/>
            </w:tcBorders>
            <w:vAlign w:val="center"/>
          </w:tcPr>
          <w:p w14:paraId="0425A7D5">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33A439AC">
            <w:pPr>
              <w:pStyle w:val="6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《电动洗衣机能效水效限定值及等级》（GB12021.4）</w:t>
            </w:r>
          </w:p>
        </w:tc>
      </w:tr>
      <w:tr w14:paraId="2524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254E072">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D331915">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7C55FFC9">
            <w:pPr>
              <w:pStyle w:val="68"/>
              <w:spacing w:before="161"/>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A02061819</w:t>
            </w:r>
            <w:r>
              <w:rPr>
                <w:rFonts w:hint="eastAsia" w:ascii="宋体" w:hAnsi="宋体" w:cs="宋体"/>
                <w:color w:val="auto"/>
                <w:w w:val="99"/>
                <w:kern w:val="2"/>
                <w:sz w:val="21"/>
                <w:szCs w:val="21"/>
                <w:highlight w:val="none"/>
              </w:rPr>
              <w:t>热水器</w:t>
            </w:r>
          </w:p>
        </w:tc>
        <w:tc>
          <w:tcPr>
            <w:tcW w:w="1530" w:type="dxa"/>
            <w:tcBorders>
              <w:top w:val="single" w:color="000000" w:sz="4" w:space="0"/>
              <w:left w:val="single" w:color="000000" w:sz="4" w:space="0"/>
              <w:bottom w:val="single" w:color="000000" w:sz="4" w:space="0"/>
              <w:right w:val="single" w:color="000000" w:sz="4" w:space="0"/>
            </w:tcBorders>
            <w:vAlign w:val="center"/>
          </w:tcPr>
          <w:p w14:paraId="0A42CBF5">
            <w:pPr>
              <w:pStyle w:val="6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3F9729A1">
            <w:pPr>
              <w:pStyle w:val="6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《储水式电热水器能效限定值及能效等级》（GB21519）</w:t>
            </w:r>
          </w:p>
        </w:tc>
      </w:tr>
      <w:tr w14:paraId="3DC2E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375C13B">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782C369">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E8F57DA">
            <w:pPr>
              <w:widowControl/>
              <w:jc w:val="left"/>
              <w:rPr>
                <w:rFonts w:ascii="宋体" w:hAnsi="宋体" w:cs="宋体"/>
                <w:color w:val="auto"/>
                <w:szCs w:val="21"/>
                <w:highlight w:val="none"/>
              </w:rPr>
            </w:pPr>
          </w:p>
        </w:tc>
        <w:tc>
          <w:tcPr>
            <w:tcW w:w="1530" w:type="dxa"/>
            <w:tcBorders>
              <w:top w:val="single" w:color="000000" w:sz="4" w:space="0"/>
              <w:left w:val="single" w:color="000000" w:sz="4" w:space="0"/>
              <w:bottom w:val="single" w:color="000000" w:sz="4" w:space="0"/>
              <w:right w:val="single" w:color="000000" w:sz="4" w:space="0"/>
            </w:tcBorders>
            <w:vAlign w:val="center"/>
          </w:tcPr>
          <w:p w14:paraId="3C2A35B0">
            <w:pPr>
              <w:pStyle w:val="6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燃气热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3A5A8591">
            <w:pPr>
              <w:pStyle w:val="6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《家用燃气快速热水器和燃气采暖热水炉能效限定值及能效等级》（GB20665）</w:t>
            </w:r>
          </w:p>
        </w:tc>
      </w:tr>
      <w:tr w14:paraId="0A90E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8986E5F">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ACF36B0">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A71C14C">
            <w:pPr>
              <w:widowControl/>
              <w:jc w:val="left"/>
              <w:rPr>
                <w:rFonts w:ascii="宋体" w:hAnsi="宋体" w:cs="宋体"/>
                <w:color w:val="auto"/>
                <w:szCs w:val="21"/>
                <w:highlight w:val="none"/>
              </w:rPr>
            </w:pPr>
          </w:p>
        </w:tc>
        <w:tc>
          <w:tcPr>
            <w:tcW w:w="1530" w:type="dxa"/>
            <w:tcBorders>
              <w:top w:val="single" w:color="000000" w:sz="4" w:space="0"/>
              <w:left w:val="single" w:color="000000" w:sz="4" w:space="0"/>
              <w:bottom w:val="single" w:color="000000" w:sz="4" w:space="0"/>
              <w:right w:val="single" w:color="000000" w:sz="4" w:space="0"/>
            </w:tcBorders>
            <w:vAlign w:val="center"/>
          </w:tcPr>
          <w:p w14:paraId="091165C4">
            <w:pPr>
              <w:pStyle w:val="6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热泵热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7B79CBEB">
            <w:pPr>
              <w:pStyle w:val="6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《热泵热水机（器）能效限定值及能效等级》（GB29541）</w:t>
            </w:r>
          </w:p>
        </w:tc>
      </w:tr>
      <w:tr w14:paraId="0AA4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4FA2676">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BA2744E">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2549C7D">
            <w:pPr>
              <w:widowControl/>
              <w:jc w:val="left"/>
              <w:rPr>
                <w:rFonts w:ascii="宋体" w:hAnsi="宋体" w:cs="宋体"/>
                <w:color w:val="auto"/>
                <w:szCs w:val="21"/>
                <w:highlight w:val="none"/>
              </w:rPr>
            </w:pPr>
          </w:p>
        </w:tc>
        <w:tc>
          <w:tcPr>
            <w:tcW w:w="1530" w:type="dxa"/>
            <w:tcBorders>
              <w:top w:val="single" w:color="000000" w:sz="4" w:space="0"/>
              <w:left w:val="single" w:color="000000" w:sz="4" w:space="0"/>
              <w:bottom w:val="single" w:color="000000" w:sz="4" w:space="0"/>
              <w:right w:val="single" w:color="000000" w:sz="4" w:space="0"/>
            </w:tcBorders>
            <w:vAlign w:val="center"/>
          </w:tcPr>
          <w:p w14:paraId="6304648A">
            <w:pPr>
              <w:pStyle w:val="6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太阳能</w:t>
            </w:r>
            <w:r>
              <w:rPr>
                <w:rFonts w:hint="eastAsia" w:ascii="宋体" w:hAnsi="宋体" w:cs="宋体"/>
                <w:color w:val="auto"/>
                <w:spacing w:val="2"/>
                <w:w w:val="99"/>
                <w:kern w:val="2"/>
                <w:sz w:val="21"/>
                <w:szCs w:val="21"/>
                <w:highlight w:val="none"/>
              </w:rPr>
              <w:t>热</w:t>
            </w:r>
            <w:r>
              <w:rPr>
                <w:rFonts w:hint="eastAsia" w:ascii="宋体" w:hAnsi="宋体" w:cs="宋体"/>
                <w:color w:val="auto"/>
                <w:w w:val="99"/>
                <w:kern w:val="2"/>
                <w:sz w:val="21"/>
                <w:szCs w:val="21"/>
                <w:highlight w:val="none"/>
              </w:rPr>
              <w:t>水系统</w:t>
            </w:r>
          </w:p>
        </w:tc>
        <w:tc>
          <w:tcPr>
            <w:tcW w:w="3452" w:type="dxa"/>
            <w:tcBorders>
              <w:top w:val="single" w:color="000000" w:sz="4" w:space="0"/>
              <w:left w:val="single" w:color="000000" w:sz="4" w:space="0"/>
              <w:bottom w:val="single" w:color="000000" w:sz="4" w:space="0"/>
              <w:right w:val="single" w:color="000000" w:sz="4" w:space="0"/>
            </w:tcBorders>
          </w:tcPr>
          <w:p w14:paraId="3A91E903">
            <w:pPr>
              <w:pStyle w:val="6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《家用太阳能热水系统能效限定值及能效等级》（GB26969）</w:t>
            </w:r>
          </w:p>
        </w:tc>
      </w:tr>
      <w:tr w14:paraId="138EF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7164115A">
            <w:pPr>
              <w:pStyle w:val="68"/>
              <w:jc w:val="center"/>
              <w:rPr>
                <w:rFonts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26FA92BF">
            <w:pPr>
              <w:pStyle w:val="68"/>
              <w:spacing w:before="157"/>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06</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900照明设备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75DC7656">
            <w:pPr>
              <w:pStyle w:val="68"/>
              <w:spacing w:before="133" w:line="276" w:lineRule="auto"/>
              <w:ind w:left="7"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★普通照明用双端荧光灯</w:t>
            </w:r>
          </w:p>
        </w:tc>
        <w:tc>
          <w:tcPr>
            <w:tcW w:w="1530" w:type="dxa"/>
            <w:tcBorders>
              <w:top w:val="single" w:color="000000" w:sz="4" w:space="0"/>
              <w:left w:val="single" w:color="000000" w:sz="4" w:space="0"/>
              <w:bottom w:val="single" w:color="000000" w:sz="4" w:space="0"/>
              <w:right w:val="single" w:color="000000" w:sz="4" w:space="0"/>
            </w:tcBorders>
            <w:vAlign w:val="center"/>
          </w:tcPr>
          <w:p w14:paraId="25B4AFFD">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1FD0425F">
            <w:pPr>
              <w:pStyle w:val="6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《普通照明用双端荧光灯能效限定值及能效等级》（GB19043）</w:t>
            </w:r>
          </w:p>
        </w:tc>
      </w:tr>
      <w:tr w14:paraId="2024D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EE3E75C">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82FB633">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196D8D15">
            <w:pPr>
              <w:pStyle w:val="68"/>
              <w:spacing w:before="92" w:line="276" w:lineRule="auto"/>
              <w:ind w:left="7" w:right="2"/>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w:t>
            </w:r>
            <w:r>
              <w:rPr>
                <w:rFonts w:hint="eastAsia" w:ascii="宋体" w:hAnsi="宋体" w:cs="宋体"/>
                <w:color w:val="auto"/>
                <w:spacing w:val="12"/>
                <w:w w:val="99"/>
                <w:kern w:val="2"/>
                <w:sz w:val="21"/>
                <w:szCs w:val="21"/>
                <w:highlight w:val="none"/>
              </w:rPr>
              <w:t>道</w:t>
            </w:r>
            <w:r>
              <w:rPr>
                <w:rFonts w:hint="eastAsia" w:ascii="宋体" w:hAnsi="宋体" w:cs="宋体"/>
                <w:color w:val="auto"/>
                <w:spacing w:val="9"/>
                <w:w w:val="99"/>
                <w:kern w:val="2"/>
                <w:sz w:val="21"/>
                <w:szCs w:val="21"/>
                <w:highlight w:val="none"/>
              </w:rPr>
              <w:t>路</w:t>
            </w:r>
            <w:r>
              <w:rPr>
                <w:rFonts w:hint="eastAsia" w:ascii="宋体" w:hAnsi="宋体" w:cs="宋体"/>
                <w:color w:val="auto"/>
                <w:spacing w:val="13"/>
                <w:w w:val="99"/>
                <w:kern w:val="2"/>
                <w:sz w:val="21"/>
                <w:szCs w:val="21"/>
                <w:highlight w:val="none"/>
              </w:rPr>
              <w:t>/</w:t>
            </w:r>
            <w:r>
              <w:rPr>
                <w:rFonts w:hint="eastAsia" w:ascii="宋体" w:hAnsi="宋体" w:cs="宋体"/>
                <w:color w:val="auto"/>
                <w:spacing w:val="12"/>
                <w:w w:val="99"/>
                <w:kern w:val="2"/>
                <w:sz w:val="21"/>
                <w:szCs w:val="21"/>
                <w:highlight w:val="none"/>
              </w:rPr>
              <w:t>隧道照</w:t>
            </w:r>
            <w:r>
              <w:rPr>
                <w:rFonts w:hint="eastAsia" w:ascii="宋体" w:hAnsi="宋体" w:cs="宋体"/>
                <w:color w:val="auto"/>
                <w:w w:val="99"/>
                <w:kern w:val="2"/>
                <w:sz w:val="21"/>
                <w:szCs w:val="21"/>
                <w:highlight w:val="none"/>
              </w:rPr>
              <w:t>明产品</w:t>
            </w:r>
          </w:p>
        </w:tc>
        <w:tc>
          <w:tcPr>
            <w:tcW w:w="1530" w:type="dxa"/>
            <w:tcBorders>
              <w:top w:val="single" w:color="000000" w:sz="4" w:space="0"/>
              <w:left w:val="single" w:color="000000" w:sz="4" w:space="0"/>
              <w:bottom w:val="single" w:color="000000" w:sz="4" w:space="0"/>
              <w:right w:val="single" w:color="000000" w:sz="4" w:space="0"/>
            </w:tcBorders>
            <w:vAlign w:val="center"/>
          </w:tcPr>
          <w:p w14:paraId="1ACA2E35">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595B56FB">
            <w:pPr>
              <w:pStyle w:val="6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《道路和隧道照明用LED灯具能效限定值及能效等级》（GB37478）</w:t>
            </w:r>
          </w:p>
        </w:tc>
      </w:tr>
      <w:tr w14:paraId="06DE8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F4F2A2A">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B116F1D">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6E08DEA">
            <w:pPr>
              <w:pStyle w:val="68"/>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D筒灯</w:t>
            </w:r>
          </w:p>
        </w:tc>
        <w:tc>
          <w:tcPr>
            <w:tcW w:w="1530" w:type="dxa"/>
            <w:tcBorders>
              <w:top w:val="single" w:color="000000" w:sz="4" w:space="0"/>
              <w:left w:val="single" w:color="000000" w:sz="4" w:space="0"/>
              <w:bottom w:val="single" w:color="000000" w:sz="4" w:space="0"/>
              <w:right w:val="single" w:color="000000" w:sz="4" w:space="0"/>
            </w:tcBorders>
            <w:vAlign w:val="center"/>
          </w:tcPr>
          <w:p w14:paraId="2FB136CE">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3C904CC9">
            <w:pPr>
              <w:pStyle w:val="6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《室内照明用LED产品能效限定值及能效等级》（GB30255）</w:t>
            </w:r>
          </w:p>
        </w:tc>
      </w:tr>
      <w:tr w14:paraId="33F1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2EABA24">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1F3BA37">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1E3BA03B">
            <w:pPr>
              <w:pStyle w:val="68"/>
              <w:spacing w:line="276" w:lineRule="auto"/>
              <w:ind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w:t>
            </w:r>
            <w:r>
              <w:rPr>
                <w:rFonts w:hint="eastAsia" w:ascii="宋体" w:hAnsi="宋体" w:cs="宋体"/>
                <w:color w:val="auto"/>
                <w:spacing w:val="24"/>
                <w:w w:val="99"/>
                <w:kern w:val="2"/>
                <w:sz w:val="21"/>
                <w:szCs w:val="21"/>
                <w:highlight w:val="none"/>
                <w:lang w:eastAsia="zh-CN"/>
              </w:rPr>
              <w:t>通</w:t>
            </w:r>
            <w:r>
              <w:rPr>
                <w:rFonts w:hint="eastAsia" w:ascii="宋体" w:hAnsi="宋体" w:cs="宋体"/>
                <w:color w:val="auto"/>
                <w:w w:val="99"/>
                <w:kern w:val="2"/>
                <w:sz w:val="21"/>
                <w:szCs w:val="21"/>
                <w:highlight w:val="none"/>
                <w:lang w:eastAsia="zh-CN"/>
              </w:rPr>
              <w:t>照明用非</w:t>
            </w:r>
            <w:r>
              <w:rPr>
                <w:rFonts w:hint="eastAsia" w:ascii="宋体" w:hAnsi="宋体" w:cs="宋体"/>
                <w:color w:val="auto"/>
                <w:spacing w:val="24"/>
                <w:w w:val="99"/>
                <w:kern w:val="2"/>
                <w:sz w:val="21"/>
                <w:szCs w:val="21"/>
                <w:highlight w:val="none"/>
                <w:lang w:eastAsia="zh-CN"/>
              </w:rPr>
              <w:t>定</w:t>
            </w:r>
            <w:r>
              <w:rPr>
                <w:rFonts w:hint="eastAsia" w:ascii="宋体" w:hAnsi="宋体" w:cs="宋体"/>
                <w:color w:val="auto"/>
                <w:w w:val="99"/>
                <w:kern w:val="2"/>
                <w:sz w:val="21"/>
                <w:szCs w:val="21"/>
                <w:highlight w:val="none"/>
                <w:lang w:eastAsia="zh-CN"/>
              </w:rPr>
              <w:t>向自镇流</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D灯</w:t>
            </w:r>
          </w:p>
        </w:tc>
        <w:tc>
          <w:tcPr>
            <w:tcW w:w="1530" w:type="dxa"/>
            <w:tcBorders>
              <w:top w:val="single" w:color="000000" w:sz="4" w:space="0"/>
              <w:left w:val="single" w:color="000000" w:sz="4" w:space="0"/>
              <w:bottom w:val="single" w:color="000000" w:sz="4" w:space="0"/>
              <w:right w:val="single" w:color="000000" w:sz="4" w:space="0"/>
            </w:tcBorders>
            <w:vAlign w:val="center"/>
          </w:tcPr>
          <w:p w14:paraId="707EBF83">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4985FAC0">
            <w:pPr>
              <w:pStyle w:val="6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《室内照明用LED产品能效限定值及能效等级》（GB30255）</w:t>
            </w:r>
          </w:p>
        </w:tc>
      </w:tr>
      <w:tr w14:paraId="56C97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334A1C8">
            <w:pPr>
              <w:pStyle w:val="68"/>
              <w:jc w:val="center"/>
              <w:rPr>
                <w:rFonts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2</w:t>
            </w:r>
          </w:p>
        </w:tc>
        <w:tc>
          <w:tcPr>
            <w:tcW w:w="1422" w:type="dxa"/>
            <w:tcBorders>
              <w:top w:val="single" w:color="000000" w:sz="4" w:space="0"/>
              <w:left w:val="single" w:color="000000" w:sz="4" w:space="0"/>
              <w:bottom w:val="single" w:color="000000" w:sz="4" w:space="0"/>
              <w:right w:val="single" w:color="000000" w:sz="4" w:space="0"/>
            </w:tcBorders>
            <w:vAlign w:val="center"/>
          </w:tcPr>
          <w:p w14:paraId="252F5A49">
            <w:pPr>
              <w:pStyle w:val="68"/>
              <w:spacing w:before="81"/>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91000电视设备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24A77A30">
            <w:pPr>
              <w:pStyle w:val="68"/>
              <w:spacing w:before="81" w:line="276" w:lineRule="auto"/>
              <w:ind w:left="7" w:right="5"/>
              <w:jc w:val="center"/>
              <w:rPr>
                <w:rFonts w:ascii="宋体" w:hAnsi="宋体" w:cs="宋体"/>
                <w:color w:val="auto"/>
                <w:kern w:val="2"/>
                <w:sz w:val="21"/>
                <w:szCs w:val="21"/>
                <w:highlight w:val="none"/>
                <w:lang w:eastAsia="zh-CN"/>
              </w:rPr>
            </w:pPr>
            <w:r>
              <w:rPr>
                <w:rFonts w:hint="eastAsia" w:ascii="宋体" w:hAnsi="宋体" w:cs="宋体"/>
                <w:color w:val="auto"/>
                <w:spacing w:val="1"/>
                <w:w w:val="99"/>
                <w:kern w:val="2"/>
                <w:sz w:val="21"/>
                <w:szCs w:val="21"/>
                <w:highlight w:val="none"/>
                <w:lang w:eastAsia="zh-CN"/>
              </w:rPr>
              <w:t>A02</w:t>
            </w:r>
            <w:r>
              <w:rPr>
                <w:rFonts w:hint="eastAsia" w:ascii="宋体" w:hAnsi="宋体" w:cs="宋体"/>
                <w:color w:val="auto"/>
                <w:w w:val="99"/>
                <w:kern w:val="2"/>
                <w:sz w:val="21"/>
                <w:szCs w:val="21"/>
                <w:highlight w:val="none"/>
                <w:lang w:eastAsia="zh-CN"/>
              </w:rPr>
              <w:t>09</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001普通电视设备（</w:t>
            </w:r>
            <w:r>
              <w:rPr>
                <w:rFonts w:hint="eastAsia" w:ascii="宋体" w:hAnsi="宋体" w:cs="宋体"/>
                <w:color w:val="auto"/>
                <w:spacing w:val="2"/>
                <w:w w:val="99"/>
                <w:kern w:val="2"/>
                <w:sz w:val="21"/>
                <w:szCs w:val="21"/>
                <w:highlight w:val="none"/>
                <w:lang w:eastAsia="zh-CN"/>
              </w:rPr>
              <w:t>电</w:t>
            </w:r>
            <w:r>
              <w:rPr>
                <w:rFonts w:hint="eastAsia" w:ascii="宋体" w:hAnsi="宋体" w:cs="宋体"/>
                <w:color w:val="auto"/>
                <w:w w:val="99"/>
                <w:kern w:val="2"/>
                <w:sz w:val="21"/>
                <w:szCs w:val="21"/>
                <w:highlight w:val="none"/>
                <w:lang w:eastAsia="zh-CN"/>
              </w:rPr>
              <w:t>视机）</w:t>
            </w:r>
          </w:p>
        </w:tc>
        <w:tc>
          <w:tcPr>
            <w:tcW w:w="1530" w:type="dxa"/>
            <w:tcBorders>
              <w:top w:val="single" w:color="000000" w:sz="4" w:space="0"/>
              <w:left w:val="single" w:color="000000" w:sz="4" w:space="0"/>
              <w:bottom w:val="single" w:color="000000" w:sz="4" w:space="0"/>
              <w:right w:val="single" w:color="000000" w:sz="4" w:space="0"/>
            </w:tcBorders>
            <w:vAlign w:val="center"/>
          </w:tcPr>
          <w:p w14:paraId="48074AD8">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5ACF1E47">
            <w:pPr>
              <w:pStyle w:val="6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《平板电视能效限定值及能效等级》（GB24850）</w:t>
            </w:r>
          </w:p>
        </w:tc>
      </w:tr>
      <w:tr w14:paraId="0ECA8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961741C">
            <w:pPr>
              <w:pStyle w:val="68"/>
              <w:jc w:val="center"/>
              <w:rPr>
                <w:rFonts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7AB011E3">
            <w:pPr>
              <w:pStyle w:val="6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91100视频设备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4FAB28C0">
            <w:pPr>
              <w:pStyle w:val="68"/>
              <w:spacing w:line="276" w:lineRule="auto"/>
              <w:ind w:right="5"/>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09</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107视频监控设备</w:t>
            </w:r>
          </w:p>
        </w:tc>
        <w:tc>
          <w:tcPr>
            <w:tcW w:w="1530" w:type="dxa"/>
            <w:tcBorders>
              <w:top w:val="single" w:color="000000" w:sz="4" w:space="0"/>
              <w:left w:val="single" w:color="000000" w:sz="4" w:space="0"/>
              <w:bottom w:val="single" w:color="000000" w:sz="4" w:space="0"/>
              <w:right w:val="single" w:color="000000" w:sz="4" w:space="0"/>
            </w:tcBorders>
            <w:vAlign w:val="center"/>
          </w:tcPr>
          <w:p w14:paraId="74472E2E">
            <w:pPr>
              <w:pStyle w:val="6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监视器</w:t>
            </w:r>
          </w:p>
        </w:tc>
        <w:tc>
          <w:tcPr>
            <w:tcW w:w="3452" w:type="dxa"/>
            <w:tcBorders>
              <w:top w:val="single" w:color="000000" w:sz="4" w:space="0"/>
              <w:left w:val="single" w:color="000000" w:sz="4" w:space="0"/>
              <w:bottom w:val="single" w:color="000000" w:sz="4" w:space="0"/>
              <w:right w:val="single" w:color="000000" w:sz="4" w:space="0"/>
            </w:tcBorders>
          </w:tcPr>
          <w:p w14:paraId="69C39225">
            <w:pPr>
              <w:pStyle w:val="6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以射频信号为主要信号输入的监视器应符合《平板电视能效限定值及能效等级》（GB24850），以数字信号为主要信号输入的监视器应符合《计算机显示器能效限定值及能效等级》（GB21520）</w:t>
            </w:r>
          </w:p>
        </w:tc>
      </w:tr>
      <w:tr w14:paraId="7ACC7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A354B23">
            <w:pPr>
              <w:pStyle w:val="68"/>
              <w:jc w:val="center"/>
              <w:rPr>
                <w:rFonts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39903E3B">
            <w:pPr>
              <w:pStyle w:val="68"/>
              <w:spacing w:before="76"/>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A02241000</w:t>
            </w:r>
            <w:r>
              <w:rPr>
                <w:rFonts w:hint="eastAsia" w:ascii="宋体" w:hAnsi="宋体" w:cs="宋体"/>
                <w:color w:val="auto"/>
                <w:w w:val="99"/>
                <w:kern w:val="2"/>
                <w:sz w:val="21"/>
                <w:szCs w:val="21"/>
                <w:highlight w:val="none"/>
              </w:rPr>
              <w:t>饮食炊事机械</w:t>
            </w:r>
          </w:p>
        </w:tc>
        <w:tc>
          <w:tcPr>
            <w:tcW w:w="1496" w:type="dxa"/>
            <w:tcBorders>
              <w:top w:val="single" w:color="000000" w:sz="4" w:space="0"/>
              <w:left w:val="single" w:color="000000" w:sz="4" w:space="0"/>
              <w:bottom w:val="single" w:color="000000" w:sz="4" w:space="0"/>
              <w:right w:val="single" w:color="000000" w:sz="4" w:space="0"/>
            </w:tcBorders>
            <w:vAlign w:val="center"/>
          </w:tcPr>
          <w:p w14:paraId="6DB01FF8">
            <w:pPr>
              <w:pStyle w:val="6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商用燃</w:t>
            </w:r>
            <w:r>
              <w:rPr>
                <w:rFonts w:hint="eastAsia" w:ascii="宋体" w:hAnsi="宋体" w:cs="宋体"/>
                <w:color w:val="auto"/>
                <w:spacing w:val="2"/>
                <w:w w:val="99"/>
                <w:kern w:val="2"/>
                <w:sz w:val="21"/>
                <w:szCs w:val="21"/>
                <w:highlight w:val="none"/>
              </w:rPr>
              <w:t>气</w:t>
            </w:r>
            <w:r>
              <w:rPr>
                <w:rFonts w:hint="eastAsia" w:ascii="宋体" w:hAnsi="宋体" w:cs="宋体"/>
                <w:color w:val="auto"/>
                <w:w w:val="99"/>
                <w:kern w:val="2"/>
                <w:sz w:val="21"/>
                <w:szCs w:val="21"/>
                <w:highlight w:val="none"/>
              </w:rPr>
              <w:t>灶具</w:t>
            </w:r>
          </w:p>
        </w:tc>
        <w:tc>
          <w:tcPr>
            <w:tcW w:w="1530" w:type="dxa"/>
            <w:tcBorders>
              <w:top w:val="single" w:color="000000" w:sz="4" w:space="0"/>
              <w:left w:val="single" w:color="000000" w:sz="4" w:space="0"/>
              <w:bottom w:val="single" w:color="000000" w:sz="4" w:space="0"/>
              <w:right w:val="single" w:color="000000" w:sz="4" w:space="0"/>
            </w:tcBorders>
            <w:vAlign w:val="center"/>
          </w:tcPr>
          <w:p w14:paraId="18C75253">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31ADFCEA">
            <w:pPr>
              <w:pStyle w:val="68"/>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《商用燃气灶具能效限定值及能效等级》（GB30531）</w:t>
            </w:r>
          </w:p>
        </w:tc>
      </w:tr>
      <w:tr w14:paraId="3B537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100F5EFC">
            <w:pPr>
              <w:jc w:val="center"/>
              <w:rPr>
                <w:rFonts w:ascii="宋体" w:hAnsi="宋体"/>
                <w:color w:val="auto"/>
                <w:szCs w:val="21"/>
                <w:highlight w:val="none"/>
              </w:rPr>
            </w:pPr>
            <w:r>
              <w:rPr>
                <w:rFonts w:hint="eastAsia" w:ascii="宋体" w:hAnsi="宋体"/>
                <w:color w:val="auto"/>
                <w:szCs w:val="21"/>
                <w:highlight w:val="none"/>
              </w:rPr>
              <w:t>15</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38BB912F">
            <w:pPr>
              <w:pStyle w:val="68"/>
              <w:jc w:val="center"/>
              <w:rPr>
                <w:rFonts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A05020105</w:t>
            </w:r>
            <w:r>
              <w:rPr>
                <w:rFonts w:hint="eastAsia" w:ascii="宋体" w:hAnsi="宋体" w:cs="宋体"/>
                <w:color w:val="auto"/>
                <w:w w:val="99"/>
                <w:kern w:val="2"/>
                <w:sz w:val="21"/>
                <w:szCs w:val="21"/>
                <w:highlight w:val="none"/>
              </w:rPr>
              <w:t>便器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0EBD954A">
            <w:pPr>
              <w:pStyle w:val="6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坐便器</w:t>
            </w:r>
          </w:p>
        </w:tc>
        <w:tc>
          <w:tcPr>
            <w:tcW w:w="1530" w:type="dxa"/>
            <w:tcBorders>
              <w:top w:val="single" w:color="000000" w:sz="4" w:space="0"/>
              <w:left w:val="single" w:color="000000" w:sz="4" w:space="0"/>
              <w:bottom w:val="single" w:color="000000" w:sz="4" w:space="0"/>
              <w:right w:val="single" w:color="000000" w:sz="4" w:space="0"/>
            </w:tcBorders>
            <w:vAlign w:val="center"/>
          </w:tcPr>
          <w:p w14:paraId="1A14E9DD">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2F5C7CAE">
            <w:pPr>
              <w:pStyle w:val="68"/>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《坐便器水效限定值及水效等级》</w:t>
            </w:r>
          </w:p>
          <w:p w14:paraId="0A27FE4C">
            <w:pPr>
              <w:pStyle w:val="68"/>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（GB25502）</w:t>
            </w:r>
          </w:p>
        </w:tc>
      </w:tr>
      <w:tr w14:paraId="26DBE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B09A56E">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C1C2F0D">
            <w:pPr>
              <w:widowControl/>
              <w:jc w:val="left"/>
              <w:rPr>
                <w:rFonts w:ascii="宋体" w:hAnsi="宋体" w:cs="宋体"/>
                <w:color w:val="auto"/>
                <w:w w:val="99"/>
                <w:szCs w:val="21"/>
                <w:highlight w:val="none"/>
                <w:lang w:eastAsia="en-US"/>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045C124">
            <w:pPr>
              <w:pStyle w:val="6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蹲便器</w:t>
            </w:r>
          </w:p>
        </w:tc>
        <w:tc>
          <w:tcPr>
            <w:tcW w:w="1530" w:type="dxa"/>
            <w:tcBorders>
              <w:top w:val="single" w:color="000000" w:sz="4" w:space="0"/>
              <w:left w:val="single" w:color="000000" w:sz="4" w:space="0"/>
              <w:bottom w:val="single" w:color="000000" w:sz="4" w:space="0"/>
              <w:right w:val="single" w:color="000000" w:sz="4" w:space="0"/>
            </w:tcBorders>
            <w:vAlign w:val="center"/>
          </w:tcPr>
          <w:p w14:paraId="7F0F5D7D">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0B827555">
            <w:pPr>
              <w:pStyle w:val="68"/>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《蹲便器用水效率限定值及用水效率等级》（GB30717）</w:t>
            </w:r>
          </w:p>
        </w:tc>
      </w:tr>
      <w:tr w14:paraId="30A87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D401351">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E31FB30">
            <w:pPr>
              <w:widowControl/>
              <w:jc w:val="left"/>
              <w:rPr>
                <w:rFonts w:ascii="宋体" w:hAnsi="宋体" w:cs="宋体"/>
                <w:color w:val="auto"/>
                <w:w w:val="99"/>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E7E6ECD">
            <w:pPr>
              <w:pStyle w:val="6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小便器</w:t>
            </w:r>
          </w:p>
        </w:tc>
        <w:tc>
          <w:tcPr>
            <w:tcW w:w="1530" w:type="dxa"/>
            <w:tcBorders>
              <w:top w:val="single" w:color="000000" w:sz="4" w:space="0"/>
              <w:left w:val="single" w:color="000000" w:sz="4" w:space="0"/>
              <w:bottom w:val="single" w:color="000000" w:sz="4" w:space="0"/>
              <w:right w:val="single" w:color="000000" w:sz="4" w:space="0"/>
            </w:tcBorders>
            <w:vAlign w:val="center"/>
          </w:tcPr>
          <w:p w14:paraId="336D8CCF">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0CBFAEFA">
            <w:pPr>
              <w:pStyle w:val="68"/>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《小便器用水效率限定值及用水效率等级》（GB28377）</w:t>
            </w:r>
          </w:p>
        </w:tc>
      </w:tr>
      <w:tr w14:paraId="5713A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9A23154">
            <w:pPr>
              <w:pStyle w:val="68"/>
              <w:jc w:val="center"/>
              <w:rPr>
                <w:rFonts w:ascii="宋体" w:hAnsi="宋体" w:cs="宋体"/>
                <w:color w:val="auto"/>
                <w:kern w:val="2"/>
                <w:sz w:val="21"/>
                <w:szCs w:val="21"/>
                <w:highlight w:val="none"/>
              </w:rPr>
            </w:pPr>
            <w:r>
              <w:rPr>
                <w:rFonts w:hint="eastAsia" w:ascii="宋体" w:hAnsi="宋体"/>
                <w:color w:val="auto"/>
                <w:kern w:val="2"/>
                <w:sz w:val="21"/>
                <w:szCs w:val="21"/>
                <w:highlight w:val="none"/>
              </w:rPr>
              <w:t>16</w:t>
            </w:r>
          </w:p>
        </w:tc>
        <w:tc>
          <w:tcPr>
            <w:tcW w:w="1422" w:type="dxa"/>
            <w:tcBorders>
              <w:top w:val="single" w:color="000000" w:sz="4" w:space="0"/>
              <w:left w:val="single" w:color="000000" w:sz="4" w:space="0"/>
              <w:bottom w:val="single" w:color="000000" w:sz="4" w:space="0"/>
              <w:right w:val="single" w:color="000000" w:sz="4" w:space="0"/>
            </w:tcBorders>
            <w:vAlign w:val="center"/>
          </w:tcPr>
          <w:p w14:paraId="6E4B4226">
            <w:pPr>
              <w:pStyle w:val="68"/>
              <w:spacing w:before="153"/>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w:t>
            </w:r>
            <w:r>
              <w:rPr>
                <w:rFonts w:hint="eastAsia" w:ascii="宋体" w:hAnsi="宋体" w:cs="仿宋_GB2312"/>
                <w:color w:val="auto"/>
                <w:kern w:val="2"/>
                <w:sz w:val="21"/>
                <w:szCs w:val="21"/>
                <w:highlight w:val="none"/>
              </w:rPr>
              <w:t>A05020106</w:t>
            </w:r>
            <w:r>
              <w:rPr>
                <w:rFonts w:hint="eastAsia" w:ascii="宋体" w:hAnsi="宋体" w:cs="宋体"/>
                <w:color w:val="auto"/>
                <w:kern w:val="2"/>
                <w:sz w:val="21"/>
                <w:szCs w:val="21"/>
                <w:highlight w:val="none"/>
              </w:rPr>
              <w:t>水</w:t>
            </w:r>
            <w:r>
              <w:rPr>
                <w:rFonts w:hint="eastAsia" w:ascii="宋体" w:hAnsi="宋体" w:cs="宋体"/>
                <w:color w:val="auto"/>
                <w:w w:val="99"/>
                <w:kern w:val="2"/>
                <w:sz w:val="21"/>
                <w:szCs w:val="21"/>
                <w:highlight w:val="none"/>
              </w:rPr>
              <w:t>嘴</w:t>
            </w:r>
          </w:p>
        </w:tc>
        <w:tc>
          <w:tcPr>
            <w:tcW w:w="1496" w:type="dxa"/>
            <w:tcBorders>
              <w:top w:val="single" w:color="000000" w:sz="4" w:space="0"/>
              <w:left w:val="single" w:color="000000" w:sz="4" w:space="0"/>
              <w:bottom w:val="single" w:color="000000" w:sz="4" w:space="0"/>
              <w:right w:val="single" w:color="000000" w:sz="4" w:space="0"/>
            </w:tcBorders>
            <w:vAlign w:val="center"/>
          </w:tcPr>
          <w:p w14:paraId="58359574">
            <w:pPr>
              <w:jc w:val="center"/>
              <w:rPr>
                <w:rFonts w:ascii="宋体" w:hAnsi="宋体"/>
                <w:color w:val="auto"/>
                <w:szCs w:val="21"/>
                <w:highlight w:val="none"/>
                <w:lang w:eastAsia="en-US"/>
              </w:rPr>
            </w:pPr>
          </w:p>
        </w:tc>
        <w:tc>
          <w:tcPr>
            <w:tcW w:w="1530" w:type="dxa"/>
            <w:tcBorders>
              <w:top w:val="single" w:color="000000" w:sz="4" w:space="0"/>
              <w:left w:val="single" w:color="000000" w:sz="4" w:space="0"/>
              <w:bottom w:val="single" w:color="000000" w:sz="4" w:space="0"/>
              <w:right w:val="single" w:color="000000" w:sz="4" w:space="0"/>
            </w:tcBorders>
            <w:vAlign w:val="center"/>
          </w:tcPr>
          <w:p w14:paraId="1AB3617A">
            <w:pPr>
              <w:jc w:val="center"/>
              <w:rPr>
                <w:rFonts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6EAF5318">
            <w:pPr>
              <w:pStyle w:val="68"/>
              <w:spacing w:before="153"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《水嘴用水效率限定值及用水效</w:t>
            </w:r>
            <w:r>
              <w:rPr>
                <w:rFonts w:hint="eastAsia" w:ascii="宋体" w:hAnsi="宋体" w:cs="宋体"/>
                <w:color w:val="auto"/>
                <w:kern w:val="2"/>
                <w:sz w:val="21"/>
                <w:szCs w:val="21"/>
                <w:highlight w:val="none"/>
                <w:lang w:eastAsia="zh-CN"/>
              </w:rPr>
              <w:t>率等级》（GB 25501）</w:t>
            </w:r>
          </w:p>
        </w:tc>
      </w:tr>
      <w:tr w14:paraId="45BB2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915F0BF">
            <w:pPr>
              <w:pStyle w:val="68"/>
              <w:jc w:val="center"/>
              <w:rPr>
                <w:rFonts w:ascii="宋体" w:hAnsi="宋体" w:cs="宋体"/>
                <w:color w:val="auto"/>
                <w:kern w:val="2"/>
                <w:sz w:val="21"/>
                <w:szCs w:val="21"/>
                <w:highlight w:val="none"/>
              </w:rPr>
            </w:pPr>
            <w:r>
              <w:rPr>
                <w:rFonts w:hint="eastAsia" w:ascii="宋体" w:hAnsi="宋体"/>
                <w:color w:val="auto"/>
                <w:kern w:val="2"/>
                <w:sz w:val="21"/>
                <w:szCs w:val="21"/>
                <w:highlight w:val="none"/>
              </w:rPr>
              <w:t>17</w:t>
            </w:r>
          </w:p>
        </w:tc>
        <w:tc>
          <w:tcPr>
            <w:tcW w:w="1422" w:type="dxa"/>
            <w:tcBorders>
              <w:top w:val="single" w:color="000000" w:sz="4" w:space="0"/>
              <w:left w:val="single" w:color="000000" w:sz="4" w:space="0"/>
              <w:bottom w:val="single" w:color="000000" w:sz="4" w:space="0"/>
              <w:right w:val="single" w:color="000000" w:sz="4" w:space="0"/>
            </w:tcBorders>
            <w:vAlign w:val="center"/>
          </w:tcPr>
          <w:p w14:paraId="49C18EA0">
            <w:pPr>
              <w:pStyle w:val="68"/>
              <w:spacing w:before="112"/>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A05020107</w:t>
            </w:r>
            <w:r>
              <w:rPr>
                <w:rFonts w:hint="eastAsia" w:ascii="宋体" w:hAnsi="宋体" w:cs="宋体"/>
                <w:color w:val="auto"/>
                <w:kern w:val="2"/>
                <w:sz w:val="21"/>
                <w:szCs w:val="21"/>
                <w:highlight w:val="none"/>
              </w:rPr>
              <w:t>便器冲洗阀</w:t>
            </w:r>
          </w:p>
        </w:tc>
        <w:tc>
          <w:tcPr>
            <w:tcW w:w="1496" w:type="dxa"/>
            <w:tcBorders>
              <w:top w:val="single" w:color="000000" w:sz="4" w:space="0"/>
              <w:left w:val="single" w:color="000000" w:sz="4" w:space="0"/>
              <w:bottom w:val="single" w:color="000000" w:sz="4" w:space="0"/>
              <w:right w:val="single" w:color="000000" w:sz="4" w:space="0"/>
            </w:tcBorders>
            <w:vAlign w:val="center"/>
          </w:tcPr>
          <w:p w14:paraId="218975A8">
            <w:pPr>
              <w:jc w:val="center"/>
              <w:rPr>
                <w:rFonts w:ascii="宋体" w:hAnsi="宋体"/>
                <w:color w:val="auto"/>
                <w:szCs w:val="21"/>
                <w:highlight w:val="none"/>
                <w:lang w:eastAsia="en-US"/>
              </w:rPr>
            </w:pPr>
          </w:p>
        </w:tc>
        <w:tc>
          <w:tcPr>
            <w:tcW w:w="1530" w:type="dxa"/>
            <w:tcBorders>
              <w:top w:val="single" w:color="000000" w:sz="4" w:space="0"/>
              <w:left w:val="single" w:color="000000" w:sz="4" w:space="0"/>
              <w:bottom w:val="single" w:color="000000" w:sz="4" w:space="0"/>
              <w:right w:val="single" w:color="000000" w:sz="4" w:space="0"/>
            </w:tcBorders>
            <w:vAlign w:val="center"/>
          </w:tcPr>
          <w:p w14:paraId="3173663B">
            <w:pPr>
              <w:jc w:val="center"/>
              <w:rPr>
                <w:rFonts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3325A1C1">
            <w:pPr>
              <w:pStyle w:val="68"/>
              <w:spacing w:before="112"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《便器冲洗阀用水效率限定值及</w:t>
            </w:r>
            <w:r>
              <w:rPr>
                <w:rFonts w:hint="eastAsia" w:ascii="宋体" w:hAnsi="宋体" w:cs="宋体"/>
                <w:color w:val="auto"/>
                <w:kern w:val="2"/>
                <w:sz w:val="21"/>
                <w:szCs w:val="21"/>
                <w:highlight w:val="none"/>
                <w:lang w:eastAsia="zh-CN"/>
              </w:rPr>
              <w:t>用水效率等级》（GB28379）</w:t>
            </w:r>
          </w:p>
        </w:tc>
      </w:tr>
      <w:tr w14:paraId="04EF5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7896FEA">
            <w:pPr>
              <w:pStyle w:val="68"/>
              <w:jc w:val="center"/>
              <w:rPr>
                <w:rFonts w:ascii="宋体" w:hAnsi="宋体" w:cs="宋体"/>
                <w:color w:val="auto"/>
                <w:kern w:val="2"/>
                <w:sz w:val="21"/>
                <w:szCs w:val="21"/>
                <w:highlight w:val="none"/>
              </w:rPr>
            </w:pPr>
            <w:r>
              <w:rPr>
                <w:rFonts w:hint="eastAsia" w:ascii="宋体" w:hAnsi="宋体"/>
                <w:color w:val="auto"/>
                <w:kern w:val="2"/>
                <w:sz w:val="21"/>
                <w:szCs w:val="21"/>
                <w:highlight w:val="none"/>
              </w:rPr>
              <w:t>18</w:t>
            </w:r>
          </w:p>
        </w:tc>
        <w:tc>
          <w:tcPr>
            <w:tcW w:w="1422" w:type="dxa"/>
            <w:tcBorders>
              <w:top w:val="single" w:color="000000" w:sz="4" w:space="0"/>
              <w:left w:val="single" w:color="000000" w:sz="4" w:space="0"/>
              <w:bottom w:val="single" w:color="000000" w:sz="4" w:space="0"/>
              <w:right w:val="single" w:color="000000" w:sz="4" w:space="0"/>
            </w:tcBorders>
            <w:vAlign w:val="center"/>
          </w:tcPr>
          <w:p w14:paraId="2E973814">
            <w:pPr>
              <w:pStyle w:val="68"/>
              <w:spacing w:before="131"/>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A05020110</w:t>
            </w:r>
            <w:r>
              <w:rPr>
                <w:rFonts w:hint="eastAsia" w:ascii="宋体" w:hAnsi="宋体" w:cs="宋体"/>
                <w:color w:val="auto"/>
                <w:kern w:val="2"/>
                <w:sz w:val="21"/>
                <w:szCs w:val="21"/>
                <w:highlight w:val="none"/>
              </w:rPr>
              <w:t>淋浴</w:t>
            </w:r>
            <w:r>
              <w:rPr>
                <w:rFonts w:hint="eastAsia" w:ascii="宋体" w:hAnsi="宋体" w:cs="宋体"/>
                <w:color w:val="auto"/>
                <w:w w:val="99"/>
                <w:kern w:val="2"/>
                <w:sz w:val="21"/>
                <w:szCs w:val="21"/>
                <w:highlight w:val="none"/>
              </w:rPr>
              <w:t>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7A4F2975">
            <w:pPr>
              <w:jc w:val="center"/>
              <w:rPr>
                <w:rFonts w:ascii="宋体" w:hAnsi="宋体"/>
                <w:color w:val="auto"/>
                <w:szCs w:val="21"/>
                <w:highlight w:val="none"/>
                <w:lang w:eastAsia="en-US"/>
              </w:rPr>
            </w:pPr>
          </w:p>
        </w:tc>
        <w:tc>
          <w:tcPr>
            <w:tcW w:w="1530" w:type="dxa"/>
            <w:tcBorders>
              <w:top w:val="single" w:color="000000" w:sz="4" w:space="0"/>
              <w:left w:val="single" w:color="000000" w:sz="4" w:space="0"/>
              <w:bottom w:val="single" w:color="000000" w:sz="4" w:space="0"/>
              <w:right w:val="single" w:color="000000" w:sz="4" w:space="0"/>
            </w:tcBorders>
            <w:vAlign w:val="center"/>
          </w:tcPr>
          <w:p w14:paraId="49F677AC">
            <w:pPr>
              <w:jc w:val="center"/>
              <w:rPr>
                <w:rFonts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0F59D93B">
            <w:pPr>
              <w:pStyle w:val="68"/>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《淋浴器用水效率限定值及用水</w:t>
            </w:r>
            <w:r>
              <w:rPr>
                <w:rFonts w:hint="eastAsia" w:ascii="宋体" w:hAnsi="宋体" w:cs="宋体"/>
                <w:color w:val="auto"/>
                <w:kern w:val="2"/>
                <w:sz w:val="21"/>
                <w:szCs w:val="21"/>
                <w:highlight w:val="none"/>
                <w:lang w:eastAsia="zh-CN"/>
              </w:rPr>
              <w:t>效率等级》（GB28378）</w:t>
            </w:r>
          </w:p>
        </w:tc>
      </w:tr>
    </w:tbl>
    <w:p w14:paraId="14451953">
      <w:pPr>
        <w:spacing w:line="360" w:lineRule="auto"/>
        <w:ind w:firstLine="470" w:firstLineChars="200"/>
        <w:rPr>
          <w:rFonts w:ascii="楷体" w:hAnsi="楷体" w:eastAsia="楷体" w:cs="宋体"/>
          <w:color w:val="auto"/>
          <w:spacing w:val="-3"/>
          <w:kern w:val="0"/>
          <w:sz w:val="24"/>
          <w:highlight w:val="none"/>
        </w:rPr>
      </w:pPr>
      <w:r>
        <w:rPr>
          <w:rFonts w:hint="eastAsia" w:ascii="楷体" w:hAnsi="楷体" w:eastAsia="楷体" w:cs="宋体"/>
          <w:b/>
          <w:color w:val="auto"/>
          <w:spacing w:val="-3"/>
          <w:kern w:val="0"/>
          <w:sz w:val="24"/>
          <w:highlight w:val="none"/>
        </w:rPr>
        <w:t>注：</w:t>
      </w:r>
      <w:r>
        <w:rPr>
          <w:rFonts w:hint="eastAsia" w:ascii="楷体" w:hAnsi="楷体" w:eastAsia="楷体" w:cs="宋体"/>
          <w:color w:val="auto"/>
          <w:spacing w:val="-3"/>
          <w:kern w:val="0"/>
          <w:sz w:val="24"/>
          <w:highlight w:val="none"/>
        </w:rPr>
        <w:t>1.节能产品认证应依据相关国家标准的最新版本，依据国家标准中二级能效（水效）指标。</w:t>
      </w:r>
    </w:p>
    <w:p w14:paraId="39E930E9">
      <w:pPr>
        <w:spacing w:line="360" w:lineRule="auto"/>
        <w:ind w:firstLine="468" w:firstLineChars="200"/>
        <w:rPr>
          <w:rFonts w:ascii="楷体" w:hAnsi="楷体" w:eastAsia="楷体" w:cs="宋体"/>
          <w:color w:val="auto"/>
          <w:spacing w:val="-3"/>
          <w:kern w:val="0"/>
          <w:sz w:val="24"/>
          <w:highlight w:val="none"/>
        </w:rPr>
      </w:pPr>
      <w:r>
        <w:rPr>
          <w:rFonts w:hint="eastAsia" w:ascii="楷体" w:hAnsi="楷体" w:eastAsia="楷体" w:cs="宋体"/>
          <w:color w:val="auto"/>
          <w:spacing w:val="-3"/>
          <w:kern w:val="0"/>
          <w:sz w:val="24"/>
          <w:highlight w:val="none"/>
        </w:rPr>
        <w:t>2.以“★”标注的为政府强制采购产品。</w:t>
      </w:r>
    </w:p>
    <w:p w14:paraId="25AAF49E">
      <w:pPr>
        <w:pStyle w:val="17"/>
        <w:ind w:firstLine="468" w:firstLineChars="200"/>
        <w:jc w:val="left"/>
        <w:rPr>
          <w:rFonts w:ascii="楷体" w:hAnsi="楷体" w:eastAsia="楷体" w:cs="宋体"/>
          <w:color w:val="auto"/>
          <w:spacing w:val="-3"/>
          <w:sz w:val="24"/>
          <w:szCs w:val="24"/>
          <w:highlight w:val="none"/>
        </w:rPr>
      </w:pPr>
      <w:r>
        <w:rPr>
          <w:rFonts w:hint="eastAsia" w:ascii="楷体" w:hAnsi="楷体" w:eastAsia="楷体" w:cs="宋体"/>
          <w:color w:val="auto"/>
          <w:spacing w:val="-3"/>
          <w:sz w:val="24"/>
          <w:szCs w:val="24"/>
          <w:highlight w:val="none"/>
        </w:rPr>
        <w:t>3.本表格原为《关于印发节能产品政府采购品目清单的通知》（财库〔2019〕19号）规定的表格附件，其中名称及编码已根据《财政部关于印发〈政府采购品目分类目录〉的通知》（财库〔2022〕31号）修改。</w:t>
      </w:r>
    </w:p>
    <w:p w14:paraId="0D415591">
      <w:pPr>
        <w:pStyle w:val="17"/>
        <w:ind w:firstLine="468" w:firstLineChars="200"/>
        <w:jc w:val="left"/>
        <w:rPr>
          <w:rFonts w:ascii="楷体" w:hAnsi="楷体" w:eastAsia="楷体" w:cs="宋体"/>
          <w:color w:val="auto"/>
          <w:spacing w:val="-3"/>
          <w:sz w:val="24"/>
          <w:szCs w:val="24"/>
          <w:highlight w:val="none"/>
        </w:rPr>
      </w:pPr>
    </w:p>
    <w:p w14:paraId="52F9C816">
      <w:pPr>
        <w:pStyle w:val="17"/>
        <w:jc w:val="left"/>
        <w:rPr>
          <w:rFonts w:hAnsi="宋体" w:cs="宋体"/>
          <w:color w:val="auto"/>
          <w:sz w:val="24"/>
          <w:szCs w:val="24"/>
          <w:highlight w:val="none"/>
        </w:rPr>
      </w:pPr>
    </w:p>
    <w:p w14:paraId="0B2A91A3">
      <w:pPr>
        <w:ind w:firstLine="480" w:firstLineChars="200"/>
        <w:jc w:val="left"/>
        <w:rPr>
          <w:rFonts w:hAnsi="宋体" w:cs="宋体"/>
          <w:color w:val="auto"/>
          <w:sz w:val="24"/>
          <w:highlight w:val="none"/>
        </w:rPr>
      </w:pPr>
      <w:r>
        <w:rPr>
          <w:rFonts w:hint="eastAsia" w:hAnsi="宋体" w:cs="宋体"/>
          <w:color w:val="auto"/>
          <w:sz w:val="24"/>
          <w:highlight w:val="none"/>
        </w:rPr>
        <w:br w:type="page"/>
      </w:r>
    </w:p>
    <w:p w14:paraId="117759C0">
      <w:pPr>
        <w:pStyle w:val="17"/>
        <w:ind w:firstLine="480" w:firstLineChars="200"/>
        <w:jc w:val="left"/>
        <w:rPr>
          <w:rFonts w:hAnsi="宋体" w:cs="宋体"/>
          <w:color w:val="auto"/>
          <w:sz w:val="24"/>
          <w:szCs w:val="24"/>
          <w:highlight w:val="none"/>
        </w:rPr>
      </w:pPr>
      <w:r>
        <w:rPr>
          <w:rFonts w:hint="eastAsia" w:hAnsi="宋体" w:cs="宋体"/>
          <w:color w:val="auto"/>
          <w:sz w:val="24"/>
          <w:szCs w:val="24"/>
          <w:highlight w:val="none"/>
        </w:rPr>
        <w:t>附件2：</w:t>
      </w:r>
    </w:p>
    <w:p w14:paraId="2ABAC3AA">
      <w:pPr>
        <w:spacing w:line="528" w:lineRule="exact"/>
        <w:ind w:left="220"/>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中小微企业划型标准</w:t>
      </w:r>
    </w:p>
    <w:tbl>
      <w:tblPr>
        <w:tblStyle w:val="30"/>
        <w:tblW w:w="9418" w:type="dxa"/>
        <w:tblInd w:w="250" w:type="dxa"/>
        <w:tblLayout w:type="fixed"/>
        <w:tblCellMar>
          <w:top w:w="0" w:type="dxa"/>
          <w:left w:w="108" w:type="dxa"/>
          <w:bottom w:w="0" w:type="dxa"/>
          <w:right w:w="108" w:type="dxa"/>
        </w:tblCellMar>
      </w:tblPr>
      <w:tblGrid>
        <w:gridCol w:w="2007"/>
        <w:gridCol w:w="1633"/>
        <w:gridCol w:w="1077"/>
        <w:gridCol w:w="1911"/>
        <w:gridCol w:w="1699"/>
        <w:gridCol w:w="1091"/>
      </w:tblGrid>
      <w:tr w14:paraId="2A272F6D">
        <w:tblPrEx>
          <w:tblCellMar>
            <w:top w:w="0" w:type="dxa"/>
            <w:left w:w="108" w:type="dxa"/>
            <w:bottom w:w="0" w:type="dxa"/>
            <w:right w:w="108" w:type="dxa"/>
          </w:tblCellMar>
        </w:tblPrEx>
        <w:trPr>
          <w:trHeight w:val="364" w:hRule="atLeast"/>
        </w:trPr>
        <w:tc>
          <w:tcPr>
            <w:tcW w:w="2007" w:type="dxa"/>
            <w:tcBorders>
              <w:top w:val="single" w:color="auto" w:sz="4" w:space="0"/>
              <w:left w:val="single" w:color="auto" w:sz="4" w:space="0"/>
              <w:bottom w:val="single" w:color="auto" w:sz="4" w:space="0"/>
              <w:right w:val="single" w:color="auto" w:sz="4" w:space="0"/>
            </w:tcBorders>
            <w:vAlign w:val="center"/>
          </w:tcPr>
          <w:p w14:paraId="59F121FB">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行业名称</w:t>
            </w:r>
          </w:p>
        </w:tc>
        <w:tc>
          <w:tcPr>
            <w:tcW w:w="1633" w:type="dxa"/>
            <w:tcBorders>
              <w:top w:val="single" w:color="auto" w:sz="4" w:space="0"/>
              <w:left w:val="nil"/>
              <w:bottom w:val="single" w:color="auto" w:sz="4" w:space="0"/>
              <w:right w:val="single" w:color="auto" w:sz="4" w:space="0"/>
            </w:tcBorders>
            <w:vAlign w:val="center"/>
          </w:tcPr>
          <w:p w14:paraId="12B17021">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指标名称</w:t>
            </w:r>
          </w:p>
        </w:tc>
        <w:tc>
          <w:tcPr>
            <w:tcW w:w="1077" w:type="dxa"/>
            <w:tcBorders>
              <w:top w:val="single" w:color="auto" w:sz="4" w:space="0"/>
              <w:left w:val="nil"/>
              <w:bottom w:val="single" w:color="auto" w:sz="4" w:space="0"/>
              <w:right w:val="single" w:color="auto" w:sz="4" w:space="0"/>
            </w:tcBorders>
            <w:vAlign w:val="center"/>
          </w:tcPr>
          <w:p w14:paraId="3C276294">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计量单位</w:t>
            </w:r>
          </w:p>
        </w:tc>
        <w:tc>
          <w:tcPr>
            <w:tcW w:w="1911" w:type="dxa"/>
            <w:tcBorders>
              <w:top w:val="single" w:color="auto" w:sz="4" w:space="0"/>
              <w:left w:val="nil"/>
              <w:bottom w:val="single" w:color="auto" w:sz="4" w:space="0"/>
              <w:right w:val="single" w:color="auto" w:sz="4" w:space="0"/>
            </w:tcBorders>
            <w:vAlign w:val="center"/>
          </w:tcPr>
          <w:p w14:paraId="4DFD9145">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中型</w:t>
            </w:r>
          </w:p>
        </w:tc>
        <w:tc>
          <w:tcPr>
            <w:tcW w:w="1699" w:type="dxa"/>
            <w:tcBorders>
              <w:top w:val="single" w:color="auto" w:sz="4" w:space="0"/>
              <w:left w:val="nil"/>
              <w:bottom w:val="single" w:color="auto" w:sz="4" w:space="0"/>
              <w:right w:val="single" w:color="auto" w:sz="4" w:space="0"/>
            </w:tcBorders>
            <w:vAlign w:val="center"/>
          </w:tcPr>
          <w:p w14:paraId="13BAE52D">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小型</w:t>
            </w:r>
          </w:p>
        </w:tc>
        <w:tc>
          <w:tcPr>
            <w:tcW w:w="1091" w:type="dxa"/>
            <w:tcBorders>
              <w:top w:val="single" w:color="auto" w:sz="4" w:space="0"/>
              <w:left w:val="nil"/>
              <w:bottom w:val="single" w:color="auto" w:sz="4" w:space="0"/>
              <w:right w:val="single" w:color="auto" w:sz="4" w:space="0"/>
            </w:tcBorders>
            <w:vAlign w:val="center"/>
          </w:tcPr>
          <w:p w14:paraId="03F6B26A">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微型</w:t>
            </w:r>
          </w:p>
        </w:tc>
      </w:tr>
      <w:tr w14:paraId="795EE912">
        <w:tblPrEx>
          <w:tblCellMar>
            <w:top w:w="0" w:type="dxa"/>
            <w:left w:w="108" w:type="dxa"/>
            <w:bottom w:w="0" w:type="dxa"/>
            <w:right w:w="108" w:type="dxa"/>
          </w:tblCellMar>
        </w:tblPrEx>
        <w:trPr>
          <w:trHeight w:val="364" w:hRule="atLeast"/>
        </w:trPr>
        <w:tc>
          <w:tcPr>
            <w:tcW w:w="2007" w:type="dxa"/>
            <w:tcBorders>
              <w:top w:val="nil"/>
              <w:left w:val="single" w:color="auto" w:sz="4" w:space="0"/>
              <w:bottom w:val="single" w:color="auto" w:sz="4" w:space="0"/>
              <w:right w:val="single" w:color="auto" w:sz="4" w:space="0"/>
            </w:tcBorders>
            <w:vAlign w:val="bottom"/>
          </w:tcPr>
          <w:p w14:paraId="3C5334CD">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农、林、牧、渔</w:t>
            </w:r>
          </w:p>
        </w:tc>
        <w:tc>
          <w:tcPr>
            <w:tcW w:w="1633" w:type="dxa"/>
            <w:tcBorders>
              <w:top w:val="nil"/>
              <w:left w:val="nil"/>
              <w:bottom w:val="single" w:color="auto" w:sz="4" w:space="0"/>
              <w:right w:val="single" w:color="auto" w:sz="4" w:space="0"/>
            </w:tcBorders>
            <w:vAlign w:val="center"/>
          </w:tcPr>
          <w:p w14:paraId="5F1D6BE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06C11EB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39C402E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500≤Y＜20000</w:t>
            </w:r>
          </w:p>
        </w:tc>
        <w:tc>
          <w:tcPr>
            <w:tcW w:w="1699" w:type="dxa"/>
            <w:tcBorders>
              <w:top w:val="nil"/>
              <w:left w:val="nil"/>
              <w:bottom w:val="single" w:color="auto" w:sz="4" w:space="0"/>
              <w:right w:val="single" w:color="auto" w:sz="4" w:space="0"/>
            </w:tcBorders>
            <w:vAlign w:val="center"/>
          </w:tcPr>
          <w:p w14:paraId="2FAF7EF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50≤Y＜500</w:t>
            </w:r>
          </w:p>
        </w:tc>
        <w:tc>
          <w:tcPr>
            <w:tcW w:w="1091" w:type="dxa"/>
            <w:tcBorders>
              <w:top w:val="nil"/>
              <w:left w:val="nil"/>
              <w:bottom w:val="single" w:color="auto" w:sz="4" w:space="0"/>
              <w:right w:val="single" w:color="auto" w:sz="4" w:space="0"/>
            </w:tcBorders>
            <w:vAlign w:val="center"/>
          </w:tcPr>
          <w:p w14:paraId="7AA725B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Y＜50</w:t>
            </w:r>
          </w:p>
        </w:tc>
      </w:tr>
      <w:tr w14:paraId="4F03AD8A">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492040AA">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工业</w:t>
            </w:r>
          </w:p>
        </w:tc>
        <w:tc>
          <w:tcPr>
            <w:tcW w:w="1633" w:type="dxa"/>
            <w:tcBorders>
              <w:top w:val="nil"/>
              <w:left w:val="nil"/>
              <w:bottom w:val="single" w:color="auto" w:sz="4" w:space="0"/>
              <w:right w:val="single" w:color="auto" w:sz="4" w:space="0"/>
            </w:tcBorders>
            <w:vAlign w:val="center"/>
          </w:tcPr>
          <w:p w14:paraId="755D8D9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210E309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386B4DE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300≤X＜1000</w:t>
            </w:r>
          </w:p>
        </w:tc>
        <w:tc>
          <w:tcPr>
            <w:tcW w:w="1699" w:type="dxa"/>
            <w:tcBorders>
              <w:top w:val="nil"/>
              <w:left w:val="nil"/>
              <w:bottom w:val="single" w:color="auto" w:sz="4" w:space="0"/>
              <w:right w:val="single" w:color="auto" w:sz="4" w:space="0"/>
            </w:tcBorders>
            <w:vAlign w:val="center"/>
          </w:tcPr>
          <w:p w14:paraId="0798551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20≤X＜300</w:t>
            </w:r>
          </w:p>
        </w:tc>
        <w:tc>
          <w:tcPr>
            <w:tcW w:w="1091" w:type="dxa"/>
            <w:tcBorders>
              <w:top w:val="nil"/>
              <w:left w:val="nil"/>
              <w:bottom w:val="single" w:color="auto" w:sz="4" w:space="0"/>
              <w:right w:val="single" w:color="auto" w:sz="4" w:space="0"/>
            </w:tcBorders>
            <w:vAlign w:val="center"/>
          </w:tcPr>
          <w:p w14:paraId="7A05E3D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X＜20</w:t>
            </w:r>
          </w:p>
        </w:tc>
      </w:tr>
      <w:tr w14:paraId="5284D7FA">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5B256491">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448FFBE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62C0602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0934B23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2000≤Y＜40000</w:t>
            </w:r>
          </w:p>
        </w:tc>
        <w:tc>
          <w:tcPr>
            <w:tcW w:w="1699" w:type="dxa"/>
            <w:tcBorders>
              <w:top w:val="nil"/>
              <w:left w:val="nil"/>
              <w:bottom w:val="single" w:color="auto" w:sz="4" w:space="0"/>
              <w:right w:val="single" w:color="auto" w:sz="4" w:space="0"/>
            </w:tcBorders>
            <w:vAlign w:val="center"/>
          </w:tcPr>
          <w:p w14:paraId="45A50AB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300≤Y＜2000</w:t>
            </w:r>
          </w:p>
        </w:tc>
        <w:tc>
          <w:tcPr>
            <w:tcW w:w="1091" w:type="dxa"/>
            <w:tcBorders>
              <w:top w:val="nil"/>
              <w:left w:val="nil"/>
              <w:bottom w:val="single" w:color="auto" w:sz="4" w:space="0"/>
              <w:right w:val="single" w:color="auto" w:sz="4" w:space="0"/>
            </w:tcBorders>
            <w:vAlign w:val="center"/>
          </w:tcPr>
          <w:p w14:paraId="6798230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Y＜300</w:t>
            </w:r>
          </w:p>
        </w:tc>
      </w:tr>
      <w:tr w14:paraId="268AF834">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4D5E6524">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建筑业</w:t>
            </w:r>
          </w:p>
        </w:tc>
        <w:tc>
          <w:tcPr>
            <w:tcW w:w="1633" w:type="dxa"/>
            <w:tcBorders>
              <w:top w:val="nil"/>
              <w:left w:val="nil"/>
              <w:bottom w:val="single" w:color="auto" w:sz="4" w:space="0"/>
              <w:right w:val="single" w:color="auto" w:sz="4" w:space="0"/>
            </w:tcBorders>
            <w:vAlign w:val="center"/>
          </w:tcPr>
          <w:p w14:paraId="395AEF5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709BDD1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267D1C4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6000≤Y＜80000</w:t>
            </w:r>
          </w:p>
        </w:tc>
        <w:tc>
          <w:tcPr>
            <w:tcW w:w="1699" w:type="dxa"/>
            <w:tcBorders>
              <w:top w:val="nil"/>
              <w:left w:val="nil"/>
              <w:bottom w:val="single" w:color="auto" w:sz="4" w:space="0"/>
              <w:right w:val="single" w:color="auto" w:sz="4" w:space="0"/>
            </w:tcBorders>
            <w:vAlign w:val="center"/>
          </w:tcPr>
          <w:p w14:paraId="28B201A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300≤Y＜6000</w:t>
            </w:r>
          </w:p>
        </w:tc>
        <w:tc>
          <w:tcPr>
            <w:tcW w:w="1091" w:type="dxa"/>
            <w:tcBorders>
              <w:top w:val="nil"/>
              <w:left w:val="nil"/>
              <w:bottom w:val="single" w:color="auto" w:sz="4" w:space="0"/>
              <w:right w:val="single" w:color="auto" w:sz="4" w:space="0"/>
            </w:tcBorders>
            <w:vAlign w:val="center"/>
          </w:tcPr>
          <w:p w14:paraId="4FF5DF7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Y＜300</w:t>
            </w:r>
          </w:p>
        </w:tc>
      </w:tr>
      <w:tr w14:paraId="2C9496E9">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3C60B52A">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6512D0A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资产总额（Z）</w:t>
            </w:r>
          </w:p>
        </w:tc>
        <w:tc>
          <w:tcPr>
            <w:tcW w:w="1077" w:type="dxa"/>
            <w:tcBorders>
              <w:top w:val="nil"/>
              <w:left w:val="nil"/>
              <w:bottom w:val="single" w:color="auto" w:sz="4" w:space="0"/>
              <w:right w:val="single" w:color="auto" w:sz="4" w:space="0"/>
            </w:tcBorders>
            <w:vAlign w:val="center"/>
          </w:tcPr>
          <w:p w14:paraId="1DDC03B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1C885EC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5000≤Z＜80000</w:t>
            </w:r>
          </w:p>
        </w:tc>
        <w:tc>
          <w:tcPr>
            <w:tcW w:w="1699" w:type="dxa"/>
            <w:tcBorders>
              <w:top w:val="nil"/>
              <w:left w:val="nil"/>
              <w:bottom w:val="single" w:color="auto" w:sz="4" w:space="0"/>
              <w:right w:val="single" w:color="auto" w:sz="4" w:space="0"/>
            </w:tcBorders>
            <w:vAlign w:val="center"/>
          </w:tcPr>
          <w:p w14:paraId="36A8A81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300≤Z＜5000</w:t>
            </w:r>
          </w:p>
        </w:tc>
        <w:tc>
          <w:tcPr>
            <w:tcW w:w="1091" w:type="dxa"/>
            <w:tcBorders>
              <w:top w:val="nil"/>
              <w:left w:val="nil"/>
              <w:bottom w:val="single" w:color="auto" w:sz="4" w:space="0"/>
              <w:right w:val="single" w:color="auto" w:sz="4" w:space="0"/>
            </w:tcBorders>
            <w:vAlign w:val="center"/>
          </w:tcPr>
          <w:p w14:paraId="7F459C9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Z＜300</w:t>
            </w:r>
          </w:p>
        </w:tc>
      </w:tr>
      <w:tr w14:paraId="399C08B9">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5B6E2483">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批发业</w:t>
            </w:r>
          </w:p>
        </w:tc>
        <w:tc>
          <w:tcPr>
            <w:tcW w:w="1633" w:type="dxa"/>
            <w:tcBorders>
              <w:top w:val="nil"/>
              <w:left w:val="nil"/>
              <w:bottom w:val="single" w:color="auto" w:sz="4" w:space="0"/>
              <w:right w:val="single" w:color="auto" w:sz="4" w:space="0"/>
            </w:tcBorders>
            <w:vAlign w:val="center"/>
          </w:tcPr>
          <w:p w14:paraId="2B7B947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3EFAD7F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383C16E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20≤X＜200</w:t>
            </w:r>
          </w:p>
        </w:tc>
        <w:tc>
          <w:tcPr>
            <w:tcW w:w="1699" w:type="dxa"/>
            <w:tcBorders>
              <w:top w:val="nil"/>
              <w:left w:val="nil"/>
              <w:bottom w:val="single" w:color="auto" w:sz="4" w:space="0"/>
              <w:right w:val="single" w:color="auto" w:sz="4" w:space="0"/>
            </w:tcBorders>
            <w:vAlign w:val="center"/>
          </w:tcPr>
          <w:p w14:paraId="7447F65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5≤X＜20</w:t>
            </w:r>
          </w:p>
        </w:tc>
        <w:tc>
          <w:tcPr>
            <w:tcW w:w="1091" w:type="dxa"/>
            <w:tcBorders>
              <w:top w:val="nil"/>
              <w:left w:val="nil"/>
              <w:bottom w:val="single" w:color="auto" w:sz="4" w:space="0"/>
              <w:right w:val="single" w:color="auto" w:sz="4" w:space="0"/>
            </w:tcBorders>
            <w:vAlign w:val="center"/>
          </w:tcPr>
          <w:p w14:paraId="07C2073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X＜5</w:t>
            </w:r>
          </w:p>
        </w:tc>
      </w:tr>
      <w:tr w14:paraId="693FBDCB">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32077414">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62FCF90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1DEB8D7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709EDFF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5000≤Y＜40000</w:t>
            </w:r>
          </w:p>
        </w:tc>
        <w:tc>
          <w:tcPr>
            <w:tcW w:w="1699" w:type="dxa"/>
            <w:tcBorders>
              <w:top w:val="nil"/>
              <w:left w:val="nil"/>
              <w:bottom w:val="single" w:color="auto" w:sz="4" w:space="0"/>
              <w:right w:val="single" w:color="auto" w:sz="4" w:space="0"/>
            </w:tcBorders>
            <w:vAlign w:val="center"/>
          </w:tcPr>
          <w:p w14:paraId="1A035A2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1000≤Y＜5000</w:t>
            </w:r>
          </w:p>
        </w:tc>
        <w:tc>
          <w:tcPr>
            <w:tcW w:w="1091" w:type="dxa"/>
            <w:tcBorders>
              <w:top w:val="nil"/>
              <w:left w:val="nil"/>
              <w:bottom w:val="single" w:color="auto" w:sz="4" w:space="0"/>
              <w:right w:val="single" w:color="auto" w:sz="4" w:space="0"/>
            </w:tcBorders>
            <w:vAlign w:val="center"/>
          </w:tcPr>
          <w:p w14:paraId="0DA760F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Y＜1000</w:t>
            </w:r>
          </w:p>
        </w:tc>
      </w:tr>
      <w:tr w14:paraId="33DCAF06">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4D60FB53">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零售业</w:t>
            </w:r>
          </w:p>
        </w:tc>
        <w:tc>
          <w:tcPr>
            <w:tcW w:w="1633" w:type="dxa"/>
            <w:tcBorders>
              <w:top w:val="nil"/>
              <w:left w:val="nil"/>
              <w:bottom w:val="single" w:color="auto" w:sz="4" w:space="0"/>
              <w:right w:val="single" w:color="auto" w:sz="4" w:space="0"/>
            </w:tcBorders>
            <w:vAlign w:val="center"/>
          </w:tcPr>
          <w:p w14:paraId="1C966C2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51C0F00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71C656F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50≤X＜300</w:t>
            </w:r>
          </w:p>
        </w:tc>
        <w:tc>
          <w:tcPr>
            <w:tcW w:w="1699" w:type="dxa"/>
            <w:tcBorders>
              <w:top w:val="nil"/>
              <w:left w:val="nil"/>
              <w:bottom w:val="single" w:color="auto" w:sz="4" w:space="0"/>
              <w:right w:val="single" w:color="auto" w:sz="4" w:space="0"/>
            </w:tcBorders>
            <w:vAlign w:val="center"/>
          </w:tcPr>
          <w:p w14:paraId="610475E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10≤X＜50</w:t>
            </w:r>
          </w:p>
        </w:tc>
        <w:tc>
          <w:tcPr>
            <w:tcW w:w="1091" w:type="dxa"/>
            <w:tcBorders>
              <w:top w:val="nil"/>
              <w:left w:val="nil"/>
              <w:bottom w:val="single" w:color="auto" w:sz="4" w:space="0"/>
              <w:right w:val="single" w:color="auto" w:sz="4" w:space="0"/>
            </w:tcBorders>
            <w:vAlign w:val="center"/>
          </w:tcPr>
          <w:p w14:paraId="032B6C0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0772C448">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34334888">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2E72619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7516FC6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0DDDE2B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500≤Y＜20000</w:t>
            </w:r>
          </w:p>
        </w:tc>
        <w:tc>
          <w:tcPr>
            <w:tcW w:w="1699" w:type="dxa"/>
            <w:tcBorders>
              <w:top w:val="nil"/>
              <w:left w:val="nil"/>
              <w:bottom w:val="single" w:color="auto" w:sz="4" w:space="0"/>
              <w:right w:val="single" w:color="auto" w:sz="4" w:space="0"/>
            </w:tcBorders>
            <w:vAlign w:val="center"/>
          </w:tcPr>
          <w:p w14:paraId="14507F7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100≤Y＜500</w:t>
            </w:r>
          </w:p>
        </w:tc>
        <w:tc>
          <w:tcPr>
            <w:tcW w:w="1091" w:type="dxa"/>
            <w:tcBorders>
              <w:top w:val="nil"/>
              <w:left w:val="nil"/>
              <w:bottom w:val="single" w:color="auto" w:sz="4" w:space="0"/>
              <w:right w:val="single" w:color="auto" w:sz="4" w:space="0"/>
            </w:tcBorders>
            <w:vAlign w:val="center"/>
          </w:tcPr>
          <w:p w14:paraId="6F360BE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1A488AA5">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58E0B647">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交通运输业</w:t>
            </w:r>
          </w:p>
        </w:tc>
        <w:tc>
          <w:tcPr>
            <w:tcW w:w="1633" w:type="dxa"/>
            <w:tcBorders>
              <w:top w:val="nil"/>
              <w:left w:val="nil"/>
              <w:bottom w:val="single" w:color="auto" w:sz="4" w:space="0"/>
              <w:right w:val="single" w:color="auto" w:sz="4" w:space="0"/>
            </w:tcBorders>
            <w:vAlign w:val="center"/>
          </w:tcPr>
          <w:p w14:paraId="3FBD9D8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6850444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6A58B05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300≤X＜1000</w:t>
            </w:r>
          </w:p>
        </w:tc>
        <w:tc>
          <w:tcPr>
            <w:tcW w:w="1699" w:type="dxa"/>
            <w:tcBorders>
              <w:top w:val="nil"/>
              <w:left w:val="nil"/>
              <w:bottom w:val="single" w:color="auto" w:sz="4" w:space="0"/>
              <w:right w:val="single" w:color="auto" w:sz="4" w:space="0"/>
            </w:tcBorders>
            <w:vAlign w:val="center"/>
          </w:tcPr>
          <w:p w14:paraId="6771AAD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20≤X＜300</w:t>
            </w:r>
          </w:p>
        </w:tc>
        <w:tc>
          <w:tcPr>
            <w:tcW w:w="1091" w:type="dxa"/>
            <w:tcBorders>
              <w:top w:val="nil"/>
              <w:left w:val="nil"/>
              <w:bottom w:val="single" w:color="auto" w:sz="4" w:space="0"/>
              <w:right w:val="single" w:color="auto" w:sz="4" w:space="0"/>
            </w:tcBorders>
            <w:vAlign w:val="center"/>
          </w:tcPr>
          <w:p w14:paraId="0EB3942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X＜20</w:t>
            </w:r>
          </w:p>
        </w:tc>
      </w:tr>
      <w:tr w14:paraId="6EEA312F">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6BFB9EED">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2F0CD2C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19FEC65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5E0B5A8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3000≤Y＜30000</w:t>
            </w:r>
          </w:p>
        </w:tc>
        <w:tc>
          <w:tcPr>
            <w:tcW w:w="1699" w:type="dxa"/>
            <w:tcBorders>
              <w:top w:val="nil"/>
              <w:left w:val="nil"/>
              <w:bottom w:val="single" w:color="auto" w:sz="4" w:space="0"/>
              <w:right w:val="single" w:color="auto" w:sz="4" w:space="0"/>
            </w:tcBorders>
            <w:vAlign w:val="center"/>
          </w:tcPr>
          <w:p w14:paraId="749D015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200≤Y＜3000</w:t>
            </w:r>
          </w:p>
        </w:tc>
        <w:tc>
          <w:tcPr>
            <w:tcW w:w="1091" w:type="dxa"/>
            <w:tcBorders>
              <w:top w:val="nil"/>
              <w:left w:val="nil"/>
              <w:bottom w:val="single" w:color="auto" w:sz="4" w:space="0"/>
              <w:right w:val="single" w:color="auto" w:sz="4" w:space="0"/>
            </w:tcBorders>
            <w:vAlign w:val="center"/>
          </w:tcPr>
          <w:p w14:paraId="4648B8E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Y＜200</w:t>
            </w:r>
          </w:p>
        </w:tc>
      </w:tr>
      <w:tr w14:paraId="2B2F23EA">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296DCBEA">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仓储业</w:t>
            </w:r>
          </w:p>
        </w:tc>
        <w:tc>
          <w:tcPr>
            <w:tcW w:w="1633" w:type="dxa"/>
            <w:tcBorders>
              <w:top w:val="nil"/>
              <w:left w:val="nil"/>
              <w:bottom w:val="single" w:color="auto" w:sz="4" w:space="0"/>
              <w:right w:val="single" w:color="auto" w:sz="4" w:space="0"/>
            </w:tcBorders>
            <w:vAlign w:val="center"/>
          </w:tcPr>
          <w:p w14:paraId="7434A2F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225C476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492C0F7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100≤X＜200</w:t>
            </w:r>
          </w:p>
        </w:tc>
        <w:tc>
          <w:tcPr>
            <w:tcW w:w="1699" w:type="dxa"/>
            <w:tcBorders>
              <w:top w:val="nil"/>
              <w:left w:val="nil"/>
              <w:bottom w:val="single" w:color="auto" w:sz="4" w:space="0"/>
              <w:right w:val="single" w:color="auto" w:sz="4" w:space="0"/>
            </w:tcBorders>
            <w:vAlign w:val="center"/>
          </w:tcPr>
          <w:p w14:paraId="3A5A01E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20≤X＜100</w:t>
            </w:r>
          </w:p>
        </w:tc>
        <w:tc>
          <w:tcPr>
            <w:tcW w:w="1091" w:type="dxa"/>
            <w:tcBorders>
              <w:top w:val="nil"/>
              <w:left w:val="nil"/>
              <w:bottom w:val="single" w:color="auto" w:sz="4" w:space="0"/>
              <w:right w:val="single" w:color="auto" w:sz="4" w:space="0"/>
            </w:tcBorders>
            <w:vAlign w:val="center"/>
          </w:tcPr>
          <w:p w14:paraId="2A08B5B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X＜20</w:t>
            </w:r>
          </w:p>
        </w:tc>
      </w:tr>
      <w:tr w14:paraId="1F4BFF84">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4A818EF7">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6756741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7AB098C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63E2F9B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1000≤Y＜30000</w:t>
            </w:r>
          </w:p>
        </w:tc>
        <w:tc>
          <w:tcPr>
            <w:tcW w:w="1699" w:type="dxa"/>
            <w:tcBorders>
              <w:top w:val="nil"/>
              <w:left w:val="nil"/>
              <w:bottom w:val="single" w:color="auto" w:sz="4" w:space="0"/>
              <w:right w:val="single" w:color="auto" w:sz="4" w:space="0"/>
            </w:tcBorders>
            <w:vAlign w:val="center"/>
          </w:tcPr>
          <w:p w14:paraId="1593BEE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100≤Y＜1000</w:t>
            </w:r>
          </w:p>
        </w:tc>
        <w:tc>
          <w:tcPr>
            <w:tcW w:w="1091" w:type="dxa"/>
            <w:tcBorders>
              <w:top w:val="nil"/>
              <w:left w:val="nil"/>
              <w:bottom w:val="single" w:color="auto" w:sz="4" w:space="0"/>
              <w:right w:val="single" w:color="auto" w:sz="4" w:space="0"/>
            </w:tcBorders>
            <w:vAlign w:val="center"/>
          </w:tcPr>
          <w:p w14:paraId="600E4A7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58294A89">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41963296">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邮政业</w:t>
            </w:r>
          </w:p>
        </w:tc>
        <w:tc>
          <w:tcPr>
            <w:tcW w:w="1633" w:type="dxa"/>
            <w:tcBorders>
              <w:top w:val="nil"/>
              <w:left w:val="nil"/>
              <w:bottom w:val="single" w:color="auto" w:sz="4" w:space="0"/>
              <w:right w:val="single" w:color="auto" w:sz="4" w:space="0"/>
            </w:tcBorders>
            <w:vAlign w:val="center"/>
          </w:tcPr>
          <w:p w14:paraId="3A1F70D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6338EBD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19BC0A4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300≤X＜1000</w:t>
            </w:r>
          </w:p>
        </w:tc>
        <w:tc>
          <w:tcPr>
            <w:tcW w:w="1699" w:type="dxa"/>
            <w:tcBorders>
              <w:top w:val="nil"/>
              <w:left w:val="nil"/>
              <w:bottom w:val="single" w:color="auto" w:sz="4" w:space="0"/>
              <w:right w:val="single" w:color="auto" w:sz="4" w:space="0"/>
            </w:tcBorders>
            <w:vAlign w:val="center"/>
          </w:tcPr>
          <w:p w14:paraId="5DE3B6C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20≤X＜300</w:t>
            </w:r>
          </w:p>
        </w:tc>
        <w:tc>
          <w:tcPr>
            <w:tcW w:w="1091" w:type="dxa"/>
            <w:tcBorders>
              <w:top w:val="nil"/>
              <w:left w:val="nil"/>
              <w:bottom w:val="single" w:color="auto" w:sz="4" w:space="0"/>
              <w:right w:val="single" w:color="auto" w:sz="4" w:space="0"/>
            </w:tcBorders>
            <w:vAlign w:val="center"/>
          </w:tcPr>
          <w:p w14:paraId="03E736A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X＜20</w:t>
            </w:r>
          </w:p>
        </w:tc>
      </w:tr>
      <w:tr w14:paraId="0F0901AF">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431D52BF">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56FC2F3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23AC5C4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265CB69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2000≤Y＜30000</w:t>
            </w:r>
          </w:p>
        </w:tc>
        <w:tc>
          <w:tcPr>
            <w:tcW w:w="1699" w:type="dxa"/>
            <w:tcBorders>
              <w:top w:val="nil"/>
              <w:left w:val="nil"/>
              <w:bottom w:val="single" w:color="auto" w:sz="4" w:space="0"/>
              <w:right w:val="single" w:color="auto" w:sz="4" w:space="0"/>
            </w:tcBorders>
            <w:vAlign w:val="center"/>
          </w:tcPr>
          <w:p w14:paraId="4DD6359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100≤Y＜2000</w:t>
            </w:r>
          </w:p>
        </w:tc>
        <w:tc>
          <w:tcPr>
            <w:tcW w:w="1091" w:type="dxa"/>
            <w:tcBorders>
              <w:top w:val="nil"/>
              <w:left w:val="nil"/>
              <w:bottom w:val="single" w:color="auto" w:sz="4" w:space="0"/>
              <w:right w:val="single" w:color="auto" w:sz="4" w:space="0"/>
            </w:tcBorders>
            <w:vAlign w:val="center"/>
          </w:tcPr>
          <w:p w14:paraId="2DD2E78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77628923">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67924FAB">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住宿业</w:t>
            </w:r>
          </w:p>
        </w:tc>
        <w:tc>
          <w:tcPr>
            <w:tcW w:w="1633" w:type="dxa"/>
            <w:tcBorders>
              <w:top w:val="nil"/>
              <w:left w:val="nil"/>
              <w:bottom w:val="single" w:color="auto" w:sz="4" w:space="0"/>
              <w:right w:val="single" w:color="auto" w:sz="4" w:space="0"/>
            </w:tcBorders>
            <w:vAlign w:val="center"/>
          </w:tcPr>
          <w:p w14:paraId="73073CB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77B04FE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41F5551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14:paraId="7BCD170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05FA88E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391D111A">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1A33FCA7">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57704CB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0A3CBFB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5794574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2000≤Y＜10000</w:t>
            </w:r>
          </w:p>
        </w:tc>
        <w:tc>
          <w:tcPr>
            <w:tcW w:w="1699" w:type="dxa"/>
            <w:tcBorders>
              <w:top w:val="nil"/>
              <w:left w:val="nil"/>
              <w:bottom w:val="single" w:color="auto" w:sz="4" w:space="0"/>
              <w:right w:val="single" w:color="auto" w:sz="4" w:space="0"/>
            </w:tcBorders>
            <w:vAlign w:val="center"/>
          </w:tcPr>
          <w:p w14:paraId="70E6142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100≤Y＜2000</w:t>
            </w:r>
          </w:p>
        </w:tc>
        <w:tc>
          <w:tcPr>
            <w:tcW w:w="1091" w:type="dxa"/>
            <w:tcBorders>
              <w:top w:val="nil"/>
              <w:left w:val="nil"/>
              <w:bottom w:val="single" w:color="auto" w:sz="4" w:space="0"/>
              <w:right w:val="single" w:color="auto" w:sz="4" w:space="0"/>
            </w:tcBorders>
            <w:vAlign w:val="center"/>
          </w:tcPr>
          <w:p w14:paraId="45A07E6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736990A7">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2B25DF53">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餐饮业</w:t>
            </w:r>
          </w:p>
        </w:tc>
        <w:tc>
          <w:tcPr>
            <w:tcW w:w="1633" w:type="dxa"/>
            <w:tcBorders>
              <w:top w:val="nil"/>
              <w:left w:val="nil"/>
              <w:bottom w:val="single" w:color="auto" w:sz="4" w:space="0"/>
              <w:right w:val="single" w:color="auto" w:sz="4" w:space="0"/>
            </w:tcBorders>
            <w:vAlign w:val="center"/>
          </w:tcPr>
          <w:p w14:paraId="66F5349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67EE681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401CADF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14:paraId="274A0A7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5E8019C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0AFEBCDB">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33DF3AB3">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15DBAB6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274ABDF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7965C39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2000≤Y＜10000</w:t>
            </w:r>
          </w:p>
        </w:tc>
        <w:tc>
          <w:tcPr>
            <w:tcW w:w="1699" w:type="dxa"/>
            <w:tcBorders>
              <w:top w:val="nil"/>
              <w:left w:val="nil"/>
              <w:bottom w:val="single" w:color="auto" w:sz="4" w:space="0"/>
              <w:right w:val="single" w:color="auto" w:sz="4" w:space="0"/>
            </w:tcBorders>
            <w:vAlign w:val="center"/>
          </w:tcPr>
          <w:p w14:paraId="500DF13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100≤Y＜2000</w:t>
            </w:r>
          </w:p>
        </w:tc>
        <w:tc>
          <w:tcPr>
            <w:tcW w:w="1091" w:type="dxa"/>
            <w:tcBorders>
              <w:top w:val="nil"/>
              <w:left w:val="nil"/>
              <w:bottom w:val="single" w:color="auto" w:sz="4" w:space="0"/>
              <w:right w:val="single" w:color="auto" w:sz="4" w:space="0"/>
            </w:tcBorders>
            <w:vAlign w:val="center"/>
          </w:tcPr>
          <w:p w14:paraId="41EBB80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4E3668BD">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699FE3C4">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信息传输业</w:t>
            </w:r>
          </w:p>
        </w:tc>
        <w:tc>
          <w:tcPr>
            <w:tcW w:w="1633" w:type="dxa"/>
            <w:tcBorders>
              <w:top w:val="nil"/>
              <w:left w:val="nil"/>
              <w:bottom w:val="single" w:color="auto" w:sz="4" w:space="0"/>
              <w:right w:val="single" w:color="auto" w:sz="4" w:space="0"/>
            </w:tcBorders>
            <w:vAlign w:val="center"/>
          </w:tcPr>
          <w:p w14:paraId="35F1B79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151DBA9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308CAB7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100≤X＜2000</w:t>
            </w:r>
          </w:p>
        </w:tc>
        <w:tc>
          <w:tcPr>
            <w:tcW w:w="1699" w:type="dxa"/>
            <w:tcBorders>
              <w:top w:val="nil"/>
              <w:left w:val="nil"/>
              <w:bottom w:val="single" w:color="auto" w:sz="4" w:space="0"/>
              <w:right w:val="single" w:color="auto" w:sz="4" w:space="0"/>
            </w:tcBorders>
            <w:vAlign w:val="center"/>
          </w:tcPr>
          <w:p w14:paraId="1F9AE84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14CE6CF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661D9BBF">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185CF8EC">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41C63C8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6D0D6CE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37187E1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1000≤Y＜100000</w:t>
            </w:r>
          </w:p>
        </w:tc>
        <w:tc>
          <w:tcPr>
            <w:tcW w:w="1699" w:type="dxa"/>
            <w:tcBorders>
              <w:top w:val="nil"/>
              <w:left w:val="nil"/>
              <w:bottom w:val="single" w:color="auto" w:sz="4" w:space="0"/>
              <w:right w:val="single" w:color="auto" w:sz="4" w:space="0"/>
            </w:tcBorders>
            <w:vAlign w:val="center"/>
          </w:tcPr>
          <w:p w14:paraId="41A90E0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100≤Y＜1000</w:t>
            </w:r>
          </w:p>
        </w:tc>
        <w:tc>
          <w:tcPr>
            <w:tcW w:w="1091" w:type="dxa"/>
            <w:tcBorders>
              <w:top w:val="nil"/>
              <w:left w:val="nil"/>
              <w:bottom w:val="single" w:color="auto" w:sz="4" w:space="0"/>
              <w:right w:val="single" w:color="auto" w:sz="4" w:space="0"/>
            </w:tcBorders>
            <w:vAlign w:val="center"/>
          </w:tcPr>
          <w:p w14:paraId="0D8C9AD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7397B476">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18ECE693">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软件和信息技术服务业</w:t>
            </w:r>
          </w:p>
        </w:tc>
        <w:tc>
          <w:tcPr>
            <w:tcW w:w="1633" w:type="dxa"/>
            <w:tcBorders>
              <w:top w:val="nil"/>
              <w:left w:val="nil"/>
              <w:bottom w:val="single" w:color="auto" w:sz="4" w:space="0"/>
              <w:right w:val="single" w:color="auto" w:sz="4" w:space="0"/>
            </w:tcBorders>
            <w:vAlign w:val="center"/>
          </w:tcPr>
          <w:p w14:paraId="5356565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323C1A2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46C356D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14:paraId="4EE7D47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2ECFC3C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65AC45BF">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1DF31206">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11072D1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5B59E56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22C2B20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1000≤Y＜10000</w:t>
            </w:r>
          </w:p>
        </w:tc>
        <w:tc>
          <w:tcPr>
            <w:tcW w:w="1699" w:type="dxa"/>
            <w:tcBorders>
              <w:top w:val="nil"/>
              <w:left w:val="nil"/>
              <w:bottom w:val="single" w:color="auto" w:sz="4" w:space="0"/>
              <w:right w:val="single" w:color="auto" w:sz="4" w:space="0"/>
            </w:tcBorders>
            <w:vAlign w:val="center"/>
          </w:tcPr>
          <w:p w14:paraId="2233A76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50≤Y＜1000</w:t>
            </w:r>
          </w:p>
        </w:tc>
        <w:tc>
          <w:tcPr>
            <w:tcW w:w="1091" w:type="dxa"/>
            <w:tcBorders>
              <w:top w:val="nil"/>
              <w:left w:val="nil"/>
              <w:bottom w:val="single" w:color="auto" w:sz="4" w:space="0"/>
              <w:right w:val="single" w:color="auto" w:sz="4" w:space="0"/>
            </w:tcBorders>
            <w:vAlign w:val="center"/>
          </w:tcPr>
          <w:p w14:paraId="32AB035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Y＜50</w:t>
            </w:r>
          </w:p>
        </w:tc>
      </w:tr>
      <w:tr w14:paraId="6ADEC279">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1CFC971E">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房地产开发经营</w:t>
            </w:r>
          </w:p>
        </w:tc>
        <w:tc>
          <w:tcPr>
            <w:tcW w:w="1633" w:type="dxa"/>
            <w:tcBorders>
              <w:top w:val="nil"/>
              <w:left w:val="nil"/>
              <w:bottom w:val="single" w:color="auto" w:sz="4" w:space="0"/>
              <w:right w:val="single" w:color="auto" w:sz="4" w:space="0"/>
            </w:tcBorders>
            <w:vAlign w:val="center"/>
          </w:tcPr>
          <w:p w14:paraId="213E0E8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64BF0B9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102D219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1000≤Y＜200000</w:t>
            </w:r>
          </w:p>
        </w:tc>
        <w:tc>
          <w:tcPr>
            <w:tcW w:w="1699" w:type="dxa"/>
            <w:tcBorders>
              <w:top w:val="nil"/>
              <w:left w:val="nil"/>
              <w:bottom w:val="single" w:color="auto" w:sz="4" w:space="0"/>
              <w:right w:val="single" w:color="auto" w:sz="4" w:space="0"/>
            </w:tcBorders>
            <w:vAlign w:val="center"/>
          </w:tcPr>
          <w:p w14:paraId="2E6F318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100≤X＜1000</w:t>
            </w:r>
          </w:p>
        </w:tc>
        <w:tc>
          <w:tcPr>
            <w:tcW w:w="1091" w:type="dxa"/>
            <w:tcBorders>
              <w:top w:val="nil"/>
              <w:left w:val="nil"/>
              <w:bottom w:val="single" w:color="auto" w:sz="4" w:space="0"/>
              <w:right w:val="single" w:color="auto" w:sz="4" w:space="0"/>
            </w:tcBorders>
            <w:vAlign w:val="center"/>
          </w:tcPr>
          <w:p w14:paraId="7ACB789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X＜100</w:t>
            </w:r>
          </w:p>
        </w:tc>
      </w:tr>
      <w:tr w14:paraId="28AF2C0A">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7ED79902">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3015E81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资产总额（Z）</w:t>
            </w:r>
          </w:p>
        </w:tc>
        <w:tc>
          <w:tcPr>
            <w:tcW w:w="1077" w:type="dxa"/>
            <w:tcBorders>
              <w:top w:val="nil"/>
              <w:left w:val="nil"/>
              <w:bottom w:val="single" w:color="auto" w:sz="4" w:space="0"/>
              <w:right w:val="single" w:color="auto" w:sz="4" w:space="0"/>
            </w:tcBorders>
            <w:vAlign w:val="center"/>
          </w:tcPr>
          <w:p w14:paraId="5374EE9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47F271A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5000≤Z＜10000</w:t>
            </w:r>
          </w:p>
        </w:tc>
        <w:tc>
          <w:tcPr>
            <w:tcW w:w="1699" w:type="dxa"/>
            <w:tcBorders>
              <w:top w:val="nil"/>
              <w:left w:val="nil"/>
              <w:bottom w:val="single" w:color="auto" w:sz="4" w:space="0"/>
              <w:right w:val="single" w:color="auto" w:sz="4" w:space="0"/>
            </w:tcBorders>
            <w:vAlign w:val="center"/>
          </w:tcPr>
          <w:p w14:paraId="3AFEAFC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2000≤Y＜5000</w:t>
            </w:r>
          </w:p>
        </w:tc>
        <w:tc>
          <w:tcPr>
            <w:tcW w:w="1091" w:type="dxa"/>
            <w:tcBorders>
              <w:top w:val="nil"/>
              <w:left w:val="nil"/>
              <w:bottom w:val="single" w:color="auto" w:sz="4" w:space="0"/>
              <w:right w:val="single" w:color="auto" w:sz="4" w:space="0"/>
            </w:tcBorders>
            <w:vAlign w:val="center"/>
          </w:tcPr>
          <w:p w14:paraId="57A9D07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Y＜2000</w:t>
            </w:r>
          </w:p>
        </w:tc>
      </w:tr>
      <w:tr w14:paraId="3639556A">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6339480F">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物业管理</w:t>
            </w:r>
          </w:p>
        </w:tc>
        <w:tc>
          <w:tcPr>
            <w:tcW w:w="1633" w:type="dxa"/>
            <w:tcBorders>
              <w:top w:val="nil"/>
              <w:left w:val="nil"/>
              <w:bottom w:val="single" w:color="auto" w:sz="4" w:space="0"/>
              <w:right w:val="single" w:color="auto" w:sz="4" w:space="0"/>
            </w:tcBorders>
            <w:vAlign w:val="center"/>
          </w:tcPr>
          <w:p w14:paraId="278E4BC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18FDF37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61715AA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300≤X＜1000</w:t>
            </w:r>
          </w:p>
        </w:tc>
        <w:tc>
          <w:tcPr>
            <w:tcW w:w="1699" w:type="dxa"/>
            <w:tcBorders>
              <w:top w:val="nil"/>
              <w:left w:val="nil"/>
              <w:bottom w:val="single" w:color="auto" w:sz="4" w:space="0"/>
              <w:right w:val="single" w:color="auto" w:sz="4" w:space="0"/>
            </w:tcBorders>
            <w:vAlign w:val="center"/>
          </w:tcPr>
          <w:p w14:paraId="54B02E6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091" w:type="dxa"/>
            <w:tcBorders>
              <w:top w:val="nil"/>
              <w:left w:val="nil"/>
              <w:bottom w:val="single" w:color="auto" w:sz="4" w:space="0"/>
              <w:right w:val="single" w:color="auto" w:sz="4" w:space="0"/>
            </w:tcBorders>
            <w:vAlign w:val="center"/>
          </w:tcPr>
          <w:p w14:paraId="05F229C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X＜100</w:t>
            </w:r>
          </w:p>
        </w:tc>
      </w:tr>
      <w:tr w14:paraId="63A5377B">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508E9E18">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0A53EFB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511FEFA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5139F85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1000≤Y＜5000</w:t>
            </w:r>
          </w:p>
        </w:tc>
        <w:tc>
          <w:tcPr>
            <w:tcW w:w="1699" w:type="dxa"/>
            <w:tcBorders>
              <w:top w:val="nil"/>
              <w:left w:val="nil"/>
              <w:bottom w:val="single" w:color="auto" w:sz="4" w:space="0"/>
              <w:right w:val="single" w:color="auto" w:sz="4" w:space="0"/>
            </w:tcBorders>
            <w:vAlign w:val="center"/>
          </w:tcPr>
          <w:p w14:paraId="37F9FD0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500≤Y＜1000</w:t>
            </w:r>
          </w:p>
        </w:tc>
        <w:tc>
          <w:tcPr>
            <w:tcW w:w="1091" w:type="dxa"/>
            <w:tcBorders>
              <w:top w:val="nil"/>
              <w:left w:val="nil"/>
              <w:bottom w:val="single" w:color="auto" w:sz="4" w:space="0"/>
              <w:right w:val="single" w:color="auto" w:sz="4" w:space="0"/>
            </w:tcBorders>
            <w:vAlign w:val="center"/>
          </w:tcPr>
          <w:p w14:paraId="0C6D997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Y＜500</w:t>
            </w:r>
          </w:p>
        </w:tc>
      </w:tr>
      <w:tr w14:paraId="2F36D5CD">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544E4DF0">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租赁和商务服务业</w:t>
            </w:r>
          </w:p>
        </w:tc>
        <w:tc>
          <w:tcPr>
            <w:tcW w:w="1633" w:type="dxa"/>
            <w:tcBorders>
              <w:top w:val="nil"/>
              <w:left w:val="nil"/>
              <w:bottom w:val="single" w:color="auto" w:sz="4" w:space="0"/>
              <w:right w:val="single" w:color="auto" w:sz="4" w:space="0"/>
            </w:tcBorders>
            <w:vAlign w:val="center"/>
          </w:tcPr>
          <w:p w14:paraId="5B10CB6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2E56FDE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5A56C96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14:paraId="4E79496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1E01340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2B57D001">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65B4F5B5">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6A43119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资产总额（Z）</w:t>
            </w:r>
          </w:p>
        </w:tc>
        <w:tc>
          <w:tcPr>
            <w:tcW w:w="1077" w:type="dxa"/>
            <w:tcBorders>
              <w:top w:val="nil"/>
              <w:left w:val="nil"/>
              <w:bottom w:val="single" w:color="auto" w:sz="4" w:space="0"/>
              <w:right w:val="single" w:color="auto" w:sz="4" w:space="0"/>
            </w:tcBorders>
            <w:vAlign w:val="center"/>
          </w:tcPr>
          <w:p w14:paraId="2A06E33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654682A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8000≤Z＜120000</w:t>
            </w:r>
          </w:p>
        </w:tc>
        <w:tc>
          <w:tcPr>
            <w:tcW w:w="1699" w:type="dxa"/>
            <w:tcBorders>
              <w:top w:val="nil"/>
              <w:left w:val="nil"/>
              <w:bottom w:val="single" w:color="auto" w:sz="4" w:space="0"/>
              <w:right w:val="single" w:color="auto" w:sz="4" w:space="0"/>
            </w:tcBorders>
            <w:vAlign w:val="center"/>
          </w:tcPr>
          <w:p w14:paraId="5D0F0ED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100≤Z＜8000</w:t>
            </w:r>
          </w:p>
        </w:tc>
        <w:tc>
          <w:tcPr>
            <w:tcW w:w="1091" w:type="dxa"/>
            <w:tcBorders>
              <w:top w:val="nil"/>
              <w:left w:val="nil"/>
              <w:bottom w:val="single" w:color="auto" w:sz="4" w:space="0"/>
              <w:right w:val="single" w:color="auto" w:sz="4" w:space="0"/>
            </w:tcBorders>
            <w:vAlign w:val="center"/>
          </w:tcPr>
          <w:p w14:paraId="25B8531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3360DC10">
        <w:tblPrEx>
          <w:tblCellMar>
            <w:top w:w="0" w:type="dxa"/>
            <w:left w:w="108" w:type="dxa"/>
            <w:bottom w:w="0" w:type="dxa"/>
            <w:right w:w="108" w:type="dxa"/>
          </w:tblCellMar>
        </w:tblPrEx>
        <w:trPr>
          <w:trHeight w:val="375" w:hRule="atLeast"/>
        </w:trPr>
        <w:tc>
          <w:tcPr>
            <w:tcW w:w="2007" w:type="dxa"/>
            <w:tcBorders>
              <w:top w:val="nil"/>
              <w:left w:val="single" w:color="auto" w:sz="4" w:space="0"/>
              <w:bottom w:val="single" w:color="auto" w:sz="4" w:space="0"/>
              <w:right w:val="single" w:color="auto" w:sz="4" w:space="0"/>
            </w:tcBorders>
            <w:vAlign w:val="bottom"/>
          </w:tcPr>
          <w:p w14:paraId="62D37081">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其他未列明行业</w:t>
            </w:r>
          </w:p>
        </w:tc>
        <w:tc>
          <w:tcPr>
            <w:tcW w:w="1633" w:type="dxa"/>
            <w:tcBorders>
              <w:top w:val="nil"/>
              <w:left w:val="nil"/>
              <w:bottom w:val="single" w:color="auto" w:sz="4" w:space="0"/>
              <w:right w:val="single" w:color="auto" w:sz="4" w:space="0"/>
            </w:tcBorders>
            <w:vAlign w:val="center"/>
          </w:tcPr>
          <w:p w14:paraId="6490034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03DA31F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64BB26D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14:paraId="7ACE181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4F7E17B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bl>
    <w:p w14:paraId="07B04FA0">
      <w:pPr>
        <w:spacing w:line="360" w:lineRule="auto"/>
        <w:ind w:firstLine="602" w:firstLineChars="250"/>
        <w:rPr>
          <w:rFonts w:ascii="楷体" w:hAnsi="楷体" w:eastAsia="楷体" w:cs="宋体"/>
          <w:b/>
          <w:color w:val="auto"/>
          <w:sz w:val="24"/>
          <w:highlight w:val="none"/>
        </w:rPr>
      </w:pPr>
      <w:r>
        <w:rPr>
          <w:rFonts w:hint="eastAsia" w:ascii="楷体" w:hAnsi="楷体" w:eastAsia="楷体" w:cs="宋体"/>
          <w:b/>
          <w:color w:val="auto"/>
          <w:sz w:val="24"/>
          <w:highlight w:val="none"/>
        </w:rPr>
        <w:t>说明：</w:t>
      </w:r>
    </w:p>
    <w:p w14:paraId="25E73312">
      <w:pPr>
        <w:spacing w:line="360" w:lineRule="auto"/>
        <w:ind w:firstLine="600" w:firstLineChars="250"/>
        <w:rPr>
          <w:rFonts w:ascii="楷体" w:hAnsi="楷体" w:eastAsia="楷体" w:cs="宋体"/>
          <w:color w:val="auto"/>
          <w:sz w:val="24"/>
          <w:highlight w:val="none"/>
        </w:rPr>
      </w:pPr>
      <w:r>
        <w:rPr>
          <w:rFonts w:hint="eastAsia" w:ascii="楷体" w:hAnsi="楷体" w:eastAsia="楷体" w:cs="宋体"/>
          <w:color w:val="auto"/>
          <w:sz w:val="24"/>
          <w:highlight w:val="none"/>
        </w:rPr>
        <w:t>上述标准参照《关于印发中小企业划型标准规定的通知》（工信部联企业</w:t>
      </w:r>
      <w:r>
        <w:rPr>
          <w:rFonts w:ascii="楷体" w:hAnsi="楷体" w:eastAsia="楷体" w:cs="宋体"/>
          <w:color w:val="auto"/>
          <w:sz w:val="24"/>
          <w:highlight w:val="none"/>
        </w:rPr>
        <w:t>[2011]300号），大型、中型和小型企业须同时满足所列指标的下限，否则下划一档；微型企业只</w:t>
      </w:r>
      <w:r>
        <w:rPr>
          <w:rFonts w:hint="eastAsia" w:ascii="楷体" w:hAnsi="楷体" w:eastAsia="楷体" w:cs="宋体"/>
          <w:color w:val="auto"/>
          <w:sz w:val="24"/>
          <w:highlight w:val="none"/>
        </w:rPr>
        <w:t>需</w:t>
      </w:r>
      <w:r>
        <w:rPr>
          <w:rFonts w:ascii="楷体" w:hAnsi="楷体" w:eastAsia="楷体" w:cs="宋体"/>
          <w:color w:val="auto"/>
          <w:sz w:val="24"/>
          <w:highlight w:val="none"/>
        </w:rPr>
        <w:t>满足所列指标中的一项即可。</w:t>
      </w:r>
    </w:p>
    <w:p w14:paraId="319F0A8A">
      <w:pPr>
        <w:widowControl/>
        <w:jc w:val="left"/>
        <w:rPr>
          <w:rFonts w:ascii="宋体" w:hAnsi="宋体" w:cs="宋体"/>
          <w:color w:val="auto"/>
          <w:sz w:val="24"/>
          <w:highlight w:val="none"/>
        </w:rPr>
        <w:sectPr>
          <w:footerReference r:id="rId8" w:type="default"/>
          <w:pgSz w:w="11906" w:h="16838"/>
          <w:pgMar w:top="1134" w:right="1134" w:bottom="1134" w:left="1134" w:header="720" w:footer="720" w:gutter="0"/>
          <w:pgNumType w:start="1"/>
          <w:cols w:space="720" w:num="1"/>
          <w:docGrid w:type="lines" w:linePitch="331" w:charSpace="0"/>
        </w:sectPr>
      </w:pPr>
    </w:p>
    <w:p w14:paraId="3D64112C">
      <w:pPr>
        <w:pStyle w:val="2"/>
        <w:spacing w:before="0" w:after="0" w:line="360" w:lineRule="auto"/>
        <w:ind w:firstLine="883" w:firstLineChars="200"/>
        <w:jc w:val="left"/>
        <w:rPr>
          <w:rFonts w:ascii="宋体" w:hAnsi="宋体" w:cs="宋体"/>
          <w:color w:val="auto"/>
          <w:highlight w:val="none"/>
        </w:rPr>
      </w:pPr>
      <w:bookmarkStart w:id="48" w:name="_Toc25164"/>
      <w:r>
        <w:rPr>
          <w:rFonts w:hint="eastAsia" w:ascii="宋体" w:hAnsi="宋体" w:cs="宋体"/>
          <w:color w:val="auto"/>
          <w:highlight w:val="none"/>
        </w:rPr>
        <w:t>第四章</w:t>
      </w:r>
      <w:bookmarkStart w:id="49" w:name="_Hlk68601507"/>
      <w:r>
        <w:rPr>
          <w:rFonts w:hint="eastAsia" w:ascii="宋体" w:hAnsi="宋体" w:cs="宋体"/>
          <w:color w:val="auto"/>
          <w:highlight w:val="none"/>
        </w:rPr>
        <w:t>、评审程序和评定成交的标准</w:t>
      </w:r>
      <w:bookmarkEnd w:id="44"/>
      <w:bookmarkEnd w:id="48"/>
      <w:bookmarkEnd w:id="49"/>
    </w:p>
    <w:p w14:paraId="15326C92">
      <w:pPr>
        <w:jc w:val="center"/>
        <w:rPr>
          <w:rFonts w:ascii="宋体" w:hAnsi="宋体" w:cs="宋体"/>
          <w:b/>
          <w:color w:val="auto"/>
          <w:sz w:val="32"/>
          <w:szCs w:val="32"/>
          <w:highlight w:val="none"/>
        </w:rPr>
      </w:pPr>
      <w:r>
        <w:rPr>
          <w:rFonts w:hint="eastAsia" w:ascii="宋体" w:hAnsi="宋体" w:cs="宋体"/>
          <w:b/>
          <w:color w:val="auto"/>
          <w:sz w:val="32"/>
          <w:szCs w:val="32"/>
          <w:highlight w:val="none"/>
        </w:rPr>
        <w:t>一、评审程序</w:t>
      </w:r>
    </w:p>
    <w:p w14:paraId="0DA74AD9">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1.确认谈判文件</w:t>
      </w:r>
    </w:p>
    <w:p w14:paraId="65EF2A7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由谈判小组确认谈判文件。</w:t>
      </w:r>
    </w:p>
    <w:p w14:paraId="233DFE70">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2.资格审查</w:t>
      </w:r>
    </w:p>
    <w:p w14:paraId="1C56E04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2.1响应文件开启后，谈判小组依法对供应商的资格证明文件进行审查。</w:t>
      </w:r>
    </w:p>
    <w:p w14:paraId="4BE722F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（1）查询渠道：“信用中国”网站（www.creditchina.gov.cn）、中国政府采购网（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cs="宋体"/>
          <w:color w:val="auto"/>
          <w:szCs w:val="21"/>
          <w:highlight w:val="none"/>
        </w:rPr>
        <w:t>www.ccgp.gov.cn</w:t>
      </w:r>
      <w:r>
        <w:rPr>
          <w:rFonts w:hint="eastAsia" w:ascii="宋体" w:hAnsi="宋体" w:cs="宋体"/>
          <w:color w:val="auto"/>
          <w:szCs w:val="21"/>
          <w:highlight w:val="none"/>
        </w:rPr>
        <w:fldChar w:fldCharType="end"/>
      </w:r>
      <w:r>
        <w:rPr>
          <w:rFonts w:hint="eastAsia" w:ascii="宋体" w:hAnsi="宋体" w:cs="宋体"/>
          <w:color w:val="auto"/>
          <w:szCs w:val="21"/>
          <w:highlight w:val="none"/>
        </w:rPr>
        <w:t xml:space="preserve">） </w:t>
      </w:r>
    </w:p>
    <w:p w14:paraId="7D3449E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5A03C7EE">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（3）查询记录和证据留存方式：将查询网站中的查询记录截图并作为评审资料保存。</w:t>
      </w:r>
    </w:p>
    <w:p w14:paraId="13FF0300">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信用信息使用规则：信用信息使用规则：根据财政部《关于在政府采购活动中查询及使用信用记录有关问题的通知》（财库〔2016〕125号）的规定，对在、中国执行信息公开网（https://zxgk.court.gov.cn/）、“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236B5E0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2.2资格审查标准为本谈判文件中载明对供应商资格要求的条件。本项目资格审查采用合格制，凡符合谈判文件规定的供应商资格要求的供应商均通过资格审查。</w:t>
      </w:r>
    </w:p>
    <w:p w14:paraId="6902B0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2.3供应商有下列情形之一的，资格审查不通过，其响应文件按无效响应处理：</w:t>
      </w:r>
    </w:p>
    <w:p w14:paraId="272F3C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（1）不具备谈判文件中规定的资格要求的；</w:t>
      </w:r>
    </w:p>
    <w:p w14:paraId="5A2ADA4D">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（2）响应文件中的资格证明文件缺少任一项“供应商须知前附表”资格证明文件规定的“必须提供”的文件资料的；</w:t>
      </w:r>
    </w:p>
    <w:p w14:paraId="3905B01D">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（3）响应文件中的资格证明文件出现任一项不符合“供应商须知前附表”资格证明文件规定的“必须提供”的文件资料要求或者无效的；</w:t>
      </w:r>
    </w:p>
    <w:p w14:paraId="2A4210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（4）同一合同项下的不同供应商，单位负责人为同一人或者存在直接控股、管理关系的；为本项目提供过整体设计、规范编制或者项目管理、监理、检测等服务的供应商，再参加该采购项目的其他采购活动的。</w:t>
      </w:r>
    </w:p>
    <w:p w14:paraId="438CEC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2.4通过资格审查的合格供应商不足3家（本章3.7条规定除外）的，不得进入符合性审查环节，应当重新开展采购活动。</w:t>
      </w:r>
    </w:p>
    <w:p w14:paraId="10659FD6">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3.符合性审查</w:t>
      </w:r>
    </w:p>
    <w:p w14:paraId="25B198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3.1由谈判小组对资格审查的合格的供应商的响应文件进行竞争性谈判报价、商务、技术等实质性要求符合性审查，以确定其是否满足谈判文件的实质性要求。</w:t>
      </w:r>
    </w:p>
    <w:p w14:paraId="292222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D9B1FC6">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3.3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有利于采购人的原则由谈判小组进行判定。供应商的澄清、说明或者更正必须由法定代表人或者其委托代理人签字或者加盖供应商公章。</w:t>
      </w:r>
    </w:p>
    <w:p w14:paraId="631EBF7A">
      <w:pPr>
        <w:spacing w:line="360" w:lineRule="auto"/>
        <w:ind w:firstLine="396" w:firstLineChars="200"/>
        <w:rPr>
          <w:rFonts w:ascii="宋体" w:hAnsi="宋体" w:cs="宋体"/>
          <w:color w:val="auto"/>
          <w:szCs w:val="21"/>
          <w:highlight w:val="none"/>
        </w:rPr>
      </w:pPr>
      <w:r>
        <w:rPr>
          <w:rFonts w:hint="eastAsia" w:ascii="宋体" w:hAnsi="宋体" w:cs="宋体"/>
          <w:color w:val="auto"/>
          <w:spacing w:val="-6"/>
          <w:szCs w:val="21"/>
          <w:highlight w:val="none"/>
        </w:rPr>
        <w:t>3.4</w:t>
      </w:r>
      <w:r>
        <w:rPr>
          <w:rFonts w:hint="eastAsia" w:ascii="宋体" w:hAnsi="宋体" w:cs="宋体"/>
          <w:color w:val="auto"/>
          <w:szCs w:val="21"/>
          <w:highlight w:val="none"/>
        </w:rPr>
        <w:t>首次响应文件报价出现前后不一致的，按照下列规定修正：</w:t>
      </w:r>
    </w:p>
    <w:p w14:paraId="2DA48F4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1D19561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7009364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2C7528C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25AA171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0943803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3.5商务技术报价评审</w:t>
      </w:r>
    </w:p>
    <w:p w14:paraId="7D9A17F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在评审时，如发现下列情形之一的，将被视为响应文件无效响应处理：</w:t>
      </w:r>
    </w:p>
    <w:p w14:paraId="1B9741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14BC214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1）响应文件未按谈判文件要求签署、盖章的；</w:t>
      </w:r>
    </w:p>
    <w:p w14:paraId="1055C8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2）委托代理人未能出具有效身份证或者出具的身份证与授权委托书中的信息不符的；</w:t>
      </w:r>
    </w:p>
    <w:p w14:paraId="460483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3）提交的谈判保证金无效的或者未按照谈判文件的规定提交谈判保证金；</w:t>
      </w:r>
    </w:p>
    <w:p w14:paraId="363ADC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4）响应文件中的报价商务技术文件出现任一项不符合“供应商须知前附表”中“必须提供”或者“委托时必须提供”文件资料要求的规定或者提供的报价商务技术文件无效。</w:t>
      </w:r>
    </w:p>
    <w:p w14:paraId="0B17F44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5）商务条款中标“▲”的条款发生负偏离或者允许负偏离的条款数超过“供应商须知前附表”规定项数的；</w:t>
      </w:r>
    </w:p>
    <w:p w14:paraId="310210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6）未对竞争性谈判有效期作出响应或者响应文件承诺的竞争性谈判有效期不满足谈判文件要求；</w:t>
      </w:r>
    </w:p>
    <w:p w14:paraId="374C0C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7）响应文件的实质性内容未使用中文表述、使用计量单位不符合谈判文件要求的；</w:t>
      </w:r>
    </w:p>
    <w:p w14:paraId="7B84832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8）响应文件中的文件资料因填写不齐全或者内容虚假或者出现其他情形而导致被谈判小组认定无效的；</w:t>
      </w:r>
    </w:p>
    <w:p w14:paraId="25A8C17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9）响应文件含有采购人不能接受的附加条件的；</w:t>
      </w:r>
    </w:p>
    <w:p w14:paraId="5613D3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10）属于“供应商须知正文”第7.</w:t>
      </w:r>
      <w:r>
        <w:rPr>
          <w:rFonts w:ascii="宋体" w:hAnsi="宋体" w:cs="宋体"/>
          <w:color w:val="auto"/>
          <w:szCs w:val="21"/>
          <w:highlight w:val="none"/>
        </w:rPr>
        <w:t>4</w:t>
      </w:r>
      <w:r>
        <w:rPr>
          <w:rFonts w:hint="eastAsia" w:ascii="宋体" w:hAnsi="宋体" w:cs="宋体"/>
          <w:color w:val="auto"/>
          <w:szCs w:val="21"/>
          <w:highlight w:val="none"/>
        </w:rPr>
        <w:t>条的情形的；</w:t>
      </w:r>
    </w:p>
    <w:p w14:paraId="51A6598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11）技术要求中标“▲”的条款发生负偏离或允许负偏离的条款数超过“供应商须知前附表”规定项数的；</w:t>
      </w:r>
    </w:p>
    <w:p w14:paraId="75C4689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12）虚假响应，或者出现其他情形而导致被谈判小组认定无效的；</w:t>
      </w:r>
    </w:p>
    <w:p w14:paraId="0AECD0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w:t>
      </w:r>
      <w:bookmarkStart w:id="50" w:name="_Hlk71704147"/>
      <w:r>
        <w:rPr>
          <w:rFonts w:hint="eastAsia" w:ascii="宋体" w:hAnsi="宋体" w:cs="宋体"/>
          <w:color w:val="auto"/>
          <w:szCs w:val="21"/>
          <w:highlight w:val="none"/>
        </w:rPr>
        <w:t>谈判文件未载明允许提供备选（替代）响应方案或明确不允许提供备选（替代）响应方案时，供应商提供了备选（替代）响应方案的；</w:t>
      </w:r>
      <w:bookmarkEnd w:id="50"/>
    </w:p>
    <w:p w14:paraId="3A161C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14）响应文件标注的项目名称或者项目编号与谈判文件标注的项目名称或者项目编号不一致的；</w:t>
      </w:r>
    </w:p>
    <w:p w14:paraId="7D5B04B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cs="宋体"/>
          <w:b/>
          <w:color w:val="auto"/>
          <w:szCs w:val="21"/>
          <w:highlight w:val="none"/>
        </w:rPr>
        <w:t>谈判文件明确不允许分包，响应文件拟分包的；</w:t>
      </w:r>
    </w:p>
    <w:p w14:paraId="27D0B5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16）未响应谈判文件实质性要求；</w:t>
      </w:r>
    </w:p>
    <w:p w14:paraId="0CBF76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17）法律、法规和谈判文件规定的其他无效情形。</w:t>
      </w:r>
    </w:p>
    <w:p w14:paraId="28354C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（2）报价评审</w:t>
      </w:r>
    </w:p>
    <w:p w14:paraId="1FCF6AE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1）响应文件未提供“供应商须知前附表” 报价商务技术文件中规定的“竞争性谈判报价表”的；</w:t>
      </w:r>
    </w:p>
    <w:p w14:paraId="7344D60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2）未采用人民币报价或者未按照谈判文件标明的币种报价的；</w:t>
      </w:r>
    </w:p>
    <w:p w14:paraId="32D336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参与竞争性谈判分标进行报价或者存在漏项报价的；供应商未就所参与竞争性谈判分标的单项内容作唯一报价的；供应商未就所参与竞争性谈判分标的全部内容作完整唯一总价报价的；供应商响应文件中存在有选择、有条件报价的（谈判文件允许有备选方案或者其他约定的除外）；</w:t>
      </w:r>
    </w:p>
    <w:p w14:paraId="0625354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4）竞争性谈判报价（包含首次报价、最后报价）超过所参与竞争性谈判分标规定的采购预算金额或者最高限价的；</w:t>
      </w:r>
    </w:p>
    <w:p w14:paraId="6BEB926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5）竞争性谈判报价（包含首次报价、最后报价）超过分项采购预算金额或者最高限价的，其响应文件将作无效处理；</w:t>
      </w:r>
    </w:p>
    <w:p w14:paraId="475D1B8A">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）修正后的报价，供应商不确认的；或者经供应商确认修正后的最后报价超过所参与竞争性谈判分标规定的采购预算金额或者最高限价（如本项目公布了最高限价）；</w:t>
      </w:r>
    </w:p>
    <w:p w14:paraId="59F662F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）响应文件响应的标的数量及单位与竞争性谈判采购文件要求实质性不一致的。</w:t>
      </w:r>
    </w:p>
    <w:p w14:paraId="5C3F4B6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谈判小组对响应文件进行评审，未实质性响应谈判文件的响应文件按无效响应处理。谈判小组应当将资格和符合性不通过的情况告知有关供应商。谈判小组从符合谈判文件规定的相应资格条件的供应商名单中确定不少于3家的供应商参加谈判。</w:t>
      </w:r>
    </w:p>
    <w:p w14:paraId="033DD9E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竞争性谈判方式采购的货物、服务项目，竞争性谈判过程中提交响应文件或者经评审实质性响应文件要求的供应商只有两家时，采购人、采购代理机构按照《政府采购非招标采购方式管理办法》（财政部74号令）第四条经本级财政部门批准后可以与该两家供应商进行竞争性谈判采购，采购人、采购代理机构应当根据竞争性谈判文件中的采购需求编制谈判文件，成立谈判小组，由谈判小组对谈判文件进行确认。</w:t>
      </w:r>
    </w:p>
    <w:p w14:paraId="76DC96E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3.8通过符合性审查的合格供应商不足3家的，不得进入谈判环节，应当重新开展采购活动。</w:t>
      </w:r>
    </w:p>
    <w:p w14:paraId="07961A07">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4.谈判程序</w:t>
      </w:r>
    </w:p>
    <w:p w14:paraId="24713D8F">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4.1谈判小组按照“供应商须知前附表”第26条确定的</w:t>
      </w:r>
      <w:r>
        <w:rPr>
          <w:rFonts w:hint="eastAsia" w:ascii="宋体" w:hAnsi="宋体" w:cs="宋体"/>
          <w:color w:val="auto"/>
          <w:szCs w:val="21"/>
          <w:highlight w:val="none"/>
        </w:rPr>
        <w:t>顺序，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响应处理。</w:t>
      </w:r>
    </w:p>
    <w:p w14:paraId="2753679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45B936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4.3对谈判文件作出的实质性变动是谈判文件的有效组成部分，谈判小组应当及时以电子谈判记录形式同时通知所有参加谈判的供应商。</w:t>
      </w:r>
    </w:p>
    <w:p w14:paraId="6D7E5CE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4.4供应商必须按照谈判文件的变动情况和谈判小组的要求以电子回函的形式重新提交响应文件，并由其法定代表人或者委托代理人签字或者加盖供应商公章。由委托代理人签字的，</w:t>
      </w:r>
      <w:r>
        <w:rPr>
          <w:rFonts w:hint="eastAsia" w:ascii="宋体" w:hAnsi="宋体" w:cs="宋体"/>
          <w:bCs/>
          <w:color w:val="auto"/>
          <w:szCs w:val="21"/>
          <w:highlight w:val="none"/>
        </w:rPr>
        <w:t>若委托代理人不是响应文件中授权的委托代理人时，必须同时出示有效的授权委托书原件</w:t>
      </w:r>
      <w:r>
        <w:rPr>
          <w:rFonts w:hint="eastAsia" w:ascii="宋体" w:hAnsi="宋体" w:cs="宋体"/>
          <w:color w:val="auto"/>
          <w:szCs w:val="21"/>
          <w:highlight w:val="none"/>
        </w:rPr>
        <w:t>。供应商为自然人的，必须由本人签字并附身份证明。参加谈判的供应商未在规定时间内以电子回函的形式重新提交响应文件的，视同退出谈判，其响应文件按无效响应处理。</w:t>
      </w:r>
    </w:p>
    <w:p w14:paraId="23BFB6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4.5谈判中，谈判的任何一方不得透露与谈判有关的其他供应商的技术资料、价格和其他信息。</w:t>
      </w:r>
    </w:p>
    <w:p w14:paraId="0CCD2F4E">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4.6对谈判过程提交的响应文件进行有效性、完整性和响应程度审查，通过审查的合格供应商不足3家的，采购人或者采购代理机构应当重新开展采购活动。</w:t>
      </w:r>
    </w:p>
    <w:p w14:paraId="369C7264">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5.最后报价</w:t>
      </w:r>
    </w:p>
    <w:p w14:paraId="2ADD42D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谈判文件能够详细列明采购标的的技术、服务要求的，谈判结束后，谈判小组应当要求所有继续参加谈判的供应商在规定时间内以电子文件形式提交最后报价，提交最后报价的供应商不得少于3家，除本章第3.7条外，否则必须重新采购。</w:t>
      </w:r>
    </w:p>
    <w:p w14:paraId="055AFE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以电子文件形式提交最后报价。</w:t>
      </w:r>
    </w:p>
    <w:p w14:paraId="0EE791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5.3最后报价是供应商响应文件的有效组成部分。</w:t>
      </w:r>
    </w:p>
    <w:p w14:paraId="64CD5BB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5.4已经提交响应文件的供应商，在提交最后报价之前，可以根据谈判情况退出谈判。采购人、采购代理机构将退还退出谈判的供应商的保证金。</w:t>
      </w:r>
    </w:p>
    <w:p w14:paraId="3545481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5.5供应商未在规定时间内提交最后报价的，视为退出谈判，其响应文件按无效响应处理。</w:t>
      </w:r>
    </w:p>
    <w:p w14:paraId="3DEB597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5.6谈判小组收齐某一分标最后报价后或达到规定时间后统一开启，谈判小组对最后报价进行有效性、完整性和响应程度的审查。</w:t>
      </w:r>
    </w:p>
    <w:p w14:paraId="08D3420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5.7响应文件首次及最后报价出现前后不一致的，按照本章第3.4条的规定修正。 </w:t>
      </w:r>
    </w:p>
    <w:p w14:paraId="2B98072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5.8经供应商确认修正后的最后报价作为评审及签订合同的依据。</w:t>
      </w:r>
    </w:p>
    <w:p w14:paraId="6DC87283">
      <w:pPr>
        <w:snapToGrid w:val="0"/>
        <w:spacing w:line="360" w:lineRule="auto"/>
        <w:ind w:firstLine="420" w:firstLineChars="200"/>
        <w:rPr>
          <w:rFonts w:ascii="宋体" w:hAnsi="宋体" w:cs="宋体"/>
          <w:color w:val="auto"/>
          <w:szCs w:val="21"/>
          <w:highlight w:val="none"/>
        </w:rPr>
      </w:pPr>
      <w:bookmarkStart w:id="51" w:name="OLE_LINK5"/>
      <w:r>
        <w:rPr>
          <w:rFonts w:hint="eastAsia"/>
          <w:color w:val="auto"/>
          <w:szCs w:val="21"/>
          <w:highlight w:val="none"/>
        </w:rPr>
        <w:t>5</w:t>
      </w:r>
      <w:r>
        <w:rPr>
          <w:color w:val="auto"/>
          <w:szCs w:val="21"/>
          <w:highlight w:val="none"/>
        </w:rPr>
        <w:t>.9</w:t>
      </w:r>
      <w:r>
        <w:rPr>
          <w:rFonts w:hint="eastAsia" w:ascii="宋体" w:hAnsi="宋体" w:cs="宋体"/>
          <w:color w:val="auto"/>
          <w:szCs w:val="21"/>
          <w:highlight w:val="none"/>
        </w:rPr>
        <w:t>政府采购评审中出现下列情形之一的，谈判小组应当启动异常低价投标（响应）审查程序：</w:t>
      </w:r>
    </w:p>
    <w:p w14:paraId="3DDDFD2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）投标（响应）报价低于全部通过符合性审查供应商投标（响应）报价平均值65%的，即投标（响应）报价&lt;全部通过符合性审查供应商投标（响应）报价平均值×65%；</w:t>
      </w:r>
    </w:p>
    <w:p w14:paraId="0846B5A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）投标（响应）报价低于通过符合性审查的次低报价供应商投标（响应）报价65%的，即投标（响应）报价&lt;通过符合性审查的次低报价供应商投标（响应）报价×65%；</w:t>
      </w:r>
    </w:p>
    <w:p w14:paraId="1BB3059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）投标（响应）报价低于采购项目最高限价65%的，即投标（响应）报价&lt;采购项目最高限价×65%；</w:t>
      </w:r>
    </w:p>
    <w:p w14:paraId="3DE9F70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）谈判小组基于专业判断，认为供应商报价过低，有可能影响产品质量或者不能诚信履约的其他情形。</w:t>
      </w:r>
    </w:p>
    <w:p w14:paraId="53B68F7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谈判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DAAFD2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谈判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谈判小组应当将其作为无效投标（响应）处理。</w:t>
      </w:r>
    </w:p>
    <w:p w14:paraId="43BFC0F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采购代理机构应当为谈判小组在评审现场及时获取同类项目中标（成交）价格、类似产品市场价格水平、行业人工费用标准、国家有关部门指导行业协会发布的行业平均成本等相关信息资料提供便利。谈判小组借助互联网等渠道查询相关信息的，应当严格遵守评审工作纪律，不得实施影响评审公正的行为。</w:t>
      </w:r>
    </w:p>
    <w:p w14:paraId="194CC0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异常低价投标（响应）审查的启动原因、审查意见和审查结果应当在评审报告中记录，并随供应商提供的相关书面说明及证明材料，以及谈判小组有关互联网浏览、查询历史一并归档。</w:t>
      </w:r>
    </w:p>
    <w:bookmarkEnd w:id="51"/>
    <w:p w14:paraId="0257B83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10</w:t>
      </w:r>
      <w:r>
        <w:rPr>
          <w:rFonts w:hint="eastAsia" w:ascii="宋体" w:hAnsi="宋体" w:cs="宋体"/>
          <w:color w:val="auto"/>
          <w:szCs w:val="21"/>
          <w:highlight w:val="none"/>
        </w:rPr>
        <w:t>供应商出现最后报价按无效响应处理或者响应文件按无效响应处理时，谈判小组应当告知有关供应商。</w:t>
      </w:r>
    </w:p>
    <w:p w14:paraId="7A41F2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w:t>
      </w:r>
      <w:r>
        <w:rPr>
          <w:rFonts w:ascii="宋体" w:hAnsi="宋体" w:cs="宋体"/>
          <w:color w:val="auto"/>
          <w:szCs w:val="21"/>
          <w:highlight w:val="none"/>
        </w:rPr>
        <w:t>1</w:t>
      </w:r>
      <w:r>
        <w:rPr>
          <w:rFonts w:hint="eastAsia" w:ascii="宋体" w:hAnsi="宋体" w:cs="宋体"/>
          <w:color w:val="auto"/>
          <w:szCs w:val="21"/>
          <w:highlight w:val="none"/>
        </w:rPr>
        <w:t>最后报价结束后，谈判小组不得再与供应商进行任何形式的商谈。</w:t>
      </w:r>
    </w:p>
    <w:p w14:paraId="4F0BF1B2">
      <w:pPr>
        <w:spacing w:line="360" w:lineRule="auto"/>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6.最后报价政府采购政策性扣除</w:t>
      </w:r>
    </w:p>
    <w:p w14:paraId="184420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6.1评标价为供应商的最后报价进行政策性扣除后的价格，评标价只是作为评审时使用。最终成交供应商的成交金额等于最后报价（如有修正，以确认修正后的最后报价为准）。</w:t>
      </w:r>
    </w:p>
    <w:p w14:paraId="08B276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6.2政策性扣除计算方法。</w:t>
      </w:r>
    </w:p>
    <w:p w14:paraId="416F8E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根据《政府采购促进中小企业发展管理办法》</w:t>
      </w:r>
      <w:r>
        <w:rPr>
          <w:rFonts w:hint="eastAsia" w:hAnsi="宋体" w:cs="宋体"/>
          <w:bCs/>
          <w:color w:val="auto"/>
          <w:szCs w:val="21"/>
          <w:highlight w:val="none"/>
        </w:rPr>
        <w:t>及《广西壮族自治区财政厅关于持续优化政府采购营商环境推动高质量发展的通知》</w:t>
      </w:r>
      <w:r>
        <w:rPr>
          <w:rFonts w:hint="eastAsia" w:ascii="宋体" w:hAnsi="宋体" w:cs="宋体"/>
          <w:color w:val="auto"/>
          <w:szCs w:val="21"/>
          <w:highlight w:val="none"/>
        </w:rPr>
        <w:t>的规定，</w:t>
      </w:r>
      <w:r>
        <w:rPr>
          <w:rFonts w:hint="eastAsia" w:hAnsi="宋体" w:cs="宋体"/>
          <w:bCs/>
          <w:color w:val="auto"/>
          <w:szCs w:val="21"/>
          <w:highlight w:val="none"/>
        </w:rPr>
        <w:t>调整对小微企业的价格评审优惠幅度</w:t>
      </w:r>
      <w:r>
        <w:rPr>
          <w:rFonts w:hint="eastAsia" w:ascii="宋体" w:hAnsi="宋体" w:cs="宋体"/>
          <w:color w:val="auto"/>
          <w:szCs w:val="21"/>
          <w:highlight w:val="none"/>
        </w:rPr>
        <w:t>，</w:t>
      </w:r>
      <w:r>
        <w:rPr>
          <w:rFonts w:hint="eastAsia" w:hAnsi="宋体" w:cs="宋体"/>
          <w:b/>
          <w:color w:val="auto"/>
          <w:szCs w:val="21"/>
          <w:highlight w:val="none"/>
          <w:u w:val="single"/>
        </w:rPr>
        <w:t>在货物采购项目中，①供应商竞标全部货物制造企业</w:t>
      </w:r>
      <w:r>
        <w:rPr>
          <w:rFonts w:hint="eastAsia" w:ascii="宋体" w:hAnsi="宋体" w:cs="宋体"/>
          <w:color w:val="auto"/>
          <w:szCs w:val="21"/>
          <w:highlight w:val="none"/>
        </w:rPr>
        <w:t>属于《政府采购促进中小企业发展管理办法》规定的小微企业的，对竞争性谈判报价给予20%的扣除，用扣除后的价格参加评审；②接受大中型</w:t>
      </w:r>
      <w:r>
        <w:rPr>
          <w:rFonts w:hint="eastAsia" w:ascii="宋体" w:hAnsi="宋体" w:cs="宋体"/>
          <w:b/>
          <w:bCs/>
          <w:color w:val="auto"/>
          <w:szCs w:val="21"/>
          <w:highlight w:val="none"/>
          <w:u w:val="single"/>
        </w:rPr>
        <w:t>制造</w:t>
      </w:r>
      <w:r>
        <w:rPr>
          <w:rFonts w:hint="eastAsia" w:ascii="宋体" w:hAnsi="宋体" w:cs="宋体"/>
          <w:color w:val="auto"/>
          <w:szCs w:val="21"/>
          <w:highlight w:val="none"/>
        </w:rPr>
        <w:t>企业与小微</w:t>
      </w:r>
      <w:r>
        <w:rPr>
          <w:rFonts w:hint="eastAsia" w:ascii="宋体" w:hAnsi="宋体" w:cs="宋体"/>
          <w:b/>
          <w:bCs/>
          <w:color w:val="auto"/>
          <w:szCs w:val="21"/>
          <w:highlight w:val="none"/>
          <w:u w:val="single"/>
        </w:rPr>
        <w:t>制造</w:t>
      </w:r>
      <w:r>
        <w:rPr>
          <w:rFonts w:hint="eastAsia" w:ascii="宋体" w:hAnsi="宋体" w:cs="宋体"/>
          <w:color w:val="auto"/>
          <w:szCs w:val="21"/>
          <w:highlight w:val="none"/>
        </w:rPr>
        <w:t>企业组成联合体或者大中型</w:t>
      </w:r>
      <w:r>
        <w:rPr>
          <w:rFonts w:hint="eastAsia" w:ascii="宋体" w:hAnsi="宋体" w:cs="宋体"/>
          <w:b/>
          <w:bCs/>
          <w:color w:val="auto"/>
          <w:szCs w:val="21"/>
          <w:highlight w:val="none"/>
          <w:u w:val="single"/>
        </w:rPr>
        <w:t>制造</w:t>
      </w:r>
      <w:r>
        <w:rPr>
          <w:rFonts w:hint="eastAsia" w:ascii="宋体" w:hAnsi="宋体" w:cs="宋体"/>
          <w:color w:val="auto"/>
          <w:szCs w:val="21"/>
          <w:highlight w:val="none"/>
        </w:rPr>
        <w:t>企业向一家或者多家小微</w:t>
      </w:r>
      <w:r>
        <w:rPr>
          <w:rFonts w:hint="eastAsia" w:ascii="宋体" w:hAnsi="宋体" w:cs="宋体"/>
          <w:b/>
          <w:bCs/>
          <w:color w:val="auto"/>
          <w:szCs w:val="21"/>
          <w:highlight w:val="none"/>
          <w:u w:val="single"/>
        </w:rPr>
        <w:t>制造</w:t>
      </w:r>
      <w:r>
        <w:rPr>
          <w:rFonts w:hint="eastAsia" w:ascii="宋体" w:hAnsi="宋体" w:cs="宋体"/>
          <w:color w:val="auto"/>
          <w:szCs w:val="21"/>
          <w:highlight w:val="none"/>
        </w:rPr>
        <w:t>企业分包，且联合协议或者分包意向协议约定小微</w:t>
      </w:r>
      <w:r>
        <w:rPr>
          <w:rFonts w:hint="eastAsia" w:ascii="宋体" w:hAnsi="宋体" w:cs="宋体"/>
          <w:b/>
          <w:bCs/>
          <w:color w:val="auto"/>
          <w:szCs w:val="21"/>
          <w:highlight w:val="none"/>
          <w:u w:val="single"/>
        </w:rPr>
        <w:t>制造</w:t>
      </w:r>
      <w:r>
        <w:rPr>
          <w:rFonts w:hint="eastAsia" w:ascii="宋体" w:hAnsi="宋体" w:cs="宋体"/>
          <w:color w:val="auto"/>
          <w:szCs w:val="21"/>
          <w:highlight w:val="none"/>
        </w:rPr>
        <w:t>企业的合同份额占到合同总金额30%以上的，对</w:t>
      </w:r>
      <w:r>
        <w:rPr>
          <w:rFonts w:hint="eastAsia" w:ascii="宋体" w:hAnsi="宋体" w:cs="宋体"/>
          <w:b/>
          <w:bCs/>
          <w:color w:val="auto"/>
          <w:szCs w:val="21"/>
          <w:highlight w:val="none"/>
          <w:u w:val="single"/>
        </w:rPr>
        <w:t>符合②条件</w:t>
      </w:r>
      <w:r>
        <w:rPr>
          <w:rFonts w:hint="eastAsia" w:ascii="宋体" w:hAnsi="宋体" w:cs="宋体"/>
          <w:color w:val="auto"/>
          <w:szCs w:val="21"/>
          <w:highlight w:val="none"/>
        </w:rPr>
        <w:t>的竞争性谈判报价给予6%的扣除，用扣除后的价格参加评审。符合上述规定对报价给予扣除的，扣除后的价格为评标价，即评标价=最后报价×（1 - 扣除比例）。</w:t>
      </w:r>
    </w:p>
    <w:p w14:paraId="6FB9C99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4578906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1EEB53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6.5本国产品政策性扣除计算方法。</w:t>
      </w:r>
    </w:p>
    <w:p w14:paraId="7DA9FF9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7DBF98E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bookmarkStart w:id="52" w:name="OLE_LINK3"/>
      <w:bookmarkStart w:id="53" w:name="OLE_LINK4"/>
      <w:r>
        <w:rPr>
          <w:rFonts w:hint="eastAsia" w:ascii="宋体" w:hAnsi="宋体" w:cs="宋体"/>
          <w:color w:val="auto"/>
          <w:szCs w:val="21"/>
          <w:highlight w:val="none"/>
        </w:rPr>
        <w:t>未达到80%，不享受价格评审优惠。</w:t>
      </w:r>
      <w:bookmarkEnd w:id="52"/>
      <w:bookmarkEnd w:id="53"/>
    </w:p>
    <w:p w14:paraId="3A58B2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如果所有参与竞争的供应商均可享受本国产品价格评审优惠，则统一不进行价格扣除。</w:t>
      </w:r>
    </w:p>
    <w:p w14:paraId="77D02B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供应商在其响应文件中提供《关于符合本国产品标准的声明函》或财政部会同有关部门规定的有关证明文件，出具符合要求的《声明函》或有关证明文件的，该产品视为本国产品。</w:t>
      </w:r>
    </w:p>
    <w:p w14:paraId="2C950320">
      <w:pPr>
        <w:snapToGrid w:val="0"/>
        <w:spacing w:line="360" w:lineRule="auto"/>
        <w:ind w:firstLine="443" w:firstLineChars="211"/>
        <w:rPr>
          <w:rFonts w:ascii="宋体" w:hAnsi="宋体" w:cs="宋体"/>
          <w:color w:val="auto"/>
          <w:szCs w:val="21"/>
          <w:highlight w:val="none"/>
        </w:rPr>
      </w:pPr>
      <w:r>
        <w:rPr>
          <w:rFonts w:hint="eastAsia" w:ascii="宋体" w:hAnsi="宋体" w:cs="宋体"/>
          <w:color w:val="auto"/>
          <w:szCs w:val="21"/>
          <w:highlight w:val="none"/>
        </w:rPr>
        <w:t>6.6中小企业折扣与本国产品折扣进行叠加计算，用扣除后的价格参加评审。即评标报价=竞标报价×（1-20%-20%）。</w:t>
      </w:r>
    </w:p>
    <w:p w14:paraId="7007F7E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6.7除上述情况外，评审价＝最后报价。</w:t>
      </w:r>
    </w:p>
    <w:p w14:paraId="78569609">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二、评定成交的标准</w:t>
      </w:r>
    </w:p>
    <w:p w14:paraId="2CC6C45E">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7.成交候选人推荐原则</w:t>
      </w:r>
    </w:p>
    <w:p w14:paraId="60680F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26条规定的顺序推荐）,并编写评审报告。</w:t>
      </w:r>
    </w:p>
    <w:p w14:paraId="132B95C3">
      <w:pPr>
        <w:jc w:val="center"/>
        <w:rPr>
          <w:color w:val="auto"/>
          <w:highlight w:val="none"/>
        </w:rPr>
      </w:pPr>
      <w:r>
        <w:rPr>
          <w:rFonts w:hint="eastAsia"/>
          <w:color w:val="auto"/>
          <w:highlight w:val="none"/>
        </w:rPr>
        <w:br w:type="page"/>
      </w:r>
    </w:p>
    <w:p w14:paraId="359CE639">
      <w:pPr>
        <w:rPr>
          <w:rFonts w:ascii="宋体" w:hAnsi="宋体" w:cs="宋体"/>
          <w:color w:val="auto"/>
          <w:highlight w:val="none"/>
        </w:rPr>
      </w:pPr>
    </w:p>
    <w:p w14:paraId="5F38DBD7">
      <w:pPr>
        <w:pStyle w:val="2"/>
        <w:spacing w:before="0" w:after="0"/>
        <w:jc w:val="center"/>
        <w:rPr>
          <w:rFonts w:ascii="宋体" w:hAnsi="宋体" w:cs="宋体"/>
          <w:color w:val="auto"/>
          <w:highlight w:val="none"/>
        </w:rPr>
      </w:pPr>
      <w:bookmarkStart w:id="54" w:name="_Toc74322012"/>
      <w:bookmarkStart w:id="55" w:name="_Toc29834"/>
      <w:r>
        <w:rPr>
          <w:rFonts w:hint="eastAsia" w:ascii="宋体" w:hAnsi="宋体" w:cs="宋体"/>
          <w:color w:val="auto"/>
          <w:highlight w:val="none"/>
        </w:rPr>
        <w:t>第五章、响应文件格式</w:t>
      </w:r>
      <w:bookmarkEnd w:id="54"/>
      <w:bookmarkEnd w:id="55"/>
    </w:p>
    <w:p w14:paraId="2356BDB8">
      <w:pPr>
        <w:spacing w:line="240" w:lineRule="atLeast"/>
        <w:rPr>
          <w:rFonts w:ascii="宋体" w:hAnsi="宋体" w:cs="宋体"/>
          <w:b/>
          <w:color w:val="auto"/>
          <w:sz w:val="32"/>
          <w:szCs w:val="32"/>
          <w:highlight w:val="none"/>
        </w:rPr>
      </w:pPr>
    </w:p>
    <w:p w14:paraId="60087986">
      <w:pPr>
        <w:spacing w:line="240" w:lineRule="atLeast"/>
        <w:rPr>
          <w:rFonts w:ascii="宋体" w:hAnsi="宋体" w:cs="宋体"/>
          <w:b/>
          <w:color w:val="auto"/>
          <w:sz w:val="32"/>
          <w:szCs w:val="32"/>
          <w:highlight w:val="none"/>
        </w:rPr>
      </w:pPr>
    </w:p>
    <w:p w14:paraId="402AEB29">
      <w:pPr>
        <w:spacing w:line="360" w:lineRule="auto"/>
        <w:rPr>
          <w:rFonts w:ascii="宋体" w:hAnsi="宋体" w:cs="宋体"/>
          <w:b/>
          <w:color w:val="auto"/>
          <w:sz w:val="32"/>
          <w:szCs w:val="32"/>
          <w:highlight w:val="none"/>
        </w:rPr>
      </w:pPr>
      <w:bookmarkStart w:id="56" w:name="_Toc71366060"/>
      <w:bookmarkStart w:id="57" w:name="_Toc71365382"/>
      <w:r>
        <w:rPr>
          <w:rFonts w:hint="eastAsia" w:ascii="宋体" w:hAnsi="宋体" w:cs="宋体"/>
          <w:b/>
          <w:color w:val="auto"/>
          <w:sz w:val="32"/>
          <w:szCs w:val="32"/>
          <w:highlight w:val="none"/>
        </w:rPr>
        <w:t>一、资格证明文件格式</w:t>
      </w:r>
      <w:bookmarkEnd w:id="56"/>
      <w:bookmarkEnd w:id="57"/>
    </w:p>
    <w:p w14:paraId="498C69CC">
      <w:pPr>
        <w:snapToGrid w:val="0"/>
        <w:spacing w:line="360" w:lineRule="auto"/>
        <w:jc w:val="left"/>
        <w:rPr>
          <w:rFonts w:ascii="宋体" w:hAnsi="宋体" w:cs="宋体"/>
          <w:b/>
          <w:color w:val="auto"/>
          <w:sz w:val="24"/>
          <w:highlight w:val="none"/>
        </w:rPr>
      </w:pPr>
      <w:r>
        <w:rPr>
          <w:rFonts w:hint="eastAsia" w:ascii="宋体" w:hAnsi="宋体" w:cs="宋体"/>
          <w:b/>
          <w:color w:val="auto"/>
          <w:sz w:val="32"/>
          <w:szCs w:val="32"/>
          <w:highlight w:val="none"/>
        </w:rPr>
        <w:t>资格证明文件封面格式：</w:t>
      </w:r>
    </w:p>
    <w:p w14:paraId="2AC39226">
      <w:pPr>
        <w:snapToGrid w:val="0"/>
        <w:spacing w:line="360" w:lineRule="auto"/>
        <w:rPr>
          <w:rFonts w:ascii="宋体" w:hAnsi="宋体" w:cs="宋体"/>
          <w:bCs/>
          <w:color w:val="auto"/>
          <w:sz w:val="32"/>
          <w:szCs w:val="20"/>
          <w:highlight w:val="none"/>
        </w:rPr>
      </w:pPr>
      <w:r>
        <w:rPr>
          <w:rFonts w:hint="eastAsia" w:ascii="宋体" w:hAnsi="宋体" w:cs="宋体"/>
          <w:color w:val="auto"/>
          <w:sz w:val="24"/>
          <w:highlight w:val="none"/>
        </w:rPr>
        <w:t xml:space="preserve">                                                  </w:t>
      </w:r>
    </w:p>
    <w:p w14:paraId="2BCA89E2">
      <w:pPr>
        <w:snapToGrid w:val="0"/>
        <w:spacing w:line="360" w:lineRule="auto"/>
        <w:jc w:val="center"/>
        <w:rPr>
          <w:rFonts w:ascii="宋体" w:hAnsi="宋体" w:cs="宋体"/>
          <w:bCs/>
          <w:color w:val="auto"/>
          <w:sz w:val="44"/>
          <w:szCs w:val="44"/>
          <w:highlight w:val="none"/>
        </w:rPr>
      </w:pPr>
    </w:p>
    <w:p w14:paraId="064AEB98">
      <w:pPr>
        <w:snapToGrid w:val="0"/>
        <w:spacing w:line="360" w:lineRule="auto"/>
        <w:rPr>
          <w:rFonts w:ascii="宋体" w:hAnsi="宋体" w:cs="宋体"/>
          <w:color w:val="auto"/>
          <w:sz w:val="24"/>
          <w:szCs w:val="20"/>
          <w:highlight w:val="none"/>
        </w:rPr>
      </w:pPr>
    </w:p>
    <w:p w14:paraId="5169C879">
      <w:pPr>
        <w:snapToGrid w:val="0"/>
        <w:spacing w:line="360" w:lineRule="auto"/>
        <w:jc w:val="center"/>
        <w:rPr>
          <w:rFonts w:ascii="宋体" w:hAnsi="宋体" w:cs="宋体"/>
          <w:bCs/>
          <w:color w:val="auto"/>
          <w:sz w:val="24"/>
          <w:szCs w:val="20"/>
          <w:highlight w:val="none"/>
        </w:rPr>
      </w:pPr>
      <w:r>
        <w:rPr>
          <w:rFonts w:hint="eastAsia" w:ascii="微软雅黑" w:hAnsi="微软雅黑" w:eastAsia="微软雅黑" w:cs="微软雅黑"/>
          <w:bCs/>
          <w:color w:val="auto"/>
          <w:sz w:val="44"/>
          <w:szCs w:val="44"/>
          <w:highlight w:val="none"/>
        </w:rPr>
        <w:t>资格证明文件</w:t>
      </w:r>
    </w:p>
    <w:p w14:paraId="623CA273">
      <w:pPr>
        <w:snapToGrid w:val="0"/>
        <w:spacing w:line="360" w:lineRule="auto"/>
        <w:rPr>
          <w:rFonts w:ascii="宋体" w:hAnsi="宋体" w:cs="宋体"/>
          <w:bCs/>
          <w:color w:val="auto"/>
          <w:sz w:val="24"/>
          <w:szCs w:val="20"/>
          <w:highlight w:val="none"/>
        </w:rPr>
      </w:pPr>
    </w:p>
    <w:p w14:paraId="4B30F41D">
      <w:pPr>
        <w:snapToGrid w:val="0"/>
        <w:spacing w:line="480" w:lineRule="auto"/>
        <w:ind w:firstLine="2396" w:firstLineChars="856"/>
        <w:rPr>
          <w:rFonts w:ascii="宋体" w:hAnsi="宋体" w:cs="宋体"/>
          <w:bCs/>
          <w:color w:val="auto"/>
          <w:sz w:val="28"/>
          <w:szCs w:val="28"/>
          <w:highlight w:val="none"/>
        </w:rPr>
      </w:pPr>
      <w:r>
        <w:rPr>
          <w:rFonts w:hint="eastAsia" w:ascii="宋体" w:hAnsi="宋体" w:cs="宋体"/>
          <w:bCs/>
          <w:color w:val="auto"/>
          <w:sz w:val="28"/>
          <w:szCs w:val="28"/>
          <w:highlight w:val="none"/>
        </w:rPr>
        <w:t>项目名称：</w:t>
      </w:r>
    </w:p>
    <w:p w14:paraId="3011CA50">
      <w:pPr>
        <w:snapToGrid w:val="0"/>
        <w:spacing w:line="480" w:lineRule="auto"/>
        <w:ind w:firstLine="2396" w:firstLineChars="856"/>
        <w:rPr>
          <w:rFonts w:ascii="宋体" w:hAnsi="宋体" w:cs="宋体"/>
          <w:bCs/>
          <w:color w:val="auto"/>
          <w:sz w:val="28"/>
          <w:szCs w:val="28"/>
          <w:highlight w:val="none"/>
        </w:rPr>
      </w:pPr>
      <w:r>
        <w:rPr>
          <w:rFonts w:hint="eastAsia" w:ascii="宋体" w:hAnsi="宋体" w:cs="宋体"/>
          <w:bCs/>
          <w:color w:val="auto"/>
          <w:sz w:val="28"/>
          <w:szCs w:val="28"/>
          <w:highlight w:val="none"/>
        </w:rPr>
        <w:t>项目编号：</w:t>
      </w:r>
    </w:p>
    <w:p w14:paraId="358B275F">
      <w:pPr>
        <w:snapToGrid w:val="0"/>
        <w:spacing w:line="480" w:lineRule="auto"/>
        <w:ind w:firstLine="2396" w:firstLineChars="856"/>
        <w:rPr>
          <w:rFonts w:ascii="宋体" w:hAnsi="宋体" w:cs="宋体"/>
          <w:bCs/>
          <w:color w:val="auto"/>
          <w:sz w:val="28"/>
          <w:szCs w:val="28"/>
          <w:highlight w:val="none"/>
        </w:rPr>
      </w:pPr>
      <w:r>
        <w:rPr>
          <w:rFonts w:hint="eastAsia" w:ascii="宋体" w:hAnsi="宋体" w:cs="宋体"/>
          <w:bCs/>
          <w:color w:val="auto"/>
          <w:sz w:val="28"/>
          <w:szCs w:val="28"/>
          <w:highlight w:val="none"/>
        </w:rPr>
        <w:t>所竞分标（如有）：</w:t>
      </w:r>
    </w:p>
    <w:p w14:paraId="367225DA">
      <w:pPr>
        <w:pStyle w:val="6"/>
        <w:snapToGrid w:val="0"/>
        <w:spacing w:line="480" w:lineRule="auto"/>
        <w:ind w:firstLine="2396" w:firstLineChars="856"/>
        <w:rPr>
          <w:rFonts w:ascii="宋体" w:hAnsi="宋体" w:cs="宋体"/>
          <w:bCs/>
          <w:color w:val="auto"/>
          <w:sz w:val="28"/>
          <w:szCs w:val="28"/>
          <w:highlight w:val="none"/>
        </w:rPr>
      </w:pPr>
      <w:r>
        <w:rPr>
          <w:rFonts w:hint="eastAsia" w:ascii="宋体" w:hAnsi="宋体" w:cs="宋体"/>
          <w:bCs/>
          <w:color w:val="auto"/>
          <w:sz w:val="28"/>
          <w:szCs w:val="28"/>
          <w:highlight w:val="none"/>
        </w:rPr>
        <w:t>供应商名称：</w:t>
      </w:r>
    </w:p>
    <w:p w14:paraId="5422FAD4">
      <w:pPr>
        <w:pStyle w:val="6"/>
        <w:snapToGrid w:val="0"/>
        <w:spacing w:line="480" w:lineRule="auto"/>
        <w:ind w:firstLine="0"/>
        <w:rPr>
          <w:rFonts w:ascii="宋体" w:hAnsi="宋体" w:cs="宋体"/>
          <w:bCs/>
          <w:color w:val="auto"/>
          <w:sz w:val="28"/>
          <w:szCs w:val="28"/>
          <w:highlight w:val="none"/>
        </w:rPr>
      </w:pPr>
    </w:p>
    <w:p w14:paraId="5CFD80AA">
      <w:pPr>
        <w:pStyle w:val="6"/>
        <w:snapToGrid w:val="0"/>
        <w:spacing w:line="480" w:lineRule="auto"/>
        <w:ind w:firstLine="1120" w:firstLineChars="400"/>
        <w:rPr>
          <w:rFonts w:ascii="宋体" w:hAnsi="宋体" w:cs="宋体"/>
          <w:bCs/>
          <w:color w:val="auto"/>
          <w:sz w:val="28"/>
          <w:szCs w:val="28"/>
          <w:highlight w:val="none"/>
        </w:rPr>
      </w:pPr>
    </w:p>
    <w:p w14:paraId="043DD7F2">
      <w:pPr>
        <w:snapToGrid w:val="0"/>
        <w:spacing w:line="48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年    月    日</w:t>
      </w:r>
    </w:p>
    <w:p w14:paraId="53921EC1">
      <w:pPr>
        <w:snapToGrid w:val="0"/>
        <w:spacing w:line="360" w:lineRule="auto"/>
        <w:jc w:val="left"/>
        <w:rPr>
          <w:rFonts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24"/>
          <w:highlight w:val="none"/>
        </w:rPr>
        <w:t>资格证明文件目录</w:t>
      </w:r>
    </w:p>
    <w:p w14:paraId="27B2A2AA">
      <w:pPr>
        <w:snapToGrid w:val="0"/>
        <w:spacing w:line="360" w:lineRule="auto"/>
        <w:ind w:firstLine="645"/>
        <w:rPr>
          <w:rFonts w:ascii="宋体" w:hAnsi="宋体" w:cs="宋体"/>
          <w:color w:val="auto"/>
          <w:sz w:val="24"/>
          <w:highlight w:val="none"/>
        </w:rPr>
      </w:pPr>
      <w:r>
        <w:rPr>
          <w:rFonts w:hint="eastAsia" w:ascii="宋体" w:hAnsi="宋体" w:cs="宋体"/>
          <w:color w:val="auto"/>
          <w:sz w:val="24"/>
          <w:highlight w:val="none"/>
        </w:rPr>
        <w:t>根据谈判文件规定及供应商提供的材料自行编写目录（部分格式后附）。</w:t>
      </w:r>
    </w:p>
    <w:p w14:paraId="0B17115A">
      <w:pPr>
        <w:snapToGrid w:val="0"/>
        <w:spacing w:line="360" w:lineRule="auto"/>
        <w:rPr>
          <w:rFonts w:ascii="宋体" w:hAnsi="宋体" w:cs="宋体"/>
          <w:color w:val="auto"/>
          <w:sz w:val="24"/>
          <w:szCs w:val="20"/>
          <w:highlight w:val="none"/>
        </w:rPr>
      </w:pPr>
      <w:r>
        <w:rPr>
          <w:rFonts w:hint="eastAsia" w:ascii="宋体" w:hAnsi="宋体" w:cs="宋体"/>
          <w:color w:val="auto"/>
          <w:sz w:val="24"/>
          <w:szCs w:val="20"/>
          <w:highlight w:val="none"/>
        </w:rPr>
        <w:t xml:space="preserve"> </w:t>
      </w:r>
    </w:p>
    <w:p w14:paraId="0F016903">
      <w:pPr>
        <w:spacing w:line="360" w:lineRule="auto"/>
        <w:rPr>
          <w:rFonts w:ascii="宋体" w:hAnsi="宋体" w:cs="宋体"/>
          <w:color w:val="auto"/>
          <w:szCs w:val="21"/>
          <w:highlight w:val="none"/>
        </w:rPr>
      </w:pPr>
    </w:p>
    <w:p w14:paraId="44265E39">
      <w:pPr>
        <w:spacing w:line="360" w:lineRule="auto"/>
        <w:rPr>
          <w:rFonts w:ascii="宋体" w:hAnsi="宋体" w:cs="宋体"/>
          <w:color w:val="auto"/>
          <w:szCs w:val="21"/>
          <w:highlight w:val="none"/>
        </w:rPr>
      </w:pPr>
    </w:p>
    <w:p w14:paraId="0EF98B26">
      <w:pPr>
        <w:spacing w:line="360" w:lineRule="auto"/>
        <w:rPr>
          <w:rFonts w:ascii="宋体" w:hAnsi="宋体" w:cs="宋体"/>
          <w:color w:val="auto"/>
          <w:szCs w:val="21"/>
          <w:highlight w:val="none"/>
        </w:rPr>
      </w:pPr>
    </w:p>
    <w:p w14:paraId="165BED80">
      <w:pPr>
        <w:spacing w:line="360" w:lineRule="auto"/>
        <w:rPr>
          <w:rFonts w:ascii="宋体" w:hAnsi="宋体" w:cs="宋体"/>
          <w:color w:val="auto"/>
          <w:szCs w:val="21"/>
          <w:highlight w:val="none"/>
        </w:rPr>
      </w:pPr>
    </w:p>
    <w:p w14:paraId="5FB2FFEB">
      <w:pPr>
        <w:spacing w:line="360" w:lineRule="auto"/>
        <w:rPr>
          <w:rFonts w:ascii="宋体" w:hAnsi="宋体" w:cs="宋体"/>
          <w:color w:val="auto"/>
          <w:szCs w:val="21"/>
          <w:highlight w:val="none"/>
        </w:rPr>
      </w:pPr>
    </w:p>
    <w:p w14:paraId="7110D1F4">
      <w:pPr>
        <w:spacing w:line="360" w:lineRule="auto"/>
        <w:rPr>
          <w:rFonts w:ascii="宋体" w:hAnsi="宋体" w:cs="宋体"/>
          <w:color w:val="auto"/>
          <w:szCs w:val="21"/>
          <w:highlight w:val="none"/>
        </w:rPr>
      </w:pPr>
    </w:p>
    <w:p w14:paraId="2D5379F3">
      <w:pPr>
        <w:spacing w:line="360" w:lineRule="auto"/>
        <w:rPr>
          <w:rFonts w:ascii="宋体" w:hAnsi="宋体" w:cs="宋体"/>
          <w:color w:val="auto"/>
          <w:szCs w:val="21"/>
          <w:highlight w:val="none"/>
        </w:rPr>
      </w:pPr>
    </w:p>
    <w:p w14:paraId="767A1FF0">
      <w:pPr>
        <w:spacing w:line="360" w:lineRule="auto"/>
        <w:rPr>
          <w:rFonts w:ascii="宋体" w:hAnsi="宋体" w:cs="宋体"/>
          <w:color w:val="auto"/>
          <w:szCs w:val="21"/>
          <w:highlight w:val="none"/>
        </w:rPr>
      </w:pPr>
    </w:p>
    <w:p w14:paraId="46283106">
      <w:pPr>
        <w:spacing w:line="360" w:lineRule="auto"/>
        <w:rPr>
          <w:rFonts w:ascii="宋体" w:hAnsi="宋体" w:cs="宋体"/>
          <w:color w:val="auto"/>
          <w:szCs w:val="21"/>
          <w:highlight w:val="none"/>
        </w:rPr>
      </w:pPr>
    </w:p>
    <w:p w14:paraId="0EED9052">
      <w:pPr>
        <w:spacing w:line="360" w:lineRule="auto"/>
        <w:rPr>
          <w:rFonts w:ascii="宋体" w:hAnsi="宋体" w:cs="宋体"/>
          <w:color w:val="auto"/>
          <w:szCs w:val="21"/>
          <w:highlight w:val="none"/>
        </w:rPr>
      </w:pPr>
    </w:p>
    <w:p w14:paraId="4AC644CC">
      <w:pPr>
        <w:spacing w:line="360" w:lineRule="auto"/>
        <w:rPr>
          <w:rFonts w:ascii="宋体" w:hAnsi="宋体" w:cs="宋体"/>
          <w:color w:val="auto"/>
          <w:szCs w:val="21"/>
          <w:highlight w:val="none"/>
        </w:rPr>
      </w:pPr>
    </w:p>
    <w:p w14:paraId="334A29FD">
      <w:pPr>
        <w:spacing w:line="360" w:lineRule="auto"/>
        <w:rPr>
          <w:rFonts w:ascii="宋体" w:hAnsi="宋体" w:cs="宋体"/>
          <w:color w:val="auto"/>
          <w:szCs w:val="21"/>
          <w:highlight w:val="none"/>
        </w:rPr>
      </w:pPr>
    </w:p>
    <w:p w14:paraId="3F39AD9F">
      <w:pPr>
        <w:spacing w:line="360" w:lineRule="auto"/>
        <w:rPr>
          <w:rFonts w:ascii="宋体" w:hAnsi="宋体" w:cs="宋体"/>
          <w:color w:val="auto"/>
          <w:szCs w:val="21"/>
          <w:highlight w:val="none"/>
        </w:rPr>
      </w:pPr>
    </w:p>
    <w:p w14:paraId="22C67705">
      <w:pPr>
        <w:spacing w:line="360" w:lineRule="auto"/>
        <w:rPr>
          <w:rFonts w:ascii="宋体" w:hAnsi="宋体" w:cs="宋体"/>
          <w:color w:val="auto"/>
          <w:szCs w:val="21"/>
          <w:highlight w:val="none"/>
        </w:rPr>
      </w:pPr>
    </w:p>
    <w:p w14:paraId="32D0AE85">
      <w:pPr>
        <w:spacing w:line="360" w:lineRule="auto"/>
        <w:rPr>
          <w:rFonts w:ascii="宋体" w:hAnsi="宋体" w:cs="宋体"/>
          <w:color w:val="auto"/>
          <w:szCs w:val="21"/>
          <w:highlight w:val="none"/>
        </w:rPr>
      </w:pPr>
    </w:p>
    <w:p w14:paraId="0AC3E489">
      <w:pPr>
        <w:spacing w:line="360" w:lineRule="auto"/>
        <w:jc w:val="left"/>
        <w:rPr>
          <w:rFonts w:ascii="宋体" w:hAnsi="宋体" w:cs="宋体"/>
          <w:color w:val="auto"/>
          <w:szCs w:val="21"/>
          <w:highlight w:val="none"/>
        </w:rPr>
      </w:pPr>
    </w:p>
    <w:p w14:paraId="0980BF28">
      <w:pPr>
        <w:snapToGrid w:val="0"/>
        <w:spacing w:line="500" w:lineRule="exact"/>
        <w:rPr>
          <w:rFonts w:ascii="宋体" w:hAnsi="宋体" w:cs="宋体"/>
          <w:color w:val="auto"/>
          <w:sz w:val="24"/>
          <w:highlight w:val="none"/>
        </w:rPr>
      </w:pPr>
      <w:r>
        <w:rPr>
          <w:rFonts w:hint="eastAsia" w:ascii="宋体" w:hAnsi="宋体" w:cs="宋体"/>
          <w:b/>
          <w:color w:val="auto"/>
          <w:sz w:val="32"/>
          <w:szCs w:val="32"/>
          <w:highlight w:val="none"/>
        </w:rPr>
        <w:br w:type="page"/>
      </w:r>
      <w:r>
        <w:rPr>
          <w:rFonts w:hint="eastAsia" w:ascii="宋体" w:hAnsi="宋体" w:cs="宋体"/>
          <w:b/>
          <w:bCs/>
          <w:color w:val="auto"/>
          <w:sz w:val="24"/>
          <w:highlight w:val="none"/>
        </w:rPr>
        <w:t>1.供应商为法人或者其他组织的，证明文件为其营业执照复印件（如营业执照或者事业单位法人证书或者执业许可证等）；供应商为自然人的，证明文件为其身份证；</w:t>
      </w:r>
    </w:p>
    <w:p w14:paraId="35489FEA">
      <w:pPr>
        <w:spacing w:line="500" w:lineRule="exact"/>
        <w:contextualSpacing/>
        <w:rPr>
          <w:rFonts w:ascii="宋体" w:hAnsi="宋体" w:cs="宋体"/>
          <w:color w:val="auto"/>
          <w:szCs w:val="21"/>
          <w:highlight w:val="none"/>
        </w:rPr>
      </w:pPr>
    </w:p>
    <w:p w14:paraId="02AF4000">
      <w:pPr>
        <w:spacing w:line="500" w:lineRule="exact"/>
        <w:contextualSpacing/>
        <w:rPr>
          <w:rFonts w:ascii="宋体" w:hAnsi="宋体" w:cs="宋体"/>
          <w:color w:val="auto"/>
          <w:szCs w:val="21"/>
          <w:highlight w:val="none"/>
        </w:rPr>
      </w:pPr>
    </w:p>
    <w:p w14:paraId="72A5C255">
      <w:pPr>
        <w:pStyle w:val="44"/>
        <w:rPr>
          <w:color w:val="auto"/>
          <w:highlight w:val="none"/>
        </w:rPr>
      </w:pPr>
    </w:p>
    <w:p w14:paraId="6025B2EF">
      <w:pPr>
        <w:pStyle w:val="44"/>
        <w:rPr>
          <w:color w:val="auto"/>
          <w:highlight w:val="none"/>
        </w:rPr>
      </w:pPr>
    </w:p>
    <w:p w14:paraId="10FBDFCB">
      <w:pPr>
        <w:snapToGrid w:val="0"/>
        <w:spacing w:line="500" w:lineRule="exact"/>
        <w:rPr>
          <w:rFonts w:ascii="宋体" w:hAnsi="宋体" w:cs="宋体"/>
          <w:b/>
          <w:bCs/>
          <w:color w:val="auto"/>
          <w:sz w:val="24"/>
          <w:highlight w:val="none"/>
        </w:rPr>
      </w:pPr>
      <w:r>
        <w:rPr>
          <w:rFonts w:hint="eastAsia" w:ascii="宋体" w:hAnsi="宋体" w:cs="宋体"/>
          <w:b/>
          <w:bCs/>
          <w:color w:val="auto"/>
          <w:sz w:val="24"/>
          <w:highlight w:val="none"/>
        </w:rPr>
        <w:t>2.供应商依法缴纳税收的相关材料</w:t>
      </w:r>
    </w:p>
    <w:p w14:paraId="5FA26182">
      <w:pPr>
        <w:spacing w:line="500" w:lineRule="exact"/>
        <w:contextualSpacing/>
        <w:rPr>
          <w:rFonts w:ascii="宋体" w:hAnsi="宋体" w:cs="宋体"/>
          <w:color w:val="auto"/>
          <w:szCs w:val="21"/>
          <w:highlight w:val="none"/>
        </w:rPr>
      </w:pPr>
    </w:p>
    <w:p w14:paraId="7057C68C">
      <w:pPr>
        <w:spacing w:line="500" w:lineRule="exact"/>
        <w:contextualSpacing/>
        <w:rPr>
          <w:rFonts w:ascii="宋体" w:hAnsi="宋体" w:cs="宋体"/>
          <w:color w:val="auto"/>
          <w:szCs w:val="21"/>
          <w:highlight w:val="none"/>
        </w:rPr>
      </w:pPr>
    </w:p>
    <w:p w14:paraId="4D14E1C7">
      <w:pPr>
        <w:pStyle w:val="44"/>
        <w:rPr>
          <w:color w:val="auto"/>
          <w:highlight w:val="none"/>
        </w:rPr>
      </w:pPr>
    </w:p>
    <w:p w14:paraId="40D0FA9C">
      <w:pPr>
        <w:pStyle w:val="44"/>
        <w:rPr>
          <w:color w:val="auto"/>
          <w:highlight w:val="none"/>
        </w:rPr>
      </w:pPr>
    </w:p>
    <w:p w14:paraId="4850D456">
      <w:pPr>
        <w:pStyle w:val="44"/>
        <w:rPr>
          <w:color w:val="auto"/>
          <w:highlight w:val="none"/>
        </w:rPr>
      </w:pPr>
    </w:p>
    <w:p w14:paraId="7648C793">
      <w:pPr>
        <w:snapToGrid w:val="0"/>
        <w:spacing w:line="500" w:lineRule="exact"/>
        <w:rPr>
          <w:rFonts w:ascii="宋体" w:hAnsi="宋体" w:cs="宋体"/>
          <w:b/>
          <w:bCs/>
          <w:color w:val="auto"/>
          <w:sz w:val="24"/>
          <w:highlight w:val="none"/>
        </w:rPr>
      </w:pPr>
      <w:r>
        <w:rPr>
          <w:rFonts w:hint="eastAsia" w:ascii="宋体" w:hAnsi="宋体" w:cs="宋体"/>
          <w:b/>
          <w:bCs/>
          <w:color w:val="auto"/>
          <w:sz w:val="24"/>
          <w:highlight w:val="none"/>
        </w:rPr>
        <w:t>3.供应商依法缴纳社会保障资金的相关材料</w:t>
      </w:r>
    </w:p>
    <w:p w14:paraId="3DB81D42">
      <w:pPr>
        <w:numPr>
          <w:ilvl w:val="255"/>
          <w:numId w:val="0"/>
        </w:numPr>
        <w:spacing w:line="500" w:lineRule="exact"/>
        <w:contextualSpacing/>
        <w:rPr>
          <w:rFonts w:ascii="宋体" w:hAnsi="宋体" w:cs="宋体"/>
          <w:color w:val="auto"/>
          <w:szCs w:val="21"/>
          <w:highlight w:val="none"/>
        </w:rPr>
      </w:pPr>
    </w:p>
    <w:p w14:paraId="276FBA9B">
      <w:pPr>
        <w:numPr>
          <w:ilvl w:val="255"/>
          <w:numId w:val="0"/>
        </w:numPr>
        <w:spacing w:line="500" w:lineRule="exact"/>
        <w:contextualSpacing/>
        <w:rPr>
          <w:rFonts w:ascii="宋体" w:hAnsi="宋体" w:cs="宋体"/>
          <w:color w:val="auto"/>
          <w:szCs w:val="21"/>
          <w:highlight w:val="none"/>
        </w:rPr>
      </w:pPr>
    </w:p>
    <w:p w14:paraId="33125E4A">
      <w:pPr>
        <w:numPr>
          <w:ilvl w:val="255"/>
          <w:numId w:val="0"/>
        </w:numPr>
        <w:spacing w:line="500" w:lineRule="exact"/>
        <w:contextualSpacing/>
        <w:rPr>
          <w:rFonts w:ascii="宋体" w:hAnsi="宋体" w:cs="宋体"/>
          <w:color w:val="auto"/>
          <w:szCs w:val="21"/>
          <w:highlight w:val="none"/>
        </w:rPr>
      </w:pPr>
    </w:p>
    <w:p w14:paraId="28EBB777">
      <w:pPr>
        <w:numPr>
          <w:ilvl w:val="255"/>
          <w:numId w:val="0"/>
        </w:numPr>
        <w:spacing w:line="500" w:lineRule="exact"/>
        <w:contextualSpacing/>
        <w:rPr>
          <w:rFonts w:ascii="宋体" w:hAnsi="宋体" w:cs="宋体"/>
          <w:color w:val="auto"/>
          <w:szCs w:val="21"/>
          <w:highlight w:val="none"/>
        </w:rPr>
      </w:pPr>
    </w:p>
    <w:p w14:paraId="61A2C160">
      <w:pPr>
        <w:snapToGrid w:val="0"/>
        <w:spacing w:line="500" w:lineRule="exact"/>
        <w:rPr>
          <w:rFonts w:ascii="宋体" w:hAnsi="宋体" w:cs="宋体"/>
          <w:b/>
          <w:bCs/>
          <w:color w:val="auto"/>
          <w:sz w:val="24"/>
          <w:highlight w:val="none"/>
        </w:rPr>
      </w:pPr>
      <w:r>
        <w:rPr>
          <w:rFonts w:hint="eastAsia" w:ascii="宋体" w:hAnsi="宋体" w:cs="宋体"/>
          <w:b/>
          <w:bCs/>
          <w:color w:val="auto"/>
          <w:sz w:val="24"/>
          <w:highlight w:val="none"/>
        </w:rPr>
        <w:t>4.供应商财务状况报告</w:t>
      </w:r>
    </w:p>
    <w:p w14:paraId="40BA78CC">
      <w:pPr>
        <w:jc w:val="left"/>
        <w:rPr>
          <w:rFonts w:ascii="宋体" w:hAnsi="宋体" w:cs="宋体"/>
          <w:b/>
          <w:color w:val="auto"/>
          <w:sz w:val="24"/>
          <w:highlight w:val="none"/>
        </w:rPr>
      </w:pPr>
      <w:r>
        <w:rPr>
          <w:rFonts w:hint="eastAsia" w:ascii="宋体" w:hAnsi="宋体" w:cs="宋体"/>
          <w:b/>
          <w:color w:val="auto"/>
          <w:sz w:val="24"/>
          <w:highlight w:val="none"/>
        </w:rPr>
        <w:br w:type="page"/>
      </w:r>
    </w:p>
    <w:p w14:paraId="1823026F">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5.供应商直接控股、管理关系信息表</w:t>
      </w:r>
    </w:p>
    <w:p w14:paraId="12212BAD">
      <w:pPr>
        <w:snapToGrid w:val="0"/>
        <w:spacing w:line="360" w:lineRule="auto"/>
        <w:jc w:val="center"/>
        <w:rPr>
          <w:rFonts w:ascii="宋体" w:hAnsi="宋体" w:cs="宋体"/>
          <w:b/>
          <w:color w:val="auto"/>
          <w:sz w:val="32"/>
          <w:szCs w:val="32"/>
          <w:highlight w:val="none"/>
        </w:rPr>
      </w:pPr>
    </w:p>
    <w:p w14:paraId="1D954D0A">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供应商直接控股股东信息表</w:t>
      </w:r>
    </w:p>
    <w:p w14:paraId="03B92D29">
      <w:pPr>
        <w:snapToGrid w:val="0"/>
        <w:spacing w:line="360" w:lineRule="auto"/>
        <w:jc w:val="center"/>
        <w:rPr>
          <w:rFonts w:ascii="宋体" w:hAnsi="宋体" w:cs="宋体"/>
          <w:b/>
          <w:color w:val="auto"/>
          <w:sz w:val="32"/>
          <w:szCs w:val="32"/>
          <w:highlight w:val="none"/>
        </w:rPr>
      </w:pPr>
    </w:p>
    <w:tbl>
      <w:tblPr>
        <w:tblStyle w:val="30"/>
        <w:tblW w:w="9318" w:type="dxa"/>
        <w:jc w:val="center"/>
        <w:shd w:val="clear" w:color="auto" w:fill="FBFBFB"/>
        <w:tblLayout w:type="fixed"/>
        <w:tblCellMar>
          <w:top w:w="0" w:type="dxa"/>
          <w:left w:w="0" w:type="dxa"/>
          <w:bottom w:w="0" w:type="dxa"/>
          <w:right w:w="0" w:type="dxa"/>
        </w:tblCellMar>
      </w:tblPr>
      <w:tblGrid>
        <w:gridCol w:w="880"/>
        <w:gridCol w:w="2655"/>
        <w:gridCol w:w="1455"/>
        <w:gridCol w:w="3503"/>
        <w:gridCol w:w="825"/>
      </w:tblGrid>
      <w:tr w14:paraId="6403331B">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2063E08">
            <w:pPr>
              <w:widowControl/>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486A553">
            <w:pPr>
              <w:widowControl/>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C815B0F">
            <w:pPr>
              <w:widowControl/>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出资比例</w:t>
            </w:r>
          </w:p>
        </w:tc>
        <w:tc>
          <w:tcPr>
            <w:tcW w:w="3503"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98F3CAB">
            <w:pPr>
              <w:widowControl/>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身份证号码或者统一社会信用代码</w:t>
            </w:r>
          </w:p>
        </w:tc>
        <w:tc>
          <w:tcPr>
            <w:tcW w:w="82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7174D74">
            <w:pPr>
              <w:widowControl/>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108F60E6">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CC7616">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3DB1DAE">
            <w:pPr>
              <w:widowControl/>
              <w:spacing w:line="360" w:lineRule="auto"/>
              <w:jc w:val="center"/>
              <w:rPr>
                <w:rFonts w:ascii="宋体" w:hAnsi="宋体" w:cs="宋体"/>
                <w:color w:val="auto"/>
                <w:kern w:val="0"/>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0E876E">
            <w:pPr>
              <w:widowControl/>
              <w:spacing w:line="360" w:lineRule="auto"/>
              <w:jc w:val="center"/>
              <w:rPr>
                <w:rFonts w:ascii="宋体" w:hAnsi="宋体" w:cs="宋体"/>
                <w:color w:val="auto"/>
                <w:kern w:val="0"/>
                <w:szCs w:val="21"/>
                <w:highlight w:val="none"/>
              </w:rPr>
            </w:pPr>
          </w:p>
        </w:tc>
        <w:tc>
          <w:tcPr>
            <w:tcW w:w="350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6E8465">
            <w:pPr>
              <w:widowControl/>
              <w:spacing w:line="360" w:lineRule="auto"/>
              <w:jc w:val="center"/>
              <w:rPr>
                <w:rFonts w:ascii="宋体" w:hAnsi="宋体" w:cs="宋体"/>
                <w:color w:val="auto"/>
                <w:kern w:val="0"/>
                <w:szCs w:val="21"/>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D9CCB6">
            <w:pPr>
              <w:widowControl/>
              <w:spacing w:line="360" w:lineRule="auto"/>
              <w:jc w:val="center"/>
              <w:rPr>
                <w:rFonts w:ascii="宋体" w:hAnsi="宋体" w:cs="宋体"/>
                <w:color w:val="auto"/>
                <w:kern w:val="0"/>
                <w:szCs w:val="21"/>
                <w:highlight w:val="none"/>
              </w:rPr>
            </w:pPr>
          </w:p>
        </w:tc>
      </w:tr>
      <w:tr w14:paraId="020C693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78517EA">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F36D55">
            <w:pPr>
              <w:widowControl/>
              <w:spacing w:line="360" w:lineRule="auto"/>
              <w:jc w:val="center"/>
              <w:rPr>
                <w:rFonts w:ascii="宋体" w:hAnsi="宋体" w:cs="宋体"/>
                <w:color w:val="auto"/>
                <w:kern w:val="0"/>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B64359">
            <w:pPr>
              <w:widowControl/>
              <w:spacing w:line="360" w:lineRule="auto"/>
              <w:jc w:val="center"/>
              <w:rPr>
                <w:rFonts w:ascii="宋体" w:hAnsi="宋体" w:cs="宋体"/>
                <w:color w:val="auto"/>
                <w:kern w:val="0"/>
                <w:szCs w:val="21"/>
                <w:highlight w:val="none"/>
              </w:rPr>
            </w:pPr>
          </w:p>
        </w:tc>
        <w:tc>
          <w:tcPr>
            <w:tcW w:w="350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4295B4">
            <w:pPr>
              <w:widowControl/>
              <w:spacing w:line="360" w:lineRule="auto"/>
              <w:jc w:val="center"/>
              <w:rPr>
                <w:rFonts w:ascii="宋体" w:hAnsi="宋体" w:cs="宋体"/>
                <w:color w:val="auto"/>
                <w:kern w:val="0"/>
                <w:szCs w:val="21"/>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761B91">
            <w:pPr>
              <w:widowControl/>
              <w:spacing w:line="360" w:lineRule="auto"/>
              <w:jc w:val="center"/>
              <w:rPr>
                <w:rFonts w:ascii="宋体" w:hAnsi="宋体" w:cs="宋体"/>
                <w:color w:val="auto"/>
                <w:kern w:val="0"/>
                <w:szCs w:val="21"/>
                <w:highlight w:val="none"/>
              </w:rPr>
            </w:pPr>
          </w:p>
        </w:tc>
      </w:tr>
      <w:tr w14:paraId="52253A20">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2D06CC">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6A9336">
            <w:pPr>
              <w:widowControl/>
              <w:spacing w:line="360" w:lineRule="auto"/>
              <w:jc w:val="center"/>
              <w:rPr>
                <w:rFonts w:ascii="宋体" w:hAnsi="宋体" w:cs="宋体"/>
                <w:color w:val="auto"/>
                <w:kern w:val="0"/>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9E3398">
            <w:pPr>
              <w:widowControl/>
              <w:spacing w:line="360" w:lineRule="auto"/>
              <w:jc w:val="center"/>
              <w:rPr>
                <w:rFonts w:ascii="宋体" w:hAnsi="宋体" w:cs="宋体"/>
                <w:color w:val="auto"/>
                <w:kern w:val="0"/>
                <w:szCs w:val="21"/>
                <w:highlight w:val="none"/>
              </w:rPr>
            </w:pPr>
          </w:p>
        </w:tc>
        <w:tc>
          <w:tcPr>
            <w:tcW w:w="350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2E11CE">
            <w:pPr>
              <w:widowControl/>
              <w:spacing w:line="360" w:lineRule="auto"/>
              <w:jc w:val="center"/>
              <w:rPr>
                <w:rFonts w:ascii="宋体" w:hAnsi="宋体" w:cs="宋体"/>
                <w:color w:val="auto"/>
                <w:kern w:val="0"/>
                <w:szCs w:val="21"/>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6DDF88">
            <w:pPr>
              <w:widowControl/>
              <w:spacing w:line="360" w:lineRule="auto"/>
              <w:jc w:val="center"/>
              <w:rPr>
                <w:rFonts w:ascii="宋体" w:hAnsi="宋体" w:cs="宋体"/>
                <w:color w:val="auto"/>
                <w:kern w:val="0"/>
                <w:szCs w:val="21"/>
                <w:highlight w:val="none"/>
              </w:rPr>
            </w:pPr>
          </w:p>
        </w:tc>
      </w:tr>
      <w:tr w14:paraId="13E7A450">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33AFAB">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E72F5A">
            <w:pPr>
              <w:widowControl/>
              <w:spacing w:line="360" w:lineRule="auto"/>
              <w:jc w:val="center"/>
              <w:rPr>
                <w:rFonts w:ascii="宋体" w:hAnsi="宋体" w:cs="宋体"/>
                <w:color w:val="auto"/>
                <w:kern w:val="0"/>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106FD5">
            <w:pPr>
              <w:widowControl/>
              <w:spacing w:line="360" w:lineRule="auto"/>
              <w:jc w:val="center"/>
              <w:rPr>
                <w:rFonts w:ascii="宋体" w:hAnsi="宋体" w:cs="宋体"/>
                <w:color w:val="auto"/>
                <w:kern w:val="0"/>
                <w:szCs w:val="21"/>
                <w:highlight w:val="none"/>
              </w:rPr>
            </w:pPr>
          </w:p>
        </w:tc>
        <w:tc>
          <w:tcPr>
            <w:tcW w:w="350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9EF395">
            <w:pPr>
              <w:widowControl/>
              <w:spacing w:line="360" w:lineRule="auto"/>
              <w:jc w:val="center"/>
              <w:rPr>
                <w:rFonts w:ascii="宋体" w:hAnsi="宋体" w:cs="宋体"/>
                <w:color w:val="auto"/>
                <w:kern w:val="0"/>
                <w:szCs w:val="21"/>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F34D41">
            <w:pPr>
              <w:widowControl/>
              <w:spacing w:line="360" w:lineRule="auto"/>
              <w:jc w:val="center"/>
              <w:rPr>
                <w:rFonts w:ascii="宋体" w:hAnsi="宋体" w:cs="宋体"/>
                <w:color w:val="auto"/>
                <w:kern w:val="0"/>
                <w:szCs w:val="21"/>
                <w:highlight w:val="none"/>
              </w:rPr>
            </w:pPr>
          </w:p>
        </w:tc>
      </w:tr>
    </w:tbl>
    <w:p w14:paraId="3897418B">
      <w:pPr>
        <w:spacing w:line="360" w:lineRule="auto"/>
        <w:contextualSpacing/>
        <w:jc w:val="left"/>
        <w:rPr>
          <w:rFonts w:ascii="宋体" w:hAnsi="宋体" w:cs="宋体"/>
          <w:b/>
          <w:color w:val="auto"/>
          <w:szCs w:val="21"/>
          <w:highlight w:val="none"/>
        </w:rPr>
      </w:pPr>
      <w:r>
        <w:rPr>
          <w:rFonts w:hint="eastAsia" w:ascii="宋体" w:hAnsi="宋体" w:cs="宋体"/>
          <w:b/>
          <w:color w:val="auto"/>
          <w:szCs w:val="21"/>
          <w:highlight w:val="none"/>
        </w:rPr>
        <w:t>注：</w:t>
      </w:r>
    </w:p>
    <w:p w14:paraId="1DBA38FB">
      <w:pPr>
        <w:spacing w:line="360" w:lineRule="auto"/>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C28B39A">
      <w:pPr>
        <w:spacing w:line="360" w:lineRule="auto"/>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2.本表所指的控股关系仅限于直接控股关系，不包括间接的控股关系。公司实际控制人与公司之间的关系不属于本表所指的直接控股关系。</w:t>
      </w:r>
    </w:p>
    <w:p w14:paraId="107EDA30">
      <w:pPr>
        <w:spacing w:line="360" w:lineRule="auto"/>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3.供应商不存在直接控股股东的，则填“无”。</w:t>
      </w:r>
    </w:p>
    <w:p w14:paraId="6D852299">
      <w:pPr>
        <w:spacing w:line="360" w:lineRule="auto"/>
        <w:ind w:firstLine="420" w:firstLineChars="200"/>
        <w:contextualSpacing/>
        <w:jc w:val="left"/>
        <w:rPr>
          <w:rFonts w:ascii="宋体" w:hAnsi="宋体" w:cs="宋体"/>
          <w:color w:val="auto"/>
          <w:szCs w:val="21"/>
          <w:highlight w:val="none"/>
        </w:rPr>
      </w:pPr>
    </w:p>
    <w:p w14:paraId="278D4C82">
      <w:pPr>
        <w:spacing w:line="360" w:lineRule="auto"/>
        <w:ind w:firstLine="420" w:firstLineChars="200"/>
        <w:contextualSpacing/>
        <w:jc w:val="left"/>
        <w:rPr>
          <w:rFonts w:ascii="宋体" w:hAnsi="宋体" w:cs="宋体"/>
          <w:color w:val="auto"/>
          <w:szCs w:val="21"/>
          <w:highlight w:val="none"/>
        </w:rPr>
      </w:pPr>
    </w:p>
    <w:p w14:paraId="72BCD3B1">
      <w:pPr>
        <w:spacing w:line="360" w:lineRule="auto"/>
        <w:contextualSpacing/>
        <w:jc w:val="center"/>
        <w:rPr>
          <w:rFonts w:ascii="宋体" w:hAnsi="宋体" w:cs="宋体"/>
          <w:color w:val="auto"/>
          <w:szCs w:val="21"/>
          <w:highlight w:val="none"/>
          <w:u w:val="single"/>
        </w:rPr>
      </w:pPr>
      <w:r>
        <w:rPr>
          <w:rFonts w:hint="eastAsia" w:ascii="宋体" w:hAnsi="宋体" w:cs="宋体"/>
          <w:color w:val="auto"/>
          <w:szCs w:val="21"/>
          <w:highlight w:val="none"/>
        </w:rPr>
        <w:t xml:space="preserve">        法定代表人或者委托代理人签字（或个人CA签章）：</w:t>
      </w:r>
      <w:r>
        <w:rPr>
          <w:rFonts w:hint="eastAsia" w:ascii="宋体" w:hAnsi="宋体" w:cs="宋体"/>
          <w:color w:val="auto"/>
          <w:szCs w:val="21"/>
          <w:highlight w:val="none"/>
          <w:u w:val="single"/>
        </w:rPr>
        <w:t xml:space="preserve">                    </w:t>
      </w:r>
    </w:p>
    <w:p w14:paraId="51121D8B">
      <w:pPr>
        <w:spacing w:line="360" w:lineRule="auto"/>
        <w:ind w:firstLine="2730" w:firstLineChars="1300"/>
        <w:contextualSpacing/>
        <w:rPr>
          <w:rFonts w:ascii="宋体" w:hAnsi="宋体" w:cs="宋体"/>
          <w:color w:val="auto"/>
          <w:szCs w:val="21"/>
          <w:highlight w:val="none"/>
          <w:u w:val="single"/>
        </w:rPr>
      </w:pPr>
      <w:r>
        <w:rPr>
          <w:rFonts w:hint="eastAsia" w:ascii="宋体" w:hAnsi="宋体" w:cs="宋体"/>
          <w:color w:val="auto"/>
          <w:szCs w:val="21"/>
          <w:highlight w:val="none"/>
        </w:rPr>
        <w:t xml:space="preserve">供应商（公章或CA签章 ）： </w:t>
      </w:r>
      <w:r>
        <w:rPr>
          <w:rFonts w:hint="eastAsia" w:ascii="宋体" w:hAnsi="宋体" w:cs="宋体"/>
          <w:color w:val="auto"/>
          <w:szCs w:val="21"/>
          <w:highlight w:val="none"/>
          <w:u w:val="single"/>
        </w:rPr>
        <w:t xml:space="preserve">                              </w:t>
      </w:r>
    </w:p>
    <w:p w14:paraId="20612931">
      <w:pPr>
        <w:spacing w:line="360" w:lineRule="auto"/>
        <w:ind w:firstLine="2730" w:firstLineChars="1300"/>
        <w:contextualSpacing/>
        <w:rPr>
          <w:rFonts w:ascii="宋体" w:hAnsi="宋体" w:cs="宋体"/>
          <w:b/>
          <w:color w:val="auto"/>
          <w:sz w:val="28"/>
          <w:szCs w:val="28"/>
          <w:highlight w:val="none"/>
        </w:rPr>
      </w:pPr>
      <w:r>
        <w:rPr>
          <w:rFonts w:hint="eastAsia" w:ascii="宋体" w:hAnsi="宋体" w:cs="宋体"/>
          <w:color w:val="auto"/>
          <w:szCs w:val="21"/>
          <w:highlight w:val="none"/>
        </w:rPr>
        <w:t>日期：</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年</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月</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日</w:t>
      </w:r>
      <w:r>
        <w:rPr>
          <w:rFonts w:hint="eastAsia" w:ascii="宋体" w:hAnsi="宋体" w:cs="宋体"/>
          <w:b/>
          <w:color w:val="auto"/>
          <w:sz w:val="28"/>
          <w:szCs w:val="28"/>
          <w:highlight w:val="none"/>
        </w:rPr>
        <w:br w:type="page"/>
      </w:r>
    </w:p>
    <w:p w14:paraId="4A75FFB6">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供应商直接管理关系信息表</w:t>
      </w:r>
    </w:p>
    <w:p w14:paraId="2BDFCAD3">
      <w:pPr>
        <w:snapToGrid w:val="0"/>
        <w:spacing w:line="360" w:lineRule="auto"/>
        <w:jc w:val="center"/>
        <w:rPr>
          <w:rFonts w:ascii="宋体" w:hAnsi="宋体" w:cs="宋体"/>
          <w:b/>
          <w:color w:val="auto"/>
          <w:sz w:val="32"/>
          <w:szCs w:val="32"/>
          <w:highlight w:val="none"/>
        </w:rPr>
      </w:pPr>
    </w:p>
    <w:tbl>
      <w:tblPr>
        <w:tblStyle w:val="30"/>
        <w:tblW w:w="8942" w:type="dxa"/>
        <w:jc w:val="center"/>
        <w:shd w:val="clear" w:color="auto" w:fill="FBFBFB"/>
        <w:tblLayout w:type="fixed"/>
        <w:tblCellMar>
          <w:top w:w="0" w:type="dxa"/>
          <w:left w:w="0" w:type="dxa"/>
          <w:bottom w:w="0" w:type="dxa"/>
          <w:right w:w="0" w:type="dxa"/>
        </w:tblCellMar>
      </w:tblPr>
      <w:tblGrid>
        <w:gridCol w:w="808"/>
        <w:gridCol w:w="3600"/>
        <w:gridCol w:w="3555"/>
        <w:gridCol w:w="979"/>
      </w:tblGrid>
      <w:tr w14:paraId="3829AEDE">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374D519">
            <w:pPr>
              <w:widowControl/>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41FEEC1">
            <w:pPr>
              <w:widowControl/>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81757AE">
            <w:pPr>
              <w:widowControl/>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统一社会信用代码</w:t>
            </w:r>
          </w:p>
        </w:tc>
        <w:tc>
          <w:tcPr>
            <w:tcW w:w="97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28B618A">
            <w:pPr>
              <w:widowControl/>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29994060">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2265C49">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AF1AA4">
            <w:pPr>
              <w:widowControl/>
              <w:wordWrap w:val="0"/>
              <w:spacing w:line="360" w:lineRule="auto"/>
              <w:jc w:val="center"/>
              <w:rPr>
                <w:rFonts w:ascii="宋体" w:hAnsi="宋体" w:cs="宋体"/>
                <w:color w:val="auto"/>
                <w:kern w:val="0"/>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9DA8F2">
            <w:pPr>
              <w:widowControl/>
              <w:wordWrap w:val="0"/>
              <w:spacing w:line="360" w:lineRule="auto"/>
              <w:jc w:val="center"/>
              <w:rPr>
                <w:rFonts w:ascii="宋体" w:hAnsi="宋体" w:cs="宋体"/>
                <w:color w:val="auto"/>
                <w:kern w:val="0"/>
                <w:szCs w:val="21"/>
                <w:highlight w:val="none"/>
              </w:rPr>
            </w:pPr>
          </w:p>
        </w:tc>
        <w:tc>
          <w:tcPr>
            <w:tcW w:w="9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671B90">
            <w:pPr>
              <w:widowControl/>
              <w:wordWrap w:val="0"/>
              <w:spacing w:line="360" w:lineRule="auto"/>
              <w:jc w:val="center"/>
              <w:rPr>
                <w:rFonts w:ascii="宋体" w:hAnsi="宋体" w:cs="宋体"/>
                <w:color w:val="auto"/>
                <w:kern w:val="0"/>
                <w:szCs w:val="21"/>
                <w:highlight w:val="none"/>
              </w:rPr>
            </w:pPr>
          </w:p>
        </w:tc>
      </w:tr>
      <w:tr w14:paraId="09D17317">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476D47">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3824CC">
            <w:pPr>
              <w:widowControl/>
              <w:wordWrap w:val="0"/>
              <w:spacing w:line="360" w:lineRule="auto"/>
              <w:jc w:val="center"/>
              <w:rPr>
                <w:rFonts w:ascii="宋体" w:hAnsi="宋体" w:cs="宋体"/>
                <w:color w:val="auto"/>
                <w:kern w:val="0"/>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E85E15">
            <w:pPr>
              <w:widowControl/>
              <w:wordWrap w:val="0"/>
              <w:spacing w:line="360" w:lineRule="auto"/>
              <w:jc w:val="center"/>
              <w:rPr>
                <w:rFonts w:ascii="宋体" w:hAnsi="宋体" w:cs="宋体"/>
                <w:color w:val="auto"/>
                <w:kern w:val="0"/>
                <w:szCs w:val="21"/>
                <w:highlight w:val="none"/>
              </w:rPr>
            </w:pPr>
          </w:p>
        </w:tc>
        <w:tc>
          <w:tcPr>
            <w:tcW w:w="9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6E1968">
            <w:pPr>
              <w:widowControl/>
              <w:wordWrap w:val="0"/>
              <w:spacing w:line="360" w:lineRule="auto"/>
              <w:jc w:val="center"/>
              <w:rPr>
                <w:rFonts w:ascii="宋体" w:hAnsi="宋体" w:cs="宋体"/>
                <w:color w:val="auto"/>
                <w:kern w:val="0"/>
                <w:szCs w:val="21"/>
                <w:highlight w:val="none"/>
              </w:rPr>
            </w:pPr>
          </w:p>
        </w:tc>
      </w:tr>
      <w:tr w14:paraId="275717EA">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38F7B2">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83464C">
            <w:pPr>
              <w:widowControl/>
              <w:wordWrap w:val="0"/>
              <w:spacing w:line="360" w:lineRule="auto"/>
              <w:jc w:val="center"/>
              <w:rPr>
                <w:rFonts w:ascii="宋体" w:hAnsi="宋体" w:cs="宋体"/>
                <w:color w:val="auto"/>
                <w:kern w:val="0"/>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2CBB41">
            <w:pPr>
              <w:widowControl/>
              <w:wordWrap w:val="0"/>
              <w:spacing w:line="360" w:lineRule="auto"/>
              <w:jc w:val="center"/>
              <w:rPr>
                <w:rFonts w:ascii="宋体" w:hAnsi="宋体" w:cs="宋体"/>
                <w:color w:val="auto"/>
                <w:kern w:val="0"/>
                <w:szCs w:val="21"/>
                <w:highlight w:val="none"/>
              </w:rPr>
            </w:pPr>
          </w:p>
        </w:tc>
        <w:tc>
          <w:tcPr>
            <w:tcW w:w="9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18B150">
            <w:pPr>
              <w:widowControl/>
              <w:wordWrap w:val="0"/>
              <w:spacing w:line="360" w:lineRule="auto"/>
              <w:jc w:val="center"/>
              <w:rPr>
                <w:rFonts w:ascii="宋体" w:hAnsi="宋体" w:cs="宋体"/>
                <w:color w:val="auto"/>
                <w:kern w:val="0"/>
                <w:szCs w:val="21"/>
                <w:highlight w:val="none"/>
              </w:rPr>
            </w:pPr>
          </w:p>
        </w:tc>
      </w:tr>
      <w:tr w14:paraId="157E04D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3D3B48">
            <w:pPr>
              <w:widowControl/>
              <w:wordWrap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1819BC">
            <w:pPr>
              <w:widowControl/>
              <w:wordWrap w:val="0"/>
              <w:spacing w:line="360" w:lineRule="auto"/>
              <w:jc w:val="center"/>
              <w:rPr>
                <w:rFonts w:ascii="宋体" w:hAnsi="宋体" w:cs="宋体"/>
                <w:color w:val="auto"/>
                <w:kern w:val="0"/>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A046AC">
            <w:pPr>
              <w:widowControl/>
              <w:wordWrap w:val="0"/>
              <w:spacing w:line="360" w:lineRule="auto"/>
              <w:jc w:val="center"/>
              <w:rPr>
                <w:rFonts w:ascii="宋体" w:hAnsi="宋体" w:cs="宋体"/>
                <w:color w:val="auto"/>
                <w:kern w:val="0"/>
                <w:szCs w:val="21"/>
                <w:highlight w:val="none"/>
              </w:rPr>
            </w:pPr>
          </w:p>
        </w:tc>
        <w:tc>
          <w:tcPr>
            <w:tcW w:w="9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C3F440">
            <w:pPr>
              <w:widowControl/>
              <w:wordWrap w:val="0"/>
              <w:spacing w:line="360" w:lineRule="auto"/>
              <w:jc w:val="center"/>
              <w:rPr>
                <w:rFonts w:ascii="宋体" w:hAnsi="宋体" w:cs="宋体"/>
                <w:color w:val="auto"/>
                <w:kern w:val="0"/>
                <w:szCs w:val="21"/>
                <w:highlight w:val="none"/>
              </w:rPr>
            </w:pPr>
          </w:p>
        </w:tc>
      </w:tr>
    </w:tbl>
    <w:p w14:paraId="1E8C2118">
      <w:pPr>
        <w:spacing w:line="360" w:lineRule="auto"/>
        <w:contextualSpacing/>
        <w:jc w:val="left"/>
        <w:rPr>
          <w:rFonts w:ascii="宋体" w:hAnsi="宋体" w:cs="宋体"/>
          <w:b/>
          <w:color w:val="auto"/>
          <w:szCs w:val="21"/>
          <w:highlight w:val="none"/>
        </w:rPr>
      </w:pPr>
      <w:r>
        <w:rPr>
          <w:rFonts w:hint="eastAsia" w:ascii="宋体" w:hAnsi="宋体" w:cs="宋体"/>
          <w:b/>
          <w:color w:val="auto"/>
          <w:szCs w:val="21"/>
          <w:highlight w:val="none"/>
        </w:rPr>
        <w:t>注：</w:t>
      </w:r>
    </w:p>
    <w:p w14:paraId="00DE54AA">
      <w:pPr>
        <w:spacing w:line="360" w:lineRule="auto"/>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1.管理关系：是指不具有出资持股关系的其他单位之间存在的管理与被管理关系，如一些上下级关系的事业单位和团体组织。</w:t>
      </w:r>
    </w:p>
    <w:p w14:paraId="6C62A10C">
      <w:pPr>
        <w:spacing w:line="360" w:lineRule="auto"/>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pacing w:val="-6"/>
          <w:szCs w:val="21"/>
          <w:highlight w:val="none"/>
        </w:rPr>
        <w:t>本表所指的管理关系仅限于直接管理关系，不包括间接的管理关系。</w:t>
      </w:r>
    </w:p>
    <w:p w14:paraId="1EC93868">
      <w:pPr>
        <w:spacing w:line="360" w:lineRule="auto"/>
        <w:ind w:firstLine="420" w:firstLineChars="200"/>
        <w:contextualSpacing/>
        <w:jc w:val="left"/>
        <w:rPr>
          <w:rFonts w:ascii="楷体" w:hAnsi="楷体" w:eastAsia="楷体" w:cs="宋体"/>
          <w:color w:val="auto"/>
          <w:sz w:val="24"/>
          <w:highlight w:val="none"/>
        </w:rPr>
      </w:pPr>
      <w:r>
        <w:rPr>
          <w:rFonts w:hint="eastAsia" w:ascii="宋体" w:hAnsi="宋体" w:cs="宋体"/>
          <w:color w:val="auto"/>
          <w:szCs w:val="21"/>
          <w:highlight w:val="none"/>
        </w:rPr>
        <w:t>3.供应商不存在直接管理关系的，则填“无”</w:t>
      </w:r>
      <w:r>
        <w:rPr>
          <w:rFonts w:ascii="楷体" w:hAnsi="楷体" w:eastAsia="楷体" w:cs="宋体"/>
          <w:color w:val="auto"/>
          <w:sz w:val="24"/>
          <w:highlight w:val="none"/>
        </w:rPr>
        <w:t>。</w:t>
      </w:r>
    </w:p>
    <w:p w14:paraId="2885B424">
      <w:pPr>
        <w:spacing w:line="360" w:lineRule="auto"/>
        <w:contextualSpacing/>
        <w:jc w:val="left"/>
        <w:rPr>
          <w:rFonts w:ascii="宋体" w:hAnsi="宋体" w:cs="宋体"/>
          <w:color w:val="auto"/>
          <w:sz w:val="28"/>
          <w:szCs w:val="28"/>
          <w:highlight w:val="none"/>
        </w:rPr>
      </w:pPr>
    </w:p>
    <w:p w14:paraId="2C5C920F">
      <w:pPr>
        <w:spacing w:line="360" w:lineRule="auto"/>
        <w:contextualSpacing/>
        <w:jc w:val="left"/>
        <w:rPr>
          <w:rFonts w:ascii="宋体" w:hAnsi="宋体" w:cs="宋体"/>
          <w:color w:val="auto"/>
          <w:sz w:val="28"/>
          <w:szCs w:val="28"/>
          <w:highlight w:val="none"/>
        </w:rPr>
      </w:pPr>
    </w:p>
    <w:p w14:paraId="765C2023">
      <w:pPr>
        <w:spacing w:line="360" w:lineRule="auto"/>
        <w:contextualSpacing/>
        <w:jc w:val="left"/>
        <w:rPr>
          <w:rFonts w:ascii="宋体" w:hAnsi="宋体" w:cs="宋体"/>
          <w:color w:val="auto"/>
          <w:sz w:val="28"/>
          <w:szCs w:val="28"/>
          <w:highlight w:val="none"/>
        </w:rPr>
      </w:pPr>
    </w:p>
    <w:p w14:paraId="4749E4FC">
      <w:pPr>
        <w:spacing w:line="360" w:lineRule="auto"/>
        <w:contextualSpacing/>
        <w:jc w:val="left"/>
        <w:rPr>
          <w:rFonts w:ascii="宋体" w:hAnsi="宋体" w:cs="宋体"/>
          <w:color w:val="auto"/>
          <w:sz w:val="28"/>
          <w:szCs w:val="28"/>
          <w:highlight w:val="none"/>
        </w:rPr>
      </w:pPr>
    </w:p>
    <w:p w14:paraId="78E28490">
      <w:pPr>
        <w:spacing w:line="360" w:lineRule="auto"/>
        <w:contextualSpacing/>
        <w:jc w:val="left"/>
        <w:rPr>
          <w:rFonts w:ascii="宋体" w:hAnsi="宋体" w:cs="宋体"/>
          <w:color w:val="auto"/>
          <w:sz w:val="28"/>
          <w:szCs w:val="28"/>
          <w:highlight w:val="none"/>
        </w:rPr>
      </w:pPr>
    </w:p>
    <w:p w14:paraId="25049388">
      <w:pPr>
        <w:spacing w:line="360" w:lineRule="auto"/>
        <w:contextualSpacing/>
        <w:jc w:val="left"/>
        <w:rPr>
          <w:rFonts w:ascii="宋体" w:hAnsi="宋体" w:cs="宋体"/>
          <w:color w:val="auto"/>
          <w:sz w:val="28"/>
          <w:szCs w:val="28"/>
          <w:highlight w:val="none"/>
        </w:rPr>
      </w:pPr>
    </w:p>
    <w:p w14:paraId="3B9C8EC4">
      <w:pPr>
        <w:spacing w:line="360" w:lineRule="auto"/>
        <w:contextualSpacing/>
        <w:jc w:val="center"/>
        <w:rPr>
          <w:rFonts w:ascii="宋体" w:hAnsi="宋体" w:cs="宋体"/>
          <w:color w:val="auto"/>
          <w:szCs w:val="21"/>
          <w:highlight w:val="none"/>
          <w:u w:val="single"/>
        </w:rPr>
      </w:pPr>
      <w:r>
        <w:rPr>
          <w:rFonts w:hint="eastAsia" w:ascii="宋体" w:hAnsi="宋体" w:cs="宋体"/>
          <w:color w:val="auto"/>
          <w:sz w:val="24"/>
          <w:highlight w:val="none"/>
        </w:rPr>
        <w:t xml:space="preserve">            </w:t>
      </w:r>
      <w:r>
        <w:rPr>
          <w:rFonts w:hint="eastAsia" w:ascii="宋体" w:hAnsi="宋体" w:cs="宋体"/>
          <w:color w:val="auto"/>
          <w:szCs w:val="21"/>
          <w:highlight w:val="none"/>
        </w:rPr>
        <w:t xml:space="preserve">  法定代表人或者委托代理人签字（或个人CA签章）：</w:t>
      </w:r>
      <w:r>
        <w:rPr>
          <w:rFonts w:hint="eastAsia" w:ascii="宋体" w:hAnsi="宋体" w:cs="宋体"/>
          <w:color w:val="auto"/>
          <w:szCs w:val="21"/>
          <w:highlight w:val="none"/>
          <w:u w:val="single"/>
        </w:rPr>
        <w:t xml:space="preserve">                   </w:t>
      </w:r>
    </w:p>
    <w:p w14:paraId="001DBE30">
      <w:pPr>
        <w:spacing w:line="360" w:lineRule="auto"/>
        <w:ind w:firstLine="3150" w:firstLineChars="1500"/>
        <w:contextualSpacing/>
        <w:rPr>
          <w:rFonts w:ascii="宋体" w:hAnsi="宋体" w:cs="宋体"/>
          <w:color w:val="auto"/>
          <w:szCs w:val="21"/>
          <w:highlight w:val="none"/>
        </w:rPr>
      </w:pPr>
      <w:r>
        <w:rPr>
          <w:rFonts w:hint="eastAsia" w:ascii="宋体" w:hAnsi="宋体" w:cs="宋体"/>
          <w:color w:val="auto"/>
          <w:szCs w:val="21"/>
          <w:highlight w:val="none"/>
        </w:rPr>
        <w:t>供应商（公章或CA签章）：</w:t>
      </w:r>
      <w:r>
        <w:rPr>
          <w:rFonts w:hint="eastAsia" w:ascii="宋体" w:hAnsi="宋体" w:cs="宋体"/>
          <w:color w:val="auto"/>
          <w:szCs w:val="21"/>
          <w:highlight w:val="none"/>
          <w:u w:val="single"/>
        </w:rPr>
        <w:t xml:space="preserve">                </w:t>
      </w:r>
    </w:p>
    <w:p w14:paraId="1015E7C5">
      <w:pPr>
        <w:spacing w:line="360" w:lineRule="auto"/>
        <w:ind w:firstLine="210" w:firstLineChars="100"/>
        <w:contextualSpacing/>
        <w:jc w:val="center"/>
        <w:rPr>
          <w:rFonts w:ascii="宋体" w:hAnsi="宋体" w:cs="宋体"/>
          <w:color w:val="auto"/>
          <w:szCs w:val="21"/>
          <w:highlight w:val="none"/>
        </w:rPr>
      </w:pPr>
      <w:r>
        <w:rPr>
          <w:rFonts w:hint="eastAsia" w:ascii="宋体" w:hAnsi="宋体" w:cs="宋体"/>
          <w:color w:val="auto"/>
          <w:szCs w:val="21"/>
          <w:highlight w:val="none"/>
        </w:rPr>
        <w:t xml:space="preserve">        日期：</w:t>
      </w:r>
      <w:r>
        <w:rPr>
          <w:rFonts w:hint="eastAsia" w:ascii="宋体" w:hAnsi="宋体" w:cs="宋体"/>
          <w:color w:val="auto"/>
          <w:spacing w:val="20"/>
          <w:szCs w:val="21"/>
          <w:highlight w:val="none"/>
          <w:u w:val="single"/>
        </w:rPr>
        <w:t xml:space="preserve"> </w:t>
      </w:r>
      <w:r>
        <w:rPr>
          <w:rFonts w:ascii="宋体" w:hAnsi="宋体" w:cs="宋体"/>
          <w:color w:val="auto"/>
          <w:spacing w:val="20"/>
          <w:szCs w:val="21"/>
          <w:highlight w:val="none"/>
          <w:u w:val="single"/>
        </w:rPr>
        <w:t xml:space="preserve">  </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年</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月</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日</w:t>
      </w:r>
    </w:p>
    <w:p w14:paraId="3027ED28">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14:paraId="12D3ECB1">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6.参与竞争性谈判声明</w:t>
      </w:r>
    </w:p>
    <w:p w14:paraId="33692A1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参与竞争性谈判声明</w:t>
      </w:r>
    </w:p>
    <w:p w14:paraId="64816F8F">
      <w:pPr>
        <w:spacing w:line="360" w:lineRule="auto"/>
        <w:jc w:val="center"/>
        <w:rPr>
          <w:rFonts w:ascii="宋体" w:hAnsi="宋体" w:cs="宋体"/>
          <w:color w:val="auto"/>
          <w:sz w:val="24"/>
          <w:szCs w:val="20"/>
          <w:highlight w:val="none"/>
        </w:rPr>
      </w:pPr>
    </w:p>
    <w:p w14:paraId="54A1A8E0">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（采购人名称）</w:t>
      </w:r>
      <w:r>
        <w:rPr>
          <w:rFonts w:hint="eastAsia" w:ascii="宋体" w:hAnsi="宋体" w:cs="宋体"/>
          <w:color w:val="auto"/>
          <w:szCs w:val="21"/>
          <w:highlight w:val="none"/>
        </w:rPr>
        <w:t>：</w:t>
      </w:r>
    </w:p>
    <w:p w14:paraId="58D870BD">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我方</w:t>
      </w:r>
      <w:r>
        <w:rPr>
          <w:rFonts w:hint="eastAsia" w:ascii="宋体" w:hAnsi="宋体" w:cs="宋体"/>
          <w:color w:val="auto"/>
          <w:szCs w:val="21"/>
          <w:highlight w:val="none"/>
          <w:u w:val="single"/>
        </w:rPr>
        <w:t>（供应商名称）</w:t>
      </w:r>
      <w:r>
        <w:rPr>
          <w:rFonts w:hint="eastAsia" w:ascii="宋体" w:hAnsi="宋体" w:cs="宋体"/>
          <w:color w:val="auto"/>
          <w:szCs w:val="21"/>
          <w:highlight w:val="none"/>
        </w:rPr>
        <w:t>系中华人民共和国合法供应商，经营地址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269FAED">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我方愿意参加贵方组织的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项目的竞争性谈判，为便于贵方公正、择优地确定成交供应商及其参与竞争性谈判的产品和服务，我方就本次参与竞争性谈判有关事项郑重声明如下：</w:t>
      </w:r>
    </w:p>
    <w:p w14:paraId="36CBF7AB">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1.我方向贵方提交的所有响应文件、资料都是准确的和真实的。</w:t>
      </w:r>
    </w:p>
    <w:p w14:paraId="49E91CFC">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我方不是采购人的附属机构；不存在为本次采购项目提供过整体设计、规范编制或者项目管理、监理、检测等服务，参加本次采购项目上述服务以外的其他采购活动的情形；在获知本项目采购信息后，与采购人聘请的为此项目提供咨询服务的公司及其附属机构没有任何联系。</w:t>
      </w:r>
    </w:p>
    <w:p w14:paraId="0F09D36E">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3.在此，我方宣布同意如下：</w:t>
      </w:r>
    </w:p>
    <w:p w14:paraId="0700DB50">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（1）将按谈判文件的约定履行合同责任和义务；</w:t>
      </w:r>
    </w:p>
    <w:p w14:paraId="46EA2FF4">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（2）已详细审查全部谈判文件，包括补遗文件（如有）；</w:t>
      </w:r>
    </w:p>
    <w:p w14:paraId="213E7DB5">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（3）同意提供按照贵方可能要求的与谈判有关的一切数据或者资料；</w:t>
      </w:r>
    </w:p>
    <w:p w14:paraId="756948F7">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（4）响应谈判文件规定的竞争性谈判有效期。</w:t>
      </w:r>
    </w:p>
    <w:p w14:paraId="63211F1E">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4.我方承诺符合《中华人民共和国政府采购法》第二十二条规定：</w:t>
      </w:r>
    </w:p>
    <w:p w14:paraId="08B3B79D">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（1）具有独立承担民事责任的能力；</w:t>
      </w:r>
    </w:p>
    <w:p w14:paraId="7197C338">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14:paraId="66293C98">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14:paraId="570679CB">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（4）有依法缴纳税收和社会保障资金的良好记录；</w:t>
      </w:r>
    </w:p>
    <w:p w14:paraId="2E7B5423">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14:paraId="4C579210">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（6）法律、行政法规规定的其他条件。</w:t>
      </w:r>
    </w:p>
    <w:p w14:paraId="568B575D">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AA365AC">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29805DFD">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14:paraId="3CA278F8">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涉及商业秘密的内容有：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40079590">
      <w:pPr>
        <w:pStyle w:val="17"/>
        <w:spacing w:line="360" w:lineRule="auto"/>
        <w:ind w:firstLine="420" w:firstLineChars="200"/>
        <w:contextualSpacing/>
        <w:rPr>
          <w:rFonts w:hAnsi="宋体" w:cs="宋体"/>
          <w:color w:val="auto"/>
          <w:sz w:val="21"/>
          <w:highlight w:val="none"/>
          <w:u w:val="single"/>
        </w:rPr>
      </w:pPr>
      <w:r>
        <w:rPr>
          <w:rFonts w:hint="eastAsia" w:hAnsi="宋体" w:cs="宋体"/>
          <w:color w:val="auto"/>
          <w:sz w:val="21"/>
          <w:highlight w:val="none"/>
        </w:rPr>
        <w:t>7.与本谈判有关的一切正式往来信函请寄：</w:t>
      </w:r>
      <w:r>
        <w:rPr>
          <w:rFonts w:hint="eastAsia" w:hAnsi="宋体" w:cs="宋体"/>
          <w:color w:val="auto"/>
          <w:sz w:val="21"/>
          <w:highlight w:val="none"/>
          <w:u w:val="single"/>
        </w:rPr>
        <w:t xml:space="preserve">                  </w:t>
      </w:r>
      <w:r>
        <w:rPr>
          <w:rFonts w:hint="eastAsia" w:hAnsi="宋体" w:cs="宋体"/>
          <w:color w:val="auto"/>
          <w:sz w:val="21"/>
          <w:highlight w:val="none"/>
        </w:rPr>
        <w:t>邮政编码：</w:t>
      </w:r>
      <w:r>
        <w:rPr>
          <w:rFonts w:hint="eastAsia" w:hAnsi="宋体" w:cs="宋体"/>
          <w:color w:val="auto"/>
          <w:sz w:val="21"/>
          <w:highlight w:val="none"/>
          <w:u w:val="single"/>
        </w:rPr>
        <w:t xml:space="preserve">    </w:t>
      </w:r>
    </w:p>
    <w:p w14:paraId="7E019C7C">
      <w:pPr>
        <w:pStyle w:val="17"/>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电话/传真：</w:t>
      </w:r>
      <w:r>
        <w:rPr>
          <w:rFonts w:hint="eastAsia" w:hAnsi="宋体" w:cs="宋体"/>
          <w:color w:val="auto"/>
          <w:sz w:val="21"/>
          <w:highlight w:val="none"/>
          <w:u w:val="single"/>
        </w:rPr>
        <w:t xml:space="preserve">                        </w:t>
      </w:r>
      <w:r>
        <w:rPr>
          <w:rFonts w:hint="eastAsia" w:hAnsi="宋体" w:cs="宋体"/>
          <w:color w:val="auto"/>
          <w:sz w:val="21"/>
          <w:highlight w:val="none"/>
        </w:rPr>
        <w:t xml:space="preserve"> 电子函件：</w:t>
      </w:r>
      <w:r>
        <w:rPr>
          <w:rFonts w:hint="eastAsia" w:hAnsi="宋体" w:cs="宋体"/>
          <w:color w:val="auto"/>
          <w:sz w:val="21"/>
          <w:highlight w:val="none"/>
          <w:u w:val="single"/>
        </w:rPr>
        <w:t xml:space="preserve">             </w:t>
      </w:r>
      <w:r>
        <w:rPr>
          <w:rFonts w:hint="eastAsia" w:hAnsi="宋体" w:cs="宋体"/>
          <w:color w:val="auto"/>
          <w:sz w:val="21"/>
          <w:highlight w:val="none"/>
        </w:rPr>
        <w:t xml:space="preserve">    </w:t>
      </w:r>
    </w:p>
    <w:p w14:paraId="1EDD45D2">
      <w:pPr>
        <w:pStyle w:val="15"/>
        <w:tabs>
          <w:tab w:val="left" w:pos="939"/>
        </w:tabs>
        <w:spacing w:line="360" w:lineRule="auto"/>
        <w:ind w:left="0" w:leftChars="0" w:firstLine="315" w:firstLineChars="150"/>
        <w:rPr>
          <w:rFonts w:ascii="宋体" w:hAnsi="宋体" w:cs="宋体"/>
          <w:color w:val="auto"/>
          <w:szCs w:val="21"/>
          <w:highlight w:val="none"/>
          <w:u w:val="singl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账号/行号：</w:t>
      </w:r>
      <w:r>
        <w:rPr>
          <w:rFonts w:hint="eastAsia" w:ascii="宋体" w:hAnsi="宋体" w:cs="宋体"/>
          <w:color w:val="auto"/>
          <w:szCs w:val="21"/>
          <w:highlight w:val="none"/>
          <w:u w:val="single"/>
        </w:rPr>
        <w:t xml:space="preserve">           </w:t>
      </w:r>
    </w:p>
    <w:p w14:paraId="7D5BF548">
      <w:pPr>
        <w:pStyle w:val="15"/>
        <w:tabs>
          <w:tab w:val="left" w:pos="939"/>
        </w:tabs>
        <w:spacing w:line="360" w:lineRule="auto"/>
        <w:ind w:left="0" w:leftChars="0" w:firstLine="315" w:firstLineChars="150"/>
        <w:rPr>
          <w:rFonts w:ascii="宋体" w:hAnsi="宋体" w:cs="宋体"/>
          <w:color w:val="auto"/>
          <w:szCs w:val="21"/>
          <w:highlight w:val="none"/>
        </w:rPr>
      </w:pPr>
      <w:r>
        <w:rPr>
          <w:rFonts w:hint="eastAsia" w:ascii="宋体" w:hAnsi="宋体" w:cs="宋体"/>
          <w:color w:val="auto"/>
          <w:szCs w:val="21"/>
          <w:highlight w:val="none"/>
        </w:rPr>
        <w:t>8.我方若参与竞争性谈判成功，将采取</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（汽车、火车、飞机等）方式运输货物。</w:t>
      </w:r>
    </w:p>
    <w:p w14:paraId="5D1DB1F7">
      <w:pPr>
        <w:pStyle w:val="15"/>
        <w:tabs>
          <w:tab w:val="left" w:pos="939"/>
        </w:tabs>
        <w:spacing w:line="360" w:lineRule="auto"/>
        <w:ind w:left="0" w:leftChars="0" w:firstLine="315" w:firstLineChars="150"/>
        <w:rPr>
          <w:rFonts w:ascii="宋体" w:hAnsi="宋体" w:cs="宋体"/>
          <w:color w:val="auto"/>
          <w:szCs w:val="21"/>
          <w:highlight w:val="none"/>
        </w:rPr>
      </w:pPr>
      <w:r>
        <w:rPr>
          <w:rFonts w:hint="eastAsia" w:ascii="宋体" w:hAnsi="宋体" w:cs="宋体"/>
          <w:color w:val="auto"/>
          <w:szCs w:val="21"/>
          <w:highlight w:val="none"/>
        </w:rPr>
        <w:t>9.我方若参与竞争性谈判成功，除非发生不可抗力，承诺与采购人及时签订《合同书》。如果放弃，自愿按照本文件之《供应商须知正文》第27.5条的要求承担法律责任和失信惩戒。</w:t>
      </w:r>
    </w:p>
    <w:p w14:paraId="29CC5E09">
      <w:pPr>
        <w:pStyle w:val="15"/>
        <w:tabs>
          <w:tab w:val="left" w:pos="939"/>
        </w:tabs>
        <w:spacing w:line="360" w:lineRule="auto"/>
        <w:ind w:left="0" w:leftChars="0" w:firstLine="315" w:firstLineChars="150"/>
        <w:rPr>
          <w:rFonts w:ascii="宋体" w:hAnsi="宋体" w:cs="宋体"/>
          <w:color w:val="auto"/>
          <w:szCs w:val="21"/>
          <w:highlight w:val="none"/>
        </w:rPr>
      </w:pPr>
      <w:r>
        <w:rPr>
          <w:rFonts w:hint="eastAsia" w:ascii="宋体" w:hAnsi="宋体" w:cs="宋体"/>
          <w:color w:val="auto"/>
          <w:szCs w:val="21"/>
          <w:highlight w:val="none"/>
        </w:rPr>
        <w:t>10.以上事项如有虚假或者隐瞒，我方愿意承担一切后果，并不再寻求任何旨在减轻或者免除法律责任的辩解。</w:t>
      </w:r>
    </w:p>
    <w:p w14:paraId="20404375">
      <w:pPr>
        <w:pStyle w:val="15"/>
        <w:tabs>
          <w:tab w:val="left" w:pos="939"/>
        </w:tabs>
        <w:spacing w:line="360" w:lineRule="auto"/>
        <w:ind w:left="0" w:leftChars="0" w:firstLine="315" w:firstLineChars="150"/>
        <w:rPr>
          <w:rFonts w:ascii="宋体" w:hAnsi="宋体" w:cs="宋体"/>
          <w:color w:val="auto"/>
          <w:szCs w:val="21"/>
          <w:highlight w:val="none"/>
        </w:rPr>
      </w:pPr>
      <w:r>
        <w:rPr>
          <w:rFonts w:hint="eastAsia" w:ascii="宋体" w:hAnsi="宋体" w:cs="宋体"/>
          <w:color w:val="auto"/>
          <w:szCs w:val="21"/>
          <w:highlight w:val="none"/>
        </w:rPr>
        <w:t>特此承诺。</w:t>
      </w:r>
    </w:p>
    <w:p w14:paraId="5C689E38">
      <w:pPr>
        <w:spacing w:line="360" w:lineRule="auto"/>
        <w:ind w:firstLine="422" w:firstLineChars="200"/>
        <w:contextualSpacing/>
        <w:jc w:val="left"/>
        <w:rPr>
          <w:rFonts w:ascii="宋体" w:hAnsi="宋体" w:cs="宋体"/>
          <w:b/>
          <w:color w:val="auto"/>
          <w:szCs w:val="21"/>
          <w:highlight w:val="none"/>
        </w:rPr>
      </w:pPr>
      <w:r>
        <w:rPr>
          <w:rFonts w:hint="eastAsia" w:ascii="宋体" w:hAnsi="宋体" w:cs="宋体"/>
          <w:b/>
          <w:color w:val="auto"/>
          <w:szCs w:val="21"/>
          <w:highlight w:val="none"/>
        </w:rPr>
        <w:t>注：如为联合体参与竞争性谈判，盖章处须加盖联合体各方公章并由联合体各方法定代表人分别签署，否则响应文件按无效响应处理。</w:t>
      </w:r>
    </w:p>
    <w:p w14:paraId="348AA575">
      <w:pPr>
        <w:spacing w:line="360" w:lineRule="auto"/>
        <w:contextualSpacing/>
        <w:jc w:val="left"/>
        <w:rPr>
          <w:rFonts w:ascii="宋体" w:hAnsi="宋体" w:cs="宋体"/>
          <w:color w:val="auto"/>
          <w:szCs w:val="21"/>
          <w:highlight w:val="none"/>
        </w:rPr>
      </w:pPr>
    </w:p>
    <w:p w14:paraId="45FA4E8C">
      <w:pPr>
        <w:spacing w:line="360" w:lineRule="auto"/>
        <w:ind w:firstLine="3780" w:firstLineChars="1800"/>
        <w:contextualSpacing/>
        <w:rPr>
          <w:rFonts w:ascii="宋体" w:hAnsi="宋体" w:cs="宋体"/>
          <w:color w:val="auto"/>
          <w:szCs w:val="21"/>
          <w:highlight w:val="none"/>
        </w:rPr>
      </w:pPr>
      <w:r>
        <w:rPr>
          <w:rFonts w:hint="eastAsia" w:ascii="宋体" w:hAnsi="宋体" w:cs="宋体"/>
          <w:color w:val="auto"/>
          <w:szCs w:val="21"/>
          <w:highlight w:val="none"/>
        </w:rPr>
        <w:t>法定代表人（签字（或个人CA签章））：</w:t>
      </w:r>
      <w:r>
        <w:rPr>
          <w:rFonts w:hint="eastAsia" w:ascii="宋体" w:hAnsi="宋体" w:cs="宋体"/>
          <w:color w:val="auto"/>
          <w:szCs w:val="21"/>
          <w:highlight w:val="none"/>
          <w:u w:val="single"/>
        </w:rPr>
        <w:t xml:space="preserve">              </w:t>
      </w:r>
    </w:p>
    <w:p w14:paraId="2EA430EB">
      <w:pPr>
        <w:spacing w:line="360" w:lineRule="auto"/>
        <w:ind w:firstLine="3780" w:firstLineChars="1800"/>
        <w:contextualSpacing/>
        <w:rPr>
          <w:rFonts w:ascii="宋体" w:hAnsi="宋体" w:cs="宋体"/>
          <w:color w:val="auto"/>
          <w:szCs w:val="21"/>
          <w:highlight w:val="none"/>
          <w:u w:val="single"/>
        </w:rPr>
      </w:pPr>
      <w:r>
        <w:rPr>
          <w:rFonts w:hint="eastAsia" w:ascii="宋体" w:hAnsi="宋体" w:cs="宋体"/>
          <w:color w:val="auto"/>
          <w:szCs w:val="21"/>
          <w:highlight w:val="none"/>
        </w:rPr>
        <w:t>供应商（公章或CA签章）：</w:t>
      </w:r>
      <w:r>
        <w:rPr>
          <w:rFonts w:hint="eastAsia" w:ascii="宋体" w:hAnsi="宋体" w:cs="宋体"/>
          <w:color w:val="auto"/>
          <w:szCs w:val="21"/>
          <w:highlight w:val="none"/>
          <w:u w:val="single"/>
        </w:rPr>
        <w:t xml:space="preserve">                          </w:t>
      </w:r>
    </w:p>
    <w:p w14:paraId="38481333">
      <w:pPr>
        <w:spacing w:line="360" w:lineRule="auto"/>
        <w:ind w:firstLine="210" w:firstLineChars="100"/>
        <w:contextualSpacing/>
        <w:jc w:val="right"/>
        <w:rPr>
          <w:rFonts w:ascii="宋体" w:hAnsi="宋体" w:cs="宋体"/>
          <w:color w:val="auto"/>
          <w:spacing w:val="20"/>
          <w:szCs w:val="21"/>
          <w:highlight w:val="none"/>
        </w:rPr>
      </w:pPr>
      <w:r>
        <w:rPr>
          <w:rFonts w:hint="eastAsia" w:ascii="宋体" w:hAnsi="宋体" w:cs="宋体"/>
          <w:color w:val="auto"/>
          <w:szCs w:val="21"/>
          <w:highlight w:val="none"/>
        </w:rPr>
        <w:t xml:space="preserve">                                       日期： </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年</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月</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日</w:t>
      </w:r>
    </w:p>
    <w:p w14:paraId="0462F4DC">
      <w:pPr>
        <w:jc w:val="left"/>
        <w:rPr>
          <w:rFonts w:ascii="宋体" w:hAnsi="宋体" w:cs="宋体"/>
          <w:color w:val="auto"/>
          <w:spacing w:val="20"/>
          <w:szCs w:val="21"/>
          <w:highlight w:val="none"/>
        </w:rPr>
      </w:pPr>
      <w:r>
        <w:rPr>
          <w:rFonts w:hint="eastAsia" w:ascii="宋体" w:hAnsi="宋体" w:cs="宋体"/>
          <w:color w:val="auto"/>
          <w:spacing w:val="20"/>
          <w:szCs w:val="21"/>
          <w:highlight w:val="none"/>
        </w:rPr>
        <w:br w:type="page"/>
      </w:r>
    </w:p>
    <w:p w14:paraId="5F2A60FE">
      <w:pPr>
        <w:adjustRightInd w:val="0"/>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7.中小企业声明函或残疾人福利性单位声明函</w:t>
      </w:r>
    </w:p>
    <w:p w14:paraId="23D61AE9">
      <w:pPr>
        <w:adjustRightInd w:val="0"/>
        <w:snapToGrid w:val="0"/>
        <w:spacing w:line="360" w:lineRule="auto"/>
        <w:jc w:val="center"/>
        <w:rPr>
          <w:rFonts w:ascii="宋体" w:hAnsi="宋体" w:cs="宋体"/>
          <w:b/>
          <w:bCs/>
          <w:color w:val="auto"/>
          <w:sz w:val="24"/>
          <w:highlight w:val="none"/>
        </w:rPr>
      </w:pPr>
    </w:p>
    <w:p w14:paraId="544629ED">
      <w:pPr>
        <w:adjustRightInd w:val="0"/>
        <w:snapToGrid w:val="0"/>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中小企业声明函（货物）</w:t>
      </w:r>
    </w:p>
    <w:p w14:paraId="47C6EDC7">
      <w:pPr>
        <w:spacing w:line="360" w:lineRule="auto"/>
        <w:rPr>
          <w:rFonts w:ascii="宋体" w:hAnsi="宋体" w:cs="宋体"/>
          <w:color w:val="auto"/>
          <w:highlight w:val="none"/>
        </w:rPr>
      </w:pPr>
    </w:p>
    <w:p w14:paraId="1FB05F62">
      <w:pPr>
        <w:pStyle w:val="10"/>
        <w:spacing w:after="0" w:line="360" w:lineRule="auto"/>
        <w:ind w:firstLine="640"/>
        <w:contextualSpacing/>
        <w:rPr>
          <w:rFonts w:ascii="宋体" w:hAnsi="宋体" w:cs="宋体"/>
          <w:color w:val="auto"/>
          <w:szCs w:val="21"/>
          <w:highlight w:val="none"/>
        </w:rPr>
      </w:pPr>
      <w:r>
        <w:rPr>
          <w:rFonts w:hint="eastAsia" w:ascii="宋体" w:hAnsi="宋体" w:cs="宋体"/>
          <w:color w:val="auto"/>
          <w:szCs w:val="21"/>
          <w:highlight w:val="none"/>
        </w:rPr>
        <w:t>本公司（联合体）郑重声明，根据《政府采购促进中小企业发展管理办法》（财库﹝2020﹞46号）的规定，本公司（联合体）参加</w:t>
      </w:r>
      <w:r>
        <w:rPr>
          <w:rFonts w:hint="eastAsia" w:ascii="宋体" w:hAnsi="宋体" w:cs="宋体"/>
          <w:color w:val="auto"/>
          <w:szCs w:val="21"/>
          <w:highlight w:val="none"/>
          <w:u w:val="single"/>
        </w:rPr>
        <w:t>（单位名称）</w:t>
      </w:r>
      <w:r>
        <w:rPr>
          <w:rFonts w:hint="eastAsia" w:ascii="宋体" w:hAnsi="宋体" w:cs="宋体"/>
          <w:color w:val="auto"/>
          <w:szCs w:val="21"/>
          <w:highlight w:val="none"/>
        </w:rPr>
        <w:t>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采购活动，提供的货物全部由符合政策要求的中小企业制造。相关企业（含联合体中的中小企业、签订分包意向协议的中小企业）的具体情况如下：</w:t>
      </w:r>
    </w:p>
    <w:p w14:paraId="7CE12D25">
      <w:pPr>
        <w:tabs>
          <w:tab w:val="left" w:pos="1384"/>
          <w:tab w:val="left" w:pos="4562"/>
          <w:tab w:val="left" w:pos="6803"/>
        </w:tabs>
        <w:spacing w:line="360" w:lineRule="auto"/>
        <w:ind w:firstLine="655"/>
        <w:contextualSpacing/>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行业；制造商为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4EB612A9">
      <w:pPr>
        <w:tabs>
          <w:tab w:val="left" w:pos="1065"/>
          <w:tab w:val="left" w:pos="6477"/>
        </w:tabs>
        <w:spacing w:line="360" w:lineRule="auto"/>
        <w:ind w:firstLine="655"/>
        <w:contextualSpacing/>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行业；制造商为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64B8A06D">
      <w:pPr>
        <w:pStyle w:val="10"/>
        <w:spacing w:after="0" w:line="360" w:lineRule="auto"/>
        <w:contextualSpacing/>
        <w:rPr>
          <w:rFonts w:ascii="宋体" w:hAnsi="宋体" w:cs="宋体"/>
          <w:color w:val="auto"/>
          <w:szCs w:val="21"/>
          <w:highlight w:val="none"/>
        </w:rPr>
      </w:pPr>
      <w:r>
        <w:rPr>
          <w:rFonts w:hint="eastAsia" w:ascii="宋体" w:hAnsi="宋体" w:cs="宋体"/>
          <w:color w:val="auto"/>
          <w:szCs w:val="21"/>
          <w:highlight w:val="none"/>
        </w:rPr>
        <w:t xml:space="preserve">…… </w:t>
      </w:r>
    </w:p>
    <w:p w14:paraId="1F263525">
      <w:pPr>
        <w:pStyle w:val="10"/>
        <w:spacing w:after="0" w:line="360" w:lineRule="auto"/>
        <w:ind w:firstLine="396" w:firstLineChars="189"/>
        <w:contextualSpacing/>
        <w:rPr>
          <w:rFonts w:ascii="宋体" w:hAnsi="宋体" w:cs="宋体"/>
          <w:color w:val="auto"/>
          <w:szCs w:val="21"/>
          <w:highlight w:val="none"/>
        </w:rPr>
      </w:pPr>
      <w:r>
        <w:rPr>
          <w:rFonts w:hint="eastAsia" w:ascii="宋体" w:hAnsi="宋体" w:cs="宋体"/>
          <w:color w:val="auto"/>
          <w:szCs w:val="21"/>
          <w:highlight w:val="none"/>
        </w:rPr>
        <w:t>以上企业，不属于大企业的分支机构，不存在控股股东为大企业的情形，也不存在与大企业的负责人为同一人的情形。</w:t>
      </w:r>
    </w:p>
    <w:p w14:paraId="45559B8E">
      <w:pPr>
        <w:pStyle w:val="10"/>
        <w:spacing w:after="0"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本企业对上述声明内容的真实性负责。如有虚假，将依法承担相应责任。</w:t>
      </w:r>
    </w:p>
    <w:p w14:paraId="31024B3B">
      <w:pPr>
        <w:pStyle w:val="10"/>
        <w:spacing w:after="0" w:line="360" w:lineRule="auto"/>
        <w:contextualSpacing/>
        <w:rPr>
          <w:rFonts w:ascii="宋体" w:hAnsi="宋体" w:cs="宋体"/>
          <w:color w:val="auto"/>
          <w:szCs w:val="21"/>
          <w:highlight w:val="none"/>
        </w:rPr>
      </w:pPr>
    </w:p>
    <w:p w14:paraId="4EDE8018">
      <w:pPr>
        <w:pStyle w:val="10"/>
        <w:spacing w:after="0" w:line="360" w:lineRule="auto"/>
        <w:ind w:firstLine="2940" w:firstLineChars="1400"/>
        <w:contextualSpacing/>
        <w:rPr>
          <w:rFonts w:ascii="宋体" w:hAnsi="宋体" w:cs="宋体"/>
          <w:color w:val="auto"/>
          <w:szCs w:val="21"/>
          <w:highlight w:val="none"/>
          <w:u w:val="single"/>
        </w:rPr>
      </w:pPr>
      <w:r>
        <w:rPr>
          <w:rFonts w:hint="eastAsia" w:ascii="宋体" w:hAnsi="宋体" w:cs="宋体"/>
          <w:color w:val="auto"/>
          <w:szCs w:val="21"/>
          <w:highlight w:val="none"/>
        </w:rPr>
        <w:t xml:space="preserve">企业名称（公章）： </w:t>
      </w:r>
      <w:r>
        <w:rPr>
          <w:rFonts w:hint="eastAsia" w:ascii="宋体" w:hAnsi="宋体" w:cs="宋体"/>
          <w:color w:val="auto"/>
          <w:szCs w:val="21"/>
          <w:highlight w:val="none"/>
          <w:u w:val="single"/>
        </w:rPr>
        <w:t xml:space="preserve">                   </w:t>
      </w:r>
    </w:p>
    <w:p w14:paraId="1310390C">
      <w:pPr>
        <w:pStyle w:val="10"/>
        <w:spacing w:after="0" w:line="360" w:lineRule="auto"/>
        <w:ind w:firstLine="2940" w:firstLineChars="1400"/>
        <w:contextualSpacing/>
        <w:rPr>
          <w:rFonts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年</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月</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日</w:t>
      </w:r>
    </w:p>
    <w:p w14:paraId="4BD33245">
      <w:pPr>
        <w:pStyle w:val="10"/>
        <w:spacing w:after="0" w:line="360" w:lineRule="auto"/>
        <w:contextualSpacing/>
        <w:rPr>
          <w:rFonts w:ascii="宋体" w:hAnsi="宋体" w:cs="宋体"/>
          <w:color w:val="auto"/>
          <w:szCs w:val="21"/>
          <w:highlight w:val="none"/>
        </w:rPr>
      </w:pPr>
    </w:p>
    <w:p w14:paraId="6E81F8AA">
      <w:pPr>
        <w:spacing w:line="360" w:lineRule="auto"/>
        <w:contextualSpacing/>
        <w:jc w:val="left"/>
        <w:rPr>
          <w:rFonts w:ascii="宋体" w:hAnsi="宋体" w:cs="宋体"/>
          <w:b/>
          <w:color w:val="auto"/>
          <w:szCs w:val="21"/>
          <w:highlight w:val="none"/>
        </w:rPr>
      </w:pPr>
      <w:r>
        <w:rPr>
          <w:rFonts w:hint="eastAsia" w:ascii="宋体" w:hAnsi="宋体" w:cs="宋体"/>
          <w:b/>
          <w:color w:val="auto"/>
          <w:szCs w:val="21"/>
          <w:highlight w:val="none"/>
        </w:rPr>
        <w:t>注：</w:t>
      </w:r>
    </w:p>
    <w:p w14:paraId="06D3A4D3">
      <w:pPr>
        <w:spacing w:line="360" w:lineRule="auto"/>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2D74B10C">
      <w:pPr>
        <w:spacing w:line="360" w:lineRule="auto"/>
        <w:contextualSpacing/>
        <w:jc w:val="center"/>
        <w:rPr>
          <w:rFonts w:ascii="宋体" w:hAnsi="宋体" w:cs="宋体"/>
          <w:color w:val="auto"/>
          <w:sz w:val="24"/>
          <w:highlight w:val="none"/>
        </w:rPr>
      </w:pPr>
    </w:p>
    <w:p w14:paraId="6A3420A9">
      <w:pPr>
        <w:spacing w:line="360" w:lineRule="auto"/>
        <w:contextualSpacing/>
        <w:jc w:val="center"/>
        <w:rPr>
          <w:rFonts w:ascii="宋体" w:hAnsi="宋体" w:cs="宋体"/>
          <w:color w:val="auto"/>
          <w:sz w:val="24"/>
          <w:highlight w:val="none"/>
        </w:rPr>
      </w:pPr>
    </w:p>
    <w:p w14:paraId="7C2A7B43">
      <w:pPr>
        <w:spacing w:line="360" w:lineRule="auto"/>
        <w:jc w:val="center"/>
        <w:rPr>
          <w:rFonts w:ascii="宋体" w:hAnsi="宋体" w:cs="宋体"/>
          <w:b/>
          <w:color w:val="auto"/>
          <w:sz w:val="32"/>
          <w:szCs w:val="32"/>
          <w:highlight w:val="none"/>
        </w:rPr>
      </w:pPr>
      <w:r>
        <w:rPr>
          <w:rFonts w:hint="eastAsia" w:hAnsi="宋体" w:cs="宋体"/>
          <w:color w:val="auto"/>
          <w:sz w:val="32"/>
          <w:szCs w:val="32"/>
          <w:highlight w:val="none"/>
        </w:rPr>
        <w:br w:type="page"/>
      </w:r>
      <w:r>
        <w:rPr>
          <w:rFonts w:hint="eastAsia" w:ascii="宋体" w:hAnsi="宋体" w:cs="宋体"/>
          <w:b/>
          <w:color w:val="auto"/>
          <w:sz w:val="24"/>
          <w:highlight w:val="none"/>
        </w:rPr>
        <w:t>残疾人福利性单位声明函</w:t>
      </w:r>
    </w:p>
    <w:p w14:paraId="6E19D40E">
      <w:pPr>
        <w:spacing w:line="360" w:lineRule="auto"/>
        <w:rPr>
          <w:rFonts w:ascii="宋体" w:hAnsi="宋体" w:cs="宋体"/>
          <w:color w:val="auto"/>
          <w:sz w:val="32"/>
          <w:szCs w:val="32"/>
          <w:highlight w:val="none"/>
        </w:rPr>
      </w:pPr>
    </w:p>
    <w:p w14:paraId="06FDDDE1">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Cs w:val="21"/>
          <w:highlight w:val="none"/>
          <w:u w:val="single"/>
        </w:rPr>
        <w:t xml:space="preserve"> （采购人名称） </w:t>
      </w:r>
      <w:r>
        <w:rPr>
          <w:rFonts w:hint="eastAsia" w:ascii="宋体" w:hAnsi="宋体" w:cs="宋体"/>
          <w:color w:val="auto"/>
          <w:szCs w:val="21"/>
          <w:highlight w:val="none"/>
        </w:rPr>
        <w:t>单位的</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10EC84A8">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本单位对上述声明的真实性负责。如有虚假，将依法承担相应责任。</w:t>
      </w:r>
    </w:p>
    <w:p w14:paraId="01D551B1">
      <w:pPr>
        <w:spacing w:line="360" w:lineRule="auto"/>
        <w:contextualSpacing/>
        <w:rPr>
          <w:rFonts w:ascii="宋体" w:hAnsi="宋体" w:cs="宋体"/>
          <w:color w:val="auto"/>
          <w:szCs w:val="21"/>
          <w:highlight w:val="none"/>
        </w:rPr>
      </w:pPr>
    </w:p>
    <w:p w14:paraId="6F952321">
      <w:pPr>
        <w:spacing w:line="360" w:lineRule="auto"/>
        <w:contextualSpacing/>
        <w:rPr>
          <w:rFonts w:ascii="宋体" w:hAnsi="宋体" w:cs="宋体"/>
          <w:color w:val="auto"/>
          <w:szCs w:val="21"/>
          <w:highlight w:val="none"/>
        </w:rPr>
      </w:pPr>
    </w:p>
    <w:p w14:paraId="6C7C6EFB">
      <w:pPr>
        <w:spacing w:line="360" w:lineRule="auto"/>
        <w:contextualSpacing/>
        <w:rPr>
          <w:rFonts w:ascii="宋体" w:hAnsi="宋体" w:cs="宋体"/>
          <w:color w:val="auto"/>
          <w:szCs w:val="21"/>
          <w:highlight w:val="none"/>
        </w:rPr>
      </w:pPr>
    </w:p>
    <w:p w14:paraId="75045624">
      <w:pPr>
        <w:spacing w:line="360" w:lineRule="auto"/>
        <w:ind w:firstLine="3150" w:firstLineChars="1500"/>
        <w:contextualSpacing/>
        <w:rPr>
          <w:rFonts w:ascii="宋体" w:hAnsi="宋体" w:cs="宋体"/>
          <w:color w:val="auto"/>
          <w:szCs w:val="21"/>
          <w:highlight w:val="none"/>
          <w:u w:val="single"/>
        </w:rPr>
      </w:pPr>
      <w:r>
        <w:rPr>
          <w:rFonts w:hint="eastAsia" w:ascii="宋体" w:hAnsi="宋体" w:cs="宋体"/>
          <w:color w:val="auto"/>
          <w:szCs w:val="21"/>
          <w:highlight w:val="none"/>
        </w:rPr>
        <w:t>单位名称（公章）：</w:t>
      </w:r>
      <w:r>
        <w:rPr>
          <w:rFonts w:hint="eastAsia" w:ascii="宋体" w:hAnsi="宋体" w:cs="宋体"/>
          <w:color w:val="auto"/>
          <w:szCs w:val="21"/>
          <w:highlight w:val="none"/>
          <w:u w:val="single"/>
        </w:rPr>
        <w:t xml:space="preserve">                    </w:t>
      </w:r>
    </w:p>
    <w:p w14:paraId="67401BEA">
      <w:pPr>
        <w:spacing w:line="360" w:lineRule="auto"/>
        <w:ind w:firstLine="3150" w:firstLineChars="1500"/>
        <w:contextualSpacing/>
        <w:rPr>
          <w:rFonts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年</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月</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日</w:t>
      </w:r>
    </w:p>
    <w:p w14:paraId="5AB51726">
      <w:pPr>
        <w:spacing w:line="360" w:lineRule="auto"/>
        <w:contextualSpacing/>
        <w:rPr>
          <w:rFonts w:ascii="宋体" w:hAnsi="宋体" w:cs="宋体"/>
          <w:color w:val="auto"/>
          <w:szCs w:val="21"/>
          <w:highlight w:val="none"/>
        </w:rPr>
      </w:pPr>
    </w:p>
    <w:p w14:paraId="20B02464">
      <w:pPr>
        <w:spacing w:line="360" w:lineRule="auto"/>
        <w:contextualSpacing/>
        <w:rPr>
          <w:rFonts w:ascii="宋体" w:hAnsi="宋体" w:cs="宋体"/>
          <w:color w:val="auto"/>
          <w:szCs w:val="21"/>
          <w:highlight w:val="none"/>
        </w:rPr>
      </w:pPr>
    </w:p>
    <w:p w14:paraId="4C96616E">
      <w:pPr>
        <w:spacing w:line="360" w:lineRule="auto"/>
        <w:contextualSpacing/>
        <w:rPr>
          <w:rFonts w:ascii="宋体" w:hAnsi="宋体" w:cs="宋体"/>
          <w:color w:val="auto"/>
          <w:szCs w:val="21"/>
          <w:highlight w:val="none"/>
        </w:rPr>
      </w:pPr>
    </w:p>
    <w:p w14:paraId="152F8814">
      <w:pPr>
        <w:spacing w:line="360" w:lineRule="auto"/>
        <w:contextualSpacing/>
        <w:rPr>
          <w:rFonts w:ascii="宋体" w:hAnsi="宋体" w:cs="宋体"/>
          <w:b/>
          <w:color w:val="auto"/>
          <w:szCs w:val="21"/>
          <w:highlight w:val="none"/>
        </w:rPr>
      </w:pPr>
      <w:r>
        <w:rPr>
          <w:rFonts w:hint="eastAsia" w:ascii="宋体" w:hAnsi="宋体" w:cs="宋体"/>
          <w:b/>
          <w:color w:val="auto"/>
          <w:szCs w:val="21"/>
          <w:highlight w:val="none"/>
        </w:rPr>
        <w:t>注：</w:t>
      </w:r>
    </w:p>
    <w:p w14:paraId="28DDD603">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请根据自己的真实情况出具《残疾人福利性单位声明函》。依法享受中小企业优惠政策的，采购人或者采购代理机构在公告中标结果时，同时公告其《残疾人福利性单位声明函》，接受社会监督。</w:t>
      </w:r>
    </w:p>
    <w:p w14:paraId="7BC7C2DF">
      <w:pPr>
        <w:numPr>
          <w:ilvl w:val="255"/>
          <w:numId w:val="0"/>
        </w:numPr>
        <w:snapToGrid w:val="0"/>
        <w:spacing w:line="500" w:lineRule="exact"/>
        <w:rPr>
          <w:rFonts w:ascii="宋体" w:hAnsi="宋体" w:cs="宋体"/>
          <w:b/>
          <w:bCs/>
          <w:color w:val="auto"/>
          <w:sz w:val="24"/>
          <w:highlight w:val="none"/>
        </w:rPr>
      </w:pPr>
    </w:p>
    <w:p w14:paraId="76A0ECFB">
      <w:pPr>
        <w:numPr>
          <w:ilvl w:val="255"/>
          <w:numId w:val="0"/>
        </w:numPr>
        <w:rPr>
          <w:rFonts w:ascii="宋体" w:hAnsi="宋体" w:cs="宋体"/>
          <w:b/>
          <w:bCs/>
          <w:color w:val="auto"/>
          <w:sz w:val="24"/>
          <w:highlight w:val="none"/>
        </w:rPr>
      </w:pPr>
      <w:r>
        <w:rPr>
          <w:rFonts w:hint="eastAsia" w:ascii="宋体" w:hAnsi="宋体" w:cs="宋体"/>
          <w:b/>
          <w:bCs/>
          <w:color w:val="auto"/>
          <w:sz w:val="24"/>
          <w:highlight w:val="none"/>
        </w:rPr>
        <w:br w:type="page"/>
      </w:r>
    </w:p>
    <w:p w14:paraId="65B2985C">
      <w:pPr>
        <w:numPr>
          <w:ilvl w:val="255"/>
          <w:numId w:val="0"/>
        </w:numPr>
        <w:snapToGrid w:val="0"/>
        <w:spacing w:line="500" w:lineRule="exact"/>
        <w:rPr>
          <w:rFonts w:ascii="宋体" w:hAnsi="宋体" w:cs="宋体"/>
          <w:b/>
          <w:bCs/>
          <w:color w:val="auto"/>
          <w:sz w:val="24"/>
          <w:highlight w:val="none"/>
        </w:rPr>
      </w:pPr>
      <w:r>
        <w:rPr>
          <w:rFonts w:hint="eastAsia" w:ascii="宋体" w:hAnsi="宋体" w:cs="宋体"/>
          <w:b/>
          <w:bCs/>
          <w:color w:val="auto"/>
          <w:sz w:val="24"/>
          <w:highlight w:val="none"/>
        </w:rPr>
        <w:t>8.竞争性谈判公告中特定资格要求的资格证明材料</w:t>
      </w:r>
    </w:p>
    <w:p w14:paraId="0F861544">
      <w:pPr>
        <w:pStyle w:val="44"/>
        <w:rPr>
          <w:color w:val="auto"/>
          <w:highlight w:val="none"/>
        </w:rPr>
      </w:pPr>
    </w:p>
    <w:p w14:paraId="74F2CF17">
      <w:pPr>
        <w:pStyle w:val="44"/>
        <w:rPr>
          <w:color w:val="auto"/>
          <w:highlight w:val="none"/>
        </w:rPr>
      </w:pPr>
    </w:p>
    <w:p w14:paraId="52497C7B">
      <w:pPr>
        <w:pStyle w:val="44"/>
        <w:rPr>
          <w:color w:val="auto"/>
          <w:highlight w:val="none"/>
        </w:rPr>
      </w:pPr>
    </w:p>
    <w:p w14:paraId="7BD408B0">
      <w:pPr>
        <w:pStyle w:val="44"/>
        <w:rPr>
          <w:rFonts w:ascii="宋体" w:hAnsi="宋体" w:cs="宋体"/>
          <w:b/>
          <w:bCs/>
          <w:color w:val="auto"/>
          <w:sz w:val="24"/>
          <w:szCs w:val="24"/>
          <w:highlight w:val="none"/>
        </w:rPr>
      </w:pPr>
      <w:r>
        <w:rPr>
          <w:rFonts w:hint="eastAsia" w:ascii="宋体" w:hAnsi="宋体" w:cs="宋体"/>
          <w:b/>
          <w:bCs/>
          <w:color w:val="auto"/>
          <w:sz w:val="24"/>
          <w:szCs w:val="24"/>
          <w:highlight w:val="none"/>
        </w:rPr>
        <w:t>9.谈判保证金提交凭证</w:t>
      </w:r>
    </w:p>
    <w:p w14:paraId="7C1602CF">
      <w:pPr>
        <w:pStyle w:val="44"/>
        <w:rPr>
          <w:color w:val="auto"/>
          <w:highlight w:val="none"/>
        </w:rPr>
      </w:pPr>
    </w:p>
    <w:p w14:paraId="5C3CCC15">
      <w:pPr>
        <w:pStyle w:val="44"/>
        <w:rPr>
          <w:color w:val="auto"/>
          <w:highlight w:val="none"/>
        </w:rPr>
      </w:pPr>
    </w:p>
    <w:p w14:paraId="15C547CF">
      <w:pPr>
        <w:snapToGrid w:val="0"/>
        <w:spacing w:line="500" w:lineRule="exact"/>
        <w:rPr>
          <w:rFonts w:ascii="宋体" w:hAnsi="宋体" w:cs="宋体"/>
          <w:b/>
          <w:bCs/>
          <w:color w:val="auto"/>
          <w:sz w:val="24"/>
          <w:highlight w:val="none"/>
        </w:rPr>
      </w:pPr>
    </w:p>
    <w:p w14:paraId="55DE6257">
      <w:pPr>
        <w:snapToGrid w:val="0"/>
        <w:spacing w:line="500" w:lineRule="exact"/>
        <w:rPr>
          <w:rFonts w:ascii="宋体" w:hAnsi="宋体" w:cs="宋体"/>
          <w:b/>
          <w:bCs/>
          <w:color w:val="auto"/>
          <w:sz w:val="24"/>
          <w:highlight w:val="none"/>
        </w:rPr>
      </w:pPr>
      <w:r>
        <w:rPr>
          <w:rFonts w:hint="eastAsia" w:ascii="宋体" w:hAnsi="宋体" w:cs="宋体"/>
          <w:b/>
          <w:bCs/>
          <w:color w:val="auto"/>
          <w:sz w:val="24"/>
          <w:highlight w:val="none"/>
        </w:rPr>
        <w:t>10.除谈判文件规定必须提供以外，供应商认为需要提供的其他证明材料。</w:t>
      </w:r>
    </w:p>
    <w:p w14:paraId="4135F034">
      <w:pPr>
        <w:spacing w:line="480" w:lineRule="auto"/>
        <w:contextualSpacing/>
        <w:jc w:val="left"/>
        <w:rPr>
          <w:rFonts w:ascii="宋体" w:hAnsi="宋体" w:cs="宋体"/>
          <w:b/>
          <w:color w:val="auto"/>
          <w:sz w:val="32"/>
          <w:szCs w:val="32"/>
          <w:highlight w:val="none"/>
        </w:rPr>
      </w:pPr>
      <w:r>
        <w:rPr>
          <w:rFonts w:hint="eastAsia" w:ascii="宋体" w:hAnsi="宋体" w:cs="宋体"/>
          <w:color w:val="auto"/>
          <w:szCs w:val="21"/>
          <w:highlight w:val="none"/>
        </w:rPr>
        <w:br w:type="page"/>
      </w:r>
      <w:r>
        <w:rPr>
          <w:rFonts w:hint="eastAsia" w:ascii="宋体" w:hAnsi="宋体" w:cs="宋体"/>
          <w:b/>
          <w:bCs/>
          <w:color w:val="auto"/>
          <w:sz w:val="32"/>
          <w:szCs w:val="32"/>
          <w:highlight w:val="none"/>
        </w:rPr>
        <w:t>二、</w:t>
      </w:r>
      <w:r>
        <w:rPr>
          <w:rFonts w:hint="eastAsia" w:ascii="宋体" w:hAnsi="宋体" w:cs="宋体"/>
          <w:b/>
          <w:color w:val="auto"/>
          <w:sz w:val="32"/>
          <w:szCs w:val="32"/>
          <w:highlight w:val="none"/>
        </w:rPr>
        <w:t xml:space="preserve">报价文件格式 </w:t>
      </w:r>
    </w:p>
    <w:p w14:paraId="4D4CD388">
      <w:pPr>
        <w:snapToGrid w:val="0"/>
        <w:spacing w:line="48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t>报价文件封面格式</w:t>
      </w:r>
    </w:p>
    <w:p w14:paraId="175BDDA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3A540473">
      <w:pPr>
        <w:snapToGrid w:val="0"/>
        <w:spacing w:line="360" w:lineRule="auto"/>
        <w:rPr>
          <w:rFonts w:ascii="宋体" w:hAnsi="宋体" w:cs="宋体"/>
          <w:color w:val="auto"/>
          <w:sz w:val="24"/>
          <w:highlight w:val="none"/>
        </w:rPr>
      </w:pPr>
    </w:p>
    <w:p w14:paraId="443B7802">
      <w:pPr>
        <w:snapToGrid w:val="0"/>
        <w:spacing w:line="360" w:lineRule="auto"/>
        <w:rPr>
          <w:rFonts w:ascii="宋体" w:hAnsi="宋体" w:cs="宋体"/>
          <w:color w:val="auto"/>
          <w:sz w:val="24"/>
          <w:szCs w:val="20"/>
          <w:highlight w:val="none"/>
        </w:rPr>
      </w:pPr>
    </w:p>
    <w:p w14:paraId="656C0B9F">
      <w:pPr>
        <w:snapToGrid w:val="0"/>
        <w:spacing w:line="360" w:lineRule="auto"/>
        <w:rPr>
          <w:rFonts w:ascii="宋体" w:hAnsi="宋体" w:cs="宋体"/>
          <w:color w:val="auto"/>
          <w:sz w:val="24"/>
          <w:szCs w:val="20"/>
          <w:highlight w:val="none"/>
        </w:rPr>
      </w:pPr>
    </w:p>
    <w:p w14:paraId="7D06BC08">
      <w:pPr>
        <w:snapToGrid w:val="0"/>
        <w:spacing w:before="159" w:beforeLines="50" w:after="50" w:line="360" w:lineRule="auto"/>
        <w:jc w:val="center"/>
        <w:rPr>
          <w:rFonts w:ascii="微软雅黑" w:hAnsi="微软雅黑" w:eastAsia="微软雅黑" w:cs="微软雅黑"/>
          <w:bCs/>
          <w:color w:val="auto"/>
          <w:sz w:val="44"/>
          <w:szCs w:val="44"/>
          <w:highlight w:val="none"/>
        </w:rPr>
      </w:pPr>
      <w:r>
        <w:rPr>
          <w:rFonts w:hint="eastAsia" w:ascii="微软雅黑" w:hAnsi="微软雅黑" w:eastAsia="微软雅黑" w:cs="微软雅黑"/>
          <w:bCs/>
          <w:color w:val="auto"/>
          <w:sz w:val="44"/>
          <w:szCs w:val="44"/>
          <w:highlight w:val="none"/>
        </w:rPr>
        <w:t>报价文件</w:t>
      </w:r>
    </w:p>
    <w:p w14:paraId="066886FB">
      <w:pPr>
        <w:snapToGrid w:val="0"/>
        <w:spacing w:line="360" w:lineRule="auto"/>
        <w:rPr>
          <w:rFonts w:ascii="宋体" w:hAnsi="宋体" w:cs="宋体"/>
          <w:bCs/>
          <w:color w:val="auto"/>
          <w:sz w:val="28"/>
          <w:szCs w:val="28"/>
          <w:highlight w:val="none"/>
        </w:rPr>
      </w:pPr>
    </w:p>
    <w:p w14:paraId="730EF943">
      <w:pPr>
        <w:snapToGrid w:val="0"/>
        <w:spacing w:line="360" w:lineRule="auto"/>
        <w:rPr>
          <w:rFonts w:ascii="宋体" w:hAnsi="宋体" w:cs="宋体"/>
          <w:bCs/>
          <w:color w:val="auto"/>
          <w:sz w:val="28"/>
          <w:szCs w:val="28"/>
          <w:highlight w:val="none"/>
        </w:rPr>
      </w:pPr>
    </w:p>
    <w:p w14:paraId="31123555">
      <w:pPr>
        <w:snapToGrid w:val="0"/>
        <w:spacing w:line="360" w:lineRule="auto"/>
        <w:ind w:firstLine="1680" w:firstLineChars="600"/>
        <w:rPr>
          <w:rFonts w:ascii="宋体" w:hAnsi="宋体" w:cs="宋体"/>
          <w:bCs/>
          <w:color w:val="auto"/>
          <w:sz w:val="28"/>
          <w:szCs w:val="28"/>
          <w:highlight w:val="none"/>
        </w:rPr>
      </w:pPr>
    </w:p>
    <w:p w14:paraId="15713D57">
      <w:pPr>
        <w:snapToGrid w:val="0"/>
        <w:spacing w:line="360" w:lineRule="auto"/>
        <w:ind w:firstLine="1680" w:firstLineChars="600"/>
        <w:rPr>
          <w:rFonts w:ascii="宋体" w:hAnsi="宋体" w:cs="宋体"/>
          <w:bCs/>
          <w:color w:val="auto"/>
          <w:sz w:val="28"/>
          <w:szCs w:val="28"/>
          <w:highlight w:val="none"/>
        </w:rPr>
      </w:pPr>
    </w:p>
    <w:p w14:paraId="67B56533">
      <w:pPr>
        <w:snapToGrid w:val="0"/>
        <w:spacing w:line="360" w:lineRule="auto"/>
        <w:ind w:firstLine="1680" w:firstLineChars="600"/>
        <w:rPr>
          <w:rFonts w:ascii="宋体" w:hAnsi="宋体" w:cs="宋体"/>
          <w:bCs/>
          <w:color w:val="auto"/>
          <w:sz w:val="28"/>
          <w:szCs w:val="28"/>
          <w:highlight w:val="none"/>
        </w:rPr>
      </w:pPr>
    </w:p>
    <w:p w14:paraId="207D7461">
      <w:pPr>
        <w:snapToGrid w:val="0"/>
        <w:spacing w:line="480" w:lineRule="auto"/>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项目名称：</w:t>
      </w:r>
    </w:p>
    <w:p w14:paraId="07E67C97">
      <w:pPr>
        <w:snapToGrid w:val="0"/>
        <w:spacing w:line="480" w:lineRule="auto"/>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 xml:space="preserve">项目编号： </w:t>
      </w:r>
    </w:p>
    <w:p w14:paraId="30466E0B">
      <w:pPr>
        <w:snapToGrid w:val="0"/>
        <w:spacing w:line="480" w:lineRule="auto"/>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所竞分标（如有）：</w:t>
      </w:r>
    </w:p>
    <w:p w14:paraId="18F876E3">
      <w:pPr>
        <w:pStyle w:val="6"/>
        <w:snapToGrid w:val="0"/>
        <w:spacing w:line="480" w:lineRule="auto"/>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供应商名称：</w:t>
      </w:r>
    </w:p>
    <w:p w14:paraId="0EF5A29B">
      <w:pPr>
        <w:pStyle w:val="6"/>
        <w:snapToGrid w:val="0"/>
        <w:spacing w:line="480" w:lineRule="auto"/>
        <w:ind w:firstLine="1680" w:firstLineChars="600"/>
        <w:rPr>
          <w:rFonts w:ascii="宋体" w:hAnsi="宋体" w:cs="宋体"/>
          <w:bCs/>
          <w:color w:val="auto"/>
          <w:sz w:val="28"/>
          <w:szCs w:val="28"/>
          <w:highlight w:val="none"/>
        </w:rPr>
      </w:pPr>
    </w:p>
    <w:p w14:paraId="006BDA5F">
      <w:pPr>
        <w:snapToGrid w:val="0"/>
        <w:spacing w:line="48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年    月    日</w:t>
      </w:r>
    </w:p>
    <w:p w14:paraId="44A51B9E">
      <w:pPr>
        <w:snapToGrid w:val="0"/>
        <w:spacing w:line="480" w:lineRule="auto"/>
        <w:jc w:val="left"/>
        <w:rPr>
          <w:rFonts w:ascii="宋体" w:hAnsi="宋体" w:cs="宋体"/>
          <w:b/>
          <w:bCs/>
          <w:color w:val="auto"/>
          <w:sz w:val="24"/>
          <w:highlight w:val="none"/>
        </w:rPr>
      </w:pPr>
      <w:r>
        <w:rPr>
          <w:rFonts w:hint="eastAsia" w:ascii="宋体" w:hAnsi="宋体" w:cs="宋体"/>
          <w:color w:val="auto"/>
          <w:sz w:val="28"/>
          <w:szCs w:val="28"/>
          <w:highlight w:val="none"/>
        </w:rPr>
        <w:br w:type="page"/>
      </w:r>
      <w:r>
        <w:rPr>
          <w:rFonts w:hint="eastAsia" w:ascii="宋体" w:hAnsi="宋体" w:cs="宋体"/>
          <w:b/>
          <w:bCs/>
          <w:color w:val="auto"/>
          <w:sz w:val="24"/>
          <w:highlight w:val="none"/>
        </w:rPr>
        <w:t>报价文件目录</w:t>
      </w:r>
    </w:p>
    <w:p w14:paraId="0D216394">
      <w:pPr>
        <w:snapToGrid w:val="0"/>
        <w:spacing w:line="48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根据谈判文件规定及供应商提供的材料自行编写目录（部分格式后附）。</w:t>
      </w:r>
    </w:p>
    <w:p w14:paraId="54F5E846">
      <w:pPr>
        <w:spacing w:line="360" w:lineRule="auto"/>
        <w:rPr>
          <w:rFonts w:ascii="宋体" w:hAnsi="宋体" w:cs="宋体"/>
          <w:color w:val="auto"/>
          <w:sz w:val="32"/>
          <w:szCs w:val="32"/>
          <w:highlight w:val="none"/>
        </w:rPr>
      </w:pPr>
    </w:p>
    <w:p w14:paraId="705DB654">
      <w:pPr>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br w:type="page"/>
      </w:r>
    </w:p>
    <w:p w14:paraId="3DBDF0A2">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1.无串通参与竞争性谈判行为的承诺函</w:t>
      </w:r>
    </w:p>
    <w:p w14:paraId="03BE80A7">
      <w:pPr>
        <w:spacing w:line="360" w:lineRule="auto"/>
        <w:jc w:val="center"/>
        <w:rPr>
          <w:rFonts w:ascii="宋体" w:hAnsi="宋体" w:cs="宋体"/>
          <w:b/>
          <w:color w:val="auto"/>
          <w:sz w:val="24"/>
          <w:highlight w:val="none"/>
        </w:rPr>
      </w:pPr>
    </w:p>
    <w:p w14:paraId="78DCB884">
      <w:pPr>
        <w:spacing w:line="360" w:lineRule="auto"/>
        <w:jc w:val="center"/>
        <w:rPr>
          <w:rFonts w:ascii="宋体" w:hAnsi="宋体" w:cs="宋体"/>
          <w:b/>
          <w:color w:val="auto"/>
          <w:sz w:val="32"/>
          <w:szCs w:val="32"/>
          <w:highlight w:val="none"/>
        </w:rPr>
      </w:pPr>
      <w:r>
        <w:rPr>
          <w:rFonts w:hint="eastAsia" w:ascii="宋体" w:hAnsi="宋体" w:cs="宋体"/>
          <w:b/>
          <w:color w:val="auto"/>
          <w:sz w:val="24"/>
          <w:highlight w:val="none"/>
        </w:rPr>
        <w:t>无串通参与竞争性谈判行为的承诺函</w:t>
      </w:r>
    </w:p>
    <w:p w14:paraId="469FA028">
      <w:pPr>
        <w:spacing w:line="360" w:lineRule="auto"/>
        <w:ind w:firstLine="640" w:firstLineChars="200"/>
        <w:contextualSpacing/>
        <w:rPr>
          <w:rFonts w:ascii="宋体" w:hAnsi="宋体" w:cs="宋体"/>
          <w:color w:val="auto"/>
          <w:sz w:val="32"/>
          <w:szCs w:val="32"/>
          <w:highlight w:val="none"/>
        </w:rPr>
      </w:pPr>
    </w:p>
    <w:p w14:paraId="74CFF046">
      <w:pPr>
        <w:spacing w:line="360" w:lineRule="auto"/>
        <w:ind w:firstLine="422" w:firstLineChars="200"/>
        <w:contextualSpacing/>
        <w:rPr>
          <w:rFonts w:ascii="宋体" w:hAnsi="宋体" w:cs="宋体"/>
          <w:b/>
          <w:bCs/>
          <w:color w:val="auto"/>
          <w:szCs w:val="21"/>
          <w:highlight w:val="none"/>
        </w:rPr>
      </w:pPr>
      <w:r>
        <w:rPr>
          <w:rFonts w:hint="eastAsia" w:ascii="宋体" w:hAnsi="宋体" w:cs="宋体"/>
          <w:b/>
          <w:bCs/>
          <w:color w:val="auto"/>
          <w:szCs w:val="21"/>
          <w:highlight w:val="none"/>
        </w:rPr>
        <w:t>一、我方承诺无下列相互串通参与</w:t>
      </w:r>
      <w:r>
        <w:rPr>
          <w:rFonts w:hint="eastAsia" w:ascii="宋体" w:hAnsi="宋体" w:cs="宋体"/>
          <w:b/>
          <w:color w:val="auto"/>
          <w:szCs w:val="21"/>
          <w:highlight w:val="none"/>
        </w:rPr>
        <w:t>竞争性谈判</w:t>
      </w:r>
      <w:r>
        <w:rPr>
          <w:rFonts w:hint="eastAsia" w:ascii="宋体" w:hAnsi="宋体" w:cs="宋体"/>
          <w:b/>
          <w:bCs/>
          <w:color w:val="auto"/>
          <w:szCs w:val="21"/>
          <w:highlight w:val="none"/>
        </w:rPr>
        <w:t>的情形：</w:t>
      </w:r>
    </w:p>
    <w:p w14:paraId="104777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1.不同供应商的响应文件由同一单位或者个人编制；或不同供应商报名的IP地址一致的；或者编制响应文件硬件设备CPU编号、硬盘编号、网卡地址一致的情况；</w:t>
      </w:r>
    </w:p>
    <w:p w14:paraId="623F63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2.不同供应商委托同一单位或者个人办理竞争性谈判事宜；</w:t>
      </w:r>
    </w:p>
    <w:p w14:paraId="6B92321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6FF4F12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781CB3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3986A7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6.不同供应商的谈判保证金从同一单位或者个人账户转出；</w:t>
      </w:r>
    </w:p>
    <w:p w14:paraId="2B1B432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7.供应商之间协商报价等响应文件的实质性内容；</w:t>
      </w:r>
    </w:p>
    <w:p w14:paraId="2377E0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8.供应商之间约定成交供应商；</w:t>
      </w:r>
    </w:p>
    <w:p w14:paraId="2EDA5ED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9.供应商之间约定部分供应商放弃参与竞争性谈判或者成交；</w:t>
      </w:r>
    </w:p>
    <w:p w14:paraId="1C666C6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10.属于同一集团、协会、商会等组织成员的供应商按照该组织要求协同参与竞争性谈判；</w:t>
      </w:r>
    </w:p>
    <w:p w14:paraId="0E3BEF5E">
      <w:pPr>
        <w:spacing w:line="360" w:lineRule="auto"/>
        <w:ind w:firstLine="420" w:firstLineChars="200"/>
        <w:contextualSpacing/>
        <w:rPr>
          <w:rFonts w:ascii="宋体" w:hAnsi="宋体" w:cs="宋体"/>
          <w:b/>
          <w:bCs/>
          <w:color w:val="auto"/>
          <w:szCs w:val="21"/>
          <w:highlight w:val="none"/>
        </w:rPr>
      </w:pPr>
      <w:r>
        <w:rPr>
          <w:rFonts w:hint="eastAsia" w:ascii="宋体" w:hAnsi="宋体" w:cs="宋体"/>
          <w:color w:val="auto"/>
          <w:szCs w:val="21"/>
          <w:highlight w:val="none"/>
        </w:rPr>
        <w:t>11.供应商之间为谋取成交或者排斥特定供应商而采取的其他联合行动。</w:t>
      </w:r>
    </w:p>
    <w:p w14:paraId="69547050">
      <w:pPr>
        <w:spacing w:line="360" w:lineRule="auto"/>
        <w:ind w:firstLine="422" w:firstLineChars="200"/>
        <w:contextualSpacing/>
        <w:rPr>
          <w:rFonts w:ascii="宋体" w:hAnsi="宋体" w:cs="宋体"/>
          <w:b/>
          <w:bCs/>
          <w:color w:val="auto"/>
          <w:szCs w:val="21"/>
          <w:highlight w:val="none"/>
        </w:rPr>
      </w:pPr>
      <w:r>
        <w:rPr>
          <w:rFonts w:hint="eastAsia" w:ascii="宋体" w:hAnsi="宋体" w:cs="宋体"/>
          <w:b/>
          <w:bCs/>
          <w:color w:val="auto"/>
          <w:szCs w:val="21"/>
          <w:highlight w:val="none"/>
        </w:rPr>
        <w:t>二、我方承诺无下列恶意串通的情形：</w:t>
      </w:r>
    </w:p>
    <w:p w14:paraId="6765AE76">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42E2D94E">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13B76985">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3.供</w:t>
      </w:r>
      <w:r>
        <w:rPr>
          <w:rFonts w:hint="eastAsia" w:ascii="宋体" w:hAnsi="宋体" w:cs="宋体"/>
          <w:color w:val="auto"/>
          <w:spacing w:val="-6"/>
          <w:szCs w:val="21"/>
          <w:highlight w:val="none"/>
        </w:rPr>
        <w:t>应商之间协商报价、技术方案等响应文件的实质性内容；</w:t>
      </w:r>
    </w:p>
    <w:p w14:paraId="7E57C12B">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079A951F">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5.供应商之间事先约定一致抬高或者压低竞争性谈判报价,或者在竞争性谈判项目中事先约定轮流以高价位或者低价位成交,或者事先约定由某一特定供应商成交,然后再参加竞争性谈判；</w:t>
      </w:r>
    </w:p>
    <w:p w14:paraId="50577B89">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472B163A">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w:t>
      </w:r>
      <w:r>
        <w:rPr>
          <w:rFonts w:hint="eastAsia" w:ascii="宋体" w:hAnsi="宋体" w:cs="宋体"/>
          <w:color w:val="auto"/>
          <w:spacing w:val="-6"/>
          <w:szCs w:val="21"/>
          <w:highlight w:val="none"/>
        </w:rPr>
        <w:t>谋求特定供应商成交或者排斥其他供应商的其他串通行为。</w:t>
      </w:r>
    </w:p>
    <w:p w14:paraId="5B0098A5">
      <w:pPr>
        <w:spacing w:line="360" w:lineRule="auto"/>
        <w:ind w:firstLine="420" w:firstLineChars="200"/>
        <w:contextualSpacing/>
        <w:rPr>
          <w:rFonts w:ascii="宋体" w:hAnsi="宋体" w:cs="宋体"/>
          <w:color w:val="auto"/>
          <w:szCs w:val="21"/>
          <w:highlight w:val="none"/>
        </w:rPr>
      </w:pPr>
    </w:p>
    <w:p w14:paraId="40ECC929">
      <w:pPr>
        <w:spacing w:line="360" w:lineRule="auto"/>
        <w:ind w:firstLine="422" w:firstLineChars="200"/>
        <w:contextualSpacing/>
        <w:rPr>
          <w:rFonts w:ascii="宋体" w:hAnsi="宋体" w:cs="宋体"/>
          <w:b/>
          <w:bCs/>
          <w:color w:val="auto"/>
          <w:szCs w:val="21"/>
          <w:highlight w:val="none"/>
        </w:rPr>
      </w:pPr>
      <w:r>
        <w:rPr>
          <w:rFonts w:hint="eastAsia" w:ascii="宋体" w:hAnsi="宋体" w:cs="宋体"/>
          <w:b/>
          <w:bCs/>
          <w:color w:val="auto"/>
          <w:szCs w:val="21"/>
          <w:highlight w:val="none"/>
        </w:rPr>
        <w:t>以上情形一经核查属实，我方愿意承担一切后果，并不再寻求任何旨在减轻或者免除法律责任的辩解。</w:t>
      </w:r>
    </w:p>
    <w:p w14:paraId="56EDEDDA">
      <w:pPr>
        <w:spacing w:line="360" w:lineRule="auto"/>
        <w:ind w:firstLine="420" w:firstLineChars="200"/>
        <w:contextualSpacing/>
        <w:rPr>
          <w:rFonts w:ascii="宋体" w:hAnsi="宋体" w:cs="宋体"/>
          <w:color w:val="auto"/>
          <w:szCs w:val="21"/>
          <w:highlight w:val="none"/>
        </w:rPr>
      </w:pPr>
    </w:p>
    <w:p w14:paraId="00CABABC">
      <w:pPr>
        <w:spacing w:line="360" w:lineRule="auto"/>
        <w:ind w:firstLine="3150" w:firstLineChars="1500"/>
        <w:contextualSpacing/>
        <w:rPr>
          <w:rFonts w:ascii="宋体" w:hAnsi="宋体" w:cs="宋体"/>
          <w:color w:val="auto"/>
          <w:szCs w:val="21"/>
          <w:highlight w:val="none"/>
          <w:u w:val="single"/>
        </w:rPr>
      </w:pPr>
      <w:r>
        <w:rPr>
          <w:rFonts w:hint="eastAsia" w:ascii="宋体" w:hAnsi="宋体" w:cs="宋体"/>
          <w:color w:val="auto"/>
          <w:szCs w:val="21"/>
          <w:highlight w:val="none"/>
        </w:rPr>
        <w:t>供应商（公章</w:t>
      </w:r>
      <w:r>
        <w:rPr>
          <w:rFonts w:hint="eastAsia" w:ascii="宋体" w:hAnsi="宋体" w:cs="仿宋_GB2312"/>
          <w:color w:val="auto"/>
          <w:szCs w:val="21"/>
          <w:highlight w:val="none"/>
        </w:rPr>
        <w:t>或</w:t>
      </w:r>
      <w:r>
        <w:rPr>
          <w:rFonts w:hint="eastAsia" w:ascii="宋体" w:hAnsi="宋体" w:cs="宋体"/>
          <w:color w:val="auto"/>
          <w:szCs w:val="21"/>
          <w:highlight w:val="none"/>
        </w:rPr>
        <w:t>CA签章）：</w:t>
      </w:r>
      <w:r>
        <w:rPr>
          <w:rFonts w:hint="eastAsia" w:ascii="宋体" w:hAnsi="宋体" w:cs="宋体"/>
          <w:color w:val="auto"/>
          <w:szCs w:val="21"/>
          <w:highlight w:val="none"/>
          <w:u w:val="single"/>
        </w:rPr>
        <w:t xml:space="preserve">                  </w:t>
      </w:r>
    </w:p>
    <w:p w14:paraId="7C6A7F68">
      <w:pPr>
        <w:spacing w:line="360" w:lineRule="auto"/>
        <w:ind w:firstLine="420" w:firstLineChars="200"/>
        <w:contextualSpacing/>
        <w:jc w:val="center"/>
        <w:rPr>
          <w:rFonts w:ascii="宋体" w:hAnsi="宋体" w:cs="宋体"/>
          <w:color w:val="auto"/>
          <w:szCs w:val="21"/>
          <w:highlight w:val="none"/>
        </w:rPr>
      </w:pPr>
      <w:r>
        <w:rPr>
          <w:rFonts w:hint="eastAsia" w:ascii="宋体" w:hAnsi="宋体" w:cs="宋体"/>
          <w:color w:val="auto"/>
          <w:szCs w:val="21"/>
          <w:highlight w:val="none"/>
        </w:rPr>
        <w:t xml:space="preserve">                              日期：</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年</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月</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日</w:t>
      </w:r>
    </w:p>
    <w:p w14:paraId="02C53B5D">
      <w:pPr>
        <w:jc w:val="left"/>
        <w:rPr>
          <w:rFonts w:ascii="宋体" w:hAnsi="宋体" w:cs="宋体"/>
          <w:b/>
          <w:bCs/>
          <w:color w:val="auto"/>
          <w:sz w:val="44"/>
          <w:szCs w:val="44"/>
          <w:highlight w:val="none"/>
        </w:rPr>
      </w:pPr>
      <w:r>
        <w:rPr>
          <w:rFonts w:hint="eastAsia" w:ascii="宋体" w:hAnsi="宋体" w:cs="宋体"/>
          <w:b/>
          <w:bCs/>
          <w:color w:val="auto"/>
          <w:sz w:val="44"/>
          <w:szCs w:val="44"/>
          <w:highlight w:val="none"/>
        </w:rPr>
        <w:br w:type="page"/>
      </w:r>
    </w:p>
    <w:p w14:paraId="4361AD47">
      <w:pPr>
        <w:tabs>
          <w:tab w:val="left" w:pos="3479"/>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2.竞争性谈判报价表</w:t>
      </w:r>
    </w:p>
    <w:p w14:paraId="1CA6B311">
      <w:pPr>
        <w:tabs>
          <w:tab w:val="left" w:pos="3479"/>
        </w:tabs>
        <w:spacing w:line="360" w:lineRule="auto"/>
        <w:jc w:val="center"/>
        <w:rPr>
          <w:rFonts w:ascii="宋体" w:hAnsi="宋体" w:cs="宋体"/>
          <w:b/>
          <w:bCs/>
          <w:color w:val="auto"/>
          <w:sz w:val="32"/>
          <w:szCs w:val="32"/>
          <w:highlight w:val="none"/>
        </w:rPr>
      </w:pPr>
      <w:r>
        <w:rPr>
          <w:rFonts w:hint="eastAsia" w:ascii="宋体" w:hAnsi="宋体" w:cs="宋体"/>
          <w:b/>
          <w:bCs/>
          <w:color w:val="auto"/>
          <w:sz w:val="24"/>
          <w:highlight w:val="none"/>
        </w:rPr>
        <w:t>竞争性谈判报价表</w:t>
      </w:r>
    </w:p>
    <w:p w14:paraId="423062F9">
      <w:pPr>
        <w:spacing w:line="360" w:lineRule="auto"/>
        <w:jc w:val="center"/>
        <w:rPr>
          <w:rFonts w:ascii="宋体" w:hAnsi="宋体" w:cs="宋体"/>
          <w:bCs/>
          <w:color w:val="auto"/>
          <w:sz w:val="24"/>
          <w:highlight w:val="none"/>
        </w:rPr>
      </w:pPr>
    </w:p>
    <w:p w14:paraId="5551D574">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分标（如有）：</w:t>
      </w:r>
      <w:r>
        <w:rPr>
          <w:rFonts w:hint="eastAsia" w:ascii="宋体" w:hAnsi="宋体" w:cs="宋体"/>
          <w:color w:val="auto"/>
          <w:szCs w:val="21"/>
          <w:highlight w:val="none"/>
          <w:u w:val="single"/>
        </w:rPr>
        <w:t xml:space="preserve">            </w:t>
      </w:r>
    </w:p>
    <w:p w14:paraId="3F76ABAA">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供应商名称：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6A48182">
      <w:pPr>
        <w:snapToGrid w:val="0"/>
        <w:spacing w:line="360" w:lineRule="auto"/>
        <w:ind w:firstLine="4830" w:firstLineChars="2300"/>
        <w:rPr>
          <w:rFonts w:ascii="宋体" w:hAnsi="宋体" w:cs="宋体"/>
          <w:color w:val="auto"/>
          <w:szCs w:val="21"/>
          <w:highlight w:val="none"/>
        </w:rPr>
      </w:pPr>
      <w:r>
        <w:rPr>
          <w:rFonts w:hint="eastAsia" w:ascii="宋体" w:hAnsi="宋体" w:cs="宋体"/>
          <w:color w:val="auto"/>
          <w:szCs w:val="21"/>
          <w:highlight w:val="none"/>
        </w:rPr>
        <w:t>货币单位：人民币元</w:t>
      </w:r>
    </w:p>
    <w:tbl>
      <w:tblPr>
        <w:tblStyle w:val="3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2"/>
        <w:gridCol w:w="854"/>
        <w:gridCol w:w="939"/>
        <w:gridCol w:w="1058"/>
        <w:gridCol w:w="940"/>
        <w:gridCol w:w="820"/>
        <w:gridCol w:w="583"/>
        <w:gridCol w:w="685"/>
        <w:gridCol w:w="1432"/>
        <w:gridCol w:w="1161"/>
      </w:tblGrid>
      <w:tr w14:paraId="279C5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327" w:type="pct"/>
            <w:vAlign w:val="center"/>
          </w:tcPr>
          <w:p w14:paraId="218DEF4F">
            <w:pPr>
              <w:snapToGrid w:val="0"/>
              <w:spacing w:line="46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477" w:type="pct"/>
            <w:vAlign w:val="center"/>
          </w:tcPr>
          <w:p w14:paraId="5D2261D2">
            <w:pPr>
              <w:snapToGrid w:val="0"/>
              <w:spacing w:line="460" w:lineRule="exact"/>
              <w:jc w:val="center"/>
              <w:rPr>
                <w:rFonts w:ascii="宋体" w:hAnsi="宋体" w:cs="宋体"/>
                <w:color w:val="auto"/>
                <w:szCs w:val="21"/>
                <w:highlight w:val="none"/>
              </w:rPr>
            </w:pPr>
            <w:r>
              <w:rPr>
                <w:rFonts w:hint="eastAsia" w:ascii="宋体" w:hAnsi="宋体" w:cs="宋体"/>
                <w:color w:val="auto"/>
                <w:szCs w:val="21"/>
                <w:highlight w:val="none"/>
              </w:rPr>
              <w:t>货物名称</w:t>
            </w:r>
          </w:p>
        </w:tc>
        <w:tc>
          <w:tcPr>
            <w:tcW w:w="524" w:type="pct"/>
            <w:vAlign w:val="center"/>
          </w:tcPr>
          <w:p w14:paraId="0B0F9101">
            <w:pPr>
              <w:snapToGrid w:val="0"/>
              <w:spacing w:line="460" w:lineRule="exact"/>
              <w:jc w:val="center"/>
              <w:rPr>
                <w:rFonts w:ascii="宋体" w:hAnsi="宋体" w:cs="宋体"/>
                <w:color w:val="auto"/>
                <w:szCs w:val="21"/>
                <w:highlight w:val="none"/>
              </w:rPr>
            </w:pPr>
            <w:r>
              <w:rPr>
                <w:rFonts w:hint="eastAsia" w:ascii="宋体" w:hAnsi="宋体" w:cs="宋体"/>
                <w:color w:val="auto"/>
                <w:szCs w:val="21"/>
                <w:highlight w:val="none"/>
              </w:rPr>
              <w:t>品牌</w:t>
            </w:r>
          </w:p>
        </w:tc>
        <w:tc>
          <w:tcPr>
            <w:tcW w:w="589" w:type="pct"/>
            <w:vAlign w:val="center"/>
          </w:tcPr>
          <w:p w14:paraId="6F3A936D">
            <w:pPr>
              <w:snapToGrid w:val="0"/>
              <w:spacing w:line="460" w:lineRule="exact"/>
              <w:jc w:val="center"/>
              <w:rPr>
                <w:rFonts w:ascii="宋体" w:hAnsi="宋体" w:cs="宋体"/>
                <w:color w:val="auto"/>
                <w:szCs w:val="21"/>
                <w:highlight w:val="none"/>
              </w:rPr>
            </w:pPr>
            <w:r>
              <w:rPr>
                <w:rFonts w:hint="eastAsia" w:ascii="宋体" w:hAnsi="宋体" w:cs="宋体"/>
                <w:color w:val="auto"/>
                <w:szCs w:val="21"/>
                <w:highlight w:val="none"/>
              </w:rPr>
              <w:t>型号（与铭牌一致）</w:t>
            </w:r>
          </w:p>
        </w:tc>
        <w:tc>
          <w:tcPr>
            <w:tcW w:w="524" w:type="pct"/>
            <w:vAlign w:val="center"/>
          </w:tcPr>
          <w:p w14:paraId="3536A20D">
            <w:pPr>
              <w:snapToGrid w:val="0"/>
              <w:jc w:val="center"/>
              <w:rPr>
                <w:rFonts w:ascii="宋体" w:hAnsi="宋体" w:cs="宋体"/>
                <w:color w:val="auto"/>
                <w:szCs w:val="21"/>
                <w:highlight w:val="none"/>
              </w:rPr>
            </w:pPr>
            <w:r>
              <w:rPr>
                <w:rFonts w:hint="eastAsia" w:ascii="宋体" w:hAnsi="宋体" w:cs="宋体"/>
                <w:color w:val="auto"/>
                <w:szCs w:val="21"/>
                <w:highlight w:val="none"/>
              </w:rPr>
              <w:t>生产厂家</w:t>
            </w:r>
          </w:p>
        </w:tc>
        <w:tc>
          <w:tcPr>
            <w:tcW w:w="458" w:type="pct"/>
            <w:vAlign w:val="center"/>
          </w:tcPr>
          <w:p w14:paraId="0BF3A478">
            <w:pPr>
              <w:snapToGrid w:val="0"/>
              <w:jc w:val="center"/>
              <w:rPr>
                <w:rFonts w:ascii="宋体" w:hAnsi="宋体" w:cs="宋体"/>
                <w:color w:val="auto"/>
                <w:szCs w:val="21"/>
                <w:highlight w:val="none"/>
              </w:rPr>
            </w:pPr>
            <w:r>
              <w:rPr>
                <w:rFonts w:hint="eastAsia" w:ascii="宋体" w:hAnsi="宋体" w:cs="宋体"/>
                <w:color w:val="auto"/>
                <w:szCs w:val="21"/>
                <w:highlight w:val="none"/>
              </w:rPr>
              <w:t>产地</w:t>
            </w:r>
          </w:p>
        </w:tc>
        <w:tc>
          <w:tcPr>
            <w:tcW w:w="327" w:type="pct"/>
            <w:vAlign w:val="center"/>
          </w:tcPr>
          <w:p w14:paraId="1CF9379C">
            <w:pPr>
              <w:snapToGrid w:val="0"/>
              <w:jc w:val="center"/>
              <w:rPr>
                <w:rFonts w:ascii="宋体" w:hAnsi="宋体" w:cs="宋体"/>
                <w:color w:val="auto"/>
                <w:szCs w:val="21"/>
                <w:highlight w:val="none"/>
              </w:rPr>
            </w:pPr>
            <w:r>
              <w:rPr>
                <w:rFonts w:hint="eastAsia" w:ascii="宋体" w:hAnsi="宋体" w:cs="宋体"/>
                <w:color w:val="auto"/>
                <w:szCs w:val="21"/>
                <w:highlight w:val="none"/>
              </w:rPr>
              <w:t>数  量①</w:t>
            </w:r>
          </w:p>
        </w:tc>
        <w:tc>
          <w:tcPr>
            <w:tcW w:w="383" w:type="pct"/>
            <w:vAlign w:val="center"/>
          </w:tcPr>
          <w:p w14:paraId="1FD70F00">
            <w:pPr>
              <w:snapToGrid w:val="0"/>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796" w:type="pct"/>
            <w:vAlign w:val="center"/>
          </w:tcPr>
          <w:p w14:paraId="186736BD">
            <w:pPr>
              <w:snapToGrid w:val="0"/>
              <w:jc w:val="center"/>
              <w:rPr>
                <w:rFonts w:ascii="宋体" w:hAnsi="宋体" w:cs="宋体"/>
                <w:color w:val="auto"/>
                <w:szCs w:val="21"/>
                <w:highlight w:val="none"/>
              </w:rPr>
            </w:pPr>
            <w:r>
              <w:rPr>
                <w:rFonts w:hint="eastAsia" w:ascii="宋体" w:hAnsi="宋体" w:cs="宋体"/>
                <w:color w:val="auto"/>
                <w:szCs w:val="21"/>
                <w:highlight w:val="none"/>
              </w:rPr>
              <w:t>单  价</w:t>
            </w:r>
          </w:p>
          <w:p w14:paraId="4AABABEE">
            <w:pPr>
              <w:snapToGrid w:val="0"/>
              <w:jc w:val="center"/>
              <w:rPr>
                <w:rFonts w:ascii="宋体" w:hAnsi="宋体" w:cs="宋体"/>
                <w:color w:val="auto"/>
                <w:szCs w:val="21"/>
                <w:highlight w:val="none"/>
              </w:rPr>
            </w:pPr>
            <w:r>
              <w:rPr>
                <w:rFonts w:hint="eastAsia" w:ascii="宋体" w:hAnsi="宋体" w:cs="宋体"/>
                <w:color w:val="auto"/>
                <w:szCs w:val="21"/>
                <w:highlight w:val="none"/>
              </w:rPr>
              <w:t>②</w:t>
            </w:r>
          </w:p>
        </w:tc>
        <w:tc>
          <w:tcPr>
            <w:tcW w:w="589" w:type="pct"/>
            <w:vAlign w:val="center"/>
          </w:tcPr>
          <w:p w14:paraId="36EF96F0">
            <w:pPr>
              <w:snapToGrid w:val="0"/>
              <w:spacing w:before="50" w:after="50" w:line="360" w:lineRule="auto"/>
              <w:jc w:val="center"/>
              <w:rPr>
                <w:rFonts w:ascii="宋体" w:hAnsi="宋体" w:cs="宋体"/>
                <w:color w:val="auto"/>
                <w:szCs w:val="21"/>
                <w:highlight w:val="none"/>
              </w:rPr>
            </w:pPr>
            <w:r>
              <w:rPr>
                <w:rFonts w:hint="eastAsia" w:ascii="宋体" w:hAnsi="宋体" w:cs="宋体"/>
                <w:color w:val="auto"/>
                <w:szCs w:val="21"/>
                <w:highlight w:val="none"/>
              </w:rPr>
              <w:t>竞争性谈判报价</w:t>
            </w:r>
          </w:p>
          <w:p w14:paraId="207E47FC">
            <w:pPr>
              <w:snapToGrid w:val="0"/>
              <w:jc w:val="center"/>
              <w:rPr>
                <w:rFonts w:ascii="宋体" w:hAnsi="宋体" w:cs="宋体"/>
                <w:color w:val="auto"/>
                <w:szCs w:val="21"/>
                <w:highlight w:val="none"/>
              </w:rPr>
            </w:pPr>
            <w:r>
              <w:rPr>
                <w:rFonts w:hint="eastAsia" w:ascii="宋体" w:hAnsi="宋体" w:cs="宋体"/>
                <w:color w:val="auto"/>
                <w:szCs w:val="21"/>
                <w:highlight w:val="none"/>
              </w:rPr>
              <w:t>③=①×②</w:t>
            </w:r>
          </w:p>
        </w:tc>
      </w:tr>
      <w:tr w14:paraId="41EAA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327" w:type="pct"/>
            <w:vAlign w:val="center"/>
          </w:tcPr>
          <w:p w14:paraId="34B6E2A6">
            <w:pPr>
              <w:snapToGrid w:val="0"/>
              <w:spacing w:line="4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477" w:type="pct"/>
            <w:vAlign w:val="center"/>
          </w:tcPr>
          <w:p w14:paraId="6721CBAD">
            <w:pPr>
              <w:snapToGrid w:val="0"/>
              <w:spacing w:line="460" w:lineRule="exact"/>
              <w:jc w:val="center"/>
              <w:rPr>
                <w:rFonts w:ascii="宋体" w:hAnsi="宋体" w:cs="宋体"/>
                <w:color w:val="auto"/>
                <w:szCs w:val="21"/>
                <w:highlight w:val="none"/>
              </w:rPr>
            </w:pPr>
          </w:p>
        </w:tc>
        <w:tc>
          <w:tcPr>
            <w:tcW w:w="524" w:type="pct"/>
            <w:vAlign w:val="center"/>
          </w:tcPr>
          <w:p w14:paraId="168F8FBB">
            <w:pPr>
              <w:snapToGrid w:val="0"/>
              <w:spacing w:line="460" w:lineRule="exact"/>
              <w:jc w:val="center"/>
              <w:rPr>
                <w:rFonts w:ascii="宋体" w:hAnsi="宋体" w:cs="宋体"/>
                <w:color w:val="auto"/>
                <w:szCs w:val="21"/>
                <w:highlight w:val="none"/>
              </w:rPr>
            </w:pPr>
          </w:p>
        </w:tc>
        <w:tc>
          <w:tcPr>
            <w:tcW w:w="589" w:type="pct"/>
            <w:vAlign w:val="center"/>
          </w:tcPr>
          <w:p w14:paraId="1C89B148">
            <w:pPr>
              <w:snapToGrid w:val="0"/>
              <w:spacing w:line="460" w:lineRule="exact"/>
              <w:jc w:val="center"/>
              <w:rPr>
                <w:rFonts w:ascii="宋体" w:hAnsi="宋体" w:cs="宋体"/>
                <w:color w:val="auto"/>
                <w:szCs w:val="21"/>
                <w:highlight w:val="none"/>
              </w:rPr>
            </w:pPr>
          </w:p>
        </w:tc>
        <w:tc>
          <w:tcPr>
            <w:tcW w:w="524" w:type="pct"/>
          </w:tcPr>
          <w:p w14:paraId="6962E168">
            <w:pPr>
              <w:snapToGrid w:val="0"/>
              <w:spacing w:line="460" w:lineRule="exact"/>
              <w:jc w:val="center"/>
              <w:rPr>
                <w:rFonts w:ascii="宋体" w:hAnsi="宋体" w:cs="宋体"/>
                <w:color w:val="auto"/>
                <w:szCs w:val="21"/>
                <w:highlight w:val="none"/>
              </w:rPr>
            </w:pPr>
          </w:p>
        </w:tc>
        <w:tc>
          <w:tcPr>
            <w:tcW w:w="458" w:type="pct"/>
            <w:vAlign w:val="center"/>
          </w:tcPr>
          <w:p w14:paraId="116E5336">
            <w:pPr>
              <w:snapToGrid w:val="0"/>
              <w:spacing w:line="460" w:lineRule="exact"/>
              <w:jc w:val="center"/>
              <w:rPr>
                <w:rFonts w:ascii="宋体" w:hAnsi="宋体" w:cs="宋体"/>
                <w:color w:val="auto"/>
                <w:szCs w:val="21"/>
                <w:highlight w:val="none"/>
              </w:rPr>
            </w:pPr>
          </w:p>
        </w:tc>
        <w:tc>
          <w:tcPr>
            <w:tcW w:w="327" w:type="pct"/>
            <w:vAlign w:val="center"/>
          </w:tcPr>
          <w:p w14:paraId="507AFED4">
            <w:pPr>
              <w:pStyle w:val="83"/>
              <w:snapToGrid w:val="0"/>
              <w:spacing w:line="460" w:lineRule="exact"/>
              <w:ind w:left="360" w:firstLine="0" w:firstLineChars="0"/>
              <w:rPr>
                <w:rFonts w:ascii="宋体" w:hAnsi="宋体" w:cs="宋体"/>
                <w:color w:val="auto"/>
                <w:szCs w:val="21"/>
                <w:highlight w:val="none"/>
              </w:rPr>
            </w:pPr>
          </w:p>
        </w:tc>
        <w:tc>
          <w:tcPr>
            <w:tcW w:w="383" w:type="pct"/>
          </w:tcPr>
          <w:p w14:paraId="198EFE68">
            <w:pPr>
              <w:snapToGrid w:val="0"/>
              <w:spacing w:line="460" w:lineRule="exact"/>
              <w:jc w:val="center"/>
              <w:rPr>
                <w:rFonts w:ascii="宋体" w:hAnsi="宋体" w:cs="宋体"/>
                <w:color w:val="auto"/>
                <w:szCs w:val="21"/>
                <w:highlight w:val="none"/>
              </w:rPr>
            </w:pPr>
          </w:p>
        </w:tc>
        <w:tc>
          <w:tcPr>
            <w:tcW w:w="796" w:type="pct"/>
            <w:vAlign w:val="center"/>
          </w:tcPr>
          <w:p w14:paraId="1DC2AB22">
            <w:pPr>
              <w:pStyle w:val="83"/>
              <w:snapToGrid w:val="0"/>
              <w:spacing w:line="460" w:lineRule="exact"/>
              <w:ind w:left="360" w:firstLine="0" w:firstLineChars="0"/>
              <w:rPr>
                <w:rFonts w:ascii="宋体" w:hAnsi="宋体" w:cs="宋体"/>
                <w:color w:val="auto"/>
                <w:szCs w:val="21"/>
                <w:highlight w:val="none"/>
              </w:rPr>
            </w:pPr>
          </w:p>
        </w:tc>
        <w:tc>
          <w:tcPr>
            <w:tcW w:w="589" w:type="pct"/>
          </w:tcPr>
          <w:p w14:paraId="502BF88A">
            <w:pPr>
              <w:snapToGrid w:val="0"/>
              <w:spacing w:line="460" w:lineRule="exact"/>
              <w:jc w:val="center"/>
              <w:rPr>
                <w:rFonts w:ascii="宋体" w:hAnsi="宋体" w:cs="宋体"/>
                <w:color w:val="auto"/>
                <w:szCs w:val="21"/>
                <w:highlight w:val="none"/>
              </w:rPr>
            </w:pPr>
          </w:p>
        </w:tc>
      </w:tr>
      <w:tr w14:paraId="7465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327" w:type="pct"/>
            <w:vAlign w:val="center"/>
          </w:tcPr>
          <w:p w14:paraId="09238D69">
            <w:pPr>
              <w:snapToGrid w:val="0"/>
              <w:spacing w:line="46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477" w:type="pct"/>
            <w:vAlign w:val="center"/>
          </w:tcPr>
          <w:p w14:paraId="2D603DEB">
            <w:pPr>
              <w:snapToGrid w:val="0"/>
              <w:spacing w:line="460" w:lineRule="exact"/>
              <w:jc w:val="center"/>
              <w:rPr>
                <w:rFonts w:ascii="宋体" w:hAnsi="宋体" w:cs="宋体"/>
                <w:color w:val="auto"/>
                <w:szCs w:val="21"/>
                <w:highlight w:val="none"/>
              </w:rPr>
            </w:pPr>
          </w:p>
        </w:tc>
        <w:tc>
          <w:tcPr>
            <w:tcW w:w="524" w:type="pct"/>
            <w:vAlign w:val="center"/>
          </w:tcPr>
          <w:p w14:paraId="676AC2D8">
            <w:pPr>
              <w:snapToGrid w:val="0"/>
              <w:spacing w:line="460" w:lineRule="exact"/>
              <w:jc w:val="center"/>
              <w:rPr>
                <w:rFonts w:ascii="宋体" w:hAnsi="宋体" w:cs="宋体"/>
                <w:color w:val="auto"/>
                <w:szCs w:val="21"/>
                <w:highlight w:val="none"/>
              </w:rPr>
            </w:pPr>
          </w:p>
        </w:tc>
        <w:tc>
          <w:tcPr>
            <w:tcW w:w="589" w:type="pct"/>
            <w:vAlign w:val="center"/>
          </w:tcPr>
          <w:p w14:paraId="73452B03">
            <w:pPr>
              <w:snapToGrid w:val="0"/>
              <w:spacing w:line="460" w:lineRule="exact"/>
              <w:jc w:val="center"/>
              <w:rPr>
                <w:rFonts w:ascii="宋体" w:hAnsi="宋体" w:cs="宋体"/>
                <w:color w:val="auto"/>
                <w:szCs w:val="21"/>
                <w:highlight w:val="none"/>
              </w:rPr>
            </w:pPr>
          </w:p>
        </w:tc>
        <w:tc>
          <w:tcPr>
            <w:tcW w:w="524" w:type="pct"/>
          </w:tcPr>
          <w:p w14:paraId="099A9726">
            <w:pPr>
              <w:snapToGrid w:val="0"/>
              <w:spacing w:line="460" w:lineRule="exact"/>
              <w:jc w:val="center"/>
              <w:rPr>
                <w:rFonts w:ascii="宋体" w:hAnsi="宋体" w:cs="宋体"/>
                <w:color w:val="auto"/>
                <w:szCs w:val="21"/>
                <w:highlight w:val="none"/>
              </w:rPr>
            </w:pPr>
          </w:p>
        </w:tc>
        <w:tc>
          <w:tcPr>
            <w:tcW w:w="458" w:type="pct"/>
            <w:vAlign w:val="center"/>
          </w:tcPr>
          <w:p w14:paraId="42A6C545">
            <w:pPr>
              <w:snapToGrid w:val="0"/>
              <w:spacing w:line="460" w:lineRule="exact"/>
              <w:jc w:val="center"/>
              <w:rPr>
                <w:rFonts w:ascii="宋体" w:hAnsi="宋体" w:cs="宋体"/>
                <w:color w:val="auto"/>
                <w:szCs w:val="21"/>
                <w:highlight w:val="none"/>
              </w:rPr>
            </w:pPr>
          </w:p>
        </w:tc>
        <w:tc>
          <w:tcPr>
            <w:tcW w:w="327" w:type="pct"/>
            <w:vAlign w:val="center"/>
          </w:tcPr>
          <w:p w14:paraId="579D5F6D">
            <w:pPr>
              <w:pStyle w:val="83"/>
              <w:snapToGrid w:val="0"/>
              <w:spacing w:line="460" w:lineRule="exact"/>
              <w:ind w:left="360" w:firstLine="0" w:firstLineChars="0"/>
              <w:rPr>
                <w:rFonts w:ascii="宋体" w:hAnsi="宋体" w:cs="宋体"/>
                <w:color w:val="auto"/>
                <w:szCs w:val="21"/>
                <w:highlight w:val="none"/>
              </w:rPr>
            </w:pPr>
          </w:p>
        </w:tc>
        <w:tc>
          <w:tcPr>
            <w:tcW w:w="383" w:type="pct"/>
          </w:tcPr>
          <w:p w14:paraId="4F3DD5AB">
            <w:pPr>
              <w:snapToGrid w:val="0"/>
              <w:spacing w:line="460" w:lineRule="exact"/>
              <w:jc w:val="center"/>
              <w:rPr>
                <w:rFonts w:ascii="宋体" w:hAnsi="宋体" w:cs="宋体"/>
                <w:color w:val="auto"/>
                <w:szCs w:val="21"/>
                <w:highlight w:val="none"/>
              </w:rPr>
            </w:pPr>
          </w:p>
        </w:tc>
        <w:tc>
          <w:tcPr>
            <w:tcW w:w="796" w:type="pct"/>
            <w:vAlign w:val="center"/>
          </w:tcPr>
          <w:p w14:paraId="63E99E9C">
            <w:pPr>
              <w:pStyle w:val="83"/>
              <w:snapToGrid w:val="0"/>
              <w:spacing w:line="460" w:lineRule="exact"/>
              <w:ind w:left="360" w:firstLine="0" w:firstLineChars="0"/>
              <w:rPr>
                <w:rFonts w:ascii="宋体" w:hAnsi="宋体" w:cs="宋体"/>
                <w:color w:val="auto"/>
                <w:szCs w:val="21"/>
                <w:highlight w:val="none"/>
              </w:rPr>
            </w:pPr>
          </w:p>
        </w:tc>
        <w:tc>
          <w:tcPr>
            <w:tcW w:w="589" w:type="pct"/>
          </w:tcPr>
          <w:p w14:paraId="555079B4">
            <w:pPr>
              <w:snapToGrid w:val="0"/>
              <w:spacing w:line="460" w:lineRule="exact"/>
              <w:jc w:val="center"/>
              <w:rPr>
                <w:rFonts w:ascii="宋体" w:hAnsi="宋体" w:cs="宋体"/>
                <w:color w:val="auto"/>
                <w:szCs w:val="21"/>
                <w:highlight w:val="none"/>
              </w:rPr>
            </w:pPr>
          </w:p>
        </w:tc>
      </w:tr>
      <w:tr w14:paraId="6984B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327" w:type="pct"/>
            <w:vAlign w:val="center"/>
          </w:tcPr>
          <w:p w14:paraId="651F9723">
            <w:pPr>
              <w:snapToGrid w:val="0"/>
              <w:spacing w:line="46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477" w:type="pct"/>
            <w:vAlign w:val="center"/>
          </w:tcPr>
          <w:p w14:paraId="636DBC7B">
            <w:pPr>
              <w:snapToGrid w:val="0"/>
              <w:spacing w:line="460" w:lineRule="exact"/>
              <w:jc w:val="center"/>
              <w:rPr>
                <w:rFonts w:ascii="宋体" w:hAnsi="宋体" w:cs="宋体"/>
                <w:color w:val="auto"/>
                <w:szCs w:val="21"/>
                <w:highlight w:val="none"/>
              </w:rPr>
            </w:pPr>
          </w:p>
        </w:tc>
        <w:tc>
          <w:tcPr>
            <w:tcW w:w="524" w:type="pct"/>
            <w:vAlign w:val="center"/>
          </w:tcPr>
          <w:p w14:paraId="468FF087">
            <w:pPr>
              <w:snapToGrid w:val="0"/>
              <w:spacing w:line="460" w:lineRule="exact"/>
              <w:jc w:val="center"/>
              <w:rPr>
                <w:rFonts w:ascii="宋体" w:hAnsi="宋体" w:cs="宋体"/>
                <w:color w:val="auto"/>
                <w:szCs w:val="21"/>
                <w:highlight w:val="none"/>
              </w:rPr>
            </w:pPr>
          </w:p>
        </w:tc>
        <w:tc>
          <w:tcPr>
            <w:tcW w:w="589" w:type="pct"/>
            <w:vAlign w:val="center"/>
          </w:tcPr>
          <w:p w14:paraId="35DB0581">
            <w:pPr>
              <w:snapToGrid w:val="0"/>
              <w:spacing w:line="460" w:lineRule="exact"/>
              <w:jc w:val="center"/>
              <w:rPr>
                <w:rFonts w:ascii="宋体" w:hAnsi="宋体" w:cs="宋体"/>
                <w:color w:val="auto"/>
                <w:szCs w:val="21"/>
                <w:highlight w:val="none"/>
              </w:rPr>
            </w:pPr>
          </w:p>
        </w:tc>
        <w:tc>
          <w:tcPr>
            <w:tcW w:w="524" w:type="pct"/>
          </w:tcPr>
          <w:p w14:paraId="042E3381">
            <w:pPr>
              <w:snapToGrid w:val="0"/>
              <w:spacing w:line="460" w:lineRule="exact"/>
              <w:jc w:val="center"/>
              <w:rPr>
                <w:rFonts w:ascii="宋体" w:hAnsi="宋体" w:cs="宋体"/>
                <w:color w:val="auto"/>
                <w:szCs w:val="21"/>
                <w:highlight w:val="none"/>
              </w:rPr>
            </w:pPr>
          </w:p>
        </w:tc>
        <w:tc>
          <w:tcPr>
            <w:tcW w:w="458" w:type="pct"/>
            <w:vAlign w:val="center"/>
          </w:tcPr>
          <w:p w14:paraId="320FFFCE">
            <w:pPr>
              <w:snapToGrid w:val="0"/>
              <w:spacing w:line="460" w:lineRule="exact"/>
              <w:jc w:val="center"/>
              <w:rPr>
                <w:rFonts w:ascii="宋体" w:hAnsi="宋体" w:cs="宋体"/>
                <w:color w:val="auto"/>
                <w:szCs w:val="21"/>
                <w:highlight w:val="none"/>
              </w:rPr>
            </w:pPr>
          </w:p>
        </w:tc>
        <w:tc>
          <w:tcPr>
            <w:tcW w:w="327" w:type="pct"/>
            <w:vAlign w:val="center"/>
          </w:tcPr>
          <w:p w14:paraId="1E9AB2BB">
            <w:pPr>
              <w:pStyle w:val="83"/>
              <w:snapToGrid w:val="0"/>
              <w:spacing w:line="460" w:lineRule="exact"/>
              <w:ind w:left="360" w:firstLine="0" w:firstLineChars="0"/>
              <w:rPr>
                <w:rFonts w:ascii="宋体" w:hAnsi="宋体" w:cs="宋体"/>
                <w:color w:val="auto"/>
                <w:szCs w:val="21"/>
                <w:highlight w:val="none"/>
              </w:rPr>
            </w:pPr>
          </w:p>
        </w:tc>
        <w:tc>
          <w:tcPr>
            <w:tcW w:w="383" w:type="pct"/>
          </w:tcPr>
          <w:p w14:paraId="1CBFF1A7">
            <w:pPr>
              <w:snapToGrid w:val="0"/>
              <w:spacing w:line="460" w:lineRule="exact"/>
              <w:jc w:val="center"/>
              <w:rPr>
                <w:rFonts w:ascii="宋体" w:hAnsi="宋体" w:cs="宋体"/>
                <w:color w:val="auto"/>
                <w:szCs w:val="21"/>
                <w:highlight w:val="none"/>
              </w:rPr>
            </w:pPr>
          </w:p>
        </w:tc>
        <w:tc>
          <w:tcPr>
            <w:tcW w:w="796" w:type="pct"/>
            <w:vAlign w:val="center"/>
          </w:tcPr>
          <w:p w14:paraId="64D842FB">
            <w:pPr>
              <w:pStyle w:val="83"/>
              <w:snapToGrid w:val="0"/>
              <w:spacing w:line="460" w:lineRule="exact"/>
              <w:ind w:left="360" w:firstLine="0" w:firstLineChars="0"/>
              <w:rPr>
                <w:rFonts w:ascii="宋体" w:hAnsi="宋体" w:cs="宋体"/>
                <w:color w:val="auto"/>
                <w:szCs w:val="21"/>
                <w:highlight w:val="none"/>
              </w:rPr>
            </w:pPr>
          </w:p>
        </w:tc>
        <w:tc>
          <w:tcPr>
            <w:tcW w:w="589" w:type="pct"/>
          </w:tcPr>
          <w:p w14:paraId="30EFB7CA">
            <w:pPr>
              <w:snapToGrid w:val="0"/>
              <w:spacing w:line="460" w:lineRule="exact"/>
              <w:jc w:val="center"/>
              <w:rPr>
                <w:rFonts w:ascii="宋体" w:hAnsi="宋体" w:cs="宋体"/>
                <w:color w:val="auto"/>
                <w:szCs w:val="21"/>
                <w:highlight w:val="none"/>
              </w:rPr>
            </w:pPr>
          </w:p>
        </w:tc>
      </w:tr>
      <w:tr w14:paraId="1AAFD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327" w:type="pct"/>
            <w:vAlign w:val="center"/>
          </w:tcPr>
          <w:p w14:paraId="425654DD">
            <w:pPr>
              <w:snapToGrid w:val="0"/>
              <w:spacing w:line="46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477" w:type="pct"/>
            <w:vAlign w:val="center"/>
          </w:tcPr>
          <w:p w14:paraId="55A50075">
            <w:pPr>
              <w:snapToGrid w:val="0"/>
              <w:spacing w:line="46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524" w:type="pct"/>
            <w:vAlign w:val="center"/>
          </w:tcPr>
          <w:p w14:paraId="50825813">
            <w:pPr>
              <w:snapToGrid w:val="0"/>
              <w:spacing w:line="460" w:lineRule="exact"/>
              <w:jc w:val="center"/>
              <w:rPr>
                <w:rFonts w:ascii="宋体" w:hAnsi="宋体" w:cs="宋体"/>
                <w:color w:val="auto"/>
                <w:szCs w:val="21"/>
                <w:highlight w:val="none"/>
              </w:rPr>
            </w:pPr>
          </w:p>
        </w:tc>
        <w:tc>
          <w:tcPr>
            <w:tcW w:w="589" w:type="pct"/>
            <w:vAlign w:val="center"/>
          </w:tcPr>
          <w:p w14:paraId="3E9F0F52">
            <w:pPr>
              <w:snapToGrid w:val="0"/>
              <w:spacing w:line="460" w:lineRule="exact"/>
              <w:jc w:val="center"/>
              <w:rPr>
                <w:rFonts w:ascii="宋体" w:hAnsi="宋体" w:cs="宋体"/>
                <w:color w:val="auto"/>
                <w:szCs w:val="21"/>
                <w:highlight w:val="none"/>
              </w:rPr>
            </w:pPr>
          </w:p>
        </w:tc>
        <w:tc>
          <w:tcPr>
            <w:tcW w:w="524" w:type="pct"/>
          </w:tcPr>
          <w:p w14:paraId="4D98E652">
            <w:pPr>
              <w:snapToGrid w:val="0"/>
              <w:spacing w:line="460" w:lineRule="exact"/>
              <w:jc w:val="center"/>
              <w:rPr>
                <w:rFonts w:ascii="宋体" w:hAnsi="宋体" w:cs="宋体"/>
                <w:color w:val="auto"/>
                <w:szCs w:val="21"/>
                <w:highlight w:val="none"/>
              </w:rPr>
            </w:pPr>
          </w:p>
        </w:tc>
        <w:tc>
          <w:tcPr>
            <w:tcW w:w="458" w:type="pct"/>
            <w:vAlign w:val="center"/>
          </w:tcPr>
          <w:p w14:paraId="42C24DE6">
            <w:pPr>
              <w:snapToGrid w:val="0"/>
              <w:spacing w:line="460" w:lineRule="exact"/>
              <w:jc w:val="center"/>
              <w:rPr>
                <w:rFonts w:ascii="宋体" w:hAnsi="宋体" w:cs="宋体"/>
                <w:color w:val="auto"/>
                <w:szCs w:val="21"/>
                <w:highlight w:val="none"/>
              </w:rPr>
            </w:pPr>
          </w:p>
        </w:tc>
        <w:tc>
          <w:tcPr>
            <w:tcW w:w="327" w:type="pct"/>
            <w:vAlign w:val="center"/>
          </w:tcPr>
          <w:p w14:paraId="7949FE18">
            <w:pPr>
              <w:pStyle w:val="83"/>
              <w:snapToGrid w:val="0"/>
              <w:spacing w:line="460" w:lineRule="exact"/>
              <w:ind w:left="360" w:firstLine="0" w:firstLineChars="0"/>
              <w:rPr>
                <w:rFonts w:ascii="宋体" w:hAnsi="宋体" w:cs="宋体"/>
                <w:color w:val="auto"/>
                <w:szCs w:val="21"/>
                <w:highlight w:val="none"/>
              </w:rPr>
            </w:pPr>
          </w:p>
        </w:tc>
        <w:tc>
          <w:tcPr>
            <w:tcW w:w="383" w:type="pct"/>
          </w:tcPr>
          <w:p w14:paraId="489B06FE">
            <w:pPr>
              <w:snapToGrid w:val="0"/>
              <w:spacing w:line="460" w:lineRule="exact"/>
              <w:jc w:val="center"/>
              <w:rPr>
                <w:rFonts w:ascii="宋体" w:hAnsi="宋体" w:cs="宋体"/>
                <w:color w:val="auto"/>
                <w:szCs w:val="21"/>
                <w:highlight w:val="none"/>
              </w:rPr>
            </w:pPr>
          </w:p>
        </w:tc>
        <w:tc>
          <w:tcPr>
            <w:tcW w:w="796" w:type="pct"/>
            <w:vAlign w:val="center"/>
          </w:tcPr>
          <w:p w14:paraId="1C4213EE">
            <w:pPr>
              <w:pStyle w:val="83"/>
              <w:snapToGrid w:val="0"/>
              <w:spacing w:line="460" w:lineRule="exact"/>
              <w:ind w:left="360" w:firstLine="0" w:firstLineChars="0"/>
              <w:rPr>
                <w:rFonts w:ascii="宋体" w:hAnsi="宋体" w:cs="宋体"/>
                <w:color w:val="auto"/>
                <w:szCs w:val="21"/>
                <w:highlight w:val="none"/>
              </w:rPr>
            </w:pPr>
          </w:p>
        </w:tc>
        <w:tc>
          <w:tcPr>
            <w:tcW w:w="589" w:type="pct"/>
          </w:tcPr>
          <w:p w14:paraId="1DCCCE0F">
            <w:pPr>
              <w:snapToGrid w:val="0"/>
              <w:spacing w:line="460" w:lineRule="exact"/>
              <w:jc w:val="center"/>
              <w:rPr>
                <w:rFonts w:ascii="宋体" w:hAnsi="宋体" w:cs="宋体"/>
                <w:color w:val="auto"/>
                <w:szCs w:val="21"/>
                <w:highlight w:val="none"/>
              </w:rPr>
            </w:pPr>
          </w:p>
        </w:tc>
      </w:tr>
      <w:tr w14:paraId="0EC7C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5000" w:type="pct"/>
            <w:gridSpan w:val="10"/>
          </w:tcPr>
          <w:p w14:paraId="61302351">
            <w:pPr>
              <w:snapToGrid w:val="0"/>
              <w:spacing w:line="460" w:lineRule="exact"/>
              <w:jc w:val="left"/>
              <w:rPr>
                <w:rFonts w:ascii="宋体" w:hAnsi="宋体" w:cs="宋体"/>
                <w:color w:val="auto"/>
                <w:szCs w:val="21"/>
                <w:highlight w:val="none"/>
              </w:rPr>
            </w:pPr>
            <w:r>
              <w:rPr>
                <w:rFonts w:hint="eastAsia" w:ascii="宋体" w:hAnsi="宋体" w:cs="宋体"/>
                <w:color w:val="auto"/>
                <w:szCs w:val="21"/>
                <w:highlight w:val="none"/>
              </w:rPr>
              <w:t>合计金额（人民币大写</w:t>
            </w:r>
            <w:r>
              <w:rPr>
                <w:rFonts w:hint="eastAsia" w:ascii="宋体" w:hAnsi="宋体" w:cs="宋体"/>
                <w:color w:val="auto"/>
                <w:szCs w:val="21"/>
                <w:highlight w:val="none"/>
                <w:u w:val="single"/>
              </w:rPr>
              <w:t xml:space="preserve">）               </w:t>
            </w:r>
            <w:r>
              <w:rPr>
                <w:rFonts w:hint="eastAsia" w:ascii="宋体" w:hAnsi="宋体" w:cs="宋体"/>
                <w:b/>
                <w:bCs/>
                <w:color w:val="auto"/>
                <w:szCs w:val="21"/>
                <w:highlight w:val="none"/>
                <w:u w:val="single"/>
              </w:rPr>
              <w:t xml:space="preserve">               </w:t>
            </w:r>
            <w:r>
              <w:rPr>
                <w:rFonts w:hint="eastAsia" w:ascii="宋体" w:hAnsi="宋体" w:cs="宋体"/>
                <w:bCs/>
                <w:color w:val="auto"/>
                <w:szCs w:val="21"/>
                <w:highlight w:val="none"/>
                <w:u w:val="single"/>
              </w:rPr>
              <w:t>元整</w:t>
            </w:r>
            <w:r>
              <w:rPr>
                <w:rFonts w:hint="eastAsia" w:ascii="宋体" w:hAnsi="宋体" w:cs="宋体"/>
                <w:bCs/>
                <w:color w:val="auto"/>
                <w:szCs w:val="21"/>
                <w:highlight w:val="none"/>
              </w:rPr>
              <w:t>（小写）</w:t>
            </w:r>
            <w:r>
              <w:rPr>
                <w:rFonts w:hint="eastAsia" w:ascii="宋体" w:hAnsi="宋体" w:cs="宋体"/>
                <w:bCs/>
                <w:color w:val="auto"/>
                <w:szCs w:val="21"/>
                <w:highlight w:val="none"/>
                <w:u w:val="single"/>
              </w:rPr>
              <w:t xml:space="preserve">¥          </w:t>
            </w:r>
          </w:p>
        </w:tc>
      </w:tr>
      <w:tr w14:paraId="07A9D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5000" w:type="pct"/>
            <w:gridSpan w:val="10"/>
          </w:tcPr>
          <w:p w14:paraId="29A25187">
            <w:pPr>
              <w:tabs>
                <w:tab w:val="left" w:pos="420"/>
              </w:tabs>
              <w:rPr>
                <w:color w:val="auto"/>
                <w:szCs w:val="21"/>
                <w:highlight w:val="none"/>
              </w:rPr>
            </w:pPr>
            <w:r>
              <w:rPr>
                <w:rFonts w:hint="eastAsia"/>
                <w:color w:val="auto"/>
                <w:szCs w:val="21"/>
                <w:highlight w:val="none"/>
              </w:rPr>
              <w:t>交货时间：</w:t>
            </w:r>
            <w:r>
              <w:rPr>
                <w:rFonts w:hint="eastAsia" w:ascii="宋体" w:hAnsi="宋体" w:cs="宋体"/>
                <w:color w:val="auto"/>
                <w:szCs w:val="21"/>
                <w:highlight w:val="none"/>
              </w:rPr>
              <w:t>自签订合同之日起60个日历天</w:t>
            </w:r>
            <w:r>
              <w:rPr>
                <w:color w:val="auto"/>
                <w:kern w:val="0"/>
                <w:sz w:val="22"/>
                <w:szCs w:val="22"/>
                <w:highlight w:val="none"/>
              </w:rPr>
              <w:t>内到货并安装</w:t>
            </w:r>
            <w:r>
              <w:rPr>
                <w:rFonts w:hint="eastAsia"/>
                <w:color w:val="auto"/>
                <w:kern w:val="0"/>
                <w:sz w:val="22"/>
                <w:szCs w:val="22"/>
                <w:highlight w:val="none"/>
              </w:rPr>
              <w:t>调试验收</w:t>
            </w:r>
            <w:r>
              <w:rPr>
                <w:color w:val="auto"/>
                <w:kern w:val="0"/>
                <w:sz w:val="22"/>
                <w:szCs w:val="22"/>
                <w:highlight w:val="none"/>
              </w:rPr>
              <w:t>完毕</w:t>
            </w:r>
            <w:r>
              <w:rPr>
                <w:rFonts w:hint="eastAsia" w:ascii="宋体" w:hAnsi="宋体" w:cs="宋体"/>
                <w:color w:val="auto"/>
                <w:szCs w:val="21"/>
                <w:highlight w:val="none"/>
              </w:rPr>
              <w:t>。</w:t>
            </w:r>
          </w:p>
          <w:p w14:paraId="2124464E">
            <w:pPr>
              <w:snapToGrid w:val="0"/>
              <w:spacing w:line="460" w:lineRule="exact"/>
              <w:jc w:val="left"/>
              <w:rPr>
                <w:rFonts w:ascii="宋体" w:hAnsi="宋体" w:cs="宋体"/>
                <w:color w:val="auto"/>
                <w:szCs w:val="21"/>
                <w:highlight w:val="none"/>
              </w:rPr>
            </w:pPr>
            <w:r>
              <w:rPr>
                <w:rFonts w:hint="eastAsia"/>
                <w:color w:val="auto"/>
                <w:szCs w:val="21"/>
                <w:highlight w:val="none"/>
              </w:rPr>
              <w:t>交货地点：</w:t>
            </w:r>
            <w:r>
              <w:rPr>
                <w:rFonts w:hint="eastAsia" w:ascii="宋体" w:hAnsi="宋体" w:cs="宋体"/>
                <w:color w:val="auto"/>
                <w:szCs w:val="21"/>
                <w:highlight w:val="none"/>
              </w:rPr>
              <w:t>广西师范大学雁山校区、育才校区。</w:t>
            </w:r>
          </w:p>
        </w:tc>
      </w:tr>
    </w:tbl>
    <w:p w14:paraId="1705C3F0">
      <w:pPr>
        <w:pStyle w:val="44"/>
        <w:rPr>
          <w:rFonts w:ascii="宋体" w:hAnsi="宋体" w:cs="宋体"/>
          <w:color w:val="auto"/>
          <w:szCs w:val="21"/>
          <w:highlight w:val="none"/>
        </w:rPr>
      </w:pPr>
    </w:p>
    <w:p w14:paraId="66995AE8">
      <w:pPr>
        <w:spacing w:line="360" w:lineRule="auto"/>
        <w:contextualSpacing/>
        <w:jc w:val="left"/>
        <w:rPr>
          <w:rFonts w:ascii="宋体" w:hAnsi="宋体" w:cs="宋体"/>
          <w:b/>
          <w:color w:val="auto"/>
          <w:szCs w:val="21"/>
          <w:highlight w:val="none"/>
        </w:rPr>
      </w:pPr>
      <w:r>
        <w:rPr>
          <w:rFonts w:hint="eastAsia" w:ascii="宋体" w:hAnsi="宋体" w:cs="宋体"/>
          <w:b/>
          <w:color w:val="auto"/>
          <w:szCs w:val="21"/>
          <w:highlight w:val="none"/>
        </w:rPr>
        <w:t xml:space="preserve">注: </w:t>
      </w:r>
    </w:p>
    <w:p w14:paraId="24416806">
      <w:pPr>
        <w:spacing w:line="360" w:lineRule="auto"/>
        <w:ind w:firstLine="420" w:firstLineChars="200"/>
        <w:contextualSpacing/>
        <w:jc w:val="left"/>
        <w:rPr>
          <w:rFonts w:ascii="宋体" w:hAnsi="宋体" w:cs="宋体"/>
          <w:b/>
          <w:color w:val="auto"/>
          <w:szCs w:val="21"/>
          <w:highlight w:val="none"/>
        </w:rPr>
      </w:pPr>
      <w:r>
        <w:rPr>
          <w:rFonts w:hint="eastAsia" w:ascii="宋体" w:hAnsi="宋体" w:cs="宋体"/>
          <w:color w:val="auto"/>
          <w:szCs w:val="21"/>
          <w:highlight w:val="none"/>
        </w:rPr>
        <w:t>1.竞争性谈判报价表中“货物名称、数量、单位、品牌、型号、生产厂家、产地”必须如实填写完整，定制产品在型号栏中填写“定制”。</w:t>
      </w:r>
      <w:r>
        <w:rPr>
          <w:rFonts w:hint="eastAsia" w:ascii="宋体" w:hAnsi="宋体" w:cs="宋体"/>
          <w:b/>
          <w:color w:val="auto"/>
          <w:szCs w:val="21"/>
          <w:highlight w:val="none"/>
        </w:rPr>
        <w:t>填写有缺漏</w:t>
      </w:r>
      <w:r>
        <w:rPr>
          <w:rFonts w:hint="eastAsia" w:ascii="宋体" w:hAnsi="宋体" w:cs="宋体"/>
          <w:b/>
          <w:bCs/>
          <w:color w:val="auto"/>
          <w:szCs w:val="21"/>
          <w:highlight w:val="none"/>
        </w:rPr>
        <w:t>的，</w:t>
      </w:r>
      <w:r>
        <w:rPr>
          <w:rFonts w:hint="eastAsia" w:ascii="宋体" w:hAnsi="宋体" w:cs="宋体"/>
          <w:b/>
          <w:color w:val="auto"/>
          <w:szCs w:val="21"/>
          <w:highlight w:val="none"/>
        </w:rPr>
        <w:t>其响应文件按无效响应处理。</w:t>
      </w:r>
    </w:p>
    <w:p w14:paraId="592D822D">
      <w:pPr>
        <w:spacing w:line="360" w:lineRule="auto"/>
        <w:ind w:firstLine="422" w:firstLineChars="200"/>
        <w:jc w:val="left"/>
        <w:rPr>
          <w:rFonts w:ascii="宋体" w:hAnsi="宋体" w:cs="宋体"/>
          <w:color w:val="auto"/>
          <w:szCs w:val="21"/>
          <w:highlight w:val="none"/>
        </w:rPr>
      </w:pPr>
      <w:r>
        <w:rPr>
          <w:rFonts w:hint="eastAsia" w:ascii="宋体" w:hAnsi="宋体" w:cs="宋体"/>
          <w:b/>
          <w:color w:val="auto"/>
          <w:szCs w:val="21"/>
          <w:highlight w:val="none"/>
        </w:rPr>
        <w:t>2.所填写的型号与货物铭牌一致。</w:t>
      </w:r>
    </w:p>
    <w:p w14:paraId="7C407DAD">
      <w:pPr>
        <w:spacing w:line="360" w:lineRule="auto"/>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3.供应商的报价表必须加盖供应商公章（或</w:t>
      </w:r>
      <w:r>
        <w:rPr>
          <w:rFonts w:hint="eastAsia" w:ascii="宋体" w:hAnsi="宋体" w:cs="仿宋_GB2312"/>
          <w:color w:val="auto"/>
          <w:szCs w:val="21"/>
          <w:highlight w:val="none"/>
        </w:rPr>
        <w:t>或</w:t>
      </w:r>
      <w:r>
        <w:rPr>
          <w:rFonts w:hint="eastAsia" w:ascii="宋体" w:hAnsi="宋体" w:cs="宋体"/>
          <w:color w:val="auto"/>
          <w:szCs w:val="21"/>
          <w:highlight w:val="none"/>
        </w:rPr>
        <w:t>CA签章）并由法定代表人或者委托代理人签字（或个人CA签章），</w:t>
      </w:r>
      <w:r>
        <w:rPr>
          <w:rFonts w:hint="eastAsia" w:ascii="宋体" w:hAnsi="宋体" w:cs="宋体"/>
          <w:b/>
          <w:color w:val="auto"/>
          <w:szCs w:val="21"/>
          <w:highlight w:val="none"/>
        </w:rPr>
        <w:t>否则其响应文件按无效响应处理</w:t>
      </w:r>
      <w:r>
        <w:rPr>
          <w:rFonts w:hint="eastAsia" w:ascii="宋体" w:hAnsi="宋体" w:cs="宋体"/>
          <w:color w:val="auto"/>
          <w:szCs w:val="21"/>
          <w:highlight w:val="none"/>
        </w:rPr>
        <w:t>。</w:t>
      </w:r>
    </w:p>
    <w:p w14:paraId="51224B56">
      <w:pPr>
        <w:spacing w:line="360" w:lineRule="auto"/>
        <w:ind w:firstLine="420" w:firstLineChars="200"/>
        <w:contextualSpacing/>
        <w:jc w:val="left"/>
        <w:rPr>
          <w:rFonts w:ascii="宋体" w:hAnsi="宋体" w:cs="宋体"/>
          <w:b/>
          <w:color w:val="auto"/>
          <w:szCs w:val="21"/>
          <w:highlight w:val="none"/>
        </w:rPr>
      </w:pPr>
      <w:r>
        <w:rPr>
          <w:rFonts w:hint="eastAsia" w:ascii="宋体" w:hAnsi="宋体" w:cs="宋体"/>
          <w:bCs/>
          <w:color w:val="auto"/>
          <w:szCs w:val="21"/>
          <w:highlight w:val="none"/>
        </w:rPr>
        <w:t>4.</w:t>
      </w:r>
      <w:r>
        <w:rPr>
          <w:rFonts w:hint="eastAsia" w:ascii="宋体" w:hAnsi="宋体" w:cs="宋体"/>
          <w:color w:val="auto"/>
          <w:szCs w:val="21"/>
          <w:highlight w:val="none"/>
        </w:rPr>
        <w:t>报价一经涂改，应在涂改处加盖供应商公章或者由法定代表人或者授权委托人签字或者盖章</w:t>
      </w:r>
      <w:r>
        <w:rPr>
          <w:rFonts w:hint="eastAsia" w:ascii="宋体" w:hAnsi="宋体" w:cs="宋体"/>
          <w:b/>
          <w:color w:val="auto"/>
          <w:szCs w:val="21"/>
          <w:highlight w:val="none"/>
        </w:rPr>
        <w:t>，否则其响应文件按无效响应处理。</w:t>
      </w:r>
    </w:p>
    <w:p w14:paraId="2BB0F4E4">
      <w:pPr>
        <w:spacing w:line="360" w:lineRule="auto"/>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5.谈判文件中列明采购专用耗材的，应按谈判文件规定的耗材量或者按耗材的常规使用量提供报价。</w:t>
      </w:r>
    </w:p>
    <w:p w14:paraId="3EAF8FB7">
      <w:pPr>
        <w:spacing w:line="360" w:lineRule="auto"/>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6.如为联合体参与竞争性谈判,“供应商名称”处必须列明联合体各方名称，标注联合体牵头人名称，</w:t>
      </w:r>
      <w:r>
        <w:rPr>
          <w:rFonts w:hint="eastAsia" w:ascii="宋体" w:hAnsi="宋体" w:cs="宋体"/>
          <w:b/>
          <w:color w:val="auto"/>
          <w:szCs w:val="21"/>
          <w:highlight w:val="none"/>
        </w:rPr>
        <w:t>否则其响应文件按无效响应处理。（采购人可根据项目情况自行修改是否需要联合体各方签字盖章）</w:t>
      </w:r>
    </w:p>
    <w:p w14:paraId="702944DB">
      <w:pPr>
        <w:spacing w:line="360" w:lineRule="auto"/>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7.如为联合体参与竞争性谈判,盖章处须加盖联合体各方公章，</w:t>
      </w:r>
      <w:r>
        <w:rPr>
          <w:rFonts w:hint="eastAsia" w:ascii="宋体" w:hAnsi="宋体" w:cs="宋体"/>
          <w:b/>
          <w:color w:val="auto"/>
          <w:szCs w:val="21"/>
          <w:highlight w:val="none"/>
        </w:rPr>
        <w:t>否则其响应文件按无效响应处理。</w:t>
      </w:r>
    </w:p>
    <w:p w14:paraId="7A437C8B">
      <w:pPr>
        <w:spacing w:line="360" w:lineRule="auto"/>
        <w:ind w:firstLine="420" w:firstLineChars="200"/>
        <w:contextualSpacing/>
        <w:rPr>
          <w:rFonts w:ascii="宋体" w:hAnsi="宋体" w:cs="宋体"/>
          <w:b/>
          <w:color w:val="auto"/>
          <w:szCs w:val="21"/>
          <w:highlight w:val="none"/>
        </w:rPr>
      </w:pPr>
      <w:r>
        <w:rPr>
          <w:rFonts w:hint="eastAsia" w:ascii="宋体" w:hAnsi="宋体" w:cs="宋体"/>
          <w:color w:val="auto"/>
          <w:szCs w:val="21"/>
          <w:highlight w:val="none"/>
        </w:rPr>
        <w:t>8.</w:t>
      </w:r>
      <w:r>
        <w:rPr>
          <w:rFonts w:hint="eastAsia" w:ascii="宋体" w:hAnsi="宋体" w:cs="宋体"/>
          <w:color w:val="auto"/>
          <w:spacing w:val="-6"/>
          <w:szCs w:val="21"/>
          <w:highlight w:val="none"/>
        </w:rPr>
        <w:t>如有多分标，分别列明各分标的报价表，</w:t>
      </w:r>
      <w:r>
        <w:rPr>
          <w:rFonts w:hint="eastAsia" w:ascii="宋体" w:hAnsi="宋体" w:cs="宋体"/>
          <w:b/>
          <w:color w:val="auto"/>
          <w:spacing w:val="-6"/>
          <w:szCs w:val="21"/>
          <w:highlight w:val="none"/>
        </w:rPr>
        <w:t>否则其响应文件按无效响应处理。</w:t>
      </w:r>
      <w:r>
        <w:rPr>
          <w:rFonts w:hint="eastAsia" w:ascii="宋体" w:hAnsi="宋体" w:cs="宋体"/>
          <w:b/>
          <w:color w:val="auto"/>
          <w:szCs w:val="21"/>
          <w:highlight w:val="none"/>
        </w:rPr>
        <w:t>（采购人可根据项目情况自行修改是否需要联合体各方签字盖章）</w:t>
      </w:r>
    </w:p>
    <w:p w14:paraId="71E288AC">
      <w:pPr>
        <w:spacing w:line="360" w:lineRule="auto"/>
        <w:ind w:firstLine="2310" w:firstLineChars="1100"/>
        <w:contextualSpacing/>
        <w:rPr>
          <w:rFonts w:ascii="宋体" w:hAnsi="宋体" w:cs="宋体"/>
          <w:color w:val="auto"/>
          <w:szCs w:val="21"/>
          <w:highlight w:val="none"/>
        </w:rPr>
      </w:pPr>
    </w:p>
    <w:p w14:paraId="0ED1127F">
      <w:pPr>
        <w:pStyle w:val="44"/>
        <w:rPr>
          <w:rFonts w:ascii="宋体" w:hAnsi="宋体" w:cs="宋体"/>
          <w:color w:val="auto"/>
          <w:szCs w:val="21"/>
          <w:highlight w:val="none"/>
        </w:rPr>
      </w:pPr>
    </w:p>
    <w:p w14:paraId="031D22FD">
      <w:pPr>
        <w:pStyle w:val="44"/>
        <w:rPr>
          <w:rFonts w:ascii="宋体" w:hAnsi="宋体" w:cs="宋体"/>
          <w:color w:val="auto"/>
          <w:szCs w:val="21"/>
          <w:highlight w:val="none"/>
        </w:rPr>
      </w:pPr>
    </w:p>
    <w:p w14:paraId="4E41A981">
      <w:pPr>
        <w:spacing w:line="360" w:lineRule="auto"/>
        <w:ind w:firstLine="2310" w:firstLineChars="1100"/>
        <w:contextualSpacing/>
        <w:jc w:val="center"/>
        <w:rPr>
          <w:rFonts w:ascii="宋体" w:hAnsi="宋体" w:cs="宋体"/>
          <w:color w:val="auto"/>
          <w:szCs w:val="21"/>
          <w:highlight w:val="none"/>
        </w:rPr>
      </w:pPr>
      <w:r>
        <w:rPr>
          <w:rFonts w:hint="eastAsia" w:ascii="宋体" w:hAnsi="宋体" w:cs="宋体"/>
          <w:color w:val="auto"/>
          <w:szCs w:val="21"/>
          <w:highlight w:val="none"/>
        </w:rPr>
        <w:t>法定代表人或者委托代理人（签字（或个人CA签章））：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供应商（公章</w:t>
      </w:r>
      <w:r>
        <w:rPr>
          <w:rFonts w:hint="eastAsia" w:ascii="宋体" w:hAnsi="宋体" w:cs="仿宋_GB2312"/>
          <w:color w:val="auto"/>
          <w:szCs w:val="21"/>
          <w:highlight w:val="none"/>
        </w:rPr>
        <w:t>或</w:t>
      </w:r>
      <w:r>
        <w:rPr>
          <w:rFonts w:hint="eastAsia" w:ascii="宋体" w:hAnsi="宋体" w:cs="宋体"/>
          <w:color w:val="auto"/>
          <w:szCs w:val="21"/>
          <w:highlight w:val="none"/>
        </w:rPr>
        <w:t>CA签章）：</w:t>
      </w:r>
      <w:r>
        <w:rPr>
          <w:rFonts w:hint="eastAsia" w:ascii="宋体" w:hAnsi="宋体" w:cs="宋体"/>
          <w:color w:val="auto"/>
          <w:szCs w:val="21"/>
          <w:highlight w:val="none"/>
          <w:u w:val="single"/>
        </w:rPr>
        <w:t xml:space="preserve">         </w:t>
      </w:r>
    </w:p>
    <w:p w14:paraId="48108757">
      <w:pPr>
        <w:spacing w:line="360" w:lineRule="auto"/>
        <w:ind w:firstLine="4620" w:firstLineChars="2200"/>
        <w:contextualSpacing/>
        <w:rPr>
          <w:rFonts w:ascii="宋体" w:hAnsi="宋体" w:cs="宋体"/>
          <w:b/>
          <w:color w:val="auto"/>
          <w:szCs w:val="21"/>
          <w:highlight w:val="none"/>
        </w:rPr>
      </w:pPr>
      <w:r>
        <w:rPr>
          <w:rFonts w:hint="eastAsia" w:ascii="宋体" w:hAnsi="宋体" w:cs="宋体"/>
          <w:color w:val="auto"/>
          <w:szCs w:val="21"/>
          <w:highlight w:val="none"/>
        </w:rPr>
        <w:t>日期：</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年</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月</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日</w:t>
      </w:r>
    </w:p>
    <w:p w14:paraId="31759D96">
      <w:pPr>
        <w:spacing w:line="360" w:lineRule="auto"/>
        <w:rPr>
          <w:rFonts w:ascii="宋体" w:hAnsi="宋体" w:cs="宋体"/>
          <w:color w:val="auto"/>
          <w:szCs w:val="21"/>
          <w:highlight w:val="none"/>
        </w:rPr>
      </w:pPr>
      <w:r>
        <w:rPr>
          <w:rFonts w:hint="eastAsia" w:ascii="宋体" w:hAnsi="宋体" w:cs="宋体"/>
          <w:b/>
          <w:color w:val="auto"/>
          <w:sz w:val="32"/>
          <w:szCs w:val="32"/>
          <w:highlight w:val="none"/>
        </w:rPr>
        <w:br w:type="page"/>
      </w:r>
    </w:p>
    <w:p w14:paraId="61280AC6">
      <w:pPr>
        <w:adjustRightInd w:val="0"/>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3.中小企业声明函或残疾人福利性单位声明函</w:t>
      </w:r>
    </w:p>
    <w:p w14:paraId="565F33D2">
      <w:pPr>
        <w:adjustRightInd w:val="0"/>
        <w:snapToGrid w:val="0"/>
        <w:spacing w:line="360" w:lineRule="auto"/>
        <w:jc w:val="center"/>
        <w:rPr>
          <w:rFonts w:ascii="宋体" w:hAnsi="宋体" w:cs="宋体"/>
          <w:b/>
          <w:bCs/>
          <w:color w:val="auto"/>
          <w:sz w:val="24"/>
          <w:highlight w:val="none"/>
        </w:rPr>
      </w:pPr>
    </w:p>
    <w:p w14:paraId="7D8A934F">
      <w:pPr>
        <w:adjustRightInd w:val="0"/>
        <w:snapToGrid w:val="0"/>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中小企业声明函（货物）</w:t>
      </w:r>
    </w:p>
    <w:p w14:paraId="6465F08A">
      <w:pPr>
        <w:spacing w:line="360" w:lineRule="auto"/>
        <w:rPr>
          <w:rFonts w:ascii="宋体" w:hAnsi="宋体" w:cs="宋体"/>
          <w:color w:val="auto"/>
          <w:highlight w:val="none"/>
        </w:rPr>
      </w:pPr>
    </w:p>
    <w:p w14:paraId="25C48348">
      <w:pPr>
        <w:pStyle w:val="10"/>
        <w:spacing w:after="0" w:line="360" w:lineRule="auto"/>
        <w:ind w:firstLine="640"/>
        <w:contextualSpacing/>
        <w:rPr>
          <w:rFonts w:ascii="宋体" w:hAnsi="宋体" w:cs="宋体"/>
          <w:color w:val="auto"/>
          <w:szCs w:val="21"/>
          <w:highlight w:val="none"/>
        </w:rPr>
      </w:pPr>
      <w:r>
        <w:rPr>
          <w:rFonts w:hint="eastAsia" w:ascii="宋体" w:hAnsi="宋体" w:cs="宋体"/>
          <w:color w:val="auto"/>
          <w:szCs w:val="21"/>
          <w:highlight w:val="none"/>
        </w:rPr>
        <w:t>本公司（联合体）郑重声明，根据《政府采购促进中小企业发展管理办法》（财库﹝2020﹞46号）的规定，本公司（联合体）参加</w:t>
      </w:r>
      <w:r>
        <w:rPr>
          <w:rFonts w:hint="eastAsia" w:ascii="宋体" w:hAnsi="宋体" w:cs="宋体"/>
          <w:color w:val="auto"/>
          <w:szCs w:val="21"/>
          <w:highlight w:val="none"/>
          <w:u w:val="single"/>
        </w:rPr>
        <w:t>（单位名称）</w:t>
      </w:r>
      <w:r>
        <w:rPr>
          <w:rFonts w:hint="eastAsia" w:ascii="宋体" w:hAnsi="宋体" w:cs="宋体"/>
          <w:color w:val="auto"/>
          <w:szCs w:val="21"/>
          <w:highlight w:val="none"/>
        </w:rPr>
        <w:t>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采购活动，提供的货物全部由符合政策要求的中小企业制造。相关企业（含联合体中的中小企业、签订分包意向协议的中小企业）的具体情况如下：</w:t>
      </w:r>
    </w:p>
    <w:p w14:paraId="6442CBE9">
      <w:pPr>
        <w:tabs>
          <w:tab w:val="left" w:pos="1384"/>
          <w:tab w:val="left" w:pos="4562"/>
          <w:tab w:val="left" w:pos="6803"/>
        </w:tabs>
        <w:spacing w:line="360" w:lineRule="auto"/>
        <w:ind w:firstLine="655"/>
        <w:contextualSpacing/>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行业；制造商为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44A5E9AC">
      <w:pPr>
        <w:tabs>
          <w:tab w:val="left" w:pos="1065"/>
          <w:tab w:val="left" w:pos="6477"/>
        </w:tabs>
        <w:spacing w:line="360" w:lineRule="auto"/>
        <w:ind w:firstLine="655"/>
        <w:contextualSpacing/>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行业；制造商为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3D851530">
      <w:pPr>
        <w:pStyle w:val="10"/>
        <w:spacing w:after="0" w:line="360" w:lineRule="auto"/>
        <w:contextualSpacing/>
        <w:rPr>
          <w:rFonts w:ascii="宋体" w:hAnsi="宋体" w:cs="宋体"/>
          <w:color w:val="auto"/>
          <w:szCs w:val="21"/>
          <w:highlight w:val="none"/>
        </w:rPr>
      </w:pPr>
      <w:r>
        <w:rPr>
          <w:rFonts w:hint="eastAsia" w:ascii="宋体" w:hAnsi="宋体" w:cs="宋体"/>
          <w:color w:val="auto"/>
          <w:szCs w:val="21"/>
          <w:highlight w:val="none"/>
        </w:rPr>
        <w:t xml:space="preserve">…… </w:t>
      </w:r>
    </w:p>
    <w:p w14:paraId="1A65E358">
      <w:pPr>
        <w:pStyle w:val="10"/>
        <w:spacing w:after="0" w:line="360" w:lineRule="auto"/>
        <w:ind w:firstLine="396" w:firstLineChars="189"/>
        <w:contextualSpacing/>
        <w:rPr>
          <w:rFonts w:ascii="宋体" w:hAnsi="宋体" w:cs="宋体"/>
          <w:color w:val="auto"/>
          <w:szCs w:val="21"/>
          <w:highlight w:val="none"/>
        </w:rPr>
      </w:pPr>
      <w:r>
        <w:rPr>
          <w:rFonts w:hint="eastAsia" w:ascii="宋体" w:hAnsi="宋体" w:cs="宋体"/>
          <w:color w:val="auto"/>
          <w:szCs w:val="21"/>
          <w:highlight w:val="none"/>
        </w:rPr>
        <w:t>以上企业，不属于大企业的分支机构，不存在控股股东为大企业的情形，也不存在与大企业的负责人为同一人的情形。</w:t>
      </w:r>
    </w:p>
    <w:p w14:paraId="157304FB">
      <w:pPr>
        <w:pStyle w:val="10"/>
        <w:spacing w:after="0" w:line="360" w:lineRule="auto"/>
        <w:ind w:firstLine="567"/>
        <w:contextualSpacing/>
        <w:rPr>
          <w:rFonts w:ascii="宋体" w:hAnsi="宋体" w:cs="宋体"/>
          <w:color w:val="auto"/>
          <w:szCs w:val="21"/>
          <w:highlight w:val="none"/>
        </w:rPr>
      </w:pPr>
      <w:r>
        <w:rPr>
          <w:rFonts w:hint="eastAsia" w:ascii="宋体" w:hAnsi="宋体" w:cs="宋体"/>
          <w:color w:val="auto"/>
          <w:szCs w:val="21"/>
          <w:highlight w:val="none"/>
        </w:rPr>
        <w:t>本企业对上述声明内容的真实性负责。如有虚假，将依法承担相应责任。</w:t>
      </w:r>
    </w:p>
    <w:p w14:paraId="6E7CAF70">
      <w:pPr>
        <w:pStyle w:val="10"/>
        <w:spacing w:after="0" w:line="360" w:lineRule="auto"/>
        <w:contextualSpacing/>
        <w:rPr>
          <w:rFonts w:ascii="宋体" w:hAnsi="宋体" w:cs="宋体"/>
          <w:color w:val="auto"/>
          <w:szCs w:val="21"/>
          <w:highlight w:val="none"/>
        </w:rPr>
      </w:pPr>
    </w:p>
    <w:p w14:paraId="4C30DC84">
      <w:pPr>
        <w:pStyle w:val="10"/>
        <w:spacing w:after="0" w:line="360" w:lineRule="auto"/>
        <w:ind w:firstLine="2940" w:firstLineChars="1400"/>
        <w:contextualSpacing/>
        <w:rPr>
          <w:rFonts w:ascii="宋体" w:hAnsi="宋体" w:cs="宋体"/>
          <w:color w:val="auto"/>
          <w:szCs w:val="21"/>
          <w:highlight w:val="none"/>
          <w:u w:val="single"/>
        </w:rPr>
      </w:pPr>
      <w:r>
        <w:rPr>
          <w:rFonts w:hint="eastAsia" w:ascii="宋体" w:hAnsi="宋体" w:cs="宋体"/>
          <w:color w:val="auto"/>
          <w:szCs w:val="21"/>
          <w:highlight w:val="none"/>
        </w:rPr>
        <w:t xml:space="preserve">企业名称（公章）： </w:t>
      </w:r>
      <w:r>
        <w:rPr>
          <w:rFonts w:hint="eastAsia" w:ascii="宋体" w:hAnsi="宋体" w:cs="宋体"/>
          <w:color w:val="auto"/>
          <w:szCs w:val="21"/>
          <w:highlight w:val="none"/>
          <w:u w:val="single"/>
        </w:rPr>
        <w:t xml:space="preserve">                   </w:t>
      </w:r>
    </w:p>
    <w:p w14:paraId="0D9A5A5A">
      <w:pPr>
        <w:pStyle w:val="10"/>
        <w:spacing w:after="0" w:line="360" w:lineRule="auto"/>
        <w:ind w:firstLine="2940" w:firstLineChars="1400"/>
        <w:contextualSpacing/>
        <w:rPr>
          <w:rFonts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年</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月</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日</w:t>
      </w:r>
    </w:p>
    <w:p w14:paraId="68D69405">
      <w:pPr>
        <w:pStyle w:val="10"/>
        <w:spacing w:after="0" w:line="360" w:lineRule="auto"/>
        <w:contextualSpacing/>
        <w:rPr>
          <w:rFonts w:ascii="宋体" w:hAnsi="宋体" w:cs="宋体"/>
          <w:color w:val="auto"/>
          <w:szCs w:val="21"/>
          <w:highlight w:val="none"/>
        </w:rPr>
      </w:pPr>
    </w:p>
    <w:p w14:paraId="52C631E8">
      <w:pPr>
        <w:spacing w:line="360" w:lineRule="auto"/>
        <w:contextualSpacing/>
        <w:jc w:val="left"/>
        <w:rPr>
          <w:rFonts w:ascii="宋体" w:hAnsi="宋体" w:cs="宋体"/>
          <w:b/>
          <w:color w:val="auto"/>
          <w:szCs w:val="21"/>
          <w:highlight w:val="none"/>
        </w:rPr>
      </w:pPr>
      <w:r>
        <w:rPr>
          <w:rFonts w:hint="eastAsia" w:ascii="宋体" w:hAnsi="宋体" w:cs="宋体"/>
          <w:b/>
          <w:color w:val="auto"/>
          <w:szCs w:val="21"/>
          <w:highlight w:val="none"/>
        </w:rPr>
        <w:t>注：</w:t>
      </w:r>
    </w:p>
    <w:p w14:paraId="3EC8B315">
      <w:pPr>
        <w:spacing w:line="360" w:lineRule="auto"/>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0DFB9807">
      <w:pPr>
        <w:spacing w:line="360" w:lineRule="auto"/>
        <w:contextualSpacing/>
        <w:jc w:val="center"/>
        <w:rPr>
          <w:rFonts w:ascii="宋体" w:hAnsi="宋体" w:cs="宋体"/>
          <w:color w:val="auto"/>
          <w:sz w:val="24"/>
          <w:highlight w:val="none"/>
        </w:rPr>
      </w:pPr>
    </w:p>
    <w:p w14:paraId="27A23E3E">
      <w:pPr>
        <w:spacing w:line="360" w:lineRule="auto"/>
        <w:contextualSpacing/>
        <w:jc w:val="center"/>
        <w:rPr>
          <w:rFonts w:ascii="宋体" w:hAnsi="宋体" w:cs="宋体"/>
          <w:color w:val="auto"/>
          <w:sz w:val="24"/>
          <w:highlight w:val="none"/>
        </w:rPr>
      </w:pPr>
    </w:p>
    <w:p w14:paraId="4BF8FDEF">
      <w:pPr>
        <w:spacing w:line="360" w:lineRule="auto"/>
        <w:jc w:val="center"/>
        <w:rPr>
          <w:rFonts w:ascii="宋体" w:hAnsi="宋体" w:cs="宋体"/>
          <w:b/>
          <w:color w:val="auto"/>
          <w:sz w:val="32"/>
          <w:szCs w:val="32"/>
          <w:highlight w:val="none"/>
        </w:rPr>
      </w:pPr>
      <w:r>
        <w:rPr>
          <w:rFonts w:hint="eastAsia" w:hAnsi="宋体" w:cs="宋体"/>
          <w:color w:val="auto"/>
          <w:sz w:val="32"/>
          <w:szCs w:val="32"/>
          <w:highlight w:val="none"/>
        </w:rPr>
        <w:br w:type="page"/>
      </w:r>
      <w:r>
        <w:rPr>
          <w:rFonts w:hint="eastAsia" w:ascii="宋体" w:hAnsi="宋体" w:cs="宋体"/>
          <w:b/>
          <w:color w:val="auto"/>
          <w:sz w:val="24"/>
          <w:highlight w:val="none"/>
        </w:rPr>
        <w:t>残疾人福利性单位声明函</w:t>
      </w:r>
    </w:p>
    <w:p w14:paraId="720A4C77">
      <w:pPr>
        <w:spacing w:line="360" w:lineRule="auto"/>
        <w:rPr>
          <w:rFonts w:ascii="宋体" w:hAnsi="宋体" w:cs="宋体"/>
          <w:color w:val="auto"/>
          <w:sz w:val="32"/>
          <w:szCs w:val="32"/>
          <w:highlight w:val="none"/>
        </w:rPr>
      </w:pPr>
    </w:p>
    <w:p w14:paraId="065BA627">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单位的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21B96133">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本单位对上述声明的真实性负责。如有虚假，将依法承担相应责任。</w:t>
      </w:r>
    </w:p>
    <w:p w14:paraId="09E2A5C7">
      <w:pPr>
        <w:spacing w:line="360" w:lineRule="auto"/>
        <w:contextualSpacing/>
        <w:rPr>
          <w:rFonts w:ascii="宋体" w:hAnsi="宋体" w:cs="宋体"/>
          <w:color w:val="auto"/>
          <w:szCs w:val="21"/>
          <w:highlight w:val="none"/>
        </w:rPr>
      </w:pPr>
    </w:p>
    <w:p w14:paraId="19AFCAA1">
      <w:pPr>
        <w:spacing w:line="360" w:lineRule="auto"/>
        <w:contextualSpacing/>
        <w:rPr>
          <w:rFonts w:ascii="宋体" w:hAnsi="宋体" w:cs="宋体"/>
          <w:color w:val="auto"/>
          <w:szCs w:val="21"/>
          <w:highlight w:val="none"/>
        </w:rPr>
      </w:pPr>
    </w:p>
    <w:p w14:paraId="0414F431">
      <w:pPr>
        <w:spacing w:line="360" w:lineRule="auto"/>
        <w:contextualSpacing/>
        <w:rPr>
          <w:rFonts w:ascii="宋体" w:hAnsi="宋体" w:cs="宋体"/>
          <w:color w:val="auto"/>
          <w:szCs w:val="21"/>
          <w:highlight w:val="none"/>
        </w:rPr>
      </w:pPr>
    </w:p>
    <w:p w14:paraId="272BD943">
      <w:pPr>
        <w:spacing w:line="360" w:lineRule="auto"/>
        <w:ind w:firstLine="3150" w:firstLineChars="1500"/>
        <w:contextualSpacing/>
        <w:rPr>
          <w:rFonts w:ascii="宋体" w:hAnsi="宋体" w:cs="宋体"/>
          <w:color w:val="auto"/>
          <w:szCs w:val="21"/>
          <w:highlight w:val="none"/>
          <w:u w:val="single"/>
        </w:rPr>
      </w:pPr>
      <w:r>
        <w:rPr>
          <w:rFonts w:hint="eastAsia" w:ascii="宋体" w:hAnsi="宋体" w:cs="宋体"/>
          <w:color w:val="auto"/>
          <w:szCs w:val="21"/>
          <w:highlight w:val="none"/>
        </w:rPr>
        <w:t>单位名称（公章）：</w:t>
      </w:r>
      <w:r>
        <w:rPr>
          <w:rFonts w:hint="eastAsia" w:ascii="宋体" w:hAnsi="宋体" w:cs="宋体"/>
          <w:color w:val="auto"/>
          <w:szCs w:val="21"/>
          <w:highlight w:val="none"/>
          <w:u w:val="single"/>
        </w:rPr>
        <w:t xml:space="preserve">                    </w:t>
      </w:r>
    </w:p>
    <w:p w14:paraId="22099826">
      <w:pPr>
        <w:spacing w:line="360" w:lineRule="auto"/>
        <w:ind w:firstLine="3150" w:firstLineChars="1500"/>
        <w:contextualSpacing/>
        <w:rPr>
          <w:rFonts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年</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月</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日</w:t>
      </w:r>
    </w:p>
    <w:p w14:paraId="13BB9345">
      <w:pPr>
        <w:spacing w:line="360" w:lineRule="auto"/>
        <w:contextualSpacing/>
        <w:rPr>
          <w:rFonts w:ascii="宋体" w:hAnsi="宋体" w:cs="宋体"/>
          <w:color w:val="auto"/>
          <w:szCs w:val="21"/>
          <w:highlight w:val="none"/>
        </w:rPr>
      </w:pPr>
    </w:p>
    <w:p w14:paraId="2F0FA5B2">
      <w:pPr>
        <w:spacing w:line="360" w:lineRule="auto"/>
        <w:contextualSpacing/>
        <w:rPr>
          <w:rFonts w:ascii="宋体" w:hAnsi="宋体" w:cs="宋体"/>
          <w:color w:val="auto"/>
          <w:szCs w:val="21"/>
          <w:highlight w:val="none"/>
        </w:rPr>
      </w:pPr>
    </w:p>
    <w:p w14:paraId="7F5C4640">
      <w:pPr>
        <w:spacing w:line="360" w:lineRule="auto"/>
        <w:contextualSpacing/>
        <w:rPr>
          <w:rFonts w:ascii="宋体" w:hAnsi="宋体" w:cs="宋体"/>
          <w:color w:val="auto"/>
          <w:szCs w:val="21"/>
          <w:highlight w:val="none"/>
        </w:rPr>
      </w:pPr>
    </w:p>
    <w:p w14:paraId="11EB580A">
      <w:pPr>
        <w:spacing w:line="360" w:lineRule="auto"/>
        <w:contextualSpacing/>
        <w:rPr>
          <w:rFonts w:ascii="宋体" w:hAnsi="宋体" w:cs="宋体"/>
          <w:b/>
          <w:color w:val="auto"/>
          <w:szCs w:val="21"/>
          <w:highlight w:val="none"/>
        </w:rPr>
      </w:pPr>
      <w:r>
        <w:rPr>
          <w:rFonts w:hint="eastAsia" w:ascii="宋体" w:hAnsi="宋体" w:cs="宋体"/>
          <w:b/>
          <w:color w:val="auto"/>
          <w:szCs w:val="21"/>
          <w:highlight w:val="none"/>
        </w:rPr>
        <w:t>注：</w:t>
      </w:r>
    </w:p>
    <w:p w14:paraId="06F4D846">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请根据自己的真实情况出具《残疾人福利性单位声明函》。依法享受中小企业优惠政策的，采购人或者采购代理机构在公告中标结果时，同时公告其《残疾人福利性单位声明函》，接受社会监督。</w:t>
      </w:r>
    </w:p>
    <w:p w14:paraId="18EF9270">
      <w:pP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p>
    <w:p w14:paraId="5E142FBD">
      <w:pPr>
        <w:rPr>
          <w:rFonts w:ascii="宋体" w:hAnsi="宋体" w:cs="宋体"/>
          <w:b/>
          <w:bCs/>
          <w:color w:val="auto"/>
          <w:sz w:val="24"/>
          <w:highlight w:val="none"/>
        </w:rPr>
      </w:pPr>
      <w:r>
        <w:rPr>
          <w:rFonts w:hint="eastAsia" w:ascii="宋体" w:hAnsi="宋体" w:cs="宋体"/>
          <w:b/>
          <w:bCs/>
          <w:color w:val="auto"/>
          <w:sz w:val="24"/>
          <w:highlight w:val="none"/>
        </w:rPr>
        <w:t>4.关于符合本国产品标准的声明函</w:t>
      </w:r>
    </w:p>
    <w:p w14:paraId="03888079">
      <w:pPr>
        <w:jc w:val="center"/>
        <w:rPr>
          <w:rFonts w:ascii="宋体" w:hAnsi="宋体" w:cs="宋体"/>
          <w:b/>
          <w:bCs/>
          <w:color w:val="auto"/>
          <w:sz w:val="24"/>
          <w:highlight w:val="none"/>
        </w:rPr>
      </w:pPr>
    </w:p>
    <w:p w14:paraId="67F25B49">
      <w:pPr>
        <w:jc w:val="center"/>
        <w:rPr>
          <w:rFonts w:ascii="宋体" w:hAnsi="宋体" w:cs="宋体"/>
          <w:color w:val="auto"/>
          <w:sz w:val="24"/>
          <w:highlight w:val="none"/>
        </w:rPr>
      </w:pPr>
      <w:r>
        <w:rPr>
          <w:rFonts w:hint="eastAsia" w:ascii="宋体" w:hAnsi="宋体" w:cs="宋体"/>
          <w:b/>
          <w:bCs/>
          <w:color w:val="auto"/>
          <w:sz w:val="24"/>
          <w:highlight w:val="none"/>
        </w:rPr>
        <w:t>关于符合本国产品标准的声明函</w:t>
      </w:r>
    </w:p>
    <w:p w14:paraId="27836903">
      <w:pPr>
        <w:spacing w:line="360" w:lineRule="auto"/>
        <w:ind w:firstLine="480" w:firstLineChars="200"/>
        <w:rPr>
          <w:rFonts w:ascii="宋体" w:hAnsi="宋体" w:cs="宋体"/>
          <w:color w:val="auto"/>
          <w:sz w:val="24"/>
          <w:highlight w:val="none"/>
        </w:rPr>
      </w:pPr>
    </w:p>
    <w:p w14:paraId="4B790FB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本公司(单位)郑重声明，根据《国务院办公厅关于在政府采购中实施本国产品标准及相关政策的通知》(国办发〔2025〕34号)的规定，本公司(单位)提供的以下产品属于本国产品。具体情况如下：</w:t>
      </w:r>
    </w:p>
    <w:tbl>
      <w:tblPr>
        <w:tblStyle w:val="31"/>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459"/>
        <w:gridCol w:w="1538"/>
        <w:gridCol w:w="1355"/>
        <w:gridCol w:w="1528"/>
        <w:gridCol w:w="1192"/>
        <w:gridCol w:w="1360"/>
      </w:tblGrid>
      <w:tr w14:paraId="7E5CD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087" w:type="dxa"/>
            <w:vAlign w:val="center"/>
          </w:tcPr>
          <w:p w14:paraId="24C4992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459" w:type="dxa"/>
            <w:vAlign w:val="center"/>
          </w:tcPr>
          <w:p w14:paraId="0F2861E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产品名称</w:t>
            </w:r>
          </w:p>
        </w:tc>
        <w:tc>
          <w:tcPr>
            <w:tcW w:w="1538" w:type="dxa"/>
            <w:vAlign w:val="center"/>
          </w:tcPr>
          <w:p w14:paraId="0745035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生产厂家名称</w:t>
            </w:r>
          </w:p>
        </w:tc>
        <w:tc>
          <w:tcPr>
            <w:tcW w:w="1355" w:type="dxa"/>
            <w:vAlign w:val="center"/>
          </w:tcPr>
          <w:p w14:paraId="5478E9F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生产厂家地址</w:t>
            </w:r>
          </w:p>
        </w:tc>
        <w:tc>
          <w:tcPr>
            <w:tcW w:w="1528" w:type="dxa"/>
            <w:vAlign w:val="center"/>
          </w:tcPr>
          <w:p w14:paraId="4FF5B3E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在中国境内生产组件成本之和占比</w:t>
            </w:r>
          </w:p>
        </w:tc>
        <w:tc>
          <w:tcPr>
            <w:tcW w:w="1192" w:type="dxa"/>
            <w:vAlign w:val="center"/>
          </w:tcPr>
          <w:p w14:paraId="0147ADB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在中国境内生产关键组件的名称</w:t>
            </w:r>
          </w:p>
        </w:tc>
        <w:tc>
          <w:tcPr>
            <w:tcW w:w="1360" w:type="dxa"/>
            <w:vAlign w:val="center"/>
          </w:tcPr>
          <w:p w14:paraId="1F82503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在中国境内生产完成的关键工序</w:t>
            </w:r>
          </w:p>
        </w:tc>
      </w:tr>
      <w:tr w14:paraId="3A031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087" w:type="dxa"/>
            <w:vAlign w:val="center"/>
          </w:tcPr>
          <w:p w14:paraId="7B1FE44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459" w:type="dxa"/>
            <w:vAlign w:val="center"/>
          </w:tcPr>
          <w:p w14:paraId="29F716B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产品名称1</w:t>
            </w:r>
          </w:p>
        </w:tc>
        <w:tc>
          <w:tcPr>
            <w:tcW w:w="1538" w:type="dxa"/>
            <w:vAlign w:val="center"/>
          </w:tcPr>
          <w:p w14:paraId="322E6EEF">
            <w:pPr>
              <w:spacing w:line="360" w:lineRule="auto"/>
              <w:jc w:val="center"/>
              <w:rPr>
                <w:rFonts w:ascii="宋体" w:hAnsi="宋体" w:cs="宋体"/>
                <w:color w:val="auto"/>
                <w:szCs w:val="21"/>
                <w:highlight w:val="none"/>
              </w:rPr>
            </w:pPr>
          </w:p>
        </w:tc>
        <w:tc>
          <w:tcPr>
            <w:tcW w:w="1355" w:type="dxa"/>
            <w:vAlign w:val="center"/>
          </w:tcPr>
          <w:p w14:paraId="4AAD9F92">
            <w:pPr>
              <w:spacing w:line="360" w:lineRule="auto"/>
              <w:jc w:val="center"/>
              <w:rPr>
                <w:rFonts w:ascii="宋体" w:hAnsi="宋体" w:cs="宋体"/>
                <w:color w:val="auto"/>
                <w:szCs w:val="21"/>
                <w:highlight w:val="none"/>
              </w:rPr>
            </w:pPr>
          </w:p>
        </w:tc>
        <w:tc>
          <w:tcPr>
            <w:tcW w:w="1528" w:type="dxa"/>
            <w:vAlign w:val="center"/>
          </w:tcPr>
          <w:p w14:paraId="7646AC29">
            <w:pPr>
              <w:spacing w:line="360" w:lineRule="auto"/>
              <w:jc w:val="center"/>
              <w:rPr>
                <w:rFonts w:ascii="宋体" w:hAnsi="宋体" w:cs="宋体"/>
                <w:color w:val="auto"/>
                <w:szCs w:val="21"/>
                <w:highlight w:val="none"/>
              </w:rPr>
            </w:pPr>
          </w:p>
        </w:tc>
        <w:tc>
          <w:tcPr>
            <w:tcW w:w="1192" w:type="dxa"/>
            <w:vAlign w:val="center"/>
          </w:tcPr>
          <w:p w14:paraId="51202805">
            <w:pPr>
              <w:spacing w:line="360" w:lineRule="auto"/>
              <w:jc w:val="center"/>
              <w:rPr>
                <w:rFonts w:ascii="宋体" w:hAnsi="宋体" w:cs="宋体"/>
                <w:color w:val="auto"/>
                <w:szCs w:val="21"/>
                <w:highlight w:val="none"/>
              </w:rPr>
            </w:pPr>
          </w:p>
        </w:tc>
        <w:tc>
          <w:tcPr>
            <w:tcW w:w="1360" w:type="dxa"/>
            <w:vAlign w:val="center"/>
          </w:tcPr>
          <w:p w14:paraId="0E31370F">
            <w:pPr>
              <w:spacing w:line="360" w:lineRule="auto"/>
              <w:jc w:val="center"/>
              <w:rPr>
                <w:rFonts w:ascii="宋体" w:hAnsi="宋体" w:cs="宋体"/>
                <w:color w:val="auto"/>
                <w:szCs w:val="21"/>
                <w:highlight w:val="none"/>
              </w:rPr>
            </w:pPr>
          </w:p>
        </w:tc>
      </w:tr>
      <w:tr w14:paraId="5C97F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087" w:type="dxa"/>
            <w:vAlign w:val="center"/>
          </w:tcPr>
          <w:p w14:paraId="67F2B43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459" w:type="dxa"/>
            <w:vAlign w:val="center"/>
          </w:tcPr>
          <w:p w14:paraId="0DFE94F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产品名称2</w:t>
            </w:r>
          </w:p>
        </w:tc>
        <w:tc>
          <w:tcPr>
            <w:tcW w:w="1538" w:type="dxa"/>
            <w:vAlign w:val="center"/>
          </w:tcPr>
          <w:p w14:paraId="7AEDE1C3">
            <w:pPr>
              <w:spacing w:line="360" w:lineRule="auto"/>
              <w:jc w:val="center"/>
              <w:rPr>
                <w:rFonts w:ascii="宋体" w:hAnsi="宋体" w:cs="宋体"/>
                <w:color w:val="auto"/>
                <w:szCs w:val="21"/>
                <w:highlight w:val="none"/>
              </w:rPr>
            </w:pPr>
          </w:p>
        </w:tc>
        <w:tc>
          <w:tcPr>
            <w:tcW w:w="1355" w:type="dxa"/>
            <w:vAlign w:val="center"/>
          </w:tcPr>
          <w:p w14:paraId="0EBBDB67">
            <w:pPr>
              <w:spacing w:line="360" w:lineRule="auto"/>
              <w:jc w:val="center"/>
              <w:rPr>
                <w:rFonts w:ascii="宋体" w:hAnsi="宋体" w:cs="宋体"/>
                <w:color w:val="auto"/>
                <w:szCs w:val="21"/>
                <w:highlight w:val="none"/>
              </w:rPr>
            </w:pPr>
          </w:p>
        </w:tc>
        <w:tc>
          <w:tcPr>
            <w:tcW w:w="1528" w:type="dxa"/>
            <w:vAlign w:val="center"/>
          </w:tcPr>
          <w:p w14:paraId="687421A7">
            <w:pPr>
              <w:spacing w:line="360" w:lineRule="auto"/>
              <w:jc w:val="center"/>
              <w:rPr>
                <w:rFonts w:ascii="宋体" w:hAnsi="宋体" w:cs="宋体"/>
                <w:color w:val="auto"/>
                <w:szCs w:val="21"/>
                <w:highlight w:val="none"/>
              </w:rPr>
            </w:pPr>
          </w:p>
        </w:tc>
        <w:tc>
          <w:tcPr>
            <w:tcW w:w="1192" w:type="dxa"/>
            <w:vAlign w:val="center"/>
          </w:tcPr>
          <w:p w14:paraId="1A3CF49A">
            <w:pPr>
              <w:spacing w:line="360" w:lineRule="auto"/>
              <w:jc w:val="center"/>
              <w:rPr>
                <w:rFonts w:ascii="宋体" w:hAnsi="宋体" w:cs="宋体"/>
                <w:color w:val="auto"/>
                <w:szCs w:val="21"/>
                <w:highlight w:val="none"/>
              </w:rPr>
            </w:pPr>
          </w:p>
        </w:tc>
        <w:tc>
          <w:tcPr>
            <w:tcW w:w="1360" w:type="dxa"/>
            <w:vAlign w:val="center"/>
          </w:tcPr>
          <w:p w14:paraId="1534E65F">
            <w:pPr>
              <w:spacing w:line="360" w:lineRule="auto"/>
              <w:jc w:val="center"/>
              <w:rPr>
                <w:rFonts w:ascii="宋体" w:hAnsi="宋体" w:cs="宋体"/>
                <w:color w:val="auto"/>
                <w:szCs w:val="21"/>
                <w:highlight w:val="none"/>
              </w:rPr>
            </w:pPr>
          </w:p>
        </w:tc>
      </w:tr>
      <w:tr w14:paraId="5A9B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087" w:type="dxa"/>
            <w:vAlign w:val="center"/>
          </w:tcPr>
          <w:p w14:paraId="2CD5D61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w:t>
            </w:r>
          </w:p>
        </w:tc>
        <w:tc>
          <w:tcPr>
            <w:tcW w:w="1459" w:type="dxa"/>
            <w:vAlign w:val="center"/>
          </w:tcPr>
          <w:p w14:paraId="191558D3">
            <w:pPr>
              <w:spacing w:line="360" w:lineRule="auto"/>
              <w:jc w:val="center"/>
              <w:rPr>
                <w:rFonts w:ascii="宋体" w:hAnsi="宋体" w:cs="宋体"/>
                <w:color w:val="auto"/>
                <w:szCs w:val="21"/>
                <w:highlight w:val="none"/>
              </w:rPr>
            </w:pPr>
          </w:p>
        </w:tc>
        <w:tc>
          <w:tcPr>
            <w:tcW w:w="1538" w:type="dxa"/>
            <w:vAlign w:val="center"/>
          </w:tcPr>
          <w:p w14:paraId="27447A72">
            <w:pPr>
              <w:spacing w:line="360" w:lineRule="auto"/>
              <w:jc w:val="center"/>
              <w:rPr>
                <w:rFonts w:ascii="宋体" w:hAnsi="宋体" w:cs="宋体"/>
                <w:color w:val="auto"/>
                <w:szCs w:val="21"/>
                <w:highlight w:val="none"/>
              </w:rPr>
            </w:pPr>
          </w:p>
        </w:tc>
        <w:tc>
          <w:tcPr>
            <w:tcW w:w="1355" w:type="dxa"/>
            <w:vAlign w:val="center"/>
          </w:tcPr>
          <w:p w14:paraId="7F9A79C8">
            <w:pPr>
              <w:spacing w:line="360" w:lineRule="auto"/>
              <w:jc w:val="center"/>
              <w:rPr>
                <w:rFonts w:ascii="宋体" w:hAnsi="宋体" w:cs="宋体"/>
                <w:color w:val="auto"/>
                <w:szCs w:val="21"/>
                <w:highlight w:val="none"/>
              </w:rPr>
            </w:pPr>
          </w:p>
        </w:tc>
        <w:tc>
          <w:tcPr>
            <w:tcW w:w="1528" w:type="dxa"/>
            <w:vAlign w:val="center"/>
          </w:tcPr>
          <w:p w14:paraId="00C608EB">
            <w:pPr>
              <w:spacing w:line="360" w:lineRule="auto"/>
              <w:jc w:val="center"/>
              <w:rPr>
                <w:rFonts w:ascii="宋体" w:hAnsi="宋体" w:cs="宋体"/>
                <w:color w:val="auto"/>
                <w:szCs w:val="21"/>
                <w:highlight w:val="none"/>
              </w:rPr>
            </w:pPr>
          </w:p>
        </w:tc>
        <w:tc>
          <w:tcPr>
            <w:tcW w:w="1192" w:type="dxa"/>
            <w:vAlign w:val="center"/>
          </w:tcPr>
          <w:p w14:paraId="2283D38A">
            <w:pPr>
              <w:spacing w:line="360" w:lineRule="auto"/>
              <w:jc w:val="center"/>
              <w:rPr>
                <w:rFonts w:ascii="宋体" w:hAnsi="宋体" w:cs="宋体"/>
                <w:color w:val="auto"/>
                <w:szCs w:val="21"/>
                <w:highlight w:val="none"/>
              </w:rPr>
            </w:pPr>
          </w:p>
        </w:tc>
        <w:tc>
          <w:tcPr>
            <w:tcW w:w="1360" w:type="dxa"/>
            <w:vAlign w:val="center"/>
          </w:tcPr>
          <w:p w14:paraId="49DAB647">
            <w:pPr>
              <w:spacing w:line="360" w:lineRule="auto"/>
              <w:jc w:val="center"/>
              <w:rPr>
                <w:rFonts w:ascii="宋体" w:hAnsi="宋体" w:cs="宋体"/>
                <w:color w:val="auto"/>
                <w:szCs w:val="21"/>
                <w:highlight w:val="none"/>
              </w:rPr>
            </w:pPr>
          </w:p>
        </w:tc>
      </w:tr>
    </w:tbl>
    <w:p w14:paraId="74E5B2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本公司(单位)对上述声明内容的真实性负责。如有虚假，愿承担相应法律责任。</w:t>
      </w:r>
    </w:p>
    <w:p w14:paraId="07E04522">
      <w:pPr>
        <w:spacing w:line="360" w:lineRule="auto"/>
        <w:rPr>
          <w:rFonts w:ascii="宋体" w:hAnsi="宋体" w:cs="宋体"/>
          <w:color w:val="auto"/>
          <w:szCs w:val="21"/>
          <w:highlight w:val="none"/>
        </w:rPr>
      </w:pPr>
    </w:p>
    <w:p w14:paraId="06FA7686">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公司(单位)名称(盖章)：　        </w:t>
      </w:r>
    </w:p>
    <w:p w14:paraId="38161A00">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日期：　     年　  月　  日         </w:t>
      </w:r>
    </w:p>
    <w:p w14:paraId="2EC44D40">
      <w:pPr>
        <w:spacing w:line="360" w:lineRule="auto"/>
        <w:ind w:firstLine="420" w:firstLineChars="200"/>
        <w:rPr>
          <w:rFonts w:ascii="宋体" w:hAnsi="宋体" w:cs="宋体"/>
          <w:color w:val="auto"/>
          <w:szCs w:val="21"/>
          <w:highlight w:val="none"/>
        </w:rPr>
      </w:pPr>
    </w:p>
    <w:p w14:paraId="5EE7A91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注：1.产品如有型号，请在“产品名称”栏一并填写。</w:t>
      </w:r>
    </w:p>
    <w:p w14:paraId="061EA87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2.生产厂名与厂址应与生产厂营业执照载明的相关信息保持一致。</w:t>
      </w:r>
    </w:p>
    <w:p w14:paraId="0E7D4EE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3.该产品的中国境内生产的组件成本占比相关要求实施前，“规定比例”栏可不填，下同。</w:t>
      </w:r>
    </w:p>
    <w:p w14:paraId="21FD47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4.该产品的关键组件要求实施前，“关键组件”栏可不填，下同。</w:t>
      </w:r>
    </w:p>
    <w:p w14:paraId="0EDC861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5.该产品的关键工序要求实施前，“关键工序”栏可不填，下同。</w:t>
      </w:r>
    </w:p>
    <w:p w14:paraId="26DE8802">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6.供应商为该采购项目或者采购包提供的符合本国产品标准的产品成本之和占该供应商提供的全部产品成本之和的比例达到80%以上。</w:t>
      </w:r>
    </w:p>
    <w:p w14:paraId="5C671B6A">
      <w:pPr>
        <w:jc w:val="left"/>
        <w:rPr>
          <w:rFonts w:ascii="宋体" w:hAnsi="宋体" w:cs="宋体"/>
          <w:b/>
          <w:bCs/>
          <w:color w:val="auto"/>
          <w:sz w:val="24"/>
          <w:highlight w:val="none"/>
        </w:rPr>
      </w:pPr>
      <w:r>
        <w:rPr>
          <w:rFonts w:hint="eastAsia" w:ascii="宋体" w:hAnsi="宋体" w:cs="宋体"/>
          <w:b/>
          <w:bCs/>
          <w:color w:val="auto"/>
          <w:sz w:val="24"/>
          <w:highlight w:val="none"/>
        </w:rPr>
        <w:br w:type="page"/>
      </w:r>
    </w:p>
    <w:p w14:paraId="66B8B580">
      <w:pPr>
        <w:jc w:val="left"/>
        <w:rPr>
          <w:rFonts w:ascii="宋体" w:hAnsi="宋体" w:cs="宋体"/>
          <w:b/>
          <w:bCs/>
          <w:color w:val="auto"/>
          <w:sz w:val="24"/>
          <w:highlight w:val="none"/>
        </w:rPr>
      </w:pPr>
      <w:r>
        <w:rPr>
          <w:rFonts w:hint="eastAsia" w:ascii="宋体" w:hAnsi="宋体" w:cs="宋体"/>
          <w:b/>
          <w:bCs/>
          <w:color w:val="auto"/>
          <w:sz w:val="24"/>
          <w:highlight w:val="none"/>
        </w:rPr>
        <w:t>5.供应商针对报价需要说明的其他文件和说明</w:t>
      </w:r>
    </w:p>
    <w:p w14:paraId="5545298C">
      <w:pPr>
        <w:spacing w:line="360" w:lineRule="auto"/>
        <w:jc w:val="center"/>
        <w:rPr>
          <w:rFonts w:ascii="宋体" w:hAnsi="宋体" w:cs="宋体"/>
          <w:b/>
          <w:bCs/>
          <w:color w:val="auto"/>
          <w:sz w:val="24"/>
          <w:highlight w:val="none"/>
        </w:rPr>
      </w:pPr>
    </w:p>
    <w:p w14:paraId="4D4870E1">
      <w:pPr>
        <w:spacing w:line="360" w:lineRule="auto"/>
        <w:jc w:val="center"/>
        <w:rPr>
          <w:rFonts w:ascii="宋体" w:hAnsi="宋体" w:cs="宋体"/>
          <w:b/>
          <w:bCs/>
          <w:color w:val="auto"/>
          <w:sz w:val="24"/>
          <w:highlight w:val="none"/>
        </w:rPr>
      </w:pPr>
    </w:p>
    <w:p w14:paraId="464FF9B7">
      <w:pPr>
        <w:jc w:val="left"/>
        <w:rPr>
          <w:rFonts w:ascii="宋体" w:hAnsi="宋体" w:cs="宋体"/>
          <w:b/>
          <w:bCs/>
          <w:color w:val="auto"/>
          <w:sz w:val="24"/>
          <w:highlight w:val="none"/>
        </w:rPr>
      </w:pPr>
      <w:r>
        <w:rPr>
          <w:rFonts w:hint="eastAsia" w:ascii="宋体" w:hAnsi="宋体" w:cs="宋体"/>
          <w:b/>
          <w:bCs/>
          <w:color w:val="auto"/>
          <w:sz w:val="24"/>
          <w:highlight w:val="none"/>
        </w:rPr>
        <w:br w:type="page"/>
      </w:r>
    </w:p>
    <w:p w14:paraId="3F55BCBD">
      <w:pPr>
        <w:spacing w:line="480" w:lineRule="auto"/>
        <w:contextualSpacing/>
        <w:jc w:val="left"/>
        <w:rPr>
          <w:rFonts w:ascii="宋体" w:hAnsi="宋体" w:cs="宋体"/>
          <w:b/>
          <w:color w:val="auto"/>
          <w:sz w:val="32"/>
          <w:szCs w:val="32"/>
          <w:highlight w:val="none"/>
        </w:rPr>
      </w:pPr>
      <w:r>
        <w:rPr>
          <w:rFonts w:hint="eastAsia" w:ascii="宋体" w:hAnsi="宋体" w:cs="宋体"/>
          <w:b/>
          <w:bCs/>
          <w:color w:val="auto"/>
          <w:sz w:val="32"/>
          <w:szCs w:val="32"/>
          <w:highlight w:val="none"/>
        </w:rPr>
        <w:t>三、商务技术</w:t>
      </w:r>
      <w:r>
        <w:rPr>
          <w:rFonts w:hint="eastAsia" w:ascii="宋体" w:hAnsi="宋体" w:cs="宋体"/>
          <w:b/>
          <w:color w:val="auto"/>
          <w:sz w:val="32"/>
          <w:szCs w:val="32"/>
          <w:highlight w:val="none"/>
        </w:rPr>
        <w:t xml:space="preserve">文件格式 </w:t>
      </w:r>
    </w:p>
    <w:p w14:paraId="4937AB01">
      <w:pPr>
        <w:snapToGrid w:val="0"/>
        <w:spacing w:line="48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t>商务技术文件封面格式</w:t>
      </w:r>
    </w:p>
    <w:p w14:paraId="0FECF3D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16478E44">
      <w:pPr>
        <w:snapToGrid w:val="0"/>
        <w:spacing w:line="360" w:lineRule="auto"/>
        <w:rPr>
          <w:rFonts w:ascii="宋体" w:hAnsi="宋体" w:cs="宋体"/>
          <w:color w:val="auto"/>
          <w:sz w:val="24"/>
          <w:highlight w:val="none"/>
        </w:rPr>
      </w:pPr>
    </w:p>
    <w:p w14:paraId="695155FC">
      <w:pPr>
        <w:snapToGrid w:val="0"/>
        <w:spacing w:line="360" w:lineRule="auto"/>
        <w:rPr>
          <w:rFonts w:ascii="宋体" w:hAnsi="宋体" w:cs="宋体"/>
          <w:color w:val="auto"/>
          <w:sz w:val="24"/>
          <w:szCs w:val="20"/>
          <w:highlight w:val="none"/>
        </w:rPr>
      </w:pPr>
    </w:p>
    <w:p w14:paraId="52E9A4EA">
      <w:pPr>
        <w:snapToGrid w:val="0"/>
        <w:spacing w:line="360" w:lineRule="auto"/>
        <w:rPr>
          <w:rFonts w:ascii="宋体" w:hAnsi="宋体" w:cs="宋体"/>
          <w:color w:val="auto"/>
          <w:sz w:val="24"/>
          <w:szCs w:val="20"/>
          <w:highlight w:val="none"/>
        </w:rPr>
      </w:pPr>
    </w:p>
    <w:p w14:paraId="4B606D96">
      <w:pPr>
        <w:snapToGrid w:val="0"/>
        <w:spacing w:before="159" w:beforeLines="50" w:after="50" w:line="360" w:lineRule="auto"/>
        <w:jc w:val="center"/>
        <w:rPr>
          <w:rFonts w:ascii="微软雅黑" w:hAnsi="微软雅黑" w:eastAsia="微软雅黑" w:cs="微软雅黑"/>
          <w:bCs/>
          <w:color w:val="auto"/>
          <w:sz w:val="44"/>
          <w:szCs w:val="44"/>
          <w:highlight w:val="none"/>
        </w:rPr>
      </w:pPr>
      <w:r>
        <w:rPr>
          <w:rFonts w:hint="eastAsia" w:ascii="微软雅黑" w:hAnsi="微软雅黑" w:eastAsia="微软雅黑" w:cs="微软雅黑"/>
          <w:bCs/>
          <w:color w:val="auto"/>
          <w:sz w:val="44"/>
          <w:szCs w:val="44"/>
          <w:highlight w:val="none"/>
        </w:rPr>
        <w:t>商务技术文件</w:t>
      </w:r>
    </w:p>
    <w:p w14:paraId="59A6B932">
      <w:pPr>
        <w:snapToGrid w:val="0"/>
        <w:spacing w:line="360" w:lineRule="auto"/>
        <w:rPr>
          <w:rFonts w:ascii="宋体" w:hAnsi="宋体" w:cs="宋体"/>
          <w:bCs/>
          <w:color w:val="auto"/>
          <w:sz w:val="28"/>
          <w:szCs w:val="28"/>
          <w:highlight w:val="none"/>
        </w:rPr>
      </w:pPr>
    </w:p>
    <w:p w14:paraId="2CDDE69B">
      <w:pPr>
        <w:snapToGrid w:val="0"/>
        <w:spacing w:line="360" w:lineRule="auto"/>
        <w:rPr>
          <w:rFonts w:ascii="宋体" w:hAnsi="宋体" w:cs="宋体"/>
          <w:bCs/>
          <w:color w:val="auto"/>
          <w:sz w:val="28"/>
          <w:szCs w:val="28"/>
          <w:highlight w:val="none"/>
        </w:rPr>
      </w:pPr>
    </w:p>
    <w:p w14:paraId="2BEAEE73">
      <w:pPr>
        <w:snapToGrid w:val="0"/>
        <w:spacing w:line="360" w:lineRule="auto"/>
        <w:ind w:firstLine="1680" w:firstLineChars="600"/>
        <w:rPr>
          <w:rFonts w:ascii="宋体" w:hAnsi="宋体" w:cs="宋体"/>
          <w:bCs/>
          <w:color w:val="auto"/>
          <w:sz w:val="28"/>
          <w:szCs w:val="28"/>
          <w:highlight w:val="none"/>
        </w:rPr>
      </w:pPr>
    </w:p>
    <w:p w14:paraId="1FB19A1C">
      <w:pPr>
        <w:snapToGrid w:val="0"/>
        <w:spacing w:line="360" w:lineRule="auto"/>
        <w:ind w:firstLine="1680" w:firstLineChars="600"/>
        <w:rPr>
          <w:rFonts w:ascii="宋体" w:hAnsi="宋体" w:cs="宋体"/>
          <w:bCs/>
          <w:color w:val="auto"/>
          <w:sz w:val="28"/>
          <w:szCs w:val="28"/>
          <w:highlight w:val="none"/>
        </w:rPr>
      </w:pPr>
    </w:p>
    <w:p w14:paraId="278B8B1E">
      <w:pPr>
        <w:snapToGrid w:val="0"/>
        <w:spacing w:line="360" w:lineRule="auto"/>
        <w:ind w:firstLine="1680" w:firstLineChars="600"/>
        <w:rPr>
          <w:rFonts w:ascii="宋体" w:hAnsi="宋体" w:cs="宋体"/>
          <w:bCs/>
          <w:color w:val="auto"/>
          <w:sz w:val="28"/>
          <w:szCs w:val="28"/>
          <w:highlight w:val="none"/>
        </w:rPr>
      </w:pPr>
    </w:p>
    <w:p w14:paraId="05F67DED">
      <w:pPr>
        <w:snapToGrid w:val="0"/>
        <w:spacing w:line="480" w:lineRule="auto"/>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项目名称：</w:t>
      </w:r>
    </w:p>
    <w:p w14:paraId="7337B299">
      <w:pPr>
        <w:snapToGrid w:val="0"/>
        <w:spacing w:line="480" w:lineRule="auto"/>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 xml:space="preserve">项目编号： </w:t>
      </w:r>
    </w:p>
    <w:p w14:paraId="41791DBE">
      <w:pPr>
        <w:snapToGrid w:val="0"/>
        <w:spacing w:line="480" w:lineRule="auto"/>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所竞分标（如有）：</w:t>
      </w:r>
    </w:p>
    <w:p w14:paraId="5E3817FF">
      <w:pPr>
        <w:pStyle w:val="6"/>
        <w:snapToGrid w:val="0"/>
        <w:spacing w:line="480" w:lineRule="auto"/>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供应商名称：</w:t>
      </w:r>
    </w:p>
    <w:p w14:paraId="2B718F7A">
      <w:pPr>
        <w:pStyle w:val="6"/>
        <w:snapToGrid w:val="0"/>
        <w:spacing w:line="480" w:lineRule="auto"/>
        <w:ind w:firstLine="1680" w:firstLineChars="600"/>
        <w:rPr>
          <w:rFonts w:ascii="宋体" w:hAnsi="宋体" w:cs="宋体"/>
          <w:bCs/>
          <w:color w:val="auto"/>
          <w:sz w:val="28"/>
          <w:szCs w:val="28"/>
          <w:highlight w:val="none"/>
        </w:rPr>
      </w:pPr>
    </w:p>
    <w:p w14:paraId="0136FC13">
      <w:pPr>
        <w:snapToGrid w:val="0"/>
        <w:spacing w:line="48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年    月    日</w:t>
      </w:r>
    </w:p>
    <w:p w14:paraId="09156F63">
      <w:pPr>
        <w:snapToGrid w:val="0"/>
        <w:spacing w:line="480" w:lineRule="auto"/>
        <w:jc w:val="left"/>
        <w:rPr>
          <w:rFonts w:ascii="宋体" w:hAnsi="宋体" w:cs="宋体"/>
          <w:b/>
          <w:bCs/>
          <w:color w:val="auto"/>
          <w:sz w:val="24"/>
          <w:highlight w:val="none"/>
        </w:rPr>
      </w:pPr>
      <w:r>
        <w:rPr>
          <w:rFonts w:hint="eastAsia" w:ascii="宋体" w:hAnsi="宋体" w:cs="宋体"/>
          <w:color w:val="auto"/>
          <w:sz w:val="28"/>
          <w:szCs w:val="28"/>
          <w:highlight w:val="none"/>
        </w:rPr>
        <w:br w:type="page"/>
      </w:r>
      <w:r>
        <w:rPr>
          <w:rFonts w:hint="eastAsia" w:ascii="宋体" w:hAnsi="宋体" w:cs="宋体"/>
          <w:b/>
          <w:bCs/>
          <w:color w:val="auto"/>
          <w:sz w:val="24"/>
          <w:highlight w:val="none"/>
        </w:rPr>
        <w:t>商务技术文件目录</w:t>
      </w:r>
    </w:p>
    <w:p w14:paraId="1289B64E">
      <w:pPr>
        <w:snapToGrid w:val="0"/>
        <w:spacing w:line="48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根据谈判文件规定及供应商提供的材料自行编写目录（部分格式后附）。</w:t>
      </w:r>
    </w:p>
    <w:p w14:paraId="14586ECA">
      <w:pPr>
        <w:jc w:val="left"/>
        <w:rPr>
          <w:rFonts w:ascii="宋体" w:hAnsi="宋体" w:cs="宋体"/>
          <w:b/>
          <w:bCs/>
          <w:color w:val="auto"/>
          <w:sz w:val="24"/>
          <w:highlight w:val="none"/>
        </w:rPr>
      </w:pPr>
      <w:r>
        <w:rPr>
          <w:rFonts w:hint="eastAsia" w:ascii="宋体" w:hAnsi="宋体" w:cs="宋体"/>
          <w:b/>
          <w:bCs/>
          <w:color w:val="auto"/>
          <w:sz w:val="24"/>
          <w:highlight w:val="none"/>
        </w:rPr>
        <w:br w:type="page"/>
      </w:r>
    </w:p>
    <w:p w14:paraId="763406AE">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1.法定代表人身份证明及法定代表人有效身份证正反面</w:t>
      </w:r>
    </w:p>
    <w:p w14:paraId="75903AB9">
      <w:pPr>
        <w:spacing w:line="360" w:lineRule="auto"/>
        <w:jc w:val="center"/>
        <w:rPr>
          <w:rFonts w:ascii="宋体" w:hAnsi="宋体" w:cs="宋体"/>
          <w:b/>
          <w:bCs/>
          <w:color w:val="auto"/>
          <w:sz w:val="24"/>
          <w:highlight w:val="none"/>
        </w:rPr>
      </w:pPr>
    </w:p>
    <w:p w14:paraId="3D24E767">
      <w:pPr>
        <w:spacing w:line="360" w:lineRule="auto"/>
        <w:jc w:val="center"/>
        <w:rPr>
          <w:rFonts w:ascii="宋体" w:hAnsi="宋体" w:cs="宋体"/>
          <w:b/>
          <w:color w:val="auto"/>
          <w:sz w:val="24"/>
          <w:highlight w:val="none"/>
        </w:rPr>
      </w:pPr>
      <w:r>
        <w:rPr>
          <w:rFonts w:hint="eastAsia" w:ascii="宋体" w:hAnsi="宋体" w:cs="宋体"/>
          <w:b/>
          <w:bCs/>
          <w:color w:val="auto"/>
          <w:sz w:val="24"/>
          <w:highlight w:val="none"/>
        </w:rPr>
        <w:t>法定代表人身份证明</w:t>
      </w:r>
    </w:p>
    <w:p w14:paraId="4BCE293E">
      <w:pPr>
        <w:spacing w:line="360" w:lineRule="auto"/>
        <w:contextualSpacing/>
        <w:rPr>
          <w:rFonts w:ascii="宋体" w:hAnsi="宋体" w:cs="宋体"/>
          <w:color w:val="auto"/>
          <w:sz w:val="32"/>
          <w:szCs w:val="32"/>
          <w:highlight w:val="none"/>
        </w:rPr>
      </w:pPr>
    </w:p>
    <w:p w14:paraId="2F9BC315">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      别：</w:t>
      </w:r>
      <w:r>
        <w:rPr>
          <w:rFonts w:hint="eastAsia" w:ascii="宋体" w:hAnsi="宋体" w:cs="宋体"/>
          <w:color w:val="auto"/>
          <w:szCs w:val="21"/>
          <w:highlight w:val="none"/>
          <w:u w:val="single"/>
        </w:rPr>
        <w:t xml:space="preserve">                      </w:t>
      </w:r>
    </w:p>
    <w:p w14:paraId="0597DB58">
      <w:pPr>
        <w:spacing w:line="360" w:lineRule="auto"/>
        <w:contextualSpacing/>
        <w:rPr>
          <w:rFonts w:ascii="宋体" w:hAnsi="宋体" w:cs="宋体"/>
          <w:color w:val="auto"/>
          <w:szCs w:val="21"/>
          <w:highlight w:val="none"/>
          <w:u w:val="single"/>
        </w:rPr>
      </w:pPr>
      <w:r>
        <w:rPr>
          <w:rFonts w:hint="eastAsia" w:ascii="宋体" w:hAnsi="宋体" w:cs="宋体"/>
          <w:color w:val="auto"/>
          <w:szCs w:val="21"/>
          <w:highlight w:val="none"/>
        </w:rPr>
        <w:t>年    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w:t>
      </w:r>
    </w:p>
    <w:p w14:paraId="2DC662DC">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2ECB6BFD">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（供应商名称）   </w:t>
      </w:r>
      <w:r>
        <w:rPr>
          <w:rFonts w:hint="eastAsia" w:ascii="宋体" w:hAnsi="宋体" w:cs="宋体"/>
          <w:color w:val="auto"/>
          <w:szCs w:val="21"/>
          <w:highlight w:val="none"/>
        </w:rPr>
        <w:t>的法定代表人。</w:t>
      </w:r>
    </w:p>
    <w:p w14:paraId="4CFA8920">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特此证明。</w:t>
      </w:r>
    </w:p>
    <w:p w14:paraId="426B5DA7">
      <w:pPr>
        <w:spacing w:line="360" w:lineRule="auto"/>
        <w:contextualSpacing/>
        <w:rPr>
          <w:rFonts w:ascii="宋体" w:hAnsi="宋体" w:cs="宋体"/>
          <w:color w:val="auto"/>
          <w:szCs w:val="21"/>
          <w:highlight w:val="none"/>
        </w:rPr>
      </w:pPr>
    </w:p>
    <w:p w14:paraId="2BF49F05">
      <w:pPr>
        <w:spacing w:line="360" w:lineRule="auto"/>
        <w:contextualSpacing/>
        <w:rPr>
          <w:rFonts w:ascii="宋体" w:hAnsi="宋体" w:cs="宋体"/>
          <w:color w:val="auto"/>
          <w:szCs w:val="21"/>
          <w:highlight w:val="none"/>
        </w:rPr>
      </w:pPr>
    </w:p>
    <w:p w14:paraId="62854401">
      <w:pPr>
        <w:spacing w:line="360" w:lineRule="auto"/>
        <w:contextualSpacing/>
        <w:rPr>
          <w:rFonts w:ascii="宋体" w:hAnsi="宋体" w:cs="宋体"/>
          <w:color w:val="auto"/>
          <w:szCs w:val="21"/>
          <w:highlight w:val="none"/>
        </w:rPr>
      </w:pPr>
    </w:p>
    <w:p w14:paraId="2D8EB541">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附件：法定代表人有效身份证正反面</w:t>
      </w:r>
    </w:p>
    <w:p w14:paraId="56CC3EC0">
      <w:pPr>
        <w:spacing w:line="360" w:lineRule="auto"/>
        <w:contextualSpacing/>
        <w:rPr>
          <w:rFonts w:ascii="宋体" w:hAnsi="宋体" w:cs="宋体"/>
          <w:color w:val="auto"/>
          <w:szCs w:val="21"/>
          <w:highlight w:val="none"/>
        </w:rPr>
      </w:pPr>
    </w:p>
    <w:p w14:paraId="7490382B">
      <w:pPr>
        <w:spacing w:line="360" w:lineRule="auto"/>
        <w:ind w:right="960" w:firstLine="4410" w:firstLineChars="2100"/>
        <w:contextualSpacing/>
        <w:rPr>
          <w:rFonts w:ascii="宋体" w:hAnsi="宋体" w:cs="宋体"/>
          <w:color w:val="auto"/>
          <w:szCs w:val="21"/>
          <w:highlight w:val="none"/>
        </w:rPr>
      </w:pPr>
      <w:r>
        <w:rPr>
          <w:rFonts w:hint="eastAsia" w:ascii="宋体" w:hAnsi="宋体" w:cs="宋体"/>
          <w:color w:val="auto"/>
          <w:szCs w:val="21"/>
          <w:highlight w:val="none"/>
        </w:rPr>
        <w:t>供应商（公章或CA签章）：</w:t>
      </w:r>
      <w:r>
        <w:rPr>
          <w:rFonts w:hint="eastAsia" w:ascii="宋体" w:hAnsi="宋体" w:cs="宋体"/>
          <w:color w:val="auto"/>
          <w:szCs w:val="21"/>
          <w:highlight w:val="none"/>
          <w:u w:val="single"/>
        </w:rPr>
        <w:t xml:space="preserve">               </w:t>
      </w:r>
    </w:p>
    <w:p w14:paraId="5BC7C374">
      <w:pPr>
        <w:spacing w:line="360" w:lineRule="auto"/>
        <w:ind w:firstLine="4410" w:firstLineChars="2100"/>
        <w:contextualSpacing/>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9A22078">
      <w:pPr>
        <w:spacing w:line="360" w:lineRule="auto"/>
        <w:contextualSpacing/>
        <w:jc w:val="center"/>
        <w:rPr>
          <w:rFonts w:ascii="宋体" w:hAnsi="宋体" w:cs="宋体"/>
          <w:b/>
          <w:color w:val="auto"/>
          <w:sz w:val="24"/>
          <w:highlight w:val="none"/>
        </w:rPr>
      </w:pPr>
    </w:p>
    <w:p w14:paraId="54E5A926">
      <w:pPr>
        <w:spacing w:line="360" w:lineRule="auto"/>
        <w:contextualSpacing/>
        <w:jc w:val="left"/>
        <w:rPr>
          <w:rFonts w:ascii="宋体" w:hAnsi="宋体" w:cs="宋体"/>
          <w:b/>
          <w:color w:val="auto"/>
          <w:szCs w:val="21"/>
          <w:highlight w:val="none"/>
        </w:rPr>
      </w:pPr>
      <w:r>
        <w:rPr>
          <w:rFonts w:hint="eastAsia" w:ascii="宋体" w:hAnsi="宋体" w:cs="宋体"/>
          <w:b/>
          <w:color w:val="auto"/>
          <w:szCs w:val="21"/>
          <w:highlight w:val="none"/>
        </w:rPr>
        <w:t>注：</w:t>
      </w:r>
    </w:p>
    <w:p w14:paraId="7BC46193">
      <w:pPr>
        <w:spacing w:line="360" w:lineRule="auto"/>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自然人参与竞争性谈判的无需提供，联合体参与竞争性谈判的只需牵头人出具。</w:t>
      </w:r>
    </w:p>
    <w:p w14:paraId="37E03745">
      <w:pPr>
        <w:adjustRightInd w:val="0"/>
        <w:snapToGrid w:val="0"/>
        <w:spacing w:line="360" w:lineRule="auto"/>
        <w:jc w:val="left"/>
        <w:rPr>
          <w:rFonts w:ascii="楷体" w:hAnsi="楷体" w:eastAsia="楷体" w:cs="宋体"/>
          <w:b/>
          <w:color w:val="auto"/>
          <w:szCs w:val="21"/>
          <w:highlight w:val="none"/>
        </w:rPr>
      </w:pPr>
    </w:p>
    <w:p w14:paraId="3D11BBAC">
      <w:pPr>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br w:type="page"/>
      </w:r>
    </w:p>
    <w:p w14:paraId="579887E1">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2.授权委托书及委托代理人有效身份证正反面</w:t>
      </w:r>
    </w:p>
    <w:p w14:paraId="0BA25809">
      <w:pPr>
        <w:spacing w:line="360" w:lineRule="auto"/>
        <w:jc w:val="center"/>
        <w:rPr>
          <w:rFonts w:ascii="宋体" w:hAnsi="宋体" w:cs="宋体"/>
          <w:b/>
          <w:color w:val="auto"/>
          <w:sz w:val="24"/>
          <w:highlight w:val="none"/>
        </w:rPr>
      </w:pPr>
    </w:p>
    <w:p w14:paraId="2FB5171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授权委托书</w:t>
      </w:r>
    </w:p>
    <w:p w14:paraId="514318E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（非联合体参与竞争性谈判格式）</w:t>
      </w:r>
    </w:p>
    <w:p w14:paraId="161F506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（如有委托时）</w:t>
      </w:r>
    </w:p>
    <w:p w14:paraId="4A5D3EC3">
      <w:pPr>
        <w:spacing w:line="360" w:lineRule="auto"/>
        <w:contextualSpacing/>
        <w:rPr>
          <w:rFonts w:ascii="宋体" w:hAnsi="宋体" w:cs="宋体"/>
          <w:color w:val="auto"/>
          <w:sz w:val="32"/>
          <w:szCs w:val="32"/>
          <w:highlight w:val="none"/>
        </w:rPr>
      </w:pPr>
    </w:p>
    <w:p w14:paraId="763D9E85">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（采购人名称）</w:t>
      </w:r>
      <w:r>
        <w:rPr>
          <w:rFonts w:hint="eastAsia" w:ascii="宋体" w:hAnsi="宋体" w:cs="宋体"/>
          <w:color w:val="auto"/>
          <w:szCs w:val="21"/>
          <w:highlight w:val="none"/>
        </w:rPr>
        <w:t>：</w:t>
      </w:r>
    </w:p>
    <w:p w14:paraId="34F752CC">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我</w:t>
      </w:r>
      <w:r>
        <w:rPr>
          <w:rFonts w:hint="eastAsia" w:ascii="宋体" w:hAnsi="宋体" w:cs="宋体"/>
          <w:color w:val="auto"/>
          <w:szCs w:val="21"/>
          <w:highlight w:val="none"/>
          <w:u w:val="single"/>
        </w:rPr>
        <w:t xml:space="preserve">  （姓名）  </w:t>
      </w: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（供应商名称）  </w:t>
      </w:r>
      <w:r>
        <w:rPr>
          <w:rFonts w:hint="eastAsia" w:ascii="宋体" w:hAnsi="宋体" w:cs="宋体"/>
          <w:color w:val="auto"/>
          <w:szCs w:val="21"/>
          <w:highlight w:val="none"/>
        </w:rPr>
        <w:t>的（</w:t>
      </w:r>
      <w:r>
        <w:rPr>
          <w:rFonts w:hint="eastAsia" w:ascii="宋体" w:hAnsi="宋体" w:cs="宋体"/>
          <w:color w:val="auto"/>
          <w:szCs w:val="21"/>
          <w:highlight w:val="none"/>
          <w:u w:val="single"/>
        </w:rPr>
        <w:t>□法定代表人/□负责人/□自然人本人</w:t>
      </w:r>
      <w:r>
        <w:rPr>
          <w:rFonts w:hint="eastAsia" w:ascii="宋体" w:hAnsi="宋体" w:cs="宋体"/>
          <w:color w:val="auto"/>
          <w:szCs w:val="21"/>
          <w:highlight w:val="none"/>
        </w:rPr>
        <w:t>），现授权</w:t>
      </w:r>
      <w:r>
        <w:rPr>
          <w:rFonts w:hint="eastAsia" w:ascii="宋体" w:hAnsi="宋体" w:cs="宋体"/>
          <w:color w:val="auto"/>
          <w:szCs w:val="21"/>
          <w:highlight w:val="none"/>
          <w:u w:val="single"/>
        </w:rPr>
        <w:t xml:space="preserve"> （姓名） </w:t>
      </w:r>
      <w:r>
        <w:rPr>
          <w:rFonts w:hint="eastAsia" w:ascii="宋体" w:hAnsi="宋体" w:cs="宋体"/>
          <w:color w:val="auto"/>
          <w:szCs w:val="21"/>
          <w:highlight w:val="none"/>
        </w:rPr>
        <w:t>以我方的名义参加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项目的竞争性谈判活动，并代表我方全权办理针对上述项目的所有采购程序和环节的具体事务和签署相关文件。</w:t>
      </w:r>
    </w:p>
    <w:p w14:paraId="0F3026F7">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 xml:space="preserve">    我方对委托代理人的签字事项负全部责任。</w:t>
      </w:r>
    </w:p>
    <w:p w14:paraId="455396D0">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本授权书自签署之日起生效，在撤销授权的书面通知以前，本授权书一直有效。委托代理人在授权书有效期内签署的所有文件不因授权的撤销而失效。</w:t>
      </w:r>
    </w:p>
    <w:p w14:paraId="32CD9589">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委托代理人无转委托权，特此委托。</w:t>
      </w:r>
    </w:p>
    <w:p w14:paraId="13EE78CC">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附：法定代表人身份证及委托代理人有效身份证正反面</w:t>
      </w:r>
    </w:p>
    <w:p w14:paraId="3E9CDD49">
      <w:pPr>
        <w:spacing w:line="360" w:lineRule="auto"/>
        <w:contextualSpacing/>
        <w:rPr>
          <w:rFonts w:ascii="宋体" w:hAnsi="宋体" w:cs="宋体"/>
          <w:color w:val="auto"/>
          <w:szCs w:val="21"/>
          <w:highlight w:val="none"/>
        </w:rPr>
      </w:pPr>
    </w:p>
    <w:p w14:paraId="5F3213A7">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委托代理人（签字（或个人CA签章））：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2E215AF">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法定代表人（签字（或个人CA签章））：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56669E15">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委托代理人身份证号码：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39CB7EB8">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 xml:space="preserve">                                </w:t>
      </w:r>
    </w:p>
    <w:p w14:paraId="4EC932AF">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 xml:space="preserve">                         供应商（公章或CA签章）：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7AA3540">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 xml:space="preserve">                         日期：</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年</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月</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日</w:t>
      </w:r>
    </w:p>
    <w:p w14:paraId="77C98B46">
      <w:pPr>
        <w:spacing w:line="360" w:lineRule="auto"/>
        <w:contextualSpacing/>
        <w:rPr>
          <w:rFonts w:ascii="宋体" w:hAnsi="宋体" w:cs="宋体"/>
          <w:color w:val="auto"/>
          <w:szCs w:val="21"/>
          <w:highlight w:val="none"/>
        </w:rPr>
      </w:pPr>
    </w:p>
    <w:p w14:paraId="2E2E5650">
      <w:pPr>
        <w:spacing w:line="360" w:lineRule="auto"/>
        <w:contextualSpacing/>
        <w:rPr>
          <w:rFonts w:ascii="宋体" w:hAnsi="宋体" w:cs="宋体"/>
          <w:b/>
          <w:color w:val="auto"/>
          <w:szCs w:val="21"/>
          <w:highlight w:val="none"/>
        </w:rPr>
      </w:pPr>
      <w:r>
        <w:rPr>
          <w:rFonts w:hint="eastAsia" w:ascii="宋体" w:hAnsi="宋体" w:cs="宋体"/>
          <w:b/>
          <w:color w:val="auto"/>
          <w:szCs w:val="21"/>
          <w:highlight w:val="none"/>
        </w:rPr>
        <w:t>注：</w:t>
      </w:r>
    </w:p>
    <w:p w14:paraId="09F0F106">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1.法定代表人必须在授权委托书上签字（或个人CA签章）或者盖章，委托代理人必须在授权委托书上签字（或个人CA签章），</w:t>
      </w:r>
      <w:r>
        <w:rPr>
          <w:rFonts w:hint="eastAsia" w:ascii="宋体" w:hAnsi="宋体" w:cs="宋体"/>
          <w:b/>
          <w:color w:val="auto"/>
          <w:szCs w:val="21"/>
          <w:highlight w:val="none"/>
        </w:rPr>
        <w:t>否则其响应文件按无效响应处理。</w:t>
      </w:r>
    </w:p>
    <w:p w14:paraId="7B5B1891">
      <w:pPr>
        <w:spacing w:line="360" w:lineRule="auto"/>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2.法人、其他组织参与竞争性谈判时“我方”是指“我单位”，自然人参与竞争性谈判时“我方”是指“本人”。</w:t>
      </w:r>
    </w:p>
    <w:p w14:paraId="70CA6504">
      <w:pPr>
        <w:spacing w:line="360" w:lineRule="auto"/>
        <w:ind w:firstLine="420" w:firstLineChars="200"/>
        <w:contextualSpacing/>
        <w:jc w:val="left"/>
        <w:rPr>
          <w:rFonts w:ascii="宋体" w:hAnsi="宋体" w:cs="宋体"/>
          <w:color w:val="auto"/>
          <w:szCs w:val="21"/>
          <w:highlight w:val="none"/>
        </w:rPr>
      </w:pPr>
    </w:p>
    <w:p w14:paraId="1F922B7D">
      <w:pPr>
        <w:spacing w:line="360" w:lineRule="auto"/>
        <w:contextualSpacing/>
        <w:jc w:val="center"/>
        <w:rPr>
          <w:rFonts w:ascii="宋体" w:hAnsi="宋体" w:cs="宋体"/>
          <w:b/>
          <w:color w:val="auto"/>
          <w:sz w:val="24"/>
          <w:highlight w:val="none"/>
        </w:rPr>
      </w:pPr>
      <w:r>
        <w:rPr>
          <w:rFonts w:hint="eastAsia" w:ascii="宋体" w:hAnsi="宋体" w:cs="宋体"/>
          <w:color w:val="auto"/>
          <w:szCs w:val="21"/>
          <w:highlight w:val="none"/>
        </w:rPr>
        <w:br w:type="page"/>
      </w:r>
      <w:r>
        <w:rPr>
          <w:rFonts w:hint="eastAsia" w:ascii="宋体" w:hAnsi="宋体" w:cs="宋体"/>
          <w:b/>
          <w:color w:val="auto"/>
          <w:sz w:val="24"/>
          <w:highlight w:val="none"/>
        </w:rPr>
        <w:t>授权委托书</w:t>
      </w:r>
    </w:p>
    <w:p w14:paraId="459B1694">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（联合体参与竞争性谈判格式）</w:t>
      </w:r>
    </w:p>
    <w:p w14:paraId="69BE0022">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（如有委托时）</w:t>
      </w:r>
    </w:p>
    <w:p w14:paraId="3918066C">
      <w:pPr>
        <w:spacing w:line="360" w:lineRule="auto"/>
        <w:contextualSpacing/>
        <w:rPr>
          <w:rFonts w:ascii="宋体" w:hAnsi="宋体" w:cs="宋体"/>
          <w:color w:val="auto"/>
          <w:sz w:val="32"/>
          <w:szCs w:val="32"/>
          <w:highlight w:val="none"/>
        </w:rPr>
      </w:pPr>
    </w:p>
    <w:p w14:paraId="69BB308D">
      <w:pPr>
        <w:spacing w:line="360" w:lineRule="auto"/>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本授权委托书声明：根据</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（牵头人名称）与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（联合体其他成员名称）签订的《联合体参与竞争性谈判协议书》的内容，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（牵头人名称）的法定代表人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（姓名）现授权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（姓名）为联合委托代理人，并代表我方全权办理针对上述项目的所有采购程序和环节的具体事务和签署相关文件。</w:t>
      </w:r>
    </w:p>
    <w:p w14:paraId="4D4290D3">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我方对委托代理人的签字事项负全部责任。</w:t>
      </w:r>
    </w:p>
    <w:p w14:paraId="0DBAD54F">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本授权书自签署之日起生效，在撤销授权的书面通知以前，本授权书一直有效。委托代理人在授权书有效期内签署的所有文件不因授权的撤销而失效。</w:t>
      </w:r>
    </w:p>
    <w:p w14:paraId="5395E554">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委托代理人无转委托权，特此委托。</w:t>
      </w:r>
    </w:p>
    <w:p w14:paraId="388BB91C">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 xml:space="preserve">    附：法定代表人身份证及委托代理人有效身份证正反面扫描件</w:t>
      </w:r>
    </w:p>
    <w:p w14:paraId="634928BB">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牵头人法定代表人（签字（或个人CA签章））：</w:t>
      </w:r>
    </w:p>
    <w:p w14:paraId="08AC8BAB">
      <w:pPr>
        <w:spacing w:line="360" w:lineRule="auto"/>
        <w:ind w:firstLine="2730" w:firstLineChars="1300"/>
        <w:contextualSpacing/>
        <w:rPr>
          <w:rFonts w:ascii="宋体" w:hAnsi="宋体" w:cs="宋体"/>
          <w:color w:val="auto"/>
          <w:szCs w:val="21"/>
          <w:highlight w:val="none"/>
          <w:u w:val="single"/>
        </w:rPr>
      </w:pPr>
      <w:r>
        <w:rPr>
          <w:rFonts w:hint="eastAsia" w:ascii="宋体" w:hAnsi="宋体" w:cs="宋体"/>
          <w:color w:val="auto"/>
          <w:szCs w:val="21"/>
          <w:highlight w:val="none"/>
        </w:rPr>
        <w:t>牵头人（公章</w:t>
      </w:r>
      <w:r>
        <w:rPr>
          <w:rFonts w:hint="eastAsia" w:ascii="宋体" w:hAnsi="宋体" w:cs="仿宋_GB2312"/>
          <w:color w:val="auto"/>
          <w:szCs w:val="21"/>
          <w:highlight w:val="none"/>
        </w:rPr>
        <w:t>或</w:t>
      </w:r>
      <w:r>
        <w:rPr>
          <w:rFonts w:hint="eastAsia" w:ascii="宋体" w:hAnsi="宋体" w:cs="宋体"/>
          <w:color w:val="auto"/>
          <w:szCs w:val="21"/>
          <w:highlight w:val="none"/>
        </w:rPr>
        <w:t>CA签章）：</w:t>
      </w:r>
      <w:r>
        <w:rPr>
          <w:rFonts w:hint="eastAsia" w:ascii="宋体" w:hAnsi="宋体" w:cs="宋体"/>
          <w:color w:val="auto"/>
          <w:szCs w:val="21"/>
          <w:highlight w:val="none"/>
          <w:u w:val="single"/>
        </w:rPr>
        <w:t xml:space="preserve">             </w:t>
      </w:r>
    </w:p>
    <w:p w14:paraId="5E76CAA7">
      <w:pPr>
        <w:spacing w:line="360" w:lineRule="auto"/>
        <w:ind w:firstLine="3360" w:firstLineChars="1600"/>
        <w:contextualSpacing/>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年</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月</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日</w:t>
      </w:r>
    </w:p>
    <w:p w14:paraId="0E4956F7">
      <w:pPr>
        <w:spacing w:line="360" w:lineRule="auto"/>
        <w:contextualSpacing/>
        <w:rPr>
          <w:rFonts w:ascii="宋体" w:hAnsi="宋体" w:cs="宋体"/>
          <w:color w:val="auto"/>
          <w:szCs w:val="21"/>
          <w:highlight w:val="none"/>
        </w:rPr>
      </w:pPr>
    </w:p>
    <w:p w14:paraId="2E9A0398">
      <w:pPr>
        <w:spacing w:line="360" w:lineRule="auto"/>
        <w:ind w:firstLine="2730" w:firstLineChars="1300"/>
        <w:contextualSpacing/>
        <w:rPr>
          <w:rFonts w:ascii="宋体" w:hAnsi="宋体" w:cs="宋体"/>
          <w:color w:val="auto"/>
          <w:szCs w:val="21"/>
          <w:highlight w:val="none"/>
          <w:u w:val="single"/>
        </w:rPr>
      </w:pPr>
      <w:r>
        <w:rPr>
          <w:rFonts w:hint="eastAsia" w:ascii="宋体" w:hAnsi="宋体" w:cs="宋体"/>
          <w:color w:val="auto"/>
          <w:szCs w:val="21"/>
          <w:highlight w:val="none"/>
        </w:rPr>
        <w:t>被授权人（签字（或个人CA签章））：</w:t>
      </w:r>
      <w:r>
        <w:rPr>
          <w:rFonts w:hint="eastAsia" w:ascii="宋体" w:hAnsi="宋体" w:cs="宋体"/>
          <w:color w:val="auto"/>
          <w:szCs w:val="21"/>
          <w:highlight w:val="none"/>
          <w:u w:val="single"/>
        </w:rPr>
        <w:t xml:space="preserve">                   </w:t>
      </w:r>
    </w:p>
    <w:p w14:paraId="6588AB18">
      <w:pPr>
        <w:spacing w:line="360" w:lineRule="auto"/>
        <w:ind w:firstLine="3360" w:firstLineChars="1600"/>
        <w:contextualSpacing/>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年</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月</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日</w:t>
      </w:r>
    </w:p>
    <w:p w14:paraId="47189F7F">
      <w:pPr>
        <w:spacing w:line="360" w:lineRule="auto"/>
        <w:contextualSpacing/>
        <w:rPr>
          <w:rFonts w:ascii="宋体" w:hAnsi="宋体" w:cs="宋体"/>
          <w:color w:val="auto"/>
          <w:szCs w:val="21"/>
          <w:highlight w:val="none"/>
        </w:rPr>
      </w:pPr>
    </w:p>
    <w:p w14:paraId="60A41173">
      <w:pPr>
        <w:spacing w:line="360" w:lineRule="auto"/>
        <w:contextualSpacing/>
        <w:rPr>
          <w:rFonts w:ascii="宋体" w:hAnsi="宋体" w:cs="宋体"/>
          <w:b/>
          <w:color w:val="auto"/>
          <w:szCs w:val="21"/>
          <w:highlight w:val="none"/>
        </w:rPr>
      </w:pPr>
      <w:r>
        <w:rPr>
          <w:rFonts w:hint="eastAsia" w:ascii="宋体" w:hAnsi="宋体" w:cs="宋体"/>
          <w:b/>
          <w:color w:val="auto"/>
          <w:szCs w:val="21"/>
          <w:highlight w:val="none"/>
        </w:rPr>
        <w:t>注：</w:t>
      </w:r>
    </w:p>
    <w:p w14:paraId="16AB9492">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1.法定代表人必须在授权委托书上签字或者盖章，委托代理人必须在授权委托书上签字（或个人CA签章），</w:t>
      </w:r>
      <w:r>
        <w:rPr>
          <w:rFonts w:hint="eastAsia" w:ascii="宋体" w:hAnsi="宋体" w:cs="宋体"/>
          <w:b/>
          <w:bCs/>
          <w:color w:val="auto"/>
          <w:szCs w:val="21"/>
          <w:highlight w:val="none"/>
        </w:rPr>
        <w:t>否</w:t>
      </w:r>
      <w:r>
        <w:rPr>
          <w:rFonts w:hint="eastAsia" w:ascii="宋体" w:hAnsi="宋体" w:cs="宋体"/>
          <w:b/>
          <w:color w:val="auto"/>
          <w:szCs w:val="21"/>
          <w:highlight w:val="none"/>
        </w:rPr>
        <w:t>则其响应文件按无效响应处理。</w:t>
      </w:r>
    </w:p>
    <w:p w14:paraId="4F6F58D0">
      <w:pPr>
        <w:spacing w:line="360" w:lineRule="auto"/>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2.本授权委托书应由联合体牵头人的法定代表人按上述规定签署。</w:t>
      </w:r>
    </w:p>
    <w:p w14:paraId="7DAF111B">
      <w:pPr>
        <w:spacing w:line="360" w:lineRule="auto"/>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3.法人、其他组织参与竞争性谈判时“我方”是指“我单位”，自然人参与竞争性谈判时“我方”是指“本人”。</w:t>
      </w:r>
    </w:p>
    <w:p w14:paraId="599F5BCB">
      <w:pPr>
        <w:jc w:val="left"/>
        <w:rPr>
          <w:rFonts w:ascii="宋体" w:hAnsi="宋体" w:cs="宋体"/>
          <w:color w:val="auto"/>
          <w:sz w:val="32"/>
          <w:szCs w:val="32"/>
          <w:highlight w:val="none"/>
        </w:rPr>
      </w:pPr>
      <w:r>
        <w:rPr>
          <w:rFonts w:hint="eastAsia" w:ascii="宋体" w:hAnsi="宋体" w:cs="宋体"/>
          <w:color w:val="auto"/>
          <w:sz w:val="32"/>
          <w:szCs w:val="32"/>
          <w:highlight w:val="none"/>
        </w:rPr>
        <w:br w:type="page"/>
      </w:r>
    </w:p>
    <w:p w14:paraId="45368EB0">
      <w:pPr>
        <w:numPr>
          <w:ilvl w:val="255"/>
          <w:numId w:val="0"/>
        </w:numPr>
        <w:spacing w:line="360" w:lineRule="auto"/>
        <w:rPr>
          <w:rFonts w:ascii="宋体" w:hAnsi="宋体" w:cs="宋体"/>
          <w:b/>
          <w:bCs/>
          <w:color w:val="auto"/>
          <w:sz w:val="24"/>
          <w:highlight w:val="none"/>
        </w:rPr>
      </w:pPr>
      <w:r>
        <w:rPr>
          <w:rFonts w:hint="eastAsia" w:ascii="宋体" w:hAnsi="宋体" w:cs="宋体"/>
          <w:b/>
          <w:bCs/>
          <w:color w:val="auto"/>
          <w:sz w:val="24"/>
          <w:highlight w:val="none"/>
        </w:rPr>
        <w:t>3.商务要求偏离表</w:t>
      </w:r>
    </w:p>
    <w:p w14:paraId="40302814">
      <w:pPr>
        <w:numPr>
          <w:ilvl w:val="255"/>
          <w:numId w:val="0"/>
        </w:num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商务要求偏离表</w:t>
      </w:r>
    </w:p>
    <w:p w14:paraId="13DEEBD0">
      <w:pPr>
        <w:snapToGrid w:val="0"/>
        <w:spacing w:line="360" w:lineRule="auto"/>
        <w:jc w:val="left"/>
        <w:rPr>
          <w:rFonts w:ascii="宋体" w:hAnsi="宋体" w:cs="宋体"/>
          <w:color w:val="auto"/>
          <w:sz w:val="24"/>
          <w:highlight w:val="none"/>
        </w:rPr>
      </w:pPr>
    </w:p>
    <w:p w14:paraId="6A094CB9">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采购项目编号：</w:t>
      </w:r>
      <w:r>
        <w:rPr>
          <w:rFonts w:hint="eastAsia" w:ascii="宋体" w:hAnsi="宋体" w:cs="宋体"/>
          <w:color w:val="auto"/>
          <w:szCs w:val="21"/>
          <w:highlight w:val="none"/>
          <w:u w:val="single"/>
        </w:rPr>
        <w:t xml:space="preserve">                 </w:t>
      </w:r>
    </w:p>
    <w:p w14:paraId="01D13DF6">
      <w:pPr>
        <w:spacing w:line="360" w:lineRule="auto"/>
        <w:rPr>
          <w:rFonts w:ascii="宋体" w:hAnsi="宋体" w:cs="宋体"/>
          <w:color w:val="auto"/>
          <w:szCs w:val="21"/>
          <w:highlight w:val="none"/>
        </w:rPr>
      </w:pPr>
      <w:r>
        <w:rPr>
          <w:rFonts w:hint="eastAsia" w:ascii="宋体" w:hAnsi="宋体" w:cs="宋体"/>
          <w:color w:val="auto"/>
          <w:szCs w:val="21"/>
          <w:highlight w:val="none"/>
        </w:rPr>
        <w:t>采购项目名称：</w:t>
      </w:r>
      <w:r>
        <w:rPr>
          <w:rFonts w:hint="eastAsia" w:ascii="宋体" w:hAnsi="宋体" w:cs="宋体"/>
          <w:color w:val="auto"/>
          <w:szCs w:val="21"/>
          <w:highlight w:val="none"/>
          <w:u w:val="single"/>
        </w:rPr>
        <w:t xml:space="preserve">                 </w:t>
      </w:r>
    </w:p>
    <w:p w14:paraId="5342B74B">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分标号：</w:t>
      </w:r>
      <w:r>
        <w:rPr>
          <w:rFonts w:hint="eastAsia" w:ascii="宋体" w:hAnsi="宋体" w:cs="宋体"/>
          <w:color w:val="auto"/>
          <w:szCs w:val="21"/>
          <w:highlight w:val="none"/>
          <w:u w:val="single"/>
        </w:rPr>
        <w:t xml:space="preserve">                       </w:t>
      </w:r>
    </w:p>
    <w:tbl>
      <w:tblPr>
        <w:tblStyle w:val="30"/>
        <w:tblpPr w:leftFromText="180" w:rightFromText="180" w:vertAnchor="text" w:horzAnchor="margin" w:tblpY="311"/>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633"/>
        <w:gridCol w:w="1829"/>
      </w:tblGrid>
      <w:tr w14:paraId="725BED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417EA98A">
            <w:pPr>
              <w:snapToGrid w:val="0"/>
              <w:spacing w:line="500" w:lineRule="exact"/>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333AF630">
            <w:pPr>
              <w:snapToGrid w:val="0"/>
              <w:spacing w:line="500" w:lineRule="exact"/>
              <w:jc w:val="center"/>
              <w:rPr>
                <w:rFonts w:ascii="宋体" w:hAnsi="宋体" w:cs="宋体"/>
                <w:color w:val="auto"/>
                <w:szCs w:val="21"/>
                <w:highlight w:val="none"/>
              </w:rPr>
            </w:pPr>
            <w:r>
              <w:rPr>
                <w:rFonts w:hint="eastAsia" w:ascii="宋体" w:hAnsi="宋体" w:cs="宋体"/>
                <w:color w:val="auto"/>
                <w:szCs w:val="21"/>
                <w:highlight w:val="none"/>
              </w:rPr>
              <w:t>谈判文件商务要求</w:t>
            </w:r>
          </w:p>
        </w:tc>
        <w:tc>
          <w:tcPr>
            <w:tcW w:w="2633" w:type="dxa"/>
            <w:tcBorders>
              <w:top w:val="single" w:color="auto" w:sz="4" w:space="0"/>
              <w:left w:val="single" w:color="auto" w:sz="4" w:space="0"/>
              <w:bottom w:val="single" w:color="auto" w:sz="4" w:space="0"/>
              <w:right w:val="single" w:color="auto" w:sz="4" w:space="0"/>
            </w:tcBorders>
            <w:vAlign w:val="center"/>
          </w:tcPr>
          <w:p w14:paraId="78036E38">
            <w:pPr>
              <w:snapToGrid w:val="0"/>
              <w:spacing w:line="500" w:lineRule="exact"/>
              <w:jc w:val="center"/>
              <w:rPr>
                <w:rFonts w:ascii="宋体" w:hAnsi="宋体" w:cs="宋体"/>
                <w:color w:val="auto"/>
                <w:szCs w:val="21"/>
                <w:highlight w:val="none"/>
              </w:rPr>
            </w:pPr>
            <w:r>
              <w:rPr>
                <w:rFonts w:hint="eastAsia" w:ascii="宋体" w:hAnsi="宋体" w:cs="宋体"/>
                <w:color w:val="auto"/>
                <w:szCs w:val="21"/>
                <w:highlight w:val="none"/>
              </w:rPr>
              <w:t>供应商的响应</w:t>
            </w:r>
          </w:p>
        </w:tc>
        <w:tc>
          <w:tcPr>
            <w:tcW w:w="1829" w:type="dxa"/>
            <w:tcBorders>
              <w:top w:val="single" w:color="auto" w:sz="4" w:space="0"/>
              <w:left w:val="single" w:color="auto" w:sz="4" w:space="0"/>
              <w:bottom w:val="single" w:color="auto" w:sz="4" w:space="0"/>
              <w:right w:val="single" w:color="auto" w:sz="4" w:space="0"/>
            </w:tcBorders>
            <w:vAlign w:val="center"/>
          </w:tcPr>
          <w:p w14:paraId="36A851EE">
            <w:pPr>
              <w:snapToGrid w:val="0"/>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偏离说明</w:t>
            </w:r>
          </w:p>
        </w:tc>
      </w:tr>
      <w:tr w14:paraId="22D7EE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178" w:type="dxa"/>
            <w:tcBorders>
              <w:top w:val="single" w:color="auto" w:sz="4" w:space="0"/>
              <w:left w:val="single" w:color="auto" w:sz="4" w:space="0"/>
              <w:bottom w:val="single" w:color="auto" w:sz="4" w:space="0"/>
              <w:right w:val="single" w:color="auto" w:sz="4" w:space="0"/>
            </w:tcBorders>
            <w:vAlign w:val="center"/>
          </w:tcPr>
          <w:p w14:paraId="4BAF6F5E">
            <w:pPr>
              <w:spacing w:line="500" w:lineRule="exact"/>
              <w:jc w:val="center"/>
              <w:rPr>
                <w:rFonts w:ascii="宋体" w:hAnsi="宋体" w:cs="宋体"/>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2450592B">
            <w:pPr>
              <w:spacing w:line="500" w:lineRule="exact"/>
              <w:jc w:val="center"/>
              <w:rPr>
                <w:rFonts w:ascii="宋体" w:hAnsi="宋体" w:cs="宋体"/>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39798F4D">
            <w:pPr>
              <w:snapToGrid w:val="0"/>
              <w:spacing w:line="500" w:lineRule="exact"/>
              <w:jc w:val="center"/>
              <w:rPr>
                <w:rFonts w:ascii="宋体" w:hAnsi="宋体" w:cs="宋体"/>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077B5E29">
            <w:pPr>
              <w:snapToGrid w:val="0"/>
              <w:spacing w:line="500" w:lineRule="exact"/>
              <w:jc w:val="center"/>
              <w:rPr>
                <w:rFonts w:ascii="宋体" w:hAnsi="宋体" w:cs="宋体"/>
                <w:color w:val="auto"/>
                <w:szCs w:val="21"/>
                <w:highlight w:val="none"/>
              </w:rPr>
            </w:pPr>
          </w:p>
        </w:tc>
      </w:tr>
      <w:tr w14:paraId="156911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vAlign w:val="center"/>
          </w:tcPr>
          <w:p w14:paraId="50E7CF78">
            <w:pPr>
              <w:spacing w:line="500" w:lineRule="exact"/>
              <w:jc w:val="center"/>
              <w:rPr>
                <w:rFonts w:ascii="宋体" w:hAnsi="宋体" w:cs="宋体"/>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680F2188">
            <w:pPr>
              <w:spacing w:line="500" w:lineRule="exact"/>
              <w:jc w:val="center"/>
              <w:rPr>
                <w:rFonts w:ascii="宋体" w:hAnsi="宋体" w:cs="宋体"/>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278650AC">
            <w:pPr>
              <w:snapToGrid w:val="0"/>
              <w:spacing w:line="500" w:lineRule="exact"/>
              <w:jc w:val="center"/>
              <w:rPr>
                <w:rFonts w:ascii="宋体" w:hAnsi="宋体" w:cs="宋体"/>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66D1B065">
            <w:pPr>
              <w:snapToGrid w:val="0"/>
              <w:spacing w:line="500" w:lineRule="exact"/>
              <w:jc w:val="center"/>
              <w:rPr>
                <w:rFonts w:ascii="宋体" w:hAnsi="宋体" w:cs="宋体"/>
                <w:color w:val="auto"/>
                <w:szCs w:val="21"/>
                <w:highlight w:val="none"/>
              </w:rPr>
            </w:pPr>
          </w:p>
        </w:tc>
      </w:tr>
      <w:tr w14:paraId="3E0ADA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7AD8AEEE">
            <w:pPr>
              <w:snapToGrid w:val="0"/>
              <w:spacing w:line="50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2668" w:type="dxa"/>
            <w:tcBorders>
              <w:top w:val="single" w:color="auto" w:sz="4" w:space="0"/>
              <w:left w:val="single" w:color="auto" w:sz="4" w:space="0"/>
              <w:bottom w:val="single" w:color="auto" w:sz="4" w:space="0"/>
              <w:right w:val="single" w:color="auto" w:sz="4" w:space="0"/>
            </w:tcBorders>
            <w:vAlign w:val="center"/>
          </w:tcPr>
          <w:p w14:paraId="65BBD56C">
            <w:pPr>
              <w:snapToGrid w:val="0"/>
              <w:spacing w:line="500" w:lineRule="exact"/>
              <w:jc w:val="center"/>
              <w:rPr>
                <w:rFonts w:ascii="宋体" w:hAnsi="宋体" w:cs="宋体"/>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71F77EE7">
            <w:pPr>
              <w:snapToGrid w:val="0"/>
              <w:spacing w:line="500" w:lineRule="exact"/>
              <w:jc w:val="center"/>
              <w:rPr>
                <w:rFonts w:ascii="宋体" w:hAnsi="宋体" w:cs="宋体"/>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3ECC489F">
            <w:pPr>
              <w:snapToGrid w:val="0"/>
              <w:spacing w:line="500" w:lineRule="exact"/>
              <w:jc w:val="center"/>
              <w:rPr>
                <w:rFonts w:ascii="宋体" w:hAnsi="宋体" w:cs="宋体"/>
                <w:color w:val="auto"/>
                <w:szCs w:val="21"/>
                <w:highlight w:val="none"/>
              </w:rPr>
            </w:pPr>
          </w:p>
        </w:tc>
      </w:tr>
    </w:tbl>
    <w:p w14:paraId="41693E57">
      <w:pPr>
        <w:pStyle w:val="9"/>
        <w:spacing w:after="0" w:line="360" w:lineRule="auto"/>
        <w:contextualSpacing/>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注：</w:t>
      </w:r>
    </w:p>
    <w:p w14:paraId="7D896DC9">
      <w:pPr>
        <w:pStyle w:val="9"/>
        <w:spacing w:after="0" w:line="360" w:lineRule="auto"/>
        <w:ind w:firstLine="420" w:firstLineChars="200"/>
        <w:contextualSpacing/>
        <w:rPr>
          <w:rFonts w:ascii="宋体" w:hAnsi="宋体" w:cs="宋体"/>
          <w:color w:val="auto"/>
          <w:kern w:val="0"/>
          <w:sz w:val="21"/>
          <w:szCs w:val="21"/>
          <w:highlight w:val="none"/>
        </w:rPr>
      </w:pPr>
      <w:r>
        <w:rPr>
          <w:rFonts w:hint="eastAsia" w:ascii="宋体" w:hAnsi="宋体" w:cs="宋体"/>
          <w:color w:val="auto"/>
          <w:kern w:val="0"/>
          <w:sz w:val="21"/>
          <w:szCs w:val="21"/>
          <w:highlight w:val="none"/>
        </w:rPr>
        <w:t>1.说明：应对照谈判文件“第三章 采购需求”中的商务要求逐条明确响应，并作出偏离说明。</w:t>
      </w:r>
    </w:p>
    <w:p w14:paraId="1C45C496">
      <w:pPr>
        <w:pStyle w:val="9"/>
        <w:spacing w:after="0" w:line="360" w:lineRule="auto"/>
        <w:ind w:firstLine="420" w:firstLineChars="200"/>
        <w:contextualSpacing/>
        <w:rPr>
          <w:rFonts w:ascii="宋体" w:hAnsi="宋体" w:cs="宋体"/>
          <w:color w:val="auto"/>
          <w:kern w:val="0"/>
          <w:sz w:val="21"/>
          <w:szCs w:val="21"/>
          <w:highlight w:val="none"/>
        </w:rPr>
      </w:pPr>
      <w:r>
        <w:rPr>
          <w:rFonts w:hint="eastAsia" w:ascii="宋体" w:hAnsi="宋体" w:cs="宋体"/>
          <w:color w:val="auto"/>
          <w:kern w:val="0"/>
          <w:sz w:val="21"/>
          <w:szCs w:val="21"/>
          <w:highlight w:val="none"/>
        </w:rPr>
        <w:t>2.供应商应根据自身的承诺，对照谈判文件要求在“偏离说明”中注明“正偏离”、“负偏离”或者“无偏离”。既不属于“正偏离”也不属于“负偏离”即为“无偏离”。</w:t>
      </w:r>
    </w:p>
    <w:p w14:paraId="3B937F0A">
      <w:pPr>
        <w:spacing w:line="360" w:lineRule="auto"/>
        <w:contextualSpacing/>
        <w:jc w:val="left"/>
        <w:rPr>
          <w:rFonts w:ascii="宋体" w:hAnsi="宋体" w:cs="宋体"/>
          <w:color w:val="auto"/>
          <w:szCs w:val="21"/>
          <w:highlight w:val="none"/>
          <w:u w:val="single"/>
        </w:rPr>
      </w:pPr>
    </w:p>
    <w:p w14:paraId="247D8697">
      <w:pPr>
        <w:spacing w:line="360" w:lineRule="auto"/>
        <w:contextualSpacing/>
        <w:jc w:val="left"/>
        <w:rPr>
          <w:rFonts w:ascii="宋体" w:hAnsi="宋体" w:cs="宋体"/>
          <w:color w:val="auto"/>
          <w:szCs w:val="21"/>
          <w:highlight w:val="none"/>
          <w:u w:val="single"/>
        </w:rPr>
      </w:pPr>
    </w:p>
    <w:p w14:paraId="7EA10E2B">
      <w:pPr>
        <w:spacing w:line="360" w:lineRule="auto"/>
        <w:contextualSpacing/>
        <w:rPr>
          <w:rFonts w:ascii="宋体" w:hAnsi="宋体" w:cs="宋体"/>
          <w:color w:val="auto"/>
          <w:szCs w:val="21"/>
          <w:highlight w:val="none"/>
        </w:rPr>
      </w:pPr>
    </w:p>
    <w:p w14:paraId="03A9741F">
      <w:pPr>
        <w:spacing w:line="360" w:lineRule="auto"/>
        <w:contextualSpacing/>
        <w:jc w:val="center"/>
        <w:rPr>
          <w:rFonts w:ascii="宋体" w:hAnsi="宋体" w:cs="宋体"/>
          <w:color w:val="auto"/>
          <w:szCs w:val="21"/>
          <w:highlight w:val="none"/>
          <w:u w:val="single"/>
        </w:rPr>
      </w:pPr>
      <w:r>
        <w:rPr>
          <w:rFonts w:hint="eastAsia" w:ascii="宋体" w:hAnsi="宋体" w:cs="宋体"/>
          <w:color w:val="auto"/>
          <w:szCs w:val="21"/>
          <w:highlight w:val="none"/>
        </w:rPr>
        <w:t>法定代表人或者委托代理人（签字（或个人CA签章））：</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p>
    <w:p w14:paraId="16D87D57">
      <w:pPr>
        <w:spacing w:line="360" w:lineRule="auto"/>
        <w:ind w:firstLine="2835" w:firstLineChars="1350"/>
        <w:contextualSpacing/>
        <w:rPr>
          <w:rFonts w:ascii="宋体" w:hAnsi="宋体" w:cs="宋体"/>
          <w:color w:val="auto"/>
          <w:szCs w:val="21"/>
          <w:highlight w:val="none"/>
        </w:rPr>
      </w:pPr>
      <w:r>
        <w:rPr>
          <w:rFonts w:hint="eastAsia" w:ascii="宋体" w:hAnsi="宋体" w:cs="宋体"/>
          <w:color w:val="auto"/>
          <w:szCs w:val="21"/>
          <w:highlight w:val="none"/>
        </w:rPr>
        <w:t>供应商（公章</w:t>
      </w:r>
      <w:r>
        <w:rPr>
          <w:rFonts w:hint="eastAsia" w:ascii="宋体" w:hAnsi="宋体" w:cs="仿宋_GB2312"/>
          <w:color w:val="auto"/>
          <w:szCs w:val="21"/>
          <w:highlight w:val="none"/>
        </w:rPr>
        <w:t>或</w:t>
      </w:r>
      <w:r>
        <w:rPr>
          <w:rFonts w:hint="eastAsia" w:ascii="宋体" w:hAnsi="宋体" w:cs="宋体"/>
          <w:color w:val="auto"/>
          <w:szCs w:val="21"/>
          <w:highlight w:val="none"/>
        </w:rPr>
        <w:t>CA签章）：</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A4D2F4D">
      <w:pPr>
        <w:spacing w:line="360" w:lineRule="auto"/>
        <w:ind w:firstLine="2835" w:firstLineChars="1350"/>
        <w:contextualSpacing/>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pacing w:val="20"/>
          <w:szCs w:val="21"/>
          <w:highlight w:val="none"/>
          <w:u w:val="single"/>
        </w:rPr>
        <w:t xml:space="preserve"> </w:t>
      </w:r>
      <w:r>
        <w:rPr>
          <w:rFonts w:ascii="宋体" w:hAnsi="宋体" w:cs="宋体"/>
          <w:color w:val="auto"/>
          <w:spacing w:val="20"/>
          <w:szCs w:val="21"/>
          <w:highlight w:val="none"/>
          <w:u w:val="single"/>
        </w:rPr>
        <w:t xml:space="preserve">  </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年</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月</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日</w:t>
      </w:r>
    </w:p>
    <w:p w14:paraId="4E1C5565">
      <w:pPr>
        <w:adjustRightInd w:val="0"/>
        <w:snapToGrid w:val="0"/>
        <w:spacing w:line="360" w:lineRule="auto"/>
        <w:ind w:firstLine="7040" w:firstLineChars="1600"/>
        <w:jc w:val="center"/>
        <w:rPr>
          <w:rFonts w:ascii="宋体" w:hAnsi="宋体" w:cs="宋体"/>
          <w:bCs/>
          <w:color w:val="auto"/>
          <w:sz w:val="44"/>
          <w:szCs w:val="44"/>
          <w:highlight w:val="none"/>
        </w:rPr>
      </w:pPr>
    </w:p>
    <w:p w14:paraId="496F43FB">
      <w:pPr>
        <w:jc w:val="left"/>
        <w:rPr>
          <w:rFonts w:ascii="宋体" w:hAnsi="宋体" w:cs="宋体"/>
          <w:bCs/>
          <w:color w:val="auto"/>
          <w:sz w:val="44"/>
          <w:szCs w:val="44"/>
          <w:highlight w:val="none"/>
        </w:rPr>
      </w:pPr>
      <w:r>
        <w:rPr>
          <w:rFonts w:hint="eastAsia" w:ascii="宋体" w:hAnsi="宋体" w:cs="宋体"/>
          <w:bCs/>
          <w:color w:val="auto"/>
          <w:sz w:val="44"/>
          <w:szCs w:val="44"/>
          <w:highlight w:val="none"/>
        </w:rPr>
        <w:br w:type="page"/>
      </w:r>
    </w:p>
    <w:p w14:paraId="215D0D16">
      <w:pPr>
        <w:numPr>
          <w:ilvl w:val="255"/>
          <w:numId w:val="0"/>
        </w:numPr>
        <w:adjustRightInd w:val="0"/>
        <w:snapToGrid w:val="0"/>
        <w:spacing w:line="360" w:lineRule="auto"/>
        <w:jc w:val="left"/>
        <w:rPr>
          <w:rFonts w:ascii="宋体" w:hAnsi="宋体" w:cs="宋体"/>
          <w:bCs/>
          <w:color w:val="auto"/>
          <w:sz w:val="44"/>
          <w:szCs w:val="44"/>
          <w:highlight w:val="none"/>
        </w:rPr>
      </w:pPr>
      <w:r>
        <w:rPr>
          <w:rFonts w:hint="eastAsia" w:ascii="宋体" w:hAnsi="宋体" w:cs="宋体"/>
          <w:b/>
          <w:bCs/>
          <w:color w:val="auto"/>
          <w:sz w:val="24"/>
          <w:highlight w:val="none"/>
        </w:rPr>
        <w:t>4.售后服务承诺</w:t>
      </w:r>
      <w:r>
        <w:rPr>
          <w:rFonts w:hint="eastAsia" w:ascii="宋体" w:hAnsi="宋体" w:cs="宋体"/>
          <w:bCs/>
          <w:color w:val="auto"/>
          <w:sz w:val="44"/>
          <w:szCs w:val="44"/>
          <w:highlight w:val="none"/>
        </w:rPr>
        <w:br w:type="page"/>
      </w:r>
    </w:p>
    <w:p w14:paraId="6AE99025">
      <w:pPr>
        <w:numPr>
          <w:ilvl w:val="255"/>
          <w:numId w:val="0"/>
        </w:numPr>
        <w:adjustRightInd w:val="0"/>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5.货物配置清单</w:t>
      </w:r>
    </w:p>
    <w:p w14:paraId="438CCA5A">
      <w:pPr>
        <w:numPr>
          <w:ilvl w:val="255"/>
          <w:numId w:val="0"/>
        </w:numPr>
        <w:adjustRightInd w:val="0"/>
        <w:snapToGrid w:val="0"/>
        <w:spacing w:line="360" w:lineRule="auto"/>
        <w:jc w:val="center"/>
        <w:rPr>
          <w:rFonts w:ascii="宋体" w:hAnsi="宋体" w:cs="宋体"/>
          <w:b/>
          <w:bCs/>
          <w:color w:val="auto"/>
          <w:sz w:val="24"/>
          <w:highlight w:val="none"/>
        </w:rPr>
      </w:pPr>
    </w:p>
    <w:p w14:paraId="3004D4EA">
      <w:pPr>
        <w:numPr>
          <w:ilvl w:val="255"/>
          <w:numId w:val="0"/>
        </w:numPr>
        <w:adjustRightInd w:val="0"/>
        <w:snapToGrid w:val="0"/>
        <w:spacing w:line="360" w:lineRule="auto"/>
        <w:jc w:val="center"/>
        <w:rPr>
          <w:rFonts w:ascii="宋体" w:hAnsi="宋体" w:cs="宋体"/>
          <w:b/>
          <w:color w:val="auto"/>
          <w:sz w:val="24"/>
          <w:highlight w:val="none"/>
        </w:rPr>
      </w:pPr>
      <w:r>
        <w:rPr>
          <w:rFonts w:hint="eastAsia" w:ascii="宋体" w:hAnsi="宋体" w:cs="宋体"/>
          <w:b/>
          <w:bCs/>
          <w:color w:val="auto"/>
          <w:sz w:val="24"/>
          <w:highlight w:val="none"/>
        </w:rPr>
        <w:t>货物配置清单</w:t>
      </w:r>
    </w:p>
    <w:p w14:paraId="534F879A">
      <w:pPr>
        <w:spacing w:line="360" w:lineRule="auto"/>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80A533C">
      <w:pPr>
        <w:spacing w:line="360" w:lineRule="auto"/>
        <w:rPr>
          <w:rFonts w:ascii="宋体" w:hAnsi="宋体" w:cs="宋体"/>
          <w:color w:val="auto"/>
          <w:szCs w:val="21"/>
          <w:highlight w:val="none"/>
        </w:rPr>
      </w:pP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42E234C">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所竞分标（如有）：</w:t>
      </w:r>
      <w:r>
        <w:rPr>
          <w:rFonts w:hint="eastAsia" w:ascii="宋体" w:hAnsi="宋体" w:cs="宋体"/>
          <w:color w:val="auto"/>
          <w:szCs w:val="21"/>
          <w:highlight w:val="none"/>
          <w:u w:val="single"/>
        </w:rPr>
        <w:t xml:space="preserve">                 </w:t>
      </w:r>
    </w:p>
    <w:tbl>
      <w:tblPr>
        <w:tblStyle w:val="30"/>
        <w:tblW w:w="499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42"/>
        <w:gridCol w:w="1082"/>
        <w:gridCol w:w="778"/>
        <w:gridCol w:w="1554"/>
        <w:gridCol w:w="1082"/>
        <w:gridCol w:w="640"/>
        <w:gridCol w:w="667"/>
        <w:gridCol w:w="812"/>
        <w:gridCol w:w="1799"/>
      </w:tblGrid>
      <w:tr w14:paraId="5088B6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354" w:type="pct"/>
            <w:tcBorders>
              <w:top w:val="single" w:color="auto" w:sz="4" w:space="0"/>
              <w:left w:val="single" w:color="auto" w:sz="4" w:space="0"/>
              <w:bottom w:val="single" w:color="auto" w:sz="4" w:space="0"/>
              <w:right w:val="single" w:color="auto" w:sz="4" w:space="0"/>
            </w:tcBorders>
            <w:vAlign w:val="center"/>
          </w:tcPr>
          <w:p w14:paraId="390BBFF1">
            <w:pPr>
              <w:snapToGrid w:val="0"/>
              <w:spacing w:before="50" w:after="5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597" w:type="pct"/>
            <w:tcBorders>
              <w:top w:val="single" w:color="auto" w:sz="4" w:space="0"/>
              <w:left w:val="single" w:color="auto" w:sz="4" w:space="0"/>
              <w:bottom w:val="single" w:color="auto" w:sz="4" w:space="0"/>
              <w:right w:val="single" w:color="auto" w:sz="4" w:space="0"/>
            </w:tcBorders>
            <w:vAlign w:val="center"/>
          </w:tcPr>
          <w:p w14:paraId="12CF4929">
            <w:pPr>
              <w:snapToGrid w:val="0"/>
              <w:spacing w:before="50" w:after="50"/>
              <w:jc w:val="center"/>
              <w:rPr>
                <w:rFonts w:ascii="宋体" w:hAnsi="宋体" w:cs="宋体"/>
                <w:color w:val="auto"/>
                <w:szCs w:val="21"/>
                <w:highlight w:val="none"/>
              </w:rPr>
            </w:pPr>
            <w:r>
              <w:rPr>
                <w:rFonts w:hint="eastAsia" w:ascii="宋体" w:hAnsi="宋体" w:cs="宋体"/>
                <w:color w:val="auto"/>
                <w:szCs w:val="21"/>
                <w:highlight w:val="none"/>
              </w:rPr>
              <w:t>货物名称</w:t>
            </w:r>
          </w:p>
        </w:tc>
        <w:tc>
          <w:tcPr>
            <w:tcW w:w="429" w:type="pct"/>
            <w:tcBorders>
              <w:top w:val="single" w:color="auto" w:sz="4" w:space="0"/>
              <w:left w:val="single" w:color="auto" w:sz="4" w:space="0"/>
              <w:bottom w:val="single" w:color="auto" w:sz="4" w:space="0"/>
              <w:right w:val="single" w:color="auto" w:sz="4" w:space="0"/>
            </w:tcBorders>
            <w:vAlign w:val="center"/>
          </w:tcPr>
          <w:p w14:paraId="35365DBF">
            <w:pPr>
              <w:snapToGrid w:val="0"/>
              <w:spacing w:before="50" w:after="50"/>
              <w:jc w:val="center"/>
              <w:rPr>
                <w:rFonts w:ascii="宋体" w:hAnsi="宋体" w:cs="宋体"/>
                <w:color w:val="auto"/>
                <w:szCs w:val="21"/>
                <w:highlight w:val="none"/>
              </w:rPr>
            </w:pPr>
            <w:r>
              <w:rPr>
                <w:rFonts w:hint="eastAsia" w:ascii="宋体" w:hAnsi="宋体" w:cs="宋体"/>
                <w:color w:val="auto"/>
                <w:szCs w:val="21"/>
                <w:highlight w:val="none"/>
              </w:rPr>
              <w:t>品牌</w:t>
            </w:r>
          </w:p>
        </w:tc>
        <w:tc>
          <w:tcPr>
            <w:tcW w:w="857" w:type="pct"/>
            <w:tcBorders>
              <w:top w:val="single" w:color="auto" w:sz="4" w:space="0"/>
              <w:left w:val="single" w:color="auto" w:sz="4" w:space="0"/>
              <w:bottom w:val="single" w:color="auto" w:sz="4" w:space="0"/>
              <w:right w:val="single" w:color="auto" w:sz="4" w:space="0"/>
            </w:tcBorders>
            <w:vAlign w:val="center"/>
          </w:tcPr>
          <w:p w14:paraId="01B7368B">
            <w:pPr>
              <w:snapToGrid w:val="0"/>
              <w:spacing w:before="50" w:after="50"/>
              <w:jc w:val="center"/>
              <w:rPr>
                <w:rFonts w:ascii="宋体" w:hAnsi="宋体" w:cs="宋体"/>
                <w:color w:val="auto"/>
                <w:szCs w:val="21"/>
                <w:highlight w:val="none"/>
              </w:rPr>
            </w:pPr>
            <w:r>
              <w:rPr>
                <w:rFonts w:hint="eastAsia" w:ascii="宋体" w:hAnsi="宋体" w:cs="宋体"/>
                <w:color w:val="auto"/>
                <w:szCs w:val="21"/>
                <w:highlight w:val="none"/>
              </w:rPr>
              <w:t>型号</w:t>
            </w:r>
          </w:p>
        </w:tc>
        <w:tc>
          <w:tcPr>
            <w:tcW w:w="597" w:type="pct"/>
            <w:tcBorders>
              <w:top w:val="single" w:color="auto" w:sz="4" w:space="0"/>
              <w:left w:val="single" w:color="auto" w:sz="4" w:space="0"/>
              <w:bottom w:val="single" w:color="auto" w:sz="4" w:space="0"/>
              <w:right w:val="single" w:color="auto" w:sz="4" w:space="0"/>
            </w:tcBorders>
            <w:vAlign w:val="center"/>
          </w:tcPr>
          <w:p w14:paraId="6CB410EA">
            <w:pPr>
              <w:snapToGrid w:val="0"/>
              <w:spacing w:before="50" w:after="50"/>
              <w:jc w:val="center"/>
              <w:rPr>
                <w:rFonts w:ascii="宋体" w:hAnsi="宋体" w:cs="宋体"/>
                <w:color w:val="auto"/>
                <w:szCs w:val="21"/>
                <w:highlight w:val="none"/>
              </w:rPr>
            </w:pPr>
            <w:r>
              <w:rPr>
                <w:rFonts w:hint="eastAsia" w:ascii="宋体" w:hAnsi="宋体" w:cs="宋体"/>
                <w:color w:val="auto"/>
                <w:szCs w:val="21"/>
                <w:highlight w:val="none"/>
              </w:rPr>
              <w:t>生产厂家</w:t>
            </w:r>
          </w:p>
        </w:tc>
        <w:tc>
          <w:tcPr>
            <w:tcW w:w="353" w:type="pct"/>
            <w:tcBorders>
              <w:top w:val="single" w:color="auto" w:sz="4" w:space="0"/>
              <w:left w:val="single" w:color="auto" w:sz="4" w:space="0"/>
              <w:bottom w:val="single" w:color="auto" w:sz="4" w:space="0"/>
              <w:right w:val="single" w:color="auto" w:sz="4" w:space="0"/>
            </w:tcBorders>
            <w:vAlign w:val="center"/>
          </w:tcPr>
          <w:p w14:paraId="52F9D779">
            <w:pPr>
              <w:snapToGrid w:val="0"/>
              <w:spacing w:before="50" w:after="50"/>
              <w:jc w:val="center"/>
              <w:rPr>
                <w:rFonts w:ascii="宋体" w:hAnsi="宋体" w:cs="宋体"/>
                <w:color w:val="auto"/>
                <w:szCs w:val="21"/>
                <w:highlight w:val="none"/>
              </w:rPr>
            </w:pPr>
            <w:r>
              <w:rPr>
                <w:rFonts w:hint="eastAsia" w:ascii="宋体" w:hAnsi="宋体" w:cs="宋体"/>
                <w:color w:val="auto"/>
                <w:szCs w:val="21"/>
                <w:highlight w:val="none"/>
              </w:rPr>
              <w:t>产地</w:t>
            </w:r>
          </w:p>
        </w:tc>
        <w:tc>
          <w:tcPr>
            <w:tcW w:w="368" w:type="pct"/>
            <w:tcBorders>
              <w:top w:val="single" w:color="auto" w:sz="4" w:space="0"/>
              <w:left w:val="single" w:color="auto" w:sz="4" w:space="0"/>
              <w:bottom w:val="single" w:color="auto" w:sz="4" w:space="0"/>
              <w:right w:val="single" w:color="auto" w:sz="4" w:space="0"/>
            </w:tcBorders>
            <w:vAlign w:val="center"/>
          </w:tcPr>
          <w:p w14:paraId="55CC0E1A">
            <w:pPr>
              <w:snapToGrid w:val="0"/>
              <w:spacing w:before="50" w:after="50"/>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448" w:type="pct"/>
            <w:tcBorders>
              <w:top w:val="single" w:color="auto" w:sz="4" w:space="0"/>
              <w:left w:val="single" w:color="auto" w:sz="4" w:space="0"/>
              <w:bottom w:val="single" w:color="auto" w:sz="4" w:space="0"/>
              <w:right w:val="single" w:color="auto" w:sz="4" w:space="0"/>
            </w:tcBorders>
            <w:vAlign w:val="center"/>
          </w:tcPr>
          <w:p w14:paraId="1045F0C9">
            <w:pPr>
              <w:snapToGrid w:val="0"/>
              <w:spacing w:before="50" w:after="50"/>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992" w:type="pct"/>
            <w:tcBorders>
              <w:top w:val="single" w:color="auto" w:sz="4" w:space="0"/>
              <w:left w:val="single" w:color="auto" w:sz="4" w:space="0"/>
              <w:bottom w:val="single" w:color="auto" w:sz="4" w:space="0"/>
              <w:right w:val="single" w:color="auto" w:sz="4" w:space="0"/>
            </w:tcBorders>
            <w:vAlign w:val="center"/>
          </w:tcPr>
          <w:p w14:paraId="663313BA">
            <w:pPr>
              <w:snapToGrid w:val="0"/>
              <w:spacing w:before="50" w:after="50"/>
              <w:jc w:val="center"/>
              <w:rPr>
                <w:rFonts w:ascii="宋体" w:hAnsi="宋体" w:cs="宋体"/>
                <w:color w:val="auto"/>
                <w:szCs w:val="21"/>
                <w:highlight w:val="none"/>
              </w:rPr>
            </w:pPr>
            <w:r>
              <w:rPr>
                <w:rFonts w:hint="eastAsia" w:ascii="宋体" w:hAnsi="宋体" w:cs="宋体"/>
                <w:color w:val="auto"/>
                <w:szCs w:val="21"/>
                <w:highlight w:val="none"/>
              </w:rPr>
              <w:t>参数性能、指标及配置</w:t>
            </w:r>
          </w:p>
        </w:tc>
      </w:tr>
      <w:tr w14:paraId="17DA4E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354" w:type="pct"/>
            <w:tcBorders>
              <w:top w:val="single" w:color="auto" w:sz="4" w:space="0"/>
              <w:left w:val="single" w:color="auto" w:sz="4" w:space="0"/>
              <w:bottom w:val="single" w:color="auto" w:sz="4" w:space="0"/>
              <w:right w:val="single" w:color="auto" w:sz="4" w:space="0"/>
            </w:tcBorders>
            <w:vAlign w:val="center"/>
          </w:tcPr>
          <w:p w14:paraId="27BD6871">
            <w:pPr>
              <w:snapToGrid w:val="0"/>
              <w:spacing w:before="50" w:after="50"/>
              <w:jc w:val="center"/>
              <w:rPr>
                <w:rFonts w:ascii="宋体" w:hAnsi="宋体" w:cs="宋体"/>
                <w:color w:val="auto"/>
                <w:szCs w:val="21"/>
                <w:highlight w:val="none"/>
              </w:rPr>
            </w:pPr>
          </w:p>
        </w:tc>
        <w:tc>
          <w:tcPr>
            <w:tcW w:w="597" w:type="pct"/>
            <w:tcBorders>
              <w:top w:val="single" w:color="auto" w:sz="4" w:space="0"/>
              <w:left w:val="single" w:color="auto" w:sz="4" w:space="0"/>
              <w:bottom w:val="single" w:color="auto" w:sz="4" w:space="0"/>
              <w:right w:val="single" w:color="auto" w:sz="4" w:space="0"/>
            </w:tcBorders>
            <w:vAlign w:val="center"/>
          </w:tcPr>
          <w:p w14:paraId="285C8EB8">
            <w:pPr>
              <w:snapToGrid w:val="0"/>
              <w:spacing w:before="50" w:after="50"/>
              <w:jc w:val="center"/>
              <w:rPr>
                <w:rFonts w:ascii="宋体" w:hAnsi="宋体" w:cs="宋体"/>
                <w:color w:val="auto"/>
                <w:szCs w:val="21"/>
                <w:highlight w:val="none"/>
              </w:rPr>
            </w:pPr>
          </w:p>
        </w:tc>
        <w:tc>
          <w:tcPr>
            <w:tcW w:w="429" w:type="pct"/>
            <w:tcBorders>
              <w:top w:val="single" w:color="auto" w:sz="4" w:space="0"/>
              <w:left w:val="single" w:color="auto" w:sz="4" w:space="0"/>
              <w:bottom w:val="single" w:color="auto" w:sz="4" w:space="0"/>
              <w:right w:val="single" w:color="auto" w:sz="4" w:space="0"/>
            </w:tcBorders>
            <w:vAlign w:val="center"/>
          </w:tcPr>
          <w:p w14:paraId="01DBF041">
            <w:pPr>
              <w:snapToGrid w:val="0"/>
              <w:spacing w:before="50" w:after="50"/>
              <w:jc w:val="center"/>
              <w:rPr>
                <w:rFonts w:ascii="宋体" w:hAnsi="宋体" w:cs="宋体"/>
                <w:color w:val="auto"/>
                <w:szCs w:val="21"/>
                <w:highlight w:val="none"/>
              </w:rPr>
            </w:pPr>
          </w:p>
        </w:tc>
        <w:tc>
          <w:tcPr>
            <w:tcW w:w="857" w:type="pct"/>
            <w:tcBorders>
              <w:top w:val="single" w:color="auto" w:sz="4" w:space="0"/>
              <w:left w:val="single" w:color="auto" w:sz="4" w:space="0"/>
              <w:bottom w:val="single" w:color="auto" w:sz="4" w:space="0"/>
              <w:right w:val="single" w:color="auto" w:sz="4" w:space="0"/>
            </w:tcBorders>
          </w:tcPr>
          <w:p w14:paraId="6D9CA50F">
            <w:pPr>
              <w:snapToGrid w:val="0"/>
              <w:spacing w:before="50" w:after="50"/>
              <w:jc w:val="center"/>
              <w:rPr>
                <w:rFonts w:ascii="宋体" w:hAnsi="宋体" w:cs="宋体"/>
                <w:color w:val="auto"/>
                <w:szCs w:val="21"/>
                <w:highlight w:val="none"/>
              </w:rPr>
            </w:pPr>
          </w:p>
        </w:tc>
        <w:tc>
          <w:tcPr>
            <w:tcW w:w="597" w:type="pct"/>
            <w:tcBorders>
              <w:top w:val="single" w:color="auto" w:sz="4" w:space="0"/>
              <w:left w:val="single" w:color="auto" w:sz="4" w:space="0"/>
              <w:bottom w:val="single" w:color="auto" w:sz="4" w:space="0"/>
              <w:right w:val="single" w:color="auto" w:sz="4" w:space="0"/>
            </w:tcBorders>
            <w:vAlign w:val="center"/>
          </w:tcPr>
          <w:p w14:paraId="2D751A2D">
            <w:pPr>
              <w:snapToGrid w:val="0"/>
              <w:spacing w:before="50" w:after="50"/>
              <w:jc w:val="center"/>
              <w:rPr>
                <w:rFonts w:ascii="宋体" w:hAnsi="宋体" w:cs="宋体"/>
                <w:color w:val="auto"/>
                <w:szCs w:val="21"/>
                <w:highlight w:val="none"/>
              </w:rPr>
            </w:pPr>
          </w:p>
        </w:tc>
        <w:tc>
          <w:tcPr>
            <w:tcW w:w="353" w:type="pct"/>
            <w:tcBorders>
              <w:top w:val="single" w:color="auto" w:sz="4" w:space="0"/>
              <w:left w:val="single" w:color="auto" w:sz="4" w:space="0"/>
              <w:bottom w:val="single" w:color="auto" w:sz="4" w:space="0"/>
              <w:right w:val="single" w:color="auto" w:sz="4" w:space="0"/>
            </w:tcBorders>
            <w:vAlign w:val="center"/>
          </w:tcPr>
          <w:p w14:paraId="007A0625">
            <w:pPr>
              <w:snapToGrid w:val="0"/>
              <w:spacing w:before="50" w:after="50"/>
              <w:jc w:val="center"/>
              <w:rPr>
                <w:rFonts w:ascii="宋体" w:hAnsi="宋体" w:cs="宋体"/>
                <w:color w:val="auto"/>
                <w:szCs w:val="21"/>
                <w:highlight w:val="none"/>
              </w:rPr>
            </w:pPr>
          </w:p>
        </w:tc>
        <w:tc>
          <w:tcPr>
            <w:tcW w:w="368" w:type="pct"/>
            <w:tcBorders>
              <w:top w:val="single" w:color="auto" w:sz="4" w:space="0"/>
              <w:left w:val="single" w:color="auto" w:sz="4" w:space="0"/>
              <w:bottom w:val="single" w:color="auto" w:sz="4" w:space="0"/>
              <w:right w:val="single" w:color="auto" w:sz="4" w:space="0"/>
            </w:tcBorders>
          </w:tcPr>
          <w:p w14:paraId="644A6C17">
            <w:pPr>
              <w:snapToGrid w:val="0"/>
              <w:spacing w:before="50" w:after="50"/>
              <w:jc w:val="center"/>
              <w:rPr>
                <w:rFonts w:ascii="宋体" w:hAnsi="宋体" w:cs="宋体"/>
                <w:color w:val="auto"/>
                <w:szCs w:val="21"/>
                <w:highlight w:val="none"/>
              </w:rPr>
            </w:pPr>
          </w:p>
        </w:tc>
        <w:tc>
          <w:tcPr>
            <w:tcW w:w="448" w:type="pct"/>
            <w:tcBorders>
              <w:top w:val="single" w:color="auto" w:sz="4" w:space="0"/>
              <w:left w:val="single" w:color="auto" w:sz="4" w:space="0"/>
              <w:bottom w:val="single" w:color="auto" w:sz="4" w:space="0"/>
              <w:right w:val="single" w:color="auto" w:sz="4" w:space="0"/>
            </w:tcBorders>
          </w:tcPr>
          <w:p w14:paraId="1621A678">
            <w:pPr>
              <w:snapToGrid w:val="0"/>
              <w:spacing w:before="50" w:after="50"/>
              <w:jc w:val="center"/>
              <w:rPr>
                <w:rFonts w:ascii="宋体" w:hAnsi="宋体" w:cs="宋体"/>
                <w:color w:val="auto"/>
                <w:szCs w:val="21"/>
                <w:highlight w:val="none"/>
              </w:rPr>
            </w:pPr>
          </w:p>
        </w:tc>
        <w:tc>
          <w:tcPr>
            <w:tcW w:w="992" w:type="pct"/>
            <w:tcBorders>
              <w:top w:val="single" w:color="auto" w:sz="4" w:space="0"/>
              <w:left w:val="single" w:color="auto" w:sz="4" w:space="0"/>
              <w:bottom w:val="single" w:color="auto" w:sz="4" w:space="0"/>
              <w:right w:val="single" w:color="auto" w:sz="4" w:space="0"/>
            </w:tcBorders>
            <w:vAlign w:val="center"/>
          </w:tcPr>
          <w:p w14:paraId="23FC0F0E">
            <w:pPr>
              <w:snapToGrid w:val="0"/>
              <w:spacing w:before="50" w:after="50"/>
              <w:jc w:val="center"/>
              <w:rPr>
                <w:rFonts w:ascii="宋体" w:hAnsi="宋体" w:cs="宋体"/>
                <w:color w:val="auto"/>
                <w:szCs w:val="21"/>
                <w:highlight w:val="none"/>
              </w:rPr>
            </w:pPr>
          </w:p>
        </w:tc>
      </w:tr>
      <w:tr w14:paraId="1C94DC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354" w:type="pct"/>
            <w:tcBorders>
              <w:top w:val="single" w:color="auto" w:sz="4" w:space="0"/>
              <w:left w:val="single" w:color="auto" w:sz="4" w:space="0"/>
              <w:bottom w:val="single" w:color="auto" w:sz="4" w:space="0"/>
              <w:right w:val="single" w:color="auto" w:sz="4" w:space="0"/>
            </w:tcBorders>
            <w:vAlign w:val="center"/>
          </w:tcPr>
          <w:p w14:paraId="2CF5CFC4">
            <w:pPr>
              <w:snapToGrid w:val="0"/>
              <w:spacing w:before="50" w:after="50"/>
              <w:jc w:val="center"/>
              <w:rPr>
                <w:rFonts w:ascii="宋体" w:hAnsi="宋体" w:cs="宋体"/>
                <w:color w:val="auto"/>
                <w:szCs w:val="21"/>
                <w:highlight w:val="none"/>
              </w:rPr>
            </w:pPr>
          </w:p>
        </w:tc>
        <w:tc>
          <w:tcPr>
            <w:tcW w:w="597" w:type="pct"/>
            <w:tcBorders>
              <w:top w:val="single" w:color="auto" w:sz="4" w:space="0"/>
              <w:left w:val="single" w:color="auto" w:sz="4" w:space="0"/>
              <w:bottom w:val="single" w:color="auto" w:sz="4" w:space="0"/>
              <w:right w:val="single" w:color="auto" w:sz="4" w:space="0"/>
            </w:tcBorders>
            <w:vAlign w:val="center"/>
          </w:tcPr>
          <w:p w14:paraId="6D306D9D">
            <w:pPr>
              <w:snapToGrid w:val="0"/>
              <w:spacing w:before="50" w:after="50"/>
              <w:jc w:val="center"/>
              <w:rPr>
                <w:rFonts w:ascii="宋体" w:hAnsi="宋体" w:cs="宋体"/>
                <w:color w:val="auto"/>
                <w:szCs w:val="21"/>
                <w:highlight w:val="none"/>
              </w:rPr>
            </w:pPr>
          </w:p>
        </w:tc>
        <w:tc>
          <w:tcPr>
            <w:tcW w:w="429" w:type="pct"/>
            <w:tcBorders>
              <w:top w:val="single" w:color="auto" w:sz="4" w:space="0"/>
              <w:left w:val="single" w:color="auto" w:sz="4" w:space="0"/>
              <w:bottom w:val="single" w:color="auto" w:sz="4" w:space="0"/>
              <w:right w:val="single" w:color="auto" w:sz="4" w:space="0"/>
            </w:tcBorders>
            <w:vAlign w:val="center"/>
          </w:tcPr>
          <w:p w14:paraId="75EA10F3">
            <w:pPr>
              <w:snapToGrid w:val="0"/>
              <w:spacing w:before="50" w:after="50"/>
              <w:jc w:val="center"/>
              <w:rPr>
                <w:rFonts w:ascii="宋体" w:hAnsi="宋体" w:cs="宋体"/>
                <w:color w:val="auto"/>
                <w:szCs w:val="21"/>
                <w:highlight w:val="none"/>
              </w:rPr>
            </w:pPr>
          </w:p>
        </w:tc>
        <w:tc>
          <w:tcPr>
            <w:tcW w:w="857" w:type="pct"/>
            <w:tcBorders>
              <w:top w:val="single" w:color="auto" w:sz="4" w:space="0"/>
              <w:left w:val="single" w:color="auto" w:sz="4" w:space="0"/>
              <w:bottom w:val="single" w:color="auto" w:sz="4" w:space="0"/>
              <w:right w:val="single" w:color="auto" w:sz="4" w:space="0"/>
            </w:tcBorders>
          </w:tcPr>
          <w:p w14:paraId="2F99304A">
            <w:pPr>
              <w:snapToGrid w:val="0"/>
              <w:spacing w:before="50" w:after="50"/>
              <w:jc w:val="center"/>
              <w:rPr>
                <w:rFonts w:ascii="宋体" w:hAnsi="宋体" w:cs="宋体"/>
                <w:color w:val="auto"/>
                <w:szCs w:val="21"/>
                <w:highlight w:val="none"/>
              </w:rPr>
            </w:pPr>
          </w:p>
        </w:tc>
        <w:tc>
          <w:tcPr>
            <w:tcW w:w="597" w:type="pct"/>
            <w:tcBorders>
              <w:top w:val="single" w:color="auto" w:sz="4" w:space="0"/>
              <w:left w:val="single" w:color="auto" w:sz="4" w:space="0"/>
              <w:bottom w:val="single" w:color="auto" w:sz="4" w:space="0"/>
              <w:right w:val="single" w:color="auto" w:sz="4" w:space="0"/>
            </w:tcBorders>
            <w:vAlign w:val="center"/>
          </w:tcPr>
          <w:p w14:paraId="22DE6405">
            <w:pPr>
              <w:snapToGrid w:val="0"/>
              <w:spacing w:before="50" w:after="50"/>
              <w:jc w:val="center"/>
              <w:rPr>
                <w:rFonts w:ascii="宋体" w:hAnsi="宋体" w:cs="宋体"/>
                <w:color w:val="auto"/>
                <w:szCs w:val="21"/>
                <w:highlight w:val="none"/>
              </w:rPr>
            </w:pPr>
          </w:p>
        </w:tc>
        <w:tc>
          <w:tcPr>
            <w:tcW w:w="353" w:type="pct"/>
            <w:tcBorders>
              <w:top w:val="single" w:color="auto" w:sz="4" w:space="0"/>
              <w:left w:val="single" w:color="auto" w:sz="4" w:space="0"/>
              <w:bottom w:val="single" w:color="auto" w:sz="4" w:space="0"/>
              <w:right w:val="single" w:color="auto" w:sz="4" w:space="0"/>
            </w:tcBorders>
            <w:vAlign w:val="center"/>
          </w:tcPr>
          <w:p w14:paraId="48AFE530">
            <w:pPr>
              <w:snapToGrid w:val="0"/>
              <w:spacing w:before="50" w:after="50"/>
              <w:jc w:val="center"/>
              <w:rPr>
                <w:rFonts w:ascii="宋体" w:hAnsi="宋体" w:cs="宋体"/>
                <w:color w:val="auto"/>
                <w:szCs w:val="21"/>
                <w:highlight w:val="none"/>
              </w:rPr>
            </w:pPr>
          </w:p>
        </w:tc>
        <w:tc>
          <w:tcPr>
            <w:tcW w:w="368" w:type="pct"/>
            <w:tcBorders>
              <w:top w:val="single" w:color="auto" w:sz="4" w:space="0"/>
              <w:left w:val="single" w:color="auto" w:sz="4" w:space="0"/>
              <w:bottom w:val="single" w:color="auto" w:sz="4" w:space="0"/>
              <w:right w:val="single" w:color="auto" w:sz="4" w:space="0"/>
            </w:tcBorders>
          </w:tcPr>
          <w:p w14:paraId="1EF84652">
            <w:pPr>
              <w:snapToGrid w:val="0"/>
              <w:spacing w:before="50" w:after="50"/>
              <w:jc w:val="center"/>
              <w:rPr>
                <w:rFonts w:ascii="宋体" w:hAnsi="宋体" w:cs="宋体"/>
                <w:color w:val="auto"/>
                <w:szCs w:val="21"/>
                <w:highlight w:val="none"/>
              </w:rPr>
            </w:pPr>
          </w:p>
        </w:tc>
        <w:tc>
          <w:tcPr>
            <w:tcW w:w="448" w:type="pct"/>
            <w:tcBorders>
              <w:top w:val="single" w:color="auto" w:sz="4" w:space="0"/>
              <w:left w:val="single" w:color="auto" w:sz="4" w:space="0"/>
              <w:bottom w:val="single" w:color="auto" w:sz="4" w:space="0"/>
              <w:right w:val="single" w:color="auto" w:sz="4" w:space="0"/>
            </w:tcBorders>
          </w:tcPr>
          <w:p w14:paraId="35AE7023">
            <w:pPr>
              <w:snapToGrid w:val="0"/>
              <w:spacing w:before="50" w:after="50"/>
              <w:jc w:val="center"/>
              <w:rPr>
                <w:rFonts w:ascii="宋体" w:hAnsi="宋体" w:cs="宋体"/>
                <w:color w:val="auto"/>
                <w:szCs w:val="21"/>
                <w:highlight w:val="none"/>
              </w:rPr>
            </w:pPr>
          </w:p>
        </w:tc>
        <w:tc>
          <w:tcPr>
            <w:tcW w:w="992" w:type="pct"/>
            <w:tcBorders>
              <w:top w:val="single" w:color="auto" w:sz="4" w:space="0"/>
              <w:left w:val="single" w:color="auto" w:sz="4" w:space="0"/>
              <w:bottom w:val="single" w:color="auto" w:sz="4" w:space="0"/>
              <w:right w:val="single" w:color="auto" w:sz="4" w:space="0"/>
            </w:tcBorders>
            <w:vAlign w:val="center"/>
          </w:tcPr>
          <w:p w14:paraId="0010B8F9">
            <w:pPr>
              <w:snapToGrid w:val="0"/>
              <w:spacing w:before="50" w:after="50"/>
              <w:jc w:val="center"/>
              <w:rPr>
                <w:rFonts w:ascii="宋体" w:hAnsi="宋体" w:cs="宋体"/>
                <w:color w:val="auto"/>
                <w:szCs w:val="21"/>
                <w:highlight w:val="none"/>
              </w:rPr>
            </w:pPr>
          </w:p>
        </w:tc>
      </w:tr>
      <w:tr w14:paraId="011810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354" w:type="pct"/>
            <w:tcBorders>
              <w:top w:val="single" w:color="auto" w:sz="4" w:space="0"/>
              <w:left w:val="single" w:color="auto" w:sz="4" w:space="0"/>
              <w:bottom w:val="single" w:color="auto" w:sz="4" w:space="0"/>
              <w:right w:val="single" w:color="auto" w:sz="4" w:space="0"/>
            </w:tcBorders>
            <w:vAlign w:val="center"/>
          </w:tcPr>
          <w:p w14:paraId="15CED11D">
            <w:pPr>
              <w:snapToGrid w:val="0"/>
              <w:spacing w:before="50" w:after="50"/>
              <w:jc w:val="center"/>
              <w:rPr>
                <w:rFonts w:ascii="宋体" w:hAnsi="宋体" w:cs="宋体"/>
                <w:color w:val="auto"/>
                <w:szCs w:val="21"/>
                <w:highlight w:val="none"/>
              </w:rPr>
            </w:pPr>
          </w:p>
        </w:tc>
        <w:tc>
          <w:tcPr>
            <w:tcW w:w="597" w:type="pct"/>
            <w:tcBorders>
              <w:top w:val="single" w:color="auto" w:sz="4" w:space="0"/>
              <w:left w:val="single" w:color="auto" w:sz="4" w:space="0"/>
              <w:bottom w:val="single" w:color="auto" w:sz="4" w:space="0"/>
              <w:right w:val="single" w:color="auto" w:sz="4" w:space="0"/>
            </w:tcBorders>
            <w:vAlign w:val="center"/>
          </w:tcPr>
          <w:p w14:paraId="3A38F9D6">
            <w:pPr>
              <w:snapToGrid w:val="0"/>
              <w:spacing w:before="50" w:after="50"/>
              <w:jc w:val="center"/>
              <w:rPr>
                <w:rFonts w:ascii="宋体" w:hAnsi="宋体" w:cs="宋体"/>
                <w:color w:val="auto"/>
                <w:szCs w:val="21"/>
                <w:highlight w:val="none"/>
              </w:rPr>
            </w:pPr>
          </w:p>
        </w:tc>
        <w:tc>
          <w:tcPr>
            <w:tcW w:w="429" w:type="pct"/>
            <w:tcBorders>
              <w:top w:val="single" w:color="auto" w:sz="4" w:space="0"/>
              <w:left w:val="single" w:color="auto" w:sz="4" w:space="0"/>
              <w:bottom w:val="single" w:color="auto" w:sz="4" w:space="0"/>
              <w:right w:val="single" w:color="auto" w:sz="4" w:space="0"/>
            </w:tcBorders>
            <w:vAlign w:val="center"/>
          </w:tcPr>
          <w:p w14:paraId="36D55857">
            <w:pPr>
              <w:snapToGrid w:val="0"/>
              <w:spacing w:before="50" w:after="50"/>
              <w:jc w:val="center"/>
              <w:rPr>
                <w:rFonts w:ascii="宋体" w:hAnsi="宋体" w:cs="宋体"/>
                <w:color w:val="auto"/>
                <w:szCs w:val="21"/>
                <w:highlight w:val="none"/>
              </w:rPr>
            </w:pPr>
          </w:p>
        </w:tc>
        <w:tc>
          <w:tcPr>
            <w:tcW w:w="857" w:type="pct"/>
            <w:tcBorders>
              <w:top w:val="single" w:color="auto" w:sz="4" w:space="0"/>
              <w:left w:val="single" w:color="auto" w:sz="4" w:space="0"/>
              <w:bottom w:val="single" w:color="auto" w:sz="4" w:space="0"/>
              <w:right w:val="single" w:color="auto" w:sz="4" w:space="0"/>
            </w:tcBorders>
          </w:tcPr>
          <w:p w14:paraId="31AAD407">
            <w:pPr>
              <w:snapToGrid w:val="0"/>
              <w:spacing w:before="50" w:after="50"/>
              <w:jc w:val="center"/>
              <w:rPr>
                <w:rFonts w:ascii="宋体" w:hAnsi="宋体" w:cs="宋体"/>
                <w:color w:val="auto"/>
                <w:szCs w:val="21"/>
                <w:highlight w:val="none"/>
              </w:rPr>
            </w:pPr>
          </w:p>
        </w:tc>
        <w:tc>
          <w:tcPr>
            <w:tcW w:w="597" w:type="pct"/>
            <w:tcBorders>
              <w:top w:val="single" w:color="auto" w:sz="4" w:space="0"/>
              <w:left w:val="single" w:color="auto" w:sz="4" w:space="0"/>
              <w:bottom w:val="single" w:color="auto" w:sz="4" w:space="0"/>
              <w:right w:val="single" w:color="auto" w:sz="4" w:space="0"/>
            </w:tcBorders>
            <w:vAlign w:val="center"/>
          </w:tcPr>
          <w:p w14:paraId="0194E2E5">
            <w:pPr>
              <w:snapToGrid w:val="0"/>
              <w:spacing w:before="50" w:after="50"/>
              <w:jc w:val="center"/>
              <w:rPr>
                <w:rFonts w:ascii="宋体" w:hAnsi="宋体" w:cs="宋体"/>
                <w:color w:val="auto"/>
                <w:szCs w:val="21"/>
                <w:highlight w:val="none"/>
              </w:rPr>
            </w:pPr>
          </w:p>
        </w:tc>
        <w:tc>
          <w:tcPr>
            <w:tcW w:w="353" w:type="pct"/>
            <w:tcBorders>
              <w:top w:val="single" w:color="auto" w:sz="4" w:space="0"/>
              <w:left w:val="single" w:color="auto" w:sz="4" w:space="0"/>
              <w:bottom w:val="single" w:color="auto" w:sz="4" w:space="0"/>
              <w:right w:val="single" w:color="auto" w:sz="4" w:space="0"/>
            </w:tcBorders>
            <w:vAlign w:val="center"/>
          </w:tcPr>
          <w:p w14:paraId="47D11035">
            <w:pPr>
              <w:snapToGrid w:val="0"/>
              <w:spacing w:before="50" w:after="50"/>
              <w:jc w:val="center"/>
              <w:rPr>
                <w:rFonts w:ascii="宋体" w:hAnsi="宋体" w:cs="宋体"/>
                <w:color w:val="auto"/>
                <w:szCs w:val="21"/>
                <w:highlight w:val="none"/>
              </w:rPr>
            </w:pPr>
          </w:p>
        </w:tc>
        <w:tc>
          <w:tcPr>
            <w:tcW w:w="368" w:type="pct"/>
            <w:tcBorders>
              <w:top w:val="single" w:color="auto" w:sz="4" w:space="0"/>
              <w:left w:val="single" w:color="auto" w:sz="4" w:space="0"/>
              <w:bottom w:val="single" w:color="auto" w:sz="4" w:space="0"/>
              <w:right w:val="single" w:color="auto" w:sz="4" w:space="0"/>
            </w:tcBorders>
          </w:tcPr>
          <w:p w14:paraId="3A6790C1">
            <w:pPr>
              <w:snapToGrid w:val="0"/>
              <w:spacing w:before="50" w:after="50"/>
              <w:jc w:val="center"/>
              <w:rPr>
                <w:rFonts w:ascii="宋体" w:hAnsi="宋体" w:cs="宋体"/>
                <w:color w:val="auto"/>
                <w:szCs w:val="21"/>
                <w:highlight w:val="none"/>
              </w:rPr>
            </w:pPr>
          </w:p>
        </w:tc>
        <w:tc>
          <w:tcPr>
            <w:tcW w:w="448" w:type="pct"/>
            <w:tcBorders>
              <w:top w:val="single" w:color="auto" w:sz="4" w:space="0"/>
              <w:left w:val="single" w:color="auto" w:sz="4" w:space="0"/>
              <w:bottom w:val="single" w:color="auto" w:sz="4" w:space="0"/>
              <w:right w:val="single" w:color="auto" w:sz="4" w:space="0"/>
            </w:tcBorders>
          </w:tcPr>
          <w:p w14:paraId="322916B4">
            <w:pPr>
              <w:snapToGrid w:val="0"/>
              <w:spacing w:before="50" w:after="50"/>
              <w:jc w:val="center"/>
              <w:rPr>
                <w:rFonts w:ascii="宋体" w:hAnsi="宋体" w:cs="宋体"/>
                <w:color w:val="auto"/>
                <w:szCs w:val="21"/>
                <w:highlight w:val="none"/>
              </w:rPr>
            </w:pPr>
          </w:p>
        </w:tc>
        <w:tc>
          <w:tcPr>
            <w:tcW w:w="992" w:type="pct"/>
            <w:tcBorders>
              <w:top w:val="single" w:color="auto" w:sz="4" w:space="0"/>
              <w:left w:val="single" w:color="auto" w:sz="4" w:space="0"/>
              <w:bottom w:val="single" w:color="auto" w:sz="4" w:space="0"/>
              <w:right w:val="single" w:color="auto" w:sz="4" w:space="0"/>
            </w:tcBorders>
            <w:vAlign w:val="center"/>
          </w:tcPr>
          <w:p w14:paraId="6D58C204">
            <w:pPr>
              <w:snapToGrid w:val="0"/>
              <w:spacing w:before="50" w:after="50"/>
              <w:jc w:val="center"/>
              <w:rPr>
                <w:rFonts w:ascii="宋体" w:hAnsi="宋体" w:cs="宋体"/>
                <w:color w:val="auto"/>
                <w:szCs w:val="21"/>
                <w:highlight w:val="none"/>
              </w:rPr>
            </w:pPr>
          </w:p>
        </w:tc>
      </w:tr>
    </w:tbl>
    <w:p w14:paraId="4DD121F9">
      <w:pPr>
        <w:spacing w:line="360" w:lineRule="auto"/>
        <w:contextualSpacing/>
        <w:rPr>
          <w:rFonts w:ascii="宋体" w:hAnsi="宋体" w:cs="宋体"/>
          <w:b/>
          <w:color w:val="auto"/>
          <w:szCs w:val="21"/>
          <w:highlight w:val="none"/>
        </w:rPr>
      </w:pPr>
      <w:r>
        <w:rPr>
          <w:rFonts w:hint="eastAsia" w:ascii="宋体" w:hAnsi="宋体" w:cs="宋体"/>
          <w:b/>
          <w:color w:val="auto"/>
          <w:szCs w:val="21"/>
          <w:highlight w:val="none"/>
        </w:rPr>
        <w:t>备注：</w:t>
      </w:r>
    </w:p>
    <w:p w14:paraId="6B112EA3">
      <w:pPr>
        <w:tabs>
          <w:tab w:val="left" w:pos="1065"/>
        </w:tabs>
        <w:adjustRightInd w:val="0"/>
        <w:spacing w:line="360" w:lineRule="auto"/>
        <w:ind w:firstLine="422" w:firstLineChars="200"/>
        <w:contextualSpacing/>
        <w:rPr>
          <w:rFonts w:ascii="宋体" w:hAnsi="宋体" w:cs="宋体"/>
          <w:color w:val="auto"/>
          <w:szCs w:val="21"/>
          <w:highlight w:val="none"/>
        </w:rPr>
      </w:pPr>
      <w:r>
        <w:rPr>
          <w:rFonts w:hint="eastAsia" w:ascii="宋体" w:hAnsi="宋体" w:cs="宋体"/>
          <w:b/>
          <w:bCs/>
          <w:color w:val="auto"/>
          <w:szCs w:val="21"/>
          <w:highlight w:val="none"/>
        </w:rPr>
        <w:t>以上货物配置清单中“货物名称、数量、单位、品牌、型号、生产厂家、产地、参数性能、指标及配置”必须如实填写完整，定制产品在型号栏中填写“定制”。填写有缺漏的，响应文件按无效响应处理</w:t>
      </w:r>
      <w:r>
        <w:rPr>
          <w:rFonts w:hint="eastAsia" w:ascii="宋体" w:hAnsi="宋体" w:cs="宋体"/>
          <w:b/>
          <w:color w:val="auto"/>
          <w:szCs w:val="21"/>
          <w:highlight w:val="none"/>
        </w:rPr>
        <w:t>。</w:t>
      </w:r>
      <w:r>
        <w:rPr>
          <w:rFonts w:hint="eastAsia" w:ascii="宋体" w:hAnsi="宋体" w:cs="宋体"/>
          <w:color w:val="auto"/>
          <w:szCs w:val="21"/>
          <w:highlight w:val="none"/>
        </w:rPr>
        <w:t>货物名称、数量、单位、品牌等必须与“竞争性谈判报价表”一致，</w:t>
      </w:r>
      <w:r>
        <w:rPr>
          <w:rFonts w:hint="eastAsia" w:ascii="宋体" w:hAnsi="宋体" w:cs="宋体"/>
          <w:bCs/>
          <w:color w:val="auto"/>
          <w:szCs w:val="21"/>
          <w:highlight w:val="none"/>
        </w:rPr>
        <w:t>否则响应文件按无效响应处理。</w:t>
      </w:r>
      <w:r>
        <w:rPr>
          <w:rFonts w:hint="eastAsia" w:ascii="宋体" w:hAnsi="宋体" w:cs="宋体"/>
          <w:color w:val="auto"/>
          <w:szCs w:val="21"/>
          <w:highlight w:val="none"/>
        </w:rPr>
        <w:tab/>
      </w:r>
    </w:p>
    <w:p w14:paraId="0D37139C">
      <w:pPr>
        <w:adjustRightInd w:val="0"/>
        <w:spacing w:line="360" w:lineRule="auto"/>
        <w:contextualSpacing/>
        <w:jc w:val="left"/>
        <w:rPr>
          <w:rFonts w:ascii="宋体" w:hAnsi="宋体" w:cs="宋体"/>
          <w:color w:val="auto"/>
          <w:szCs w:val="21"/>
          <w:highlight w:val="none"/>
        </w:rPr>
      </w:pPr>
    </w:p>
    <w:p w14:paraId="14F80CD5">
      <w:pPr>
        <w:adjustRightInd w:val="0"/>
        <w:spacing w:line="360" w:lineRule="auto"/>
        <w:contextualSpacing/>
        <w:jc w:val="left"/>
        <w:rPr>
          <w:rFonts w:ascii="宋体" w:hAnsi="宋体" w:cs="宋体"/>
          <w:color w:val="auto"/>
          <w:szCs w:val="21"/>
          <w:highlight w:val="none"/>
        </w:rPr>
      </w:pPr>
    </w:p>
    <w:p w14:paraId="0B1113F6">
      <w:pPr>
        <w:adjustRightInd w:val="0"/>
        <w:spacing w:line="360" w:lineRule="auto"/>
        <w:contextualSpacing/>
        <w:jc w:val="left"/>
        <w:rPr>
          <w:rFonts w:ascii="宋体" w:hAnsi="宋体" w:cs="宋体"/>
          <w:color w:val="auto"/>
          <w:szCs w:val="21"/>
          <w:highlight w:val="none"/>
        </w:rPr>
      </w:pPr>
    </w:p>
    <w:p w14:paraId="293769E8">
      <w:pPr>
        <w:spacing w:line="360" w:lineRule="auto"/>
        <w:contextualSpacing/>
        <w:jc w:val="center"/>
        <w:rPr>
          <w:rFonts w:ascii="宋体" w:hAnsi="宋体" w:cs="宋体"/>
          <w:color w:val="auto"/>
          <w:szCs w:val="21"/>
          <w:highlight w:val="none"/>
          <w:u w:val="single"/>
        </w:rPr>
      </w:pPr>
      <w:r>
        <w:rPr>
          <w:rFonts w:hint="eastAsia" w:ascii="宋体" w:hAnsi="宋体" w:cs="宋体"/>
          <w:color w:val="auto"/>
          <w:szCs w:val="21"/>
          <w:highlight w:val="none"/>
        </w:rPr>
        <w:t xml:space="preserve">             法定代表人或者委托代理人（签字（或个人CA签章））：</w:t>
      </w:r>
      <w:r>
        <w:rPr>
          <w:rFonts w:hint="eastAsia" w:ascii="宋体" w:hAnsi="宋体" w:cs="宋体"/>
          <w:color w:val="auto"/>
          <w:szCs w:val="21"/>
          <w:highlight w:val="none"/>
          <w:u w:val="single"/>
        </w:rPr>
        <w:t xml:space="preserve">              </w:t>
      </w:r>
    </w:p>
    <w:p w14:paraId="4DE6C332">
      <w:pPr>
        <w:spacing w:line="360" w:lineRule="auto"/>
        <w:ind w:firstLine="2835" w:firstLineChars="1350"/>
        <w:contextualSpacing/>
        <w:rPr>
          <w:rFonts w:ascii="宋体" w:hAnsi="宋体" w:cs="宋体"/>
          <w:color w:val="auto"/>
          <w:szCs w:val="21"/>
          <w:highlight w:val="none"/>
        </w:rPr>
      </w:pPr>
      <w:r>
        <w:rPr>
          <w:rFonts w:hint="eastAsia" w:ascii="宋体" w:hAnsi="宋体" w:cs="宋体"/>
          <w:color w:val="auto"/>
          <w:szCs w:val="21"/>
          <w:highlight w:val="none"/>
        </w:rPr>
        <w:t>供应商（公章</w:t>
      </w:r>
      <w:r>
        <w:rPr>
          <w:rFonts w:hint="eastAsia" w:ascii="宋体" w:hAnsi="宋体" w:cs="仿宋_GB2312"/>
          <w:color w:val="auto"/>
          <w:szCs w:val="21"/>
          <w:highlight w:val="none"/>
        </w:rPr>
        <w:t>或</w:t>
      </w:r>
      <w:r>
        <w:rPr>
          <w:rFonts w:hint="eastAsia" w:ascii="宋体" w:hAnsi="宋体" w:cs="宋体"/>
          <w:color w:val="auto"/>
          <w:szCs w:val="21"/>
          <w:highlight w:val="none"/>
        </w:rPr>
        <w:t>CA签章）：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B790D1A">
      <w:pPr>
        <w:spacing w:line="360" w:lineRule="auto"/>
        <w:ind w:firstLine="2835" w:firstLineChars="1350"/>
        <w:contextualSpacing/>
        <w:rPr>
          <w:rFonts w:ascii="宋体" w:hAnsi="宋体" w:cs="宋体"/>
          <w:color w:val="auto"/>
          <w:szCs w:val="21"/>
          <w:highlight w:val="none"/>
          <w:u w:val="single"/>
        </w:rPr>
      </w:pPr>
      <w:r>
        <w:rPr>
          <w:rFonts w:hint="eastAsia" w:ascii="宋体" w:hAnsi="宋体" w:cs="宋体"/>
          <w:color w:val="auto"/>
          <w:szCs w:val="21"/>
          <w:highlight w:val="none"/>
        </w:rPr>
        <w:t>日期：</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年</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月</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日</w:t>
      </w:r>
    </w:p>
    <w:p w14:paraId="6DF89368">
      <w:pPr>
        <w:adjustRightInd w:val="0"/>
        <w:snapToGrid w:val="0"/>
        <w:spacing w:line="360" w:lineRule="auto"/>
        <w:rPr>
          <w:rFonts w:ascii="宋体" w:hAnsi="宋体" w:cs="宋体"/>
          <w:color w:val="auto"/>
          <w:szCs w:val="21"/>
          <w:highlight w:val="none"/>
          <w:u w:val="single"/>
        </w:rPr>
      </w:pPr>
    </w:p>
    <w:p w14:paraId="743BEB73">
      <w:pPr>
        <w:adjustRightInd w:val="0"/>
        <w:snapToGrid w:val="0"/>
        <w:spacing w:line="360" w:lineRule="auto"/>
        <w:rPr>
          <w:rFonts w:ascii="宋体" w:hAnsi="宋体" w:cs="宋体"/>
          <w:color w:val="auto"/>
          <w:szCs w:val="21"/>
          <w:highlight w:val="none"/>
          <w:u w:val="single"/>
        </w:rPr>
      </w:pPr>
    </w:p>
    <w:p w14:paraId="39C47F8E">
      <w:pPr>
        <w:adjustRightInd w:val="0"/>
        <w:snapToGrid w:val="0"/>
        <w:spacing w:line="360" w:lineRule="auto"/>
        <w:rPr>
          <w:rFonts w:ascii="宋体" w:hAnsi="宋体" w:cs="宋体"/>
          <w:color w:val="auto"/>
          <w:szCs w:val="21"/>
          <w:highlight w:val="none"/>
          <w:u w:val="single"/>
        </w:rPr>
      </w:pPr>
    </w:p>
    <w:p w14:paraId="425E5044">
      <w:pPr>
        <w:adjustRightInd w:val="0"/>
        <w:snapToGrid w:val="0"/>
        <w:spacing w:line="360" w:lineRule="auto"/>
        <w:rPr>
          <w:rFonts w:ascii="宋体" w:hAnsi="宋体" w:cs="宋体"/>
          <w:color w:val="auto"/>
          <w:szCs w:val="21"/>
          <w:highlight w:val="none"/>
          <w:u w:val="single"/>
        </w:rPr>
      </w:pPr>
    </w:p>
    <w:p w14:paraId="373A06D6">
      <w:pPr>
        <w:adjustRightInd w:val="0"/>
        <w:snapToGrid w:val="0"/>
        <w:spacing w:line="360" w:lineRule="auto"/>
        <w:rPr>
          <w:rFonts w:ascii="宋体" w:hAnsi="宋体" w:cs="宋体"/>
          <w:color w:val="auto"/>
          <w:szCs w:val="21"/>
          <w:highlight w:val="none"/>
          <w:u w:val="single"/>
        </w:rPr>
      </w:pPr>
    </w:p>
    <w:p w14:paraId="50ACBB82">
      <w:pPr>
        <w:adjustRightInd w:val="0"/>
        <w:snapToGrid w:val="0"/>
        <w:spacing w:line="360" w:lineRule="auto"/>
        <w:jc w:val="center"/>
        <w:rPr>
          <w:rFonts w:ascii="宋体" w:hAnsi="宋体" w:cs="宋体"/>
          <w:bCs/>
          <w:color w:val="auto"/>
          <w:sz w:val="44"/>
          <w:szCs w:val="44"/>
          <w:highlight w:val="none"/>
        </w:rPr>
      </w:pPr>
      <w:r>
        <w:rPr>
          <w:rFonts w:hint="eastAsia" w:ascii="宋体" w:hAnsi="宋体" w:cs="宋体"/>
          <w:bCs/>
          <w:color w:val="auto"/>
          <w:sz w:val="44"/>
          <w:szCs w:val="44"/>
          <w:highlight w:val="none"/>
        </w:rPr>
        <w:br w:type="page"/>
      </w:r>
    </w:p>
    <w:p w14:paraId="306FE7B3">
      <w:pPr>
        <w:adjustRightInd w:val="0"/>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6.技术偏离表</w:t>
      </w:r>
    </w:p>
    <w:p w14:paraId="48251A2E">
      <w:pPr>
        <w:adjustRightInd w:val="0"/>
        <w:snapToGrid w:val="0"/>
        <w:spacing w:line="360" w:lineRule="auto"/>
        <w:jc w:val="center"/>
        <w:rPr>
          <w:rFonts w:ascii="宋体" w:hAnsi="宋体" w:cs="宋体"/>
          <w:b/>
          <w:bCs/>
          <w:color w:val="auto"/>
          <w:sz w:val="44"/>
          <w:szCs w:val="44"/>
          <w:highlight w:val="none"/>
        </w:rPr>
      </w:pPr>
      <w:r>
        <w:rPr>
          <w:rFonts w:hint="eastAsia" w:ascii="宋体" w:hAnsi="宋体" w:cs="宋体"/>
          <w:b/>
          <w:bCs/>
          <w:color w:val="auto"/>
          <w:sz w:val="24"/>
          <w:highlight w:val="none"/>
        </w:rPr>
        <w:t>技术要求偏离表</w:t>
      </w:r>
    </w:p>
    <w:p w14:paraId="526A39C4">
      <w:pPr>
        <w:spacing w:line="360" w:lineRule="auto"/>
        <w:rPr>
          <w:rFonts w:ascii="宋体" w:hAnsi="宋体" w:cs="宋体"/>
          <w:color w:val="auto"/>
          <w:szCs w:val="21"/>
          <w:highlight w:val="none"/>
        </w:rPr>
      </w:pPr>
      <w:r>
        <w:rPr>
          <w:rFonts w:hint="eastAsia" w:ascii="宋体" w:hAnsi="宋体" w:cs="宋体"/>
          <w:color w:val="auto"/>
          <w:szCs w:val="21"/>
          <w:highlight w:val="none"/>
        </w:rPr>
        <w:t>采购项目名称：</w:t>
      </w:r>
      <w:r>
        <w:rPr>
          <w:rFonts w:hint="eastAsia" w:ascii="宋体" w:hAnsi="宋体" w:cs="宋体"/>
          <w:color w:val="auto"/>
          <w:szCs w:val="21"/>
          <w:highlight w:val="none"/>
          <w:u w:val="single"/>
        </w:rPr>
        <w:t xml:space="preserve">                 </w:t>
      </w:r>
    </w:p>
    <w:p w14:paraId="6714A521">
      <w:pPr>
        <w:spacing w:line="360" w:lineRule="auto"/>
        <w:rPr>
          <w:rFonts w:ascii="宋体" w:hAnsi="宋体" w:cs="宋体"/>
          <w:color w:val="auto"/>
          <w:szCs w:val="21"/>
          <w:highlight w:val="none"/>
        </w:rPr>
      </w:pPr>
      <w:r>
        <w:rPr>
          <w:rFonts w:hint="eastAsia" w:ascii="宋体" w:hAnsi="宋体" w:cs="宋体"/>
          <w:color w:val="auto"/>
          <w:szCs w:val="21"/>
          <w:highlight w:val="none"/>
        </w:rPr>
        <w:t>采购项目编号：</w:t>
      </w:r>
      <w:r>
        <w:rPr>
          <w:rFonts w:hint="eastAsia" w:ascii="宋体" w:hAnsi="宋体" w:cs="宋体"/>
          <w:color w:val="auto"/>
          <w:szCs w:val="21"/>
          <w:highlight w:val="none"/>
          <w:u w:val="single"/>
        </w:rPr>
        <w:t xml:space="preserve">                 </w:t>
      </w:r>
    </w:p>
    <w:p w14:paraId="1E0FDF4C">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分标号：</w:t>
      </w:r>
      <w:r>
        <w:rPr>
          <w:rFonts w:hint="eastAsia" w:ascii="宋体" w:hAnsi="宋体" w:cs="宋体"/>
          <w:color w:val="auto"/>
          <w:szCs w:val="21"/>
          <w:highlight w:val="none"/>
          <w:u w:val="single"/>
        </w:rPr>
        <w:t xml:space="preserve">                       </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10"/>
        <w:gridCol w:w="910"/>
        <w:gridCol w:w="3028"/>
        <w:gridCol w:w="2725"/>
        <w:gridCol w:w="1488"/>
      </w:tblGrid>
      <w:tr w14:paraId="183600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2" w:type="pct"/>
            <w:vAlign w:val="center"/>
          </w:tcPr>
          <w:p w14:paraId="61F62732">
            <w:pPr>
              <w:pStyle w:val="12"/>
              <w:spacing w:line="500" w:lineRule="exact"/>
              <w:ind w:firstLine="0" w:firstLineChars="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502" w:type="pct"/>
            <w:tcBorders>
              <w:right w:val="single" w:color="auto" w:sz="4" w:space="0"/>
            </w:tcBorders>
            <w:vAlign w:val="center"/>
          </w:tcPr>
          <w:p w14:paraId="3B4A9908">
            <w:pPr>
              <w:pStyle w:val="12"/>
              <w:spacing w:line="500" w:lineRule="exact"/>
              <w:ind w:firstLine="0" w:firstLineChars="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货物名称</w:t>
            </w:r>
          </w:p>
        </w:tc>
        <w:tc>
          <w:tcPr>
            <w:tcW w:w="1670" w:type="pct"/>
            <w:tcBorders>
              <w:left w:val="single" w:color="auto" w:sz="4" w:space="0"/>
            </w:tcBorders>
            <w:vAlign w:val="center"/>
          </w:tcPr>
          <w:p w14:paraId="37DDA904">
            <w:pPr>
              <w:pStyle w:val="12"/>
              <w:spacing w:line="500" w:lineRule="exact"/>
              <w:ind w:firstLine="0" w:firstLineChars="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技术要求</w:t>
            </w:r>
          </w:p>
        </w:tc>
        <w:tc>
          <w:tcPr>
            <w:tcW w:w="1503" w:type="pct"/>
            <w:vAlign w:val="center"/>
          </w:tcPr>
          <w:p w14:paraId="4DA9C183">
            <w:pPr>
              <w:pStyle w:val="12"/>
              <w:spacing w:line="500" w:lineRule="exact"/>
              <w:ind w:firstLine="0" w:firstLineChars="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竞争性谈判响应</w:t>
            </w:r>
          </w:p>
        </w:tc>
        <w:tc>
          <w:tcPr>
            <w:tcW w:w="820" w:type="pct"/>
            <w:vAlign w:val="center"/>
          </w:tcPr>
          <w:p w14:paraId="0471AE3D">
            <w:pPr>
              <w:pStyle w:val="12"/>
              <w:spacing w:line="500" w:lineRule="exact"/>
              <w:ind w:firstLine="0" w:firstLineChars="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偏离说明</w:t>
            </w:r>
          </w:p>
        </w:tc>
      </w:tr>
      <w:tr w14:paraId="6D1D31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2" w:type="pct"/>
            <w:vAlign w:val="center"/>
          </w:tcPr>
          <w:p w14:paraId="6AAACF6C">
            <w:pPr>
              <w:pStyle w:val="12"/>
              <w:spacing w:line="500" w:lineRule="exact"/>
              <w:ind w:firstLine="0" w:firstLineChars="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502" w:type="pct"/>
            <w:tcBorders>
              <w:right w:val="single" w:color="auto" w:sz="4" w:space="0"/>
            </w:tcBorders>
            <w:vAlign w:val="center"/>
          </w:tcPr>
          <w:p w14:paraId="35E450C1">
            <w:pPr>
              <w:pStyle w:val="12"/>
              <w:spacing w:line="500" w:lineRule="exact"/>
              <w:ind w:firstLine="0" w:firstLineChars="0"/>
              <w:jc w:val="center"/>
              <w:rPr>
                <w:rFonts w:ascii="宋体" w:hAnsi="宋体" w:eastAsia="宋体" w:cs="宋体"/>
                <w:color w:val="auto"/>
                <w:kern w:val="2"/>
                <w:sz w:val="21"/>
                <w:szCs w:val="21"/>
                <w:highlight w:val="none"/>
              </w:rPr>
            </w:pPr>
          </w:p>
        </w:tc>
        <w:tc>
          <w:tcPr>
            <w:tcW w:w="1670" w:type="pct"/>
            <w:tcBorders>
              <w:left w:val="single" w:color="auto" w:sz="4" w:space="0"/>
            </w:tcBorders>
            <w:vAlign w:val="center"/>
          </w:tcPr>
          <w:p w14:paraId="12FAD2E2">
            <w:pPr>
              <w:pStyle w:val="12"/>
              <w:spacing w:line="500" w:lineRule="exact"/>
              <w:ind w:firstLine="0" w:firstLineChars="0"/>
              <w:jc w:val="center"/>
              <w:rPr>
                <w:rFonts w:ascii="宋体" w:hAnsi="宋体" w:eastAsia="宋体" w:cs="宋体"/>
                <w:color w:val="auto"/>
                <w:kern w:val="2"/>
                <w:sz w:val="21"/>
                <w:szCs w:val="21"/>
                <w:highlight w:val="none"/>
              </w:rPr>
            </w:pPr>
          </w:p>
        </w:tc>
        <w:tc>
          <w:tcPr>
            <w:tcW w:w="1503" w:type="pct"/>
            <w:vAlign w:val="center"/>
          </w:tcPr>
          <w:p w14:paraId="3B78E89E">
            <w:pPr>
              <w:pStyle w:val="12"/>
              <w:spacing w:line="500" w:lineRule="exact"/>
              <w:ind w:firstLine="0" w:firstLineChars="0"/>
              <w:jc w:val="center"/>
              <w:rPr>
                <w:rFonts w:ascii="宋体" w:hAnsi="宋体" w:eastAsia="宋体" w:cs="宋体"/>
                <w:color w:val="auto"/>
                <w:kern w:val="2"/>
                <w:sz w:val="21"/>
                <w:szCs w:val="21"/>
                <w:highlight w:val="none"/>
              </w:rPr>
            </w:pPr>
          </w:p>
        </w:tc>
        <w:tc>
          <w:tcPr>
            <w:tcW w:w="820" w:type="pct"/>
            <w:vAlign w:val="center"/>
          </w:tcPr>
          <w:p w14:paraId="2880B7F0">
            <w:pPr>
              <w:pStyle w:val="12"/>
              <w:spacing w:line="500" w:lineRule="exact"/>
              <w:ind w:firstLine="0" w:firstLineChars="0"/>
              <w:jc w:val="center"/>
              <w:rPr>
                <w:rFonts w:ascii="宋体" w:hAnsi="宋体" w:eastAsia="宋体" w:cs="宋体"/>
                <w:color w:val="auto"/>
                <w:kern w:val="2"/>
                <w:sz w:val="21"/>
                <w:szCs w:val="21"/>
                <w:highlight w:val="none"/>
              </w:rPr>
            </w:pPr>
          </w:p>
        </w:tc>
      </w:tr>
      <w:tr w14:paraId="09B86F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2" w:type="pct"/>
            <w:vAlign w:val="center"/>
          </w:tcPr>
          <w:p w14:paraId="13EFA8C6">
            <w:pPr>
              <w:pStyle w:val="12"/>
              <w:spacing w:line="500" w:lineRule="exact"/>
              <w:ind w:firstLine="0" w:firstLineChars="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p>
        </w:tc>
        <w:tc>
          <w:tcPr>
            <w:tcW w:w="502" w:type="pct"/>
            <w:tcBorders>
              <w:right w:val="single" w:color="auto" w:sz="4" w:space="0"/>
            </w:tcBorders>
            <w:vAlign w:val="center"/>
          </w:tcPr>
          <w:p w14:paraId="6C2A80E1">
            <w:pPr>
              <w:pStyle w:val="12"/>
              <w:spacing w:line="500" w:lineRule="exact"/>
              <w:ind w:firstLine="0" w:firstLineChars="0"/>
              <w:jc w:val="center"/>
              <w:rPr>
                <w:rFonts w:ascii="宋体" w:hAnsi="宋体" w:eastAsia="宋体" w:cs="宋体"/>
                <w:color w:val="auto"/>
                <w:kern w:val="2"/>
                <w:sz w:val="21"/>
                <w:szCs w:val="21"/>
                <w:highlight w:val="none"/>
              </w:rPr>
            </w:pPr>
          </w:p>
        </w:tc>
        <w:tc>
          <w:tcPr>
            <w:tcW w:w="1670" w:type="pct"/>
            <w:tcBorders>
              <w:left w:val="single" w:color="auto" w:sz="4" w:space="0"/>
            </w:tcBorders>
            <w:vAlign w:val="center"/>
          </w:tcPr>
          <w:p w14:paraId="359F267C">
            <w:pPr>
              <w:pStyle w:val="12"/>
              <w:spacing w:line="500" w:lineRule="exact"/>
              <w:ind w:firstLine="0" w:firstLineChars="0"/>
              <w:jc w:val="center"/>
              <w:rPr>
                <w:rFonts w:ascii="宋体" w:hAnsi="宋体" w:eastAsia="宋体" w:cs="宋体"/>
                <w:color w:val="auto"/>
                <w:kern w:val="2"/>
                <w:sz w:val="21"/>
                <w:szCs w:val="21"/>
                <w:highlight w:val="none"/>
              </w:rPr>
            </w:pPr>
          </w:p>
        </w:tc>
        <w:tc>
          <w:tcPr>
            <w:tcW w:w="1503" w:type="pct"/>
            <w:vAlign w:val="center"/>
          </w:tcPr>
          <w:p w14:paraId="35942882">
            <w:pPr>
              <w:pStyle w:val="12"/>
              <w:spacing w:line="500" w:lineRule="exact"/>
              <w:ind w:firstLine="0" w:firstLineChars="0"/>
              <w:jc w:val="center"/>
              <w:rPr>
                <w:rFonts w:ascii="宋体" w:hAnsi="宋体" w:eastAsia="宋体" w:cs="宋体"/>
                <w:color w:val="auto"/>
                <w:kern w:val="2"/>
                <w:sz w:val="21"/>
                <w:szCs w:val="21"/>
                <w:highlight w:val="none"/>
              </w:rPr>
            </w:pPr>
          </w:p>
        </w:tc>
        <w:tc>
          <w:tcPr>
            <w:tcW w:w="820" w:type="pct"/>
            <w:vAlign w:val="center"/>
          </w:tcPr>
          <w:p w14:paraId="0FE2C551">
            <w:pPr>
              <w:pStyle w:val="12"/>
              <w:spacing w:line="500" w:lineRule="exact"/>
              <w:ind w:firstLine="0" w:firstLineChars="0"/>
              <w:jc w:val="center"/>
              <w:rPr>
                <w:rFonts w:ascii="宋体" w:hAnsi="宋体" w:eastAsia="宋体" w:cs="宋体"/>
                <w:color w:val="auto"/>
                <w:kern w:val="2"/>
                <w:sz w:val="21"/>
                <w:szCs w:val="21"/>
                <w:highlight w:val="none"/>
              </w:rPr>
            </w:pPr>
          </w:p>
        </w:tc>
      </w:tr>
      <w:tr w14:paraId="78DE4E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2" w:type="pct"/>
            <w:vAlign w:val="center"/>
          </w:tcPr>
          <w:p w14:paraId="03A78CE3">
            <w:pPr>
              <w:pStyle w:val="12"/>
              <w:spacing w:line="500" w:lineRule="exact"/>
              <w:ind w:firstLine="0" w:firstLineChars="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p>
        </w:tc>
        <w:tc>
          <w:tcPr>
            <w:tcW w:w="502" w:type="pct"/>
            <w:tcBorders>
              <w:right w:val="single" w:color="auto" w:sz="4" w:space="0"/>
            </w:tcBorders>
            <w:vAlign w:val="center"/>
          </w:tcPr>
          <w:p w14:paraId="4DD484A8">
            <w:pPr>
              <w:pStyle w:val="12"/>
              <w:spacing w:line="500" w:lineRule="exact"/>
              <w:ind w:firstLine="0" w:firstLineChars="0"/>
              <w:jc w:val="center"/>
              <w:rPr>
                <w:rFonts w:ascii="宋体" w:hAnsi="宋体" w:eastAsia="宋体" w:cs="宋体"/>
                <w:color w:val="auto"/>
                <w:kern w:val="2"/>
                <w:sz w:val="21"/>
                <w:szCs w:val="21"/>
                <w:highlight w:val="none"/>
              </w:rPr>
            </w:pPr>
          </w:p>
        </w:tc>
        <w:tc>
          <w:tcPr>
            <w:tcW w:w="1670" w:type="pct"/>
            <w:tcBorders>
              <w:left w:val="single" w:color="auto" w:sz="4" w:space="0"/>
            </w:tcBorders>
            <w:vAlign w:val="center"/>
          </w:tcPr>
          <w:p w14:paraId="6CF1F09A">
            <w:pPr>
              <w:pStyle w:val="12"/>
              <w:spacing w:line="500" w:lineRule="exact"/>
              <w:ind w:firstLine="0" w:firstLineChars="0"/>
              <w:jc w:val="center"/>
              <w:rPr>
                <w:rFonts w:ascii="宋体" w:hAnsi="宋体" w:eastAsia="宋体" w:cs="宋体"/>
                <w:color w:val="auto"/>
                <w:kern w:val="2"/>
                <w:sz w:val="21"/>
                <w:szCs w:val="21"/>
                <w:highlight w:val="none"/>
              </w:rPr>
            </w:pPr>
          </w:p>
        </w:tc>
        <w:tc>
          <w:tcPr>
            <w:tcW w:w="1503" w:type="pct"/>
            <w:vAlign w:val="center"/>
          </w:tcPr>
          <w:p w14:paraId="18A84067">
            <w:pPr>
              <w:pStyle w:val="12"/>
              <w:spacing w:line="500" w:lineRule="exact"/>
              <w:ind w:firstLine="0" w:firstLineChars="0"/>
              <w:jc w:val="center"/>
              <w:rPr>
                <w:rFonts w:ascii="宋体" w:hAnsi="宋体" w:eastAsia="宋体" w:cs="宋体"/>
                <w:color w:val="auto"/>
                <w:kern w:val="2"/>
                <w:sz w:val="21"/>
                <w:szCs w:val="21"/>
                <w:highlight w:val="none"/>
              </w:rPr>
            </w:pPr>
          </w:p>
        </w:tc>
        <w:tc>
          <w:tcPr>
            <w:tcW w:w="820" w:type="pct"/>
            <w:vAlign w:val="center"/>
          </w:tcPr>
          <w:p w14:paraId="09BB7E05">
            <w:pPr>
              <w:pStyle w:val="12"/>
              <w:spacing w:line="500" w:lineRule="exact"/>
              <w:ind w:firstLine="0" w:firstLineChars="0"/>
              <w:jc w:val="center"/>
              <w:rPr>
                <w:rFonts w:ascii="宋体" w:hAnsi="宋体" w:eastAsia="宋体" w:cs="宋体"/>
                <w:color w:val="auto"/>
                <w:kern w:val="2"/>
                <w:sz w:val="21"/>
                <w:szCs w:val="21"/>
                <w:highlight w:val="none"/>
              </w:rPr>
            </w:pPr>
          </w:p>
        </w:tc>
      </w:tr>
      <w:tr w14:paraId="441F52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2" w:type="pct"/>
            <w:vAlign w:val="center"/>
          </w:tcPr>
          <w:p w14:paraId="03650019">
            <w:pPr>
              <w:pStyle w:val="12"/>
              <w:spacing w:line="500" w:lineRule="exact"/>
              <w:ind w:firstLine="0" w:firstLineChars="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502" w:type="pct"/>
            <w:tcBorders>
              <w:right w:val="single" w:color="auto" w:sz="4" w:space="0"/>
            </w:tcBorders>
            <w:vAlign w:val="center"/>
          </w:tcPr>
          <w:p w14:paraId="54C17B8C">
            <w:pPr>
              <w:pStyle w:val="12"/>
              <w:spacing w:line="500" w:lineRule="exact"/>
              <w:ind w:firstLine="0" w:firstLineChars="0"/>
              <w:jc w:val="center"/>
              <w:rPr>
                <w:rFonts w:ascii="宋体" w:hAnsi="宋体" w:eastAsia="宋体" w:cs="宋体"/>
                <w:color w:val="auto"/>
                <w:kern w:val="2"/>
                <w:sz w:val="21"/>
                <w:szCs w:val="21"/>
                <w:highlight w:val="none"/>
              </w:rPr>
            </w:pPr>
          </w:p>
        </w:tc>
        <w:tc>
          <w:tcPr>
            <w:tcW w:w="1670" w:type="pct"/>
            <w:tcBorders>
              <w:left w:val="single" w:color="auto" w:sz="4" w:space="0"/>
            </w:tcBorders>
            <w:vAlign w:val="center"/>
          </w:tcPr>
          <w:p w14:paraId="1DAD9A1B">
            <w:pPr>
              <w:pStyle w:val="12"/>
              <w:spacing w:line="500" w:lineRule="exact"/>
              <w:ind w:firstLine="0" w:firstLineChars="0"/>
              <w:jc w:val="center"/>
              <w:rPr>
                <w:rFonts w:ascii="宋体" w:hAnsi="宋体" w:eastAsia="宋体" w:cs="宋体"/>
                <w:color w:val="auto"/>
                <w:kern w:val="2"/>
                <w:sz w:val="21"/>
                <w:szCs w:val="21"/>
                <w:highlight w:val="none"/>
              </w:rPr>
            </w:pPr>
          </w:p>
        </w:tc>
        <w:tc>
          <w:tcPr>
            <w:tcW w:w="1503" w:type="pct"/>
            <w:vAlign w:val="center"/>
          </w:tcPr>
          <w:p w14:paraId="27FDB508">
            <w:pPr>
              <w:pStyle w:val="12"/>
              <w:spacing w:line="500" w:lineRule="exact"/>
              <w:ind w:firstLine="0" w:firstLineChars="0"/>
              <w:jc w:val="center"/>
              <w:rPr>
                <w:rFonts w:ascii="宋体" w:hAnsi="宋体" w:eastAsia="宋体" w:cs="宋体"/>
                <w:color w:val="auto"/>
                <w:kern w:val="2"/>
                <w:sz w:val="21"/>
                <w:szCs w:val="21"/>
                <w:highlight w:val="none"/>
              </w:rPr>
            </w:pPr>
          </w:p>
        </w:tc>
        <w:tc>
          <w:tcPr>
            <w:tcW w:w="820" w:type="pct"/>
            <w:tcBorders>
              <w:right w:val="single" w:color="auto" w:sz="4" w:space="0"/>
            </w:tcBorders>
            <w:vAlign w:val="center"/>
          </w:tcPr>
          <w:p w14:paraId="4B16C8BA">
            <w:pPr>
              <w:pStyle w:val="12"/>
              <w:spacing w:line="500" w:lineRule="exact"/>
              <w:ind w:firstLine="0" w:firstLineChars="0"/>
              <w:jc w:val="center"/>
              <w:rPr>
                <w:rFonts w:ascii="宋体" w:hAnsi="宋体" w:eastAsia="宋体" w:cs="宋体"/>
                <w:color w:val="auto"/>
                <w:kern w:val="2"/>
                <w:sz w:val="21"/>
                <w:szCs w:val="21"/>
                <w:highlight w:val="none"/>
              </w:rPr>
            </w:pPr>
          </w:p>
        </w:tc>
      </w:tr>
    </w:tbl>
    <w:p w14:paraId="00B5642B">
      <w:pPr>
        <w:pStyle w:val="12"/>
        <w:spacing w:line="360" w:lineRule="auto"/>
        <w:ind w:firstLine="0" w:firstLineChars="0"/>
        <w:contextualSpacing/>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w:t>
      </w:r>
    </w:p>
    <w:p w14:paraId="49D07ABF">
      <w:pPr>
        <w:pStyle w:val="12"/>
        <w:spacing w:line="360" w:lineRule="auto"/>
        <w:ind w:firstLine="420" w:firstLineChars="200"/>
        <w:contextualSpacing/>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1.说明：应对照谈判文件“第三章 采购需求”中的技术要求逐条实质性响应，并作出偏离说明。</w:t>
      </w:r>
    </w:p>
    <w:p w14:paraId="5E01C2E9">
      <w:pPr>
        <w:pStyle w:val="12"/>
        <w:spacing w:line="360" w:lineRule="auto"/>
        <w:ind w:firstLine="420" w:firstLineChars="200"/>
        <w:contextualSpacing/>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2.供应商应根据其参与竞争性谈判设备的性能指标，对照谈判文件要求，在“偏离说明”中注明“正偏离”、“负偏离”或者“无偏离”。既不属于“正偏离”也不属于“负偏离”即为“无偏离”。</w:t>
      </w:r>
    </w:p>
    <w:p w14:paraId="049F3B91">
      <w:pPr>
        <w:pStyle w:val="12"/>
        <w:spacing w:line="360" w:lineRule="auto"/>
        <w:ind w:firstLine="420" w:firstLineChars="200"/>
        <w:contextualSpacing/>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认为其竞争性谈判响应有正偏离的，请在技术偏离表中列明，且在响应文件中提供参与竞争性谈判产品的彩页或国家认可有资质的第三方检测机构出具的检测报告复印件或产品生产厂家出具的技术参数说明证明作为佐证，以上佐证材料均需加盖生产厂家或代理商（附生产厂家授权资料）公章。</w:t>
      </w:r>
    </w:p>
    <w:p w14:paraId="6BBCD1C3">
      <w:pPr>
        <w:pStyle w:val="12"/>
        <w:spacing w:line="360" w:lineRule="auto"/>
        <w:ind w:firstLine="420" w:firstLineChars="200"/>
        <w:contextualSpacing/>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4.如技术偏离表中的竞争性谈判响应与佐证材料不一致的，以佐证材料为准。</w:t>
      </w:r>
    </w:p>
    <w:p w14:paraId="45C8067F">
      <w:pPr>
        <w:pStyle w:val="12"/>
        <w:spacing w:line="360" w:lineRule="auto"/>
        <w:ind w:firstLine="0" w:firstLineChars="0"/>
        <w:contextualSpacing/>
        <w:rPr>
          <w:rFonts w:ascii="宋体" w:hAnsi="宋体" w:eastAsia="宋体" w:cs="宋体"/>
          <w:color w:val="auto"/>
          <w:sz w:val="21"/>
          <w:szCs w:val="21"/>
          <w:highlight w:val="none"/>
        </w:rPr>
      </w:pPr>
    </w:p>
    <w:p w14:paraId="25AE1C44">
      <w:pPr>
        <w:spacing w:line="360" w:lineRule="auto"/>
        <w:contextualSpacing/>
        <w:rPr>
          <w:rFonts w:ascii="宋体" w:hAnsi="宋体" w:cs="宋体"/>
          <w:color w:val="auto"/>
          <w:szCs w:val="21"/>
          <w:highlight w:val="none"/>
        </w:rPr>
      </w:pPr>
    </w:p>
    <w:p w14:paraId="237F2649">
      <w:pPr>
        <w:spacing w:line="360" w:lineRule="auto"/>
        <w:contextualSpacing/>
        <w:jc w:val="center"/>
        <w:rPr>
          <w:rFonts w:ascii="宋体" w:hAnsi="宋体" w:cs="宋体"/>
          <w:color w:val="auto"/>
          <w:szCs w:val="21"/>
          <w:highlight w:val="none"/>
          <w:u w:val="single"/>
        </w:rPr>
      </w:pPr>
      <w:r>
        <w:rPr>
          <w:rFonts w:hint="eastAsia" w:ascii="宋体" w:hAnsi="宋体" w:cs="宋体"/>
          <w:color w:val="auto"/>
          <w:szCs w:val="21"/>
          <w:highlight w:val="none"/>
        </w:rPr>
        <w:t xml:space="preserve">      法定代表人或者委托代理人（签字（或个人CA签章））：</w:t>
      </w:r>
      <w:r>
        <w:rPr>
          <w:rFonts w:hint="eastAsia" w:ascii="宋体" w:hAnsi="宋体" w:cs="宋体"/>
          <w:color w:val="auto"/>
          <w:szCs w:val="21"/>
          <w:highlight w:val="none"/>
          <w:u w:val="single"/>
        </w:rPr>
        <w:t xml:space="preserve">                  </w:t>
      </w:r>
    </w:p>
    <w:p w14:paraId="5FEC803B">
      <w:pPr>
        <w:spacing w:line="360" w:lineRule="auto"/>
        <w:ind w:firstLine="2520" w:firstLineChars="1200"/>
        <w:contextualSpacing/>
        <w:rPr>
          <w:rFonts w:ascii="宋体" w:hAnsi="宋体" w:cs="宋体"/>
          <w:color w:val="auto"/>
          <w:szCs w:val="21"/>
          <w:highlight w:val="none"/>
        </w:rPr>
      </w:pPr>
      <w:r>
        <w:rPr>
          <w:rFonts w:hint="eastAsia" w:ascii="宋体" w:hAnsi="宋体" w:cs="宋体"/>
          <w:color w:val="auto"/>
          <w:szCs w:val="21"/>
          <w:highlight w:val="none"/>
        </w:rPr>
        <w:t>供应商（公章</w:t>
      </w:r>
      <w:r>
        <w:rPr>
          <w:rFonts w:hint="eastAsia" w:ascii="宋体" w:hAnsi="宋体" w:cs="仿宋_GB2312"/>
          <w:color w:val="auto"/>
          <w:szCs w:val="21"/>
          <w:highlight w:val="none"/>
        </w:rPr>
        <w:t>或</w:t>
      </w:r>
      <w:r>
        <w:rPr>
          <w:rFonts w:hint="eastAsia" w:ascii="宋体" w:hAnsi="宋体" w:cs="宋体"/>
          <w:color w:val="auto"/>
          <w:szCs w:val="21"/>
          <w:highlight w:val="none"/>
        </w:rPr>
        <w:t>CA签章）：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F003CBD">
      <w:pPr>
        <w:spacing w:line="360" w:lineRule="auto"/>
        <w:ind w:firstLine="2520" w:firstLineChars="1200"/>
        <w:contextualSpacing/>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年</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月</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日</w:t>
      </w:r>
    </w:p>
    <w:p w14:paraId="5CEA9FC5">
      <w:pP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br w:type="page"/>
      </w:r>
      <w:r>
        <w:rPr>
          <w:rFonts w:hint="eastAsia" w:ascii="宋体" w:hAnsi="宋体" w:cs="宋体"/>
          <w:b/>
          <w:bCs/>
          <w:color w:val="auto"/>
          <w:sz w:val="24"/>
          <w:highlight w:val="none"/>
        </w:rPr>
        <w:t>7.对应采购需求的技术要求、商务要求提供的其他文件资料；</w:t>
      </w:r>
    </w:p>
    <w:p w14:paraId="3E5F999A">
      <w:pPr>
        <w:spacing w:line="360" w:lineRule="auto"/>
        <w:ind w:firstLine="420" w:firstLineChars="200"/>
        <w:rPr>
          <w:rFonts w:ascii="宋体" w:hAnsi="宋体" w:cs="宋体"/>
          <w:color w:val="auto"/>
          <w:szCs w:val="21"/>
          <w:highlight w:val="none"/>
        </w:rPr>
      </w:pPr>
    </w:p>
    <w:p w14:paraId="25F85BB0">
      <w:pPr>
        <w:spacing w:line="360" w:lineRule="auto"/>
        <w:ind w:firstLine="420" w:firstLineChars="200"/>
        <w:rPr>
          <w:rFonts w:ascii="宋体" w:hAnsi="宋体" w:cs="宋体"/>
          <w:color w:val="auto"/>
          <w:szCs w:val="21"/>
          <w:highlight w:val="none"/>
        </w:rPr>
      </w:pPr>
    </w:p>
    <w:p w14:paraId="17223CDD">
      <w:pPr>
        <w:spacing w:line="360" w:lineRule="auto"/>
        <w:ind w:firstLine="420" w:firstLineChars="200"/>
        <w:rPr>
          <w:rFonts w:ascii="宋体" w:hAnsi="宋体" w:cs="宋体"/>
          <w:color w:val="auto"/>
          <w:szCs w:val="21"/>
          <w:highlight w:val="none"/>
        </w:rPr>
      </w:pPr>
    </w:p>
    <w:p w14:paraId="35F7B10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8.供应商认为需要提供的其他有关资料。</w:t>
      </w:r>
    </w:p>
    <w:p w14:paraId="421DA255">
      <w:pPr>
        <w:spacing w:line="360" w:lineRule="auto"/>
        <w:ind w:firstLine="420" w:firstLineChars="200"/>
        <w:rPr>
          <w:rFonts w:ascii="宋体" w:hAnsi="宋体" w:cs="宋体"/>
          <w:color w:val="auto"/>
          <w:szCs w:val="21"/>
          <w:highlight w:val="none"/>
        </w:rPr>
      </w:pPr>
    </w:p>
    <w:p w14:paraId="20A4D07B">
      <w:pPr>
        <w:spacing w:line="360" w:lineRule="auto"/>
        <w:jc w:val="center"/>
        <w:rPr>
          <w:rFonts w:ascii="宋体" w:hAnsi="宋体" w:cs="宋体"/>
          <w:b/>
          <w:color w:val="auto"/>
          <w:sz w:val="44"/>
          <w:szCs w:val="44"/>
          <w:highlight w:val="none"/>
        </w:rPr>
      </w:pPr>
    </w:p>
    <w:p w14:paraId="329FFCF2">
      <w:pPr>
        <w:pStyle w:val="44"/>
        <w:rPr>
          <w:color w:val="auto"/>
          <w:highlight w:val="none"/>
        </w:rPr>
      </w:pPr>
    </w:p>
    <w:p w14:paraId="265CE9C5">
      <w:pPr>
        <w:pStyle w:val="44"/>
        <w:rPr>
          <w:color w:val="auto"/>
          <w:highlight w:val="none"/>
        </w:rPr>
      </w:pPr>
    </w:p>
    <w:p w14:paraId="505C696B">
      <w:pPr>
        <w:pStyle w:val="44"/>
        <w:rPr>
          <w:color w:val="auto"/>
          <w:highlight w:val="none"/>
        </w:rPr>
      </w:pPr>
    </w:p>
    <w:p w14:paraId="6AA9BBBB">
      <w:pPr>
        <w:pStyle w:val="44"/>
        <w:rPr>
          <w:color w:val="auto"/>
          <w:highlight w:val="none"/>
        </w:rPr>
      </w:pPr>
    </w:p>
    <w:p w14:paraId="20952F64">
      <w:pPr>
        <w:pStyle w:val="44"/>
        <w:rPr>
          <w:color w:val="auto"/>
          <w:highlight w:val="none"/>
        </w:rPr>
      </w:pPr>
    </w:p>
    <w:p w14:paraId="5F44AE3E">
      <w:pPr>
        <w:pStyle w:val="44"/>
        <w:rPr>
          <w:color w:val="auto"/>
          <w:highlight w:val="none"/>
        </w:rPr>
      </w:pPr>
    </w:p>
    <w:p w14:paraId="3265DD64">
      <w:pPr>
        <w:jc w:val="left"/>
        <w:rPr>
          <w:rFonts w:ascii="宋体" w:hAnsi="宋体" w:cs="宋体"/>
          <w:b/>
          <w:color w:val="auto"/>
          <w:sz w:val="44"/>
          <w:szCs w:val="44"/>
          <w:highlight w:val="none"/>
        </w:rPr>
      </w:pPr>
      <w:r>
        <w:rPr>
          <w:rFonts w:hint="eastAsia" w:ascii="宋体" w:hAnsi="宋体" w:cs="宋体"/>
          <w:b/>
          <w:color w:val="auto"/>
          <w:sz w:val="44"/>
          <w:szCs w:val="44"/>
          <w:highlight w:val="none"/>
        </w:rPr>
        <w:br w:type="page"/>
      </w:r>
    </w:p>
    <w:p w14:paraId="6D82F26D">
      <w:pPr>
        <w:spacing w:line="360" w:lineRule="auto"/>
        <w:jc w:val="center"/>
        <w:rPr>
          <w:rFonts w:ascii="宋体" w:hAnsi="宋体" w:cs="宋体"/>
          <w:b/>
          <w:bCs/>
          <w:color w:val="auto"/>
          <w:sz w:val="32"/>
          <w:szCs w:val="32"/>
          <w:highlight w:val="none"/>
        </w:rPr>
      </w:pPr>
      <w:r>
        <w:rPr>
          <w:rFonts w:hint="eastAsia" w:ascii="宋体" w:hAnsi="宋体" w:cs="宋体"/>
          <w:b/>
          <w:color w:val="auto"/>
          <w:sz w:val="44"/>
          <w:szCs w:val="44"/>
          <w:highlight w:val="none"/>
        </w:rPr>
        <w:t>质疑函</w:t>
      </w:r>
      <w:r>
        <w:rPr>
          <w:rFonts w:hint="eastAsia" w:ascii="宋体" w:hAnsi="宋体" w:cs="宋体"/>
          <w:color w:val="auto"/>
          <w:sz w:val="28"/>
          <w:szCs w:val="28"/>
          <w:highlight w:val="none"/>
        </w:rPr>
        <w:t>（格式）</w:t>
      </w:r>
    </w:p>
    <w:p w14:paraId="539B2340">
      <w:pPr>
        <w:spacing w:line="360" w:lineRule="auto"/>
        <w:jc w:val="center"/>
        <w:rPr>
          <w:rFonts w:ascii="宋体" w:hAnsi="宋体" w:cs="宋体"/>
          <w:b/>
          <w:bCs/>
          <w:color w:val="auto"/>
          <w:sz w:val="32"/>
          <w:szCs w:val="32"/>
          <w:highlight w:val="none"/>
        </w:rPr>
      </w:pPr>
    </w:p>
    <w:p w14:paraId="01A43E92">
      <w:pPr>
        <w:pStyle w:val="17"/>
        <w:spacing w:line="360" w:lineRule="auto"/>
        <w:ind w:firstLine="422" w:firstLineChars="200"/>
        <w:contextualSpacing/>
        <w:rPr>
          <w:rFonts w:hAnsi="宋体" w:cs="宋体"/>
          <w:b/>
          <w:bCs/>
          <w:color w:val="auto"/>
          <w:sz w:val="21"/>
          <w:highlight w:val="none"/>
        </w:rPr>
      </w:pPr>
      <w:r>
        <w:rPr>
          <w:rFonts w:hint="eastAsia" w:hAnsi="宋体" w:cs="宋体"/>
          <w:b/>
          <w:bCs/>
          <w:color w:val="auto"/>
          <w:sz w:val="21"/>
          <w:highlight w:val="none"/>
        </w:rPr>
        <w:t>一、质疑供应商基本信息：</w:t>
      </w:r>
    </w:p>
    <w:p w14:paraId="1501253C">
      <w:pPr>
        <w:pStyle w:val="17"/>
        <w:spacing w:line="360" w:lineRule="auto"/>
        <w:ind w:firstLine="420" w:firstLineChars="200"/>
        <w:contextualSpacing/>
        <w:rPr>
          <w:rFonts w:hAnsi="宋体" w:cs="宋体"/>
          <w:bCs/>
          <w:color w:val="auto"/>
          <w:sz w:val="21"/>
          <w:highlight w:val="none"/>
          <w:u w:val="single"/>
        </w:rPr>
      </w:pPr>
      <w:r>
        <w:rPr>
          <w:rFonts w:hint="eastAsia" w:hAnsi="宋体" w:cs="宋体"/>
          <w:bCs/>
          <w:color w:val="auto"/>
          <w:sz w:val="21"/>
          <w:highlight w:val="none"/>
        </w:rPr>
        <w:t>质疑供应商：</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67FE1921">
      <w:pPr>
        <w:pStyle w:val="17"/>
        <w:spacing w:line="360" w:lineRule="auto"/>
        <w:ind w:firstLine="420" w:firstLineChars="200"/>
        <w:contextualSpacing/>
        <w:rPr>
          <w:rFonts w:hAnsi="宋体" w:cs="宋体"/>
          <w:bCs/>
          <w:color w:val="auto"/>
          <w:sz w:val="21"/>
          <w:highlight w:val="non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1A170462">
      <w:pPr>
        <w:pStyle w:val="17"/>
        <w:spacing w:line="360" w:lineRule="auto"/>
        <w:ind w:firstLine="420" w:firstLineChars="200"/>
        <w:contextualSpacing/>
        <w:rPr>
          <w:rFonts w:hAnsi="宋体" w:cs="宋体"/>
          <w:bCs/>
          <w:color w:val="auto"/>
          <w:sz w:val="21"/>
          <w:highlight w:val="none"/>
        </w:rPr>
      </w:pPr>
      <w:r>
        <w:rPr>
          <w:rFonts w:hint="eastAsia" w:hAnsi="宋体" w:cs="宋体"/>
          <w:bCs/>
          <w:color w:val="auto"/>
          <w:sz w:val="21"/>
          <w:highlight w:val="none"/>
        </w:rPr>
        <w:t>联系人：</w:t>
      </w:r>
      <w:r>
        <w:rPr>
          <w:rFonts w:hint="eastAsia" w:hAnsi="宋体" w:cs="宋体"/>
          <w:bCs/>
          <w:color w:val="auto"/>
          <w:sz w:val="21"/>
          <w:highlight w:val="none"/>
          <w:u w:val="single"/>
        </w:rPr>
        <w:t xml:space="preserve">                     </w:t>
      </w: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000FE94A">
      <w:pPr>
        <w:pStyle w:val="17"/>
        <w:spacing w:line="360" w:lineRule="auto"/>
        <w:ind w:firstLine="420" w:firstLineChars="200"/>
        <w:contextualSpacing/>
        <w:rPr>
          <w:rFonts w:hAnsi="宋体" w:cs="宋体"/>
          <w:bCs/>
          <w:color w:val="auto"/>
          <w:sz w:val="21"/>
          <w:highlight w:val="none"/>
        </w:rPr>
      </w:pPr>
      <w:r>
        <w:rPr>
          <w:rFonts w:hint="eastAsia" w:hAnsi="宋体" w:cs="宋体"/>
          <w:bCs/>
          <w:color w:val="auto"/>
          <w:sz w:val="21"/>
          <w:highlight w:val="none"/>
        </w:rPr>
        <w:t>授权代表：</w:t>
      </w:r>
      <w:r>
        <w:rPr>
          <w:rFonts w:hint="eastAsia" w:hAnsi="宋体" w:cs="宋体"/>
          <w:bCs/>
          <w:color w:val="auto"/>
          <w:sz w:val="21"/>
          <w:highlight w:val="none"/>
          <w:u w:val="single"/>
        </w:rPr>
        <w:t xml:space="preserve">                      </w:t>
      </w:r>
    </w:p>
    <w:p w14:paraId="7D756C82">
      <w:pPr>
        <w:pStyle w:val="17"/>
        <w:spacing w:line="360" w:lineRule="auto"/>
        <w:ind w:firstLine="420" w:firstLineChars="200"/>
        <w:contextualSpacing/>
        <w:rPr>
          <w:rFonts w:hAnsi="宋体" w:cs="宋体"/>
          <w:bCs/>
          <w:color w:val="auto"/>
          <w:sz w:val="21"/>
          <w:highlight w:val="none"/>
          <w:u w:val="single"/>
        </w:rPr>
      </w:pP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1CD0B303">
      <w:pPr>
        <w:pStyle w:val="17"/>
        <w:spacing w:line="360" w:lineRule="auto"/>
        <w:ind w:firstLine="420" w:firstLineChars="200"/>
        <w:contextualSpacing/>
        <w:rPr>
          <w:rFonts w:hAnsi="宋体" w:cs="宋体"/>
          <w:bCs/>
          <w:color w:val="auto"/>
          <w:sz w:val="21"/>
          <w:highlight w:val="non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0D703E0E">
      <w:pPr>
        <w:pStyle w:val="17"/>
        <w:spacing w:line="360" w:lineRule="auto"/>
        <w:ind w:firstLine="422" w:firstLineChars="200"/>
        <w:contextualSpacing/>
        <w:rPr>
          <w:rFonts w:hAnsi="宋体" w:cs="宋体"/>
          <w:b/>
          <w:bCs/>
          <w:color w:val="auto"/>
          <w:sz w:val="21"/>
          <w:highlight w:val="none"/>
        </w:rPr>
      </w:pPr>
      <w:r>
        <w:rPr>
          <w:rFonts w:hint="eastAsia" w:hAnsi="宋体" w:cs="宋体"/>
          <w:b/>
          <w:bCs/>
          <w:color w:val="auto"/>
          <w:sz w:val="21"/>
          <w:highlight w:val="none"/>
        </w:rPr>
        <w:t>二、质疑项目基本情况：</w:t>
      </w:r>
    </w:p>
    <w:p w14:paraId="260948E6">
      <w:pPr>
        <w:pStyle w:val="17"/>
        <w:spacing w:line="360" w:lineRule="auto"/>
        <w:ind w:firstLine="413" w:firstLineChars="197"/>
        <w:contextualSpacing/>
        <w:rPr>
          <w:rFonts w:hAnsi="宋体" w:cs="宋体"/>
          <w:color w:val="auto"/>
          <w:sz w:val="21"/>
          <w:highlight w:val="none"/>
        </w:rPr>
      </w:pPr>
      <w:r>
        <w:rPr>
          <w:rFonts w:hint="eastAsia" w:hAnsi="宋体" w:cs="宋体"/>
          <w:bCs/>
          <w:color w:val="auto"/>
          <w:sz w:val="21"/>
          <w:highlight w:val="none"/>
        </w:rPr>
        <w:t>质疑</w:t>
      </w:r>
      <w:r>
        <w:rPr>
          <w:rFonts w:hint="eastAsia" w:hAnsi="宋体" w:cs="宋体"/>
          <w:color w:val="auto"/>
          <w:sz w:val="21"/>
          <w:highlight w:val="none"/>
        </w:rPr>
        <w:t>项目的名称：</w:t>
      </w:r>
      <w:r>
        <w:rPr>
          <w:rFonts w:hint="eastAsia" w:hAnsi="宋体" w:cs="宋体"/>
          <w:bCs/>
          <w:color w:val="auto"/>
          <w:sz w:val="21"/>
          <w:highlight w:val="none"/>
          <w:u w:val="single"/>
        </w:rPr>
        <w:t xml:space="preserve">                                     </w:t>
      </w:r>
    </w:p>
    <w:p w14:paraId="4D3E60AB">
      <w:pPr>
        <w:pStyle w:val="17"/>
        <w:spacing w:line="360" w:lineRule="auto"/>
        <w:ind w:firstLine="413" w:firstLineChars="197"/>
        <w:contextualSpacing/>
        <w:rPr>
          <w:rFonts w:hAnsi="宋体" w:cs="宋体"/>
          <w:color w:val="auto"/>
          <w:sz w:val="21"/>
          <w:highlight w:val="none"/>
        </w:rPr>
      </w:pPr>
      <w:r>
        <w:rPr>
          <w:rFonts w:hint="eastAsia" w:hAnsi="宋体" w:cs="宋体"/>
          <w:bCs/>
          <w:color w:val="auto"/>
          <w:sz w:val="21"/>
          <w:highlight w:val="none"/>
        </w:rPr>
        <w:t>质疑</w:t>
      </w:r>
      <w:r>
        <w:rPr>
          <w:rFonts w:hint="eastAsia" w:hAnsi="宋体" w:cs="宋体"/>
          <w:color w:val="auto"/>
          <w:sz w:val="21"/>
          <w:highlight w:val="none"/>
        </w:rPr>
        <w:t>项目的编号：</w:t>
      </w:r>
      <w:r>
        <w:rPr>
          <w:rFonts w:hint="eastAsia" w:hAnsi="宋体" w:cs="宋体"/>
          <w:bCs/>
          <w:color w:val="auto"/>
          <w:sz w:val="21"/>
          <w:highlight w:val="none"/>
          <w:u w:val="single"/>
        </w:rPr>
        <w:t xml:space="preserve">                                     </w:t>
      </w:r>
    </w:p>
    <w:p w14:paraId="6D0F540A">
      <w:pPr>
        <w:pStyle w:val="17"/>
        <w:spacing w:line="360" w:lineRule="auto"/>
        <w:ind w:firstLine="413" w:firstLineChars="197"/>
        <w:contextualSpacing/>
        <w:rPr>
          <w:rFonts w:hAnsi="宋体" w:cs="宋体"/>
          <w:color w:val="auto"/>
          <w:sz w:val="21"/>
          <w:highlight w:val="none"/>
        </w:rPr>
      </w:pPr>
      <w:r>
        <w:rPr>
          <w:rFonts w:hint="eastAsia" w:hAnsi="宋体" w:cs="宋体"/>
          <w:color w:val="auto"/>
          <w:sz w:val="21"/>
          <w:highlight w:val="none"/>
        </w:rPr>
        <w:t>采购人名称：</w:t>
      </w:r>
      <w:r>
        <w:rPr>
          <w:rFonts w:hint="eastAsia" w:hAnsi="宋体" w:cs="宋体"/>
          <w:bCs/>
          <w:color w:val="auto"/>
          <w:sz w:val="21"/>
          <w:highlight w:val="none"/>
          <w:u w:val="single"/>
        </w:rPr>
        <w:t xml:space="preserve">                                         </w:t>
      </w:r>
    </w:p>
    <w:p w14:paraId="0017EE43">
      <w:pPr>
        <w:pStyle w:val="17"/>
        <w:spacing w:line="360" w:lineRule="auto"/>
        <w:ind w:firstLine="413" w:firstLineChars="197"/>
        <w:contextualSpacing/>
        <w:rPr>
          <w:rFonts w:hAnsi="宋体" w:cs="宋体"/>
          <w:color w:val="auto"/>
          <w:sz w:val="21"/>
          <w:highlight w:val="none"/>
        </w:rPr>
      </w:pPr>
      <w:r>
        <w:rPr>
          <w:rFonts w:hint="eastAsia" w:hAnsi="宋体" w:cs="宋体"/>
          <w:color w:val="auto"/>
          <w:sz w:val="21"/>
          <w:highlight w:val="none"/>
        </w:rPr>
        <w:t>质疑事项：</w:t>
      </w:r>
    </w:p>
    <w:p w14:paraId="311C1FBC">
      <w:pPr>
        <w:pStyle w:val="17"/>
        <w:spacing w:line="360" w:lineRule="auto"/>
        <w:ind w:firstLine="308" w:firstLineChars="147"/>
        <w:contextualSpacing/>
        <w:rPr>
          <w:rFonts w:hAnsi="宋体" w:cs="宋体"/>
          <w:color w:val="auto"/>
          <w:sz w:val="21"/>
          <w:highlight w:val="none"/>
        </w:rPr>
      </w:pPr>
      <w:r>
        <w:rPr>
          <w:rFonts w:hint="eastAsia" w:hAnsi="宋体" w:cs="宋体"/>
          <w:color w:val="auto"/>
          <w:sz w:val="21"/>
          <w:highlight w:val="none"/>
        </w:rPr>
        <w:t>□采购文件   采购文件获取日期：</w:t>
      </w:r>
      <w:r>
        <w:rPr>
          <w:rFonts w:hint="eastAsia" w:hAnsi="宋体" w:cs="宋体"/>
          <w:bCs/>
          <w:color w:val="auto"/>
          <w:sz w:val="21"/>
          <w:highlight w:val="none"/>
          <w:u w:val="single"/>
        </w:rPr>
        <w:t xml:space="preserve">                                   </w:t>
      </w:r>
    </w:p>
    <w:p w14:paraId="1EFA4D43">
      <w:pPr>
        <w:pStyle w:val="17"/>
        <w:spacing w:line="360" w:lineRule="auto"/>
        <w:ind w:firstLine="308" w:firstLineChars="147"/>
        <w:contextualSpacing/>
        <w:rPr>
          <w:rFonts w:hAnsi="宋体" w:cs="宋体"/>
          <w:color w:val="auto"/>
          <w:sz w:val="21"/>
          <w:highlight w:val="none"/>
        </w:rPr>
      </w:pPr>
      <w:r>
        <w:rPr>
          <w:rFonts w:hint="eastAsia" w:hAnsi="宋体" w:cs="宋体"/>
          <w:color w:val="auto"/>
          <w:sz w:val="21"/>
          <w:highlight w:val="none"/>
        </w:rPr>
        <w:t xml:space="preserve">□采购过程   </w:t>
      </w:r>
    </w:p>
    <w:p w14:paraId="0372BBEA">
      <w:pPr>
        <w:pStyle w:val="17"/>
        <w:spacing w:line="360" w:lineRule="auto"/>
        <w:ind w:firstLine="308" w:firstLineChars="147"/>
        <w:contextualSpacing/>
        <w:rPr>
          <w:rFonts w:hAnsi="宋体" w:cs="宋体"/>
          <w:bCs/>
          <w:color w:val="auto"/>
          <w:sz w:val="21"/>
          <w:highlight w:val="none"/>
          <w:u w:val="single"/>
        </w:rPr>
      </w:pPr>
      <w:r>
        <w:rPr>
          <w:rFonts w:hint="eastAsia" w:hAnsi="宋体" w:cs="宋体"/>
          <w:color w:val="auto"/>
          <w:sz w:val="21"/>
          <w:highlight w:val="none"/>
        </w:rPr>
        <w:t xml:space="preserve">□成交结果   </w:t>
      </w:r>
    </w:p>
    <w:p w14:paraId="639FB8CD">
      <w:pPr>
        <w:pStyle w:val="17"/>
        <w:spacing w:line="360" w:lineRule="auto"/>
        <w:ind w:firstLine="413" w:firstLineChars="196"/>
        <w:contextualSpacing/>
        <w:rPr>
          <w:rFonts w:hAnsi="宋体" w:cs="宋体"/>
          <w:b/>
          <w:color w:val="auto"/>
          <w:sz w:val="21"/>
          <w:highlight w:val="none"/>
        </w:rPr>
      </w:pPr>
      <w:r>
        <w:rPr>
          <w:rFonts w:hint="eastAsia" w:hAnsi="宋体" w:cs="宋体"/>
          <w:b/>
          <w:color w:val="auto"/>
          <w:sz w:val="21"/>
          <w:highlight w:val="none"/>
        </w:rPr>
        <w:t>三、质疑事项具体内容</w:t>
      </w:r>
    </w:p>
    <w:p w14:paraId="0181848A">
      <w:pPr>
        <w:pStyle w:val="17"/>
        <w:spacing w:line="360" w:lineRule="auto"/>
        <w:ind w:firstLine="413" w:firstLineChars="197"/>
        <w:contextualSpacing/>
        <w:rPr>
          <w:rFonts w:hAnsi="宋体" w:cs="宋体"/>
          <w:color w:val="auto"/>
          <w:sz w:val="21"/>
          <w:highlight w:val="none"/>
        </w:rPr>
      </w:pPr>
      <w:r>
        <w:rPr>
          <w:rFonts w:hint="eastAsia" w:hAnsi="宋体" w:cs="宋体"/>
          <w:color w:val="auto"/>
          <w:sz w:val="21"/>
          <w:highlight w:val="none"/>
        </w:rPr>
        <w:t>质疑事项1：</w:t>
      </w:r>
      <w:r>
        <w:rPr>
          <w:rFonts w:hint="eastAsia" w:hAnsi="宋体" w:cs="宋体"/>
          <w:bCs/>
          <w:color w:val="auto"/>
          <w:sz w:val="21"/>
          <w:highlight w:val="none"/>
          <w:u w:val="single"/>
        </w:rPr>
        <w:t xml:space="preserve">                                                                    </w:t>
      </w:r>
    </w:p>
    <w:p w14:paraId="60C66378">
      <w:pPr>
        <w:pStyle w:val="17"/>
        <w:spacing w:line="360" w:lineRule="auto"/>
        <w:ind w:firstLine="413" w:firstLineChars="197"/>
        <w:contextualSpacing/>
        <w:rPr>
          <w:rFonts w:hAnsi="宋体" w:cs="宋体"/>
          <w:color w:val="auto"/>
          <w:sz w:val="21"/>
          <w:highlight w:val="none"/>
        </w:rPr>
      </w:pPr>
      <w:r>
        <w:rPr>
          <w:rFonts w:hint="eastAsia" w:hAnsi="宋体" w:cs="宋体"/>
          <w:color w:val="auto"/>
          <w:sz w:val="21"/>
          <w:highlight w:val="none"/>
        </w:rPr>
        <w:t>事实依据：</w:t>
      </w:r>
      <w:r>
        <w:rPr>
          <w:rFonts w:hint="eastAsia" w:hAnsi="宋体" w:cs="宋体"/>
          <w:bCs/>
          <w:color w:val="auto"/>
          <w:sz w:val="21"/>
          <w:highlight w:val="none"/>
          <w:u w:val="single"/>
        </w:rPr>
        <w:t xml:space="preserve">                                                                      </w:t>
      </w:r>
    </w:p>
    <w:p w14:paraId="35E2DB6C">
      <w:pPr>
        <w:pStyle w:val="17"/>
        <w:spacing w:line="360" w:lineRule="auto"/>
        <w:ind w:firstLine="413" w:firstLineChars="197"/>
        <w:contextualSpacing/>
        <w:rPr>
          <w:rFonts w:hAnsi="宋体" w:cs="宋体"/>
          <w:color w:val="auto"/>
          <w:sz w:val="21"/>
          <w:highlight w:val="none"/>
        </w:rPr>
      </w:pPr>
      <w:r>
        <w:rPr>
          <w:rFonts w:hint="eastAsia" w:hAnsi="宋体" w:cs="宋体"/>
          <w:color w:val="auto"/>
          <w:sz w:val="21"/>
          <w:highlight w:val="none"/>
        </w:rPr>
        <w:t>法律依据：</w:t>
      </w:r>
      <w:r>
        <w:rPr>
          <w:rFonts w:hint="eastAsia" w:hAnsi="宋体" w:cs="宋体"/>
          <w:color w:val="auto"/>
          <w:sz w:val="21"/>
          <w:highlight w:val="none"/>
          <w:u w:val="single"/>
        </w:rPr>
        <w:t xml:space="preserve">                                                        </w:t>
      </w:r>
      <w:r>
        <w:rPr>
          <w:rFonts w:hint="eastAsia" w:hAnsi="宋体" w:cs="宋体"/>
          <w:bCs/>
          <w:color w:val="auto"/>
          <w:sz w:val="21"/>
          <w:highlight w:val="none"/>
          <w:u w:val="single"/>
        </w:rPr>
        <w:t xml:space="preserve">               </w:t>
      </w:r>
    </w:p>
    <w:p w14:paraId="5B088198">
      <w:pPr>
        <w:pStyle w:val="17"/>
        <w:spacing w:line="360" w:lineRule="auto"/>
        <w:ind w:firstLine="413" w:firstLineChars="197"/>
        <w:contextualSpacing/>
        <w:rPr>
          <w:rFonts w:hAnsi="宋体" w:cs="宋体"/>
          <w:color w:val="auto"/>
          <w:sz w:val="21"/>
          <w:highlight w:val="none"/>
        </w:rPr>
      </w:pPr>
      <w:r>
        <w:rPr>
          <w:rFonts w:hint="eastAsia" w:hAnsi="宋体" w:cs="宋体"/>
          <w:color w:val="auto"/>
          <w:sz w:val="21"/>
          <w:highlight w:val="none"/>
        </w:rPr>
        <w:t>质疑事项2</w:t>
      </w:r>
    </w:p>
    <w:p w14:paraId="7060895F">
      <w:pPr>
        <w:pStyle w:val="17"/>
        <w:spacing w:line="360" w:lineRule="auto"/>
        <w:ind w:firstLine="413" w:firstLineChars="197"/>
        <w:contextualSpacing/>
        <w:rPr>
          <w:rFonts w:hAnsi="宋体" w:cs="宋体"/>
          <w:color w:val="auto"/>
          <w:sz w:val="21"/>
          <w:highlight w:val="none"/>
        </w:rPr>
      </w:pPr>
      <w:r>
        <w:rPr>
          <w:rFonts w:hint="eastAsia" w:hAnsi="宋体" w:cs="宋体"/>
          <w:color w:val="auto"/>
          <w:sz w:val="21"/>
          <w:highlight w:val="none"/>
        </w:rPr>
        <w:t>……</w:t>
      </w:r>
    </w:p>
    <w:p w14:paraId="4282E398">
      <w:pPr>
        <w:pStyle w:val="17"/>
        <w:spacing w:line="360" w:lineRule="auto"/>
        <w:ind w:firstLine="413" w:firstLineChars="197"/>
        <w:contextualSpacing/>
        <w:rPr>
          <w:rFonts w:hAnsi="宋体" w:cs="宋体"/>
          <w:color w:val="auto"/>
          <w:sz w:val="21"/>
          <w:highlight w:val="none"/>
        </w:rPr>
      </w:pPr>
      <w:r>
        <w:rPr>
          <w:rFonts w:hint="eastAsia" w:hAnsi="宋体" w:cs="宋体"/>
          <w:color w:val="auto"/>
          <w:sz w:val="21"/>
          <w:highlight w:val="none"/>
        </w:rPr>
        <w:t>四、与质疑事项相关的质疑请求：</w:t>
      </w:r>
    </w:p>
    <w:p w14:paraId="32620F38">
      <w:pPr>
        <w:pStyle w:val="17"/>
        <w:spacing w:line="360" w:lineRule="auto"/>
        <w:ind w:firstLine="413" w:firstLineChars="197"/>
        <w:contextualSpacing/>
        <w:rPr>
          <w:rFonts w:hAnsi="宋体" w:cs="宋体"/>
          <w:color w:val="auto"/>
          <w:sz w:val="21"/>
          <w:highlight w:val="none"/>
        </w:rPr>
      </w:pPr>
      <w:r>
        <w:rPr>
          <w:rFonts w:hint="eastAsia" w:hAnsi="宋体" w:cs="宋体"/>
          <w:color w:val="auto"/>
          <w:sz w:val="21"/>
          <w:highlight w:val="none"/>
        </w:rPr>
        <w:t>请求：</w:t>
      </w:r>
      <w:r>
        <w:rPr>
          <w:rFonts w:hint="eastAsia" w:hAnsi="宋体" w:cs="宋体"/>
          <w:bCs/>
          <w:color w:val="auto"/>
          <w:sz w:val="21"/>
          <w:highlight w:val="none"/>
          <w:u w:val="single"/>
        </w:rPr>
        <w:t xml:space="preserve">                                                                </w:t>
      </w:r>
    </w:p>
    <w:p w14:paraId="76EE9861">
      <w:pPr>
        <w:pStyle w:val="17"/>
        <w:spacing w:line="360" w:lineRule="auto"/>
        <w:ind w:firstLine="308" w:firstLineChars="147"/>
        <w:contextualSpacing/>
        <w:rPr>
          <w:rFonts w:hAnsi="宋体" w:cs="宋体"/>
          <w:color w:val="auto"/>
          <w:sz w:val="21"/>
          <w:highlight w:val="none"/>
        </w:rPr>
      </w:pPr>
    </w:p>
    <w:p w14:paraId="7813740A">
      <w:pPr>
        <w:pStyle w:val="17"/>
        <w:spacing w:line="360" w:lineRule="auto"/>
        <w:ind w:firstLine="413" w:firstLineChars="197"/>
        <w:contextualSpacing/>
        <w:rPr>
          <w:rFonts w:hAnsi="宋体" w:cs="宋体"/>
          <w:color w:val="auto"/>
          <w:sz w:val="21"/>
          <w:highlight w:val="none"/>
          <w:u w:val="single"/>
        </w:rPr>
      </w:pPr>
      <w:r>
        <w:rPr>
          <w:rFonts w:hint="eastAsia" w:hAnsi="宋体" w:cs="宋体"/>
          <w:color w:val="auto"/>
          <w:sz w:val="21"/>
          <w:highlight w:val="none"/>
        </w:rPr>
        <w:t>签字</w:t>
      </w:r>
      <w:r>
        <w:rPr>
          <w:rFonts w:hint="eastAsia" w:hAnsi="宋体"/>
          <w:color w:val="auto"/>
          <w:sz w:val="21"/>
          <w:highlight w:val="none"/>
        </w:rPr>
        <w:t>（或个人CA签章）</w:t>
      </w:r>
      <w:r>
        <w:rPr>
          <w:rFonts w:hint="eastAsia" w:hAnsi="宋体" w:cs="宋体"/>
          <w:color w:val="auto"/>
          <w:sz w:val="21"/>
          <w:highlight w:val="none"/>
        </w:rPr>
        <w:t>（签章）：</w:t>
      </w:r>
      <w:r>
        <w:rPr>
          <w:rFonts w:hint="eastAsia" w:hAnsi="宋体" w:cs="宋体"/>
          <w:color w:val="auto"/>
          <w:sz w:val="21"/>
          <w:highlight w:val="none"/>
          <w:u w:val="single"/>
        </w:rPr>
        <w:t xml:space="preserve">               </w:t>
      </w:r>
      <w:r>
        <w:rPr>
          <w:rFonts w:hint="eastAsia" w:hAnsi="宋体" w:cs="宋体"/>
          <w:color w:val="auto"/>
          <w:sz w:val="21"/>
          <w:highlight w:val="none"/>
        </w:rPr>
        <w:t xml:space="preserve">              公章</w:t>
      </w:r>
      <w:r>
        <w:rPr>
          <w:rFonts w:hint="eastAsia" w:hAnsi="宋体"/>
          <w:color w:val="auto"/>
          <w:sz w:val="21"/>
          <w:highlight w:val="none"/>
        </w:rPr>
        <w:t>（CA签章）</w:t>
      </w:r>
      <w:r>
        <w:rPr>
          <w:rFonts w:hint="eastAsia" w:hAnsi="宋体" w:cs="宋体"/>
          <w:color w:val="auto"/>
          <w:sz w:val="21"/>
          <w:highlight w:val="none"/>
        </w:rPr>
        <w:t>：</w:t>
      </w:r>
      <w:r>
        <w:rPr>
          <w:rFonts w:hint="eastAsia" w:hAnsi="宋体" w:cs="宋体"/>
          <w:color w:val="auto"/>
          <w:sz w:val="21"/>
          <w:highlight w:val="none"/>
          <w:u w:val="single"/>
        </w:rPr>
        <w:t xml:space="preserve">                  </w:t>
      </w:r>
    </w:p>
    <w:p w14:paraId="1D579647">
      <w:pPr>
        <w:pStyle w:val="17"/>
        <w:spacing w:line="360" w:lineRule="auto"/>
        <w:ind w:firstLine="413" w:firstLineChars="197"/>
        <w:contextualSpacing/>
        <w:rPr>
          <w:rFonts w:hAnsi="宋体" w:cs="宋体"/>
          <w:color w:val="auto"/>
          <w:sz w:val="21"/>
          <w:highlight w:val="none"/>
        </w:rPr>
      </w:pPr>
      <w:r>
        <w:rPr>
          <w:rFonts w:hint="eastAsia" w:hAnsi="宋体" w:cs="宋体"/>
          <w:color w:val="auto"/>
          <w:sz w:val="21"/>
          <w:highlight w:val="none"/>
        </w:rPr>
        <w:t>日期：</w:t>
      </w:r>
      <w:r>
        <w:rPr>
          <w:rFonts w:hint="eastAsia" w:hAnsi="宋体" w:cs="宋体"/>
          <w:color w:val="auto"/>
          <w:spacing w:val="20"/>
          <w:sz w:val="21"/>
          <w:highlight w:val="none"/>
          <w:u w:val="single"/>
        </w:rPr>
        <w:t xml:space="preserve">     </w:t>
      </w:r>
      <w:r>
        <w:rPr>
          <w:rFonts w:hint="eastAsia" w:hAnsi="宋体" w:cs="宋体"/>
          <w:color w:val="auto"/>
          <w:spacing w:val="20"/>
          <w:sz w:val="21"/>
          <w:highlight w:val="none"/>
        </w:rPr>
        <w:t>年</w:t>
      </w:r>
      <w:r>
        <w:rPr>
          <w:rFonts w:hint="eastAsia" w:hAnsi="宋体" w:cs="宋体"/>
          <w:color w:val="auto"/>
          <w:spacing w:val="20"/>
          <w:sz w:val="21"/>
          <w:highlight w:val="none"/>
          <w:u w:val="single"/>
        </w:rPr>
        <w:t xml:space="preserve">  </w:t>
      </w:r>
      <w:r>
        <w:rPr>
          <w:rFonts w:hint="eastAsia" w:hAnsi="宋体" w:cs="宋体"/>
          <w:color w:val="auto"/>
          <w:spacing w:val="20"/>
          <w:sz w:val="21"/>
          <w:highlight w:val="none"/>
        </w:rPr>
        <w:t>月</w:t>
      </w:r>
      <w:r>
        <w:rPr>
          <w:rFonts w:hint="eastAsia" w:hAnsi="宋体" w:cs="宋体"/>
          <w:color w:val="auto"/>
          <w:spacing w:val="20"/>
          <w:sz w:val="21"/>
          <w:highlight w:val="none"/>
          <w:u w:val="single"/>
        </w:rPr>
        <w:t xml:space="preserve">  </w:t>
      </w:r>
      <w:r>
        <w:rPr>
          <w:rFonts w:hint="eastAsia" w:hAnsi="宋体" w:cs="宋体"/>
          <w:color w:val="auto"/>
          <w:spacing w:val="20"/>
          <w:sz w:val="21"/>
          <w:highlight w:val="none"/>
        </w:rPr>
        <w:t>日</w:t>
      </w:r>
    </w:p>
    <w:p w14:paraId="442CD1F9">
      <w:pPr>
        <w:pStyle w:val="17"/>
        <w:spacing w:line="360" w:lineRule="auto"/>
        <w:contextualSpacing/>
        <w:rPr>
          <w:rFonts w:hAnsi="宋体" w:cs="宋体"/>
          <w:b/>
          <w:color w:val="auto"/>
          <w:sz w:val="21"/>
          <w:highlight w:val="none"/>
        </w:rPr>
      </w:pPr>
    </w:p>
    <w:p w14:paraId="06800F6F">
      <w:pPr>
        <w:pStyle w:val="17"/>
        <w:spacing w:line="360" w:lineRule="auto"/>
        <w:contextualSpacing/>
        <w:rPr>
          <w:rFonts w:hAnsi="宋体" w:cs="宋体"/>
          <w:b/>
          <w:color w:val="auto"/>
          <w:sz w:val="21"/>
          <w:highlight w:val="none"/>
        </w:rPr>
      </w:pPr>
      <w:r>
        <w:rPr>
          <w:rFonts w:hint="eastAsia" w:hAnsi="宋体" w:cs="宋体"/>
          <w:b/>
          <w:color w:val="auto"/>
          <w:sz w:val="21"/>
          <w:highlight w:val="none"/>
        </w:rPr>
        <w:t>说明：</w:t>
      </w:r>
    </w:p>
    <w:p w14:paraId="79DCBDDB">
      <w:pPr>
        <w:pStyle w:val="17"/>
        <w:spacing w:line="360" w:lineRule="auto"/>
        <w:ind w:firstLine="310" w:firstLineChars="147"/>
        <w:contextualSpacing/>
        <w:rPr>
          <w:rFonts w:hAnsi="宋体" w:cs="宋体"/>
          <w:b/>
          <w:bCs/>
          <w:color w:val="auto"/>
          <w:sz w:val="21"/>
          <w:highlight w:val="none"/>
        </w:rPr>
      </w:pPr>
      <w:r>
        <w:rPr>
          <w:rFonts w:hint="eastAsia" w:hAnsi="宋体" w:cs="宋体"/>
          <w:b/>
          <w:color w:val="auto"/>
          <w:sz w:val="21"/>
          <w:highlight w:val="none"/>
        </w:rPr>
        <w:t>1.供应商提出质疑时，应提交质疑函和必要的证明材料</w:t>
      </w:r>
      <w:r>
        <w:rPr>
          <w:rFonts w:hint="eastAsia" w:hAnsi="宋体" w:cs="宋体"/>
          <w:b/>
          <w:bCs/>
          <w:color w:val="auto"/>
          <w:sz w:val="21"/>
          <w:highlight w:val="none"/>
        </w:rPr>
        <w:t>。</w:t>
      </w:r>
    </w:p>
    <w:p w14:paraId="246C8507">
      <w:pPr>
        <w:pStyle w:val="17"/>
        <w:spacing w:line="360" w:lineRule="auto"/>
        <w:ind w:firstLine="310" w:firstLineChars="147"/>
        <w:contextualSpacing/>
        <w:rPr>
          <w:rFonts w:hAnsi="宋体" w:cs="宋体"/>
          <w:b/>
          <w:color w:val="auto"/>
          <w:sz w:val="21"/>
          <w:highlight w:val="none"/>
        </w:rPr>
      </w:pPr>
      <w:r>
        <w:rPr>
          <w:rFonts w:hint="eastAsia" w:hAnsi="宋体" w:cs="宋体"/>
          <w:b/>
          <w:color w:val="auto"/>
          <w:sz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2382ACB">
      <w:pPr>
        <w:pStyle w:val="17"/>
        <w:spacing w:line="360" w:lineRule="auto"/>
        <w:ind w:firstLine="310" w:firstLineChars="147"/>
        <w:contextualSpacing/>
        <w:rPr>
          <w:rFonts w:hAnsi="宋体" w:cs="宋体"/>
          <w:b/>
          <w:color w:val="auto"/>
          <w:sz w:val="21"/>
          <w:highlight w:val="none"/>
        </w:rPr>
      </w:pPr>
      <w:r>
        <w:rPr>
          <w:rFonts w:hint="eastAsia" w:hAnsi="宋体" w:cs="宋体"/>
          <w:b/>
          <w:color w:val="auto"/>
          <w:sz w:val="21"/>
          <w:highlight w:val="none"/>
        </w:rPr>
        <w:t>3.质疑函的质疑事项应具体、明确，并有必要的事实依据和法律依据。</w:t>
      </w:r>
    </w:p>
    <w:p w14:paraId="6FCE91FF">
      <w:pPr>
        <w:pStyle w:val="17"/>
        <w:spacing w:line="360" w:lineRule="auto"/>
        <w:ind w:firstLine="310" w:firstLineChars="147"/>
        <w:contextualSpacing/>
        <w:rPr>
          <w:rFonts w:hAnsi="宋体" w:cs="宋体"/>
          <w:b/>
          <w:color w:val="auto"/>
          <w:sz w:val="21"/>
          <w:highlight w:val="none"/>
        </w:rPr>
      </w:pPr>
      <w:r>
        <w:rPr>
          <w:rFonts w:hint="eastAsia" w:hAnsi="宋体" w:cs="宋体"/>
          <w:b/>
          <w:color w:val="auto"/>
          <w:sz w:val="21"/>
          <w:highlight w:val="none"/>
        </w:rPr>
        <w:t>4.质疑函的质疑请求应与质疑事项相关。</w:t>
      </w:r>
    </w:p>
    <w:p w14:paraId="62C3E556">
      <w:pPr>
        <w:pStyle w:val="17"/>
        <w:spacing w:line="360" w:lineRule="auto"/>
        <w:ind w:firstLine="310" w:firstLineChars="147"/>
        <w:contextualSpacing/>
        <w:rPr>
          <w:rFonts w:hAnsi="宋体" w:cs="宋体"/>
          <w:b/>
          <w:color w:val="auto"/>
          <w:sz w:val="21"/>
          <w:highlight w:val="none"/>
        </w:rPr>
      </w:pPr>
      <w:r>
        <w:rPr>
          <w:rFonts w:hint="eastAsia" w:hAnsi="宋体" w:cs="宋体"/>
          <w:b/>
          <w:color w:val="auto"/>
          <w:sz w:val="21"/>
          <w:highlight w:val="none"/>
        </w:rPr>
        <w:t>5.质疑供应商为法人或者其他组织的，质疑函应由法定代表人、主要负责人，或者其授权代表签字</w:t>
      </w:r>
      <w:r>
        <w:rPr>
          <w:rFonts w:hint="eastAsia" w:hAnsi="宋体"/>
          <w:b/>
          <w:color w:val="auto"/>
          <w:sz w:val="21"/>
          <w:highlight w:val="none"/>
        </w:rPr>
        <w:t>（或个人CA签章）</w:t>
      </w:r>
      <w:r>
        <w:rPr>
          <w:rFonts w:hint="eastAsia" w:hAnsi="宋体" w:cs="宋体"/>
          <w:b/>
          <w:color w:val="auto"/>
          <w:sz w:val="21"/>
          <w:highlight w:val="none"/>
        </w:rPr>
        <w:t>或者盖章，并加盖公章</w:t>
      </w:r>
      <w:r>
        <w:rPr>
          <w:rFonts w:hint="eastAsia" w:hAnsi="宋体"/>
          <w:b/>
          <w:color w:val="auto"/>
          <w:sz w:val="21"/>
          <w:highlight w:val="none"/>
        </w:rPr>
        <w:t>（CA签章）</w:t>
      </w:r>
      <w:r>
        <w:rPr>
          <w:rFonts w:hint="eastAsia" w:hAnsi="宋体" w:cs="宋体"/>
          <w:b/>
          <w:color w:val="auto"/>
          <w:sz w:val="21"/>
          <w:highlight w:val="none"/>
        </w:rPr>
        <w:t>。</w:t>
      </w:r>
    </w:p>
    <w:p w14:paraId="1041FE45">
      <w:pPr>
        <w:pStyle w:val="17"/>
        <w:snapToGrid w:val="0"/>
        <w:spacing w:line="360" w:lineRule="auto"/>
        <w:rPr>
          <w:rFonts w:hAnsi="宋体" w:cs="宋体"/>
          <w:b/>
          <w:color w:val="auto"/>
          <w:sz w:val="24"/>
          <w:szCs w:val="24"/>
          <w:highlight w:val="none"/>
        </w:rPr>
      </w:pPr>
    </w:p>
    <w:p w14:paraId="4EC4515E">
      <w:pPr>
        <w:spacing w:line="360" w:lineRule="auto"/>
        <w:rPr>
          <w:rFonts w:ascii="宋体" w:hAnsi="宋体" w:cs="宋体"/>
          <w:color w:val="auto"/>
          <w:highlight w:val="none"/>
        </w:rPr>
      </w:pPr>
      <w:r>
        <w:rPr>
          <w:rFonts w:hint="eastAsia" w:ascii="宋体" w:hAnsi="宋体" w:cs="宋体"/>
          <w:color w:val="auto"/>
          <w:highlight w:val="none"/>
        </w:rPr>
        <w:br w:type="page"/>
      </w:r>
    </w:p>
    <w:p w14:paraId="5C7254BE">
      <w:pPr>
        <w:spacing w:line="360" w:lineRule="auto"/>
        <w:jc w:val="center"/>
        <w:rPr>
          <w:rFonts w:ascii="宋体" w:hAnsi="宋体" w:cs="宋体"/>
          <w:color w:val="auto"/>
          <w:sz w:val="44"/>
          <w:szCs w:val="44"/>
          <w:highlight w:val="none"/>
        </w:rPr>
      </w:pPr>
      <w:r>
        <w:rPr>
          <w:rFonts w:hint="eastAsia" w:ascii="宋体" w:hAnsi="宋体" w:cs="宋体"/>
          <w:b/>
          <w:color w:val="auto"/>
          <w:sz w:val="44"/>
          <w:szCs w:val="44"/>
          <w:highlight w:val="none"/>
        </w:rPr>
        <w:t>投诉书</w:t>
      </w:r>
      <w:r>
        <w:rPr>
          <w:rFonts w:hint="eastAsia" w:ascii="宋体" w:hAnsi="宋体" w:cs="宋体"/>
          <w:color w:val="auto"/>
          <w:sz w:val="28"/>
          <w:szCs w:val="28"/>
          <w:highlight w:val="none"/>
        </w:rPr>
        <w:t>（格式）</w:t>
      </w:r>
    </w:p>
    <w:p w14:paraId="2929F5CF">
      <w:pPr>
        <w:pStyle w:val="17"/>
        <w:snapToGrid w:val="0"/>
        <w:spacing w:line="360" w:lineRule="auto"/>
        <w:ind w:firstLine="422" w:firstLineChars="200"/>
        <w:rPr>
          <w:rFonts w:hAnsi="宋体" w:cs="宋体"/>
          <w:b/>
          <w:bCs/>
          <w:color w:val="auto"/>
          <w:sz w:val="21"/>
          <w:highlight w:val="none"/>
        </w:rPr>
      </w:pPr>
      <w:r>
        <w:rPr>
          <w:rFonts w:hint="eastAsia" w:hAnsi="宋体" w:cs="宋体"/>
          <w:b/>
          <w:bCs/>
          <w:color w:val="auto"/>
          <w:sz w:val="21"/>
          <w:highlight w:val="none"/>
        </w:rPr>
        <w:t>一、投诉相关主体基本情况：</w:t>
      </w:r>
    </w:p>
    <w:p w14:paraId="49C7D88C">
      <w:pPr>
        <w:pStyle w:val="17"/>
        <w:snapToGrid w:val="0"/>
        <w:spacing w:line="360" w:lineRule="auto"/>
        <w:ind w:firstLine="420" w:firstLineChars="200"/>
        <w:rPr>
          <w:rFonts w:hAnsi="宋体" w:cs="宋体"/>
          <w:bCs/>
          <w:color w:val="auto"/>
          <w:sz w:val="21"/>
          <w:highlight w:val="none"/>
          <w:u w:val="single"/>
        </w:rPr>
      </w:pPr>
      <w:r>
        <w:rPr>
          <w:rFonts w:hint="eastAsia" w:hAnsi="宋体" w:cs="宋体"/>
          <w:bCs/>
          <w:color w:val="auto"/>
          <w:sz w:val="21"/>
          <w:highlight w:val="none"/>
        </w:rPr>
        <w:t>供应商：</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12CB3E3E">
      <w:pPr>
        <w:pStyle w:val="17"/>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1A1F79A9">
      <w:pPr>
        <w:pStyle w:val="17"/>
        <w:snapToGrid w:val="0"/>
        <w:spacing w:line="360" w:lineRule="auto"/>
        <w:ind w:firstLine="420" w:firstLineChars="200"/>
        <w:rPr>
          <w:rFonts w:hAnsi="宋体" w:cs="宋体"/>
          <w:bCs/>
          <w:color w:val="auto"/>
          <w:sz w:val="21"/>
          <w:highlight w:val="none"/>
          <w:u w:val="single"/>
        </w:rPr>
      </w:pPr>
      <w:r>
        <w:rPr>
          <w:rFonts w:hint="eastAsia" w:hAnsi="宋体" w:cs="宋体"/>
          <w:bCs/>
          <w:color w:val="auto"/>
          <w:sz w:val="21"/>
          <w:highlight w:val="none"/>
        </w:rPr>
        <w:t>法定代表人/主要负责人：</w:t>
      </w:r>
      <w:r>
        <w:rPr>
          <w:rFonts w:hint="eastAsia" w:hAnsi="宋体" w:cs="宋体"/>
          <w:bCs/>
          <w:color w:val="auto"/>
          <w:sz w:val="21"/>
          <w:highlight w:val="none"/>
          <w:u w:val="single"/>
        </w:rPr>
        <w:t xml:space="preserve">                                                         </w:t>
      </w:r>
    </w:p>
    <w:p w14:paraId="448B1785">
      <w:pPr>
        <w:pStyle w:val="17"/>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27121BF7">
      <w:pPr>
        <w:pStyle w:val="17"/>
        <w:snapToGrid w:val="0"/>
        <w:spacing w:line="360" w:lineRule="auto"/>
        <w:ind w:firstLine="420" w:firstLineChars="200"/>
        <w:rPr>
          <w:rFonts w:hAnsi="宋体" w:cs="宋体"/>
          <w:bCs/>
          <w:color w:val="auto"/>
          <w:sz w:val="21"/>
          <w:highlight w:val="none"/>
          <w:u w:val="single"/>
        </w:rPr>
      </w:pPr>
      <w:r>
        <w:rPr>
          <w:rFonts w:hint="eastAsia" w:hAnsi="宋体" w:cs="宋体"/>
          <w:bCs/>
          <w:color w:val="auto"/>
          <w:sz w:val="21"/>
          <w:highlight w:val="none"/>
        </w:rPr>
        <w:t>授权代表：</w:t>
      </w:r>
      <w:r>
        <w:rPr>
          <w:rFonts w:hint="eastAsia" w:hAnsi="宋体" w:cs="宋体"/>
          <w:bCs/>
          <w:color w:val="auto"/>
          <w:sz w:val="21"/>
          <w:highlight w:val="none"/>
          <w:u w:val="single"/>
        </w:rPr>
        <w:t xml:space="preserve">                                         </w:t>
      </w: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7CC7939D">
      <w:pPr>
        <w:pStyle w:val="17"/>
        <w:snapToGrid w:val="0"/>
        <w:spacing w:line="360" w:lineRule="auto"/>
        <w:ind w:firstLine="420" w:firstLineChars="200"/>
        <w:rPr>
          <w:rFonts w:hAnsi="宋体" w:cs="宋体"/>
          <w:bCs/>
          <w:color w:val="auto"/>
          <w:sz w:val="21"/>
          <w:highlight w:val="none"/>
          <w:u w:val="singl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p>
    <w:p w14:paraId="0F76F9C8">
      <w:pPr>
        <w:pStyle w:val="17"/>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625917FD">
      <w:pPr>
        <w:pStyle w:val="17"/>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被投诉人1：</w:t>
      </w:r>
    </w:p>
    <w:p w14:paraId="0EFA36CE">
      <w:pPr>
        <w:pStyle w:val="17"/>
        <w:snapToGrid w:val="0"/>
        <w:spacing w:line="360" w:lineRule="auto"/>
        <w:ind w:firstLine="420" w:firstLineChars="200"/>
        <w:rPr>
          <w:rFonts w:hAnsi="宋体" w:cs="宋体"/>
          <w:bCs/>
          <w:color w:val="auto"/>
          <w:sz w:val="21"/>
          <w:highlight w:val="none"/>
          <w:u w:val="singl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p>
    <w:p w14:paraId="301533E9">
      <w:pPr>
        <w:pStyle w:val="17"/>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38753887">
      <w:pPr>
        <w:pStyle w:val="17"/>
        <w:snapToGrid w:val="0"/>
        <w:spacing w:line="360" w:lineRule="auto"/>
        <w:ind w:firstLine="420" w:firstLineChars="200"/>
        <w:rPr>
          <w:rFonts w:hAnsi="宋体" w:cs="宋体"/>
          <w:bCs/>
          <w:color w:val="auto"/>
          <w:sz w:val="21"/>
          <w:highlight w:val="none"/>
          <w:u w:val="single"/>
        </w:rPr>
      </w:pPr>
      <w:r>
        <w:rPr>
          <w:rFonts w:hint="eastAsia" w:hAnsi="宋体" w:cs="宋体"/>
          <w:bCs/>
          <w:color w:val="auto"/>
          <w:sz w:val="21"/>
          <w:highlight w:val="none"/>
        </w:rPr>
        <w:t>联系人：</w:t>
      </w:r>
      <w:r>
        <w:rPr>
          <w:rFonts w:hint="eastAsia" w:hAnsi="宋体" w:cs="宋体"/>
          <w:bCs/>
          <w:color w:val="auto"/>
          <w:sz w:val="21"/>
          <w:highlight w:val="none"/>
          <w:u w:val="single"/>
        </w:rPr>
        <w:t xml:space="preserve">                                                </w:t>
      </w: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04066671">
      <w:pPr>
        <w:pStyle w:val="17"/>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被投诉人2：</w:t>
      </w:r>
    </w:p>
    <w:p w14:paraId="0494B6E6">
      <w:pPr>
        <w:pStyle w:val="17"/>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w:t>
      </w:r>
    </w:p>
    <w:p w14:paraId="583951B9">
      <w:pPr>
        <w:pStyle w:val="17"/>
        <w:snapToGrid w:val="0"/>
        <w:spacing w:line="360" w:lineRule="auto"/>
        <w:ind w:firstLine="420" w:firstLineChars="200"/>
        <w:rPr>
          <w:rFonts w:hAnsi="宋体" w:cs="宋体"/>
          <w:bCs/>
          <w:color w:val="auto"/>
          <w:sz w:val="21"/>
          <w:highlight w:val="none"/>
          <w:u w:val="single"/>
        </w:rPr>
      </w:pPr>
      <w:r>
        <w:rPr>
          <w:rFonts w:hint="eastAsia" w:hAnsi="宋体" w:cs="宋体"/>
          <w:bCs/>
          <w:color w:val="auto"/>
          <w:sz w:val="21"/>
          <w:highlight w:val="none"/>
        </w:rPr>
        <w:t>相关供应商：</w:t>
      </w:r>
      <w:r>
        <w:rPr>
          <w:rFonts w:hint="eastAsia" w:hAnsi="宋体" w:cs="宋体"/>
          <w:bCs/>
          <w:color w:val="auto"/>
          <w:sz w:val="21"/>
          <w:highlight w:val="none"/>
          <w:u w:val="single"/>
        </w:rPr>
        <w:t xml:space="preserve">                                                                       </w:t>
      </w:r>
    </w:p>
    <w:p w14:paraId="2A00FA94">
      <w:pPr>
        <w:pStyle w:val="17"/>
        <w:snapToGrid w:val="0"/>
        <w:spacing w:line="360" w:lineRule="auto"/>
        <w:ind w:firstLine="420" w:firstLineChars="200"/>
        <w:rPr>
          <w:rFonts w:hAnsi="宋体" w:cs="宋体"/>
          <w:bCs/>
          <w:color w:val="auto"/>
          <w:sz w:val="21"/>
          <w:highlight w:val="none"/>
          <w:u w:val="singl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r>
        <w:rPr>
          <w:rFonts w:hint="eastAsia" w:hAnsi="宋体" w:cs="宋体"/>
          <w:bCs/>
          <w:color w:val="auto"/>
          <w:sz w:val="21"/>
          <w:highlight w:val="none"/>
        </w:rPr>
        <w:t>邮编：</w:t>
      </w:r>
      <w:r>
        <w:rPr>
          <w:rFonts w:hint="eastAsia" w:hAnsi="宋体" w:cs="宋体"/>
          <w:bCs/>
          <w:color w:val="auto"/>
          <w:sz w:val="21"/>
          <w:highlight w:val="none"/>
          <w:u w:val="single"/>
        </w:rPr>
        <w:t xml:space="preserve">                         </w:t>
      </w:r>
    </w:p>
    <w:p w14:paraId="0299C77A">
      <w:pPr>
        <w:pStyle w:val="17"/>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联系人：</w:t>
      </w:r>
      <w:r>
        <w:rPr>
          <w:rFonts w:hint="eastAsia" w:hAnsi="宋体" w:cs="宋体"/>
          <w:bCs/>
          <w:color w:val="auto"/>
          <w:sz w:val="21"/>
          <w:highlight w:val="none"/>
          <w:u w:val="single"/>
        </w:rPr>
        <w:t xml:space="preserve">                                            </w:t>
      </w: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60864047">
      <w:pPr>
        <w:pStyle w:val="17"/>
        <w:snapToGrid w:val="0"/>
        <w:spacing w:line="360" w:lineRule="auto"/>
        <w:ind w:firstLine="422" w:firstLineChars="200"/>
        <w:rPr>
          <w:rFonts w:hAnsi="宋体" w:cs="宋体"/>
          <w:b/>
          <w:bCs/>
          <w:color w:val="auto"/>
          <w:sz w:val="21"/>
          <w:highlight w:val="none"/>
        </w:rPr>
      </w:pPr>
      <w:r>
        <w:rPr>
          <w:rFonts w:hint="eastAsia" w:hAnsi="宋体" w:cs="宋体"/>
          <w:b/>
          <w:bCs/>
          <w:color w:val="auto"/>
          <w:sz w:val="21"/>
          <w:highlight w:val="none"/>
        </w:rPr>
        <w:t>二、投诉项目基本情况：</w:t>
      </w:r>
    </w:p>
    <w:p w14:paraId="195CBD0A">
      <w:pPr>
        <w:pStyle w:val="17"/>
        <w:spacing w:line="360" w:lineRule="auto"/>
        <w:ind w:firstLine="413" w:firstLineChars="197"/>
        <w:rPr>
          <w:rFonts w:hAnsi="宋体" w:cs="宋体"/>
          <w:color w:val="auto"/>
          <w:sz w:val="21"/>
          <w:highlight w:val="none"/>
        </w:rPr>
      </w:pPr>
      <w:r>
        <w:rPr>
          <w:rFonts w:hint="eastAsia" w:hAnsi="宋体" w:cs="宋体"/>
          <w:bCs/>
          <w:color w:val="auto"/>
          <w:sz w:val="21"/>
          <w:highlight w:val="none"/>
        </w:rPr>
        <w:t>采购</w:t>
      </w:r>
      <w:r>
        <w:rPr>
          <w:rFonts w:hint="eastAsia" w:hAnsi="宋体" w:cs="宋体"/>
          <w:color w:val="auto"/>
          <w:sz w:val="21"/>
          <w:highlight w:val="none"/>
        </w:rPr>
        <w:t>项目的名称：</w:t>
      </w:r>
      <w:r>
        <w:rPr>
          <w:rFonts w:hint="eastAsia" w:hAnsi="宋体" w:cs="宋体"/>
          <w:bCs/>
          <w:color w:val="auto"/>
          <w:sz w:val="21"/>
          <w:highlight w:val="none"/>
          <w:u w:val="single"/>
        </w:rPr>
        <w:t xml:space="preserve">                                                                   </w:t>
      </w:r>
    </w:p>
    <w:p w14:paraId="15CCD990">
      <w:pPr>
        <w:pStyle w:val="17"/>
        <w:spacing w:line="360" w:lineRule="auto"/>
        <w:ind w:firstLine="413" w:firstLineChars="197"/>
        <w:rPr>
          <w:rFonts w:hAnsi="宋体" w:cs="宋体"/>
          <w:color w:val="auto"/>
          <w:sz w:val="21"/>
          <w:highlight w:val="none"/>
        </w:rPr>
      </w:pPr>
      <w:r>
        <w:rPr>
          <w:rFonts w:hint="eastAsia" w:hAnsi="宋体" w:cs="宋体"/>
          <w:bCs/>
          <w:color w:val="auto"/>
          <w:sz w:val="21"/>
          <w:highlight w:val="none"/>
        </w:rPr>
        <w:t>采购</w:t>
      </w:r>
      <w:r>
        <w:rPr>
          <w:rFonts w:hint="eastAsia" w:hAnsi="宋体" w:cs="宋体"/>
          <w:color w:val="auto"/>
          <w:sz w:val="21"/>
          <w:highlight w:val="none"/>
        </w:rPr>
        <w:t>项目的编号：</w:t>
      </w:r>
      <w:r>
        <w:rPr>
          <w:rFonts w:hint="eastAsia" w:hAnsi="宋体" w:cs="宋体"/>
          <w:bCs/>
          <w:color w:val="auto"/>
          <w:sz w:val="21"/>
          <w:highlight w:val="none"/>
          <w:u w:val="single"/>
        </w:rPr>
        <w:t xml:space="preserve">                                          </w:t>
      </w:r>
    </w:p>
    <w:p w14:paraId="6EC3343D">
      <w:pPr>
        <w:pStyle w:val="17"/>
        <w:spacing w:line="360" w:lineRule="auto"/>
        <w:ind w:firstLine="413" w:firstLineChars="197"/>
        <w:rPr>
          <w:rFonts w:hAnsi="宋体" w:cs="宋体"/>
          <w:bCs/>
          <w:color w:val="auto"/>
          <w:sz w:val="21"/>
          <w:highlight w:val="none"/>
          <w:u w:val="single"/>
        </w:rPr>
      </w:pPr>
      <w:r>
        <w:rPr>
          <w:rFonts w:hint="eastAsia" w:hAnsi="宋体" w:cs="宋体"/>
          <w:color w:val="auto"/>
          <w:sz w:val="21"/>
          <w:highlight w:val="none"/>
        </w:rPr>
        <w:t>采购人名称：</w:t>
      </w:r>
      <w:r>
        <w:rPr>
          <w:rFonts w:hint="eastAsia" w:hAnsi="宋体" w:cs="宋体"/>
          <w:bCs/>
          <w:color w:val="auto"/>
          <w:sz w:val="21"/>
          <w:highlight w:val="none"/>
          <w:u w:val="single"/>
        </w:rPr>
        <w:t xml:space="preserve">                                                                        </w:t>
      </w:r>
    </w:p>
    <w:p w14:paraId="51B7FA93">
      <w:pPr>
        <w:pStyle w:val="17"/>
        <w:spacing w:line="360" w:lineRule="auto"/>
        <w:ind w:firstLine="413" w:firstLineChars="197"/>
        <w:rPr>
          <w:rFonts w:hAnsi="宋体" w:cs="宋体"/>
          <w:bCs/>
          <w:color w:val="auto"/>
          <w:sz w:val="21"/>
          <w:highlight w:val="none"/>
          <w:u w:val="single"/>
        </w:rPr>
      </w:pPr>
      <w:r>
        <w:rPr>
          <w:rFonts w:hint="eastAsia" w:hAnsi="宋体" w:cs="宋体"/>
          <w:color w:val="auto"/>
          <w:sz w:val="21"/>
          <w:highlight w:val="none"/>
        </w:rPr>
        <w:t>代理机构名称：</w:t>
      </w:r>
      <w:r>
        <w:rPr>
          <w:rFonts w:hint="eastAsia" w:hAnsi="宋体" w:cs="宋体"/>
          <w:bCs/>
          <w:color w:val="auto"/>
          <w:sz w:val="21"/>
          <w:highlight w:val="none"/>
          <w:u w:val="single"/>
        </w:rPr>
        <w:t xml:space="preserve">                                                                      </w:t>
      </w:r>
    </w:p>
    <w:p w14:paraId="1A14C155">
      <w:pPr>
        <w:pStyle w:val="17"/>
        <w:spacing w:line="360" w:lineRule="auto"/>
        <w:ind w:firstLine="413" w:firstLineChars="197"/>
        <w:rPr>
          <w:rFonts w:hAnsi="宋体" w:cs="宋体"/>
          <w:bCs/>
          <w:color w:val="auto"/>
          <w:sz w:val="21"/>
          <w:highlight w:val="none"/>
          <w:u w:val="single"/>
        </w:rPr>
      </w:pPr>
      <w:r>
        <w:rPr>
          <w:rFonts w:hint="eastAsia" w:hAnsi="宋体" w:cs="宋体"/>
          <w:bCs/>
          <w:color w:val="auto"/>
          <w:sz w:val="21"/>
          <w:highlight w:val="none"/>
        </w:rPr>
        <w:t>采购文件公告：</w:t>
      </w:r>
      <w:r>
        <w:rPr>
          <w:rFonts w:hint="eastAsia" w:hAnsi="宋体" w:cs="宋体"/>
          <w:bCs/>
          <w:color w:val="auto"/>
          <w:sz w:val="21"/>
          <w:highlight w:val="none"/>
          <w:u w:val="single"/>
        </w:rPr>
        <w:t>是/否</w:t>
      </w:r>
      <w:r>
        <w:rPr>
          <w:rFonts w:hint="eastAsia" w:hAnsi="宋体" w:cs="宋体"/>
          <w:bCs/>
          <w:color w:val="auto"/>
          <w:sz w:val="21"/>
          <w:highlight w:val="none"/>
        </w:rPr>
        <w:t>公告期限：</w:t>
      </w:r>
      <w:r>
        <w:rPr>
          <w:rFonts w:hint="eastAsia" w:hAnsi="宋体" w:cs="宋体"/>
          <w:bCs/>
          <w:color w:val="auto"/>
          <w:sz w:val="21"/>
          <w:highlight w:val="none"/>
          <w:u w:val="single"/>
        </w:rPr>
        <w:t xml:space="preserve">                                                       </w:t>
      </w:r>
    </w:p>
    <w:p w14:paraId="29498AE2">
      <w:pPr>
        <w:pStyle w:val="17"/>
        <w:spacing w:line="360" w:lineRule="auto"/>
        <w:ind w:firstLine="413" w:firstLineChars="197"/>
        <w:rPr>
          <w:rFonts w:hAnsi="宋体" w:cs="宋体"/>
          <w:b/>
          <w:color w:val="auto"/>
          <w:sz w:val="21"/>
          <w:highlight w:val="none"/>
        </w:rPr>
      </w:pPr>
      <w:r>
        <w:rPr>
          <w:rFonts w:hint="eastAsia" w:hAnsi="宋体" w:cs="宋体"/>
          <w:bCs/>
          <w:color w:val="auto"/>
          <w:sz w:val="21"/>
          <w:highlight w:val="none"/>
        </w:rPr>
        <w:t>采购结果公告：</w:t>
      </w:r>
      <w:r>
        <w:rPr>
          <w:rFonts w:hint="eastAsia" w:hAnsi="宋体" w:cs="宋体"/>
          <w:bCs/>
          <w:color w:val="auto"/>
          <w:sz w:val="21"/>
          <w:highlight w:val="none"/>
          <w:u w:val="single"/>
        </w:rPr>
        <w:t>是/否</w:t>
      </w:r>
      <w:r>
        <w:rPr>
          <w:rFonts w:hint="eastAsia" w:hAnsi="宋体" w:cs="宋体"/>
          <w:bCs/>
          <w:color w:val="auto"/>
          <w:sz w:val="21"/>
          <w:highlight w:val="none"/>
        </w:rPr>
        <w:t>公告期限：</w:t>
      </w:r>
      <w:r>
        <w:rPr>
          <w:rFonts w:hint="eastAsia" w:hAnsi="宋体" w:cs="宋体"/>
          <w:bCs/>
          <w:color w:val="auto"/>
          <w:sz w:val="21"/>
          <w:highlight w:val="none"/>
          <w:u w:val="single"/>
        </w:rPr>
        <w:t xml:space="preserve">                                                       </w:t>
      </w:r>
    </w:p>
    <w:p w14:paraId="0561D201">
      <w:pPr>
        <w:pStyle w:val="17"/>
        <w:spacing w:line="360" w:lineRule="auto"/>
        <w:ind w:firstLine="413" w:firstLineChars="196"/>
        <w:rPr>
          <w:rFonts w:hAnsi="宋体" w:cs="宋体"/>
          <w:b/>
          <w:color w:val="auto"/>
          <w:sz w:val="21"/>
          <w:highlight w:val="none"/>
        </w:rPr>
      </w:pPr>
      <w:r>
        <w:rPr>
          <w:rFonts w:hint="eastAsia" w:hAnsi="宋体" w:cs="宋体"/>
          <w:b/>
          <w:color w:val="auto"/>
          <w:sz w:val="21"/>
          <w:highlight w:val="none"/>
        </w:rPr>
        <w:t>三、质疑基本情况</w:t>
      </w:r>
    </w:p>
    <w:p w14:paraId="14C211EF">
      <w:pPr>
        <w:pStyle w:val="17"/>
        <w:spacing w:line="360" w:lineRule="auto"/>
        <w:ind w:left="479" w:leftChars="228" w:firstLine="52" w:firstLineChars="25"/>
        <w:rPr>
          <w:rFonts w:hAnsi="宋体" w:cs="宋体"/>
          <w:color w:val="auto"/>
          <w:sz w:val="21"/>
          <w:highlight w:val="none"/>
        </w:rPr>
      </w:pPr>
      <w:r>
        <w:rPr>
          <w:rFonts w:hint="eastAsia" w:hAnsi="宋体" w:cs="宋体"/>
          <w:color w:val="auto"/>
          <w:sz w:val="21"/>
          <w:highlight w:val="none"/>
        </w:rPr>
        <w:t>投诉人于</w:t>
      </w:r>
      <w:r>
        <w:rPr>
          <w:rFonts w:hint="eastAsia" w:hAnsi="宋体" w:cs="宋体"/>
          <w:color w:val="auto"/>
          <w:sz w:val="21"/>
          <w:highlight w:val="none"/>
          <w:u w:val="single"/>
        </w:rPr>
        <w:t xml:space="preserve">      </w:t>
      </w:r>
      <w:r>
        <w:rPr>
          <w:rFonts w:hint="eastAsia" w:hAnsi="宋体" w:cs="宋体"/>
          <w:color w:val="auto"/>
          <w:sz w:val="21"/>
          <w:highlight w:val="none"/>
        </w:rPr>
        <w:t>年</w:t>
      </w:r>
      <w:r>
        <w:rPr>
          <w:rFonts w:hint="eastAsia" w:hAnsi="宋体" w:cs="宋体"/>
          <w:color w:val="auto"/>
          <w:sz w:val="21"/>
          <w:highlight w:val="none"/>
          <w:u w:val="single"/>
        </w:rPr>
        <w:t xml:space="preserve">   </w:t>
      </w:r>
      <w:r>
        <w:rPr>
          <w:rFonts w:hint="eastAsia" w:hAnsi="宋体" w:cs="宋体"/>
          <w:color w:val="auto"/>
          <w:sz w:val="21"/>
          <w:highlight w:val="none"/>
        </w:rPr>
        <w:t>月</w:t>
      </w:r>
      <w:r>
        <w:rPr>
          <w:rFonts w:hint="eastAsia" w:hAnsi="宋体" w:cs="宋体"/>
          <w:color w:val="auto"/>
          <w:sz w:val="21"/>
          <w:highlight w:val="none"/>
          <w:u w:val="single"/>
        </w:rPr>
        <w:t xml:space="preserve">   </w:t>
      </w:r>
      <w:r>
        <w:rPr>
          <w:rFonts w:hint="eastAsia" w:hAnsi="宋体" w:cs="宋体"/>
          <w:color w:val="auto"/>
          <w:sz w:val="21"/>
          <w:highlight w:val="none"/>
        </w:rPr>
        <w:t>日，向</w:t>
      </w:r>
      <w:r>
        <w:rPr>
          <w:rFonts w:hint="eastAsia" w:hAnsi="宋体" w:cs="宋体"/>
          <w:color w:val="auto"/>
          <w:sz w:val="21"/>
          <w:highlight w:val="none"/>
          <w:u w:val="single"/>
        </w:rPr>
        <w:t xml:space="preserve">                                </w:t>
      </w:r>
      <w:r>
        <w:rPr>
          <w:rFonts w:hint="eastAsia" w:hAnsi="宋体" w:cs="宋体"/>
          <w:color w:val="auto"/>
          <w:sz w:val="21"/>
          <w:highlight w:val="none"/>
        </w:rPr>
        <w:t>提出质疑，质疑事项为：</w:t>
      </w:r>
    </w:p>
    <w:p w14:paraId="7436BFAF">
      <w:pPr>
        <w:pStyle w:val="17"/>
        <w:spacing w:line="360" w:lineRule="auto"/>
        <w:ind w:firstLine="472" w:firstLineChars="225"/>
        <w:rPr>
          <w:rFonts w:hAnsi="宋体" w:cs="宋体"/>
          <w:bCs/>
          <w:color w:val="auto"/>
          <w:sz w:val="21"/>
          <w:highlight w:val="none"/>
          <w:u w:val="single"/>
        </w:rPr>
      </w:pPr>
      <w:r>
        <w:rPr>
          <w:rFonts w:hint="eastAsia" w:hAnsi="宋体" w:cs="宋体"/>
          <w:color w:val="auto"/>
          <w:sz w:val="21"/>
          <w:highlight w:val="none"/>
        </w:rPr>
        <w:t xml:space="preserve">    </w:t>
      </w:r>
      <w:r>
        <w:rPr>
          <w:rFonts w:hint="eastAsia" w:hAnsi="宋体" w:cs="宋体"/>
          <w:bCs/>
          <w:color w:val="auto"/>
          <w:sz w:val="21"/>
          <w:highlight w:val="none"/>
          <w:u w:val="single"/>
        </w:rPr>
        <w:t xml:space="preserve">                                                                                      </w:t>
      </w:r>
    </w:p>
    <w:p w14:paraId="73648FD0">
      <w:pPr>
        <w:pStyle w:val="17"/>
        <w:spacing w:line="360" w:lineRule="auto"/>
        <w:ind w:firstLine="472" w:firstLineChars="225"/>
        <w:rPr>
          <w:rFonts w:hAnsi="宋体" w:cs="宋体"/>
          <w:bCs/>
          <w:color w:val="auto"/>
          <w:sz w:val="21"/>
          <w:highlight w:val="none"/>
          <w:u w:val="single"/>
        </w:rPr>
      </w:pPr>
      <w:r>
        <w:rPr>
          <w:rFonts w:hint="eastAsia" w:hAnsi="宋体" w:cs="宋体"/>
          <w:bCs/>
          <w:color w:val="auto"/>
          <w:sz w:val="21"/>
          <w:highlight w:val="none"/>
        </w:rPr>
        <w:t xml:space="preserve">    </w:t>
      </w:r>
      <w:r>
        <w:rPr>
          <w:rFonts w:hint="eastAsia" w:hAnsi="宋体" w:cs="宋体"/>
          <w:bCs/>
          <w:color w:val="auto"/>
          <w:sz w:val="21"/>
          <w:highlight w:val="none"/>
          <w:u w:val="single"/>
        </w:rPr>
        <w:t xml:space="preserve">                                                                                      </w:t>
      </w:r>
    </w:p>
    <w:p w14:paraId="73EE067C">
      <w:pPr>
        <w:pStyle w:val="17"/>
        <w:spacing w:line="360" w:lineRule="auto"/>
        <w:ind w:firstLine="472" w:firstLineChars="225"/>
        <w:rPr>
          <w:rFonts w:hAnsi="宋体" w:cs="宋体"/>
          <w:color w:val="auto"/>
          <w:sz w:val="21"/>
          <w:highlight w:val="none"/>
        </w:rPr>
      </w:pPr>
      <w:r>
        <w:rPr>
          <w:rFonts w:hint="eastAsia" w:hAnsi="宋体" w:cs="宋体"/>
          <w:bCs/>
          <w:color w:val="auto"/>
          <w:sz w:val="21"/>
          <w:highlight w:val="none"/>
          <w:u w:val="single"/>
        </w:rPr>
        <w:t>采购人/代理机构</w:t>
      </w:r>
      <w:r>
        <w:rPr>
          <w:rFonts w:hint="eastAsia" w:hAnsi="宋体" w:cs="宋体"/>
          <w:bCs/>
          <w:color w:val="auto"/>
          <w:sz w:val="21"/>
          <w:highlight w:val="none"/>
        </w:rPr>
        <w:t>于</w:t>
      </w:r>
      <w:r>
        <w:rPr>
          <w:rFonts w:hint="eastAsia" w:hAnsi="宋体" w:cs="宋体"/>
          <w:color w:val="auto"/>
          <w:sz w:val="21"/>
          <w:highlight w:val="none"/>
          <w:u w:val="single"/>
        </w:rPr>
        <w:t xml:space="preserve">      </w:t>
      </w:r>
      <w:r>
        <w:rPr>
          <w:rFonts w:hint="eastAsia" w:hAnsi="宋体" w:cs="宋体"/>
          <w:color w:val="auto"/>
          <w:sz w:val="21"/>
          <w:highlight w:val="none"/>
        </w:rPr>
        <w:t>年</w:t>
      </w:r>
      <w:r>
        <w:rPr>
          <w:rFonts w:hint="eastAsia" w:hAnsi="宋体" w:cs="宋体"/>
          <w:color w:val="auto"/>
          <w:sz w:val="21"/>
          <w:highlight w:val="none"/>
          <w:u w:val="single"/>
        </w:rPr>
        <w:t xml:space="preserve">   </w:t>
      </w:r>
      <w:r>
        <w:rPr>
          <w:rFonts w:hint="eastAsia" w:hAnsi="宋体" w:cs="宋体"/>
          <w:color w:val="auto"/>
          <w:sz w:val="21"/>
          <w:highlight w:val="none"/>
        </w:rPr>
        <w:t>月</w:t>
      </w:r>
      <w:r>
        <w:rPr>
          <w:rFonts w:hint="eastAsia" w:hAnsi="宋体" w:cs="宋体"/>
          <w:color w:val="auto"/>
          <w:sz w:val="21"/>
          <w:highlight w:val="none"/>
          <w:u w:val="single"/>
        </w:rPr>
        <w:t xml:space="preserve">   </w:t>
      </w:r>
      <w:r>
        <w:rPr>
          <w:rFonts w:hint="eastAsia" w:hAnsi="宋体" w:cs="宋体"/>
          <w:color w:val="auto"/>
          <w:sz w:val="21"/>
          <w:highlight w:val="none"/>
        </w:rPr>
        <w:t>日，</w:t>
      </w:r>
      <w:r>
        <w:rPr>
          <w:rFonts w:hint="eastAsia" w:hAnsi="宋体" w:cs="宋体"/>
          <w:bCs/>
          <w:color w:val="auto"/>
          <w:sz w:val="21"/>
          <w:highlight w:val="none"/>
        </w:rPr>
        <w:t xml:space="preserve">就质疑事项作出了答复/没有在法定期限内作出答复。                                                                                             </w:t>
      </w:r>
    </w:p>
    <w:p w14:paraId="0D7BC0DB">
      <w:pPr>
        <w:pStyle w:val="17"/>
        <w:spacing w:line="360" w:lineRule="auto"/>
        <w:ind w:firstLine="413" w:firstLineChars="196"/>
        <w:rPr>
          <w:rFonts w:hAnsi="宋体" w:cs="宋体"/>
          <w:b/>
          <w:color w:val="auto"/>
          <w:sz w:val="21"/>
          <w:highlight w:val="none"/>
        </w:rPr>
      </w:pPr>
      <w:r>
        <w:rPr>
          <w:rFonts w:hint="eastAsia" w:hAnsi="宋体" w:cs="宋体"/>
          <w:b/>
          <w:color w:val="auto"/>
          <w:sz w:val="21"/>
          <w:highlight w:val="none"/>
        </w:rPr>
        <w:t>四、投诉事项具体内容</w:t>
      </w:r>
    </w:p>
    <w:p w14:paraId="5FA24422">
      <w:pPr>
        <w:pStyle w:val="17"/>
        <w:spacing w:line="360" w:lineRule="auto"/>
        <w:ind w:firstLine="413" w:firstLineChars="197"/>
        <w:rPr>
          <w:rFonts w:hAnsi="宋体" w:cs="宋体"/>
          <w:bCs/>
          <w:color w:val="auto"/>
          <w:sz w:val="21"/>
          <w:highlight w:val="none"/>
          <w:u w:val="single"/>
        </w:rPr>
      </w:pPr>
      <w:r>
        <w:rPr>
          <w:rFonts w:hint="eastAsia" w:hAnsi="宋体" w:cs="宋体"/>
          <w:color w:val="auto"/>
          <w:sz w:val="21"/>
          <w:highlight w:val="none"/>
        </w:rPr>
        <w:t>投诉事项1：</w:t>
      </w:r>
      <w:r>
        <w:rPr>
          <w:rFonts w:hint="eastAsia" w:hAnsi="宋体" w:cs="宋体"/>
          <w:bCs/>
          <w:color w:val="auto"/>
          <w:sz w:val="21"/>
          <w:highlight w:val="none"/>
          <w:u w:val="single"/>
        </w:rPr>
        <w:t xml:space="preserve">                                                                           </w:t>
      </w:r>
    </w:p>
    <w:p w14:paraId="6F1CBD7E">
      <w:pPr>
        <w:pStyle w:val="17"/>
        <w:spacing w:line="360" w:lineRule="auto"/>
        <w:ind w:firstLine="420" w:firstLineChars="200"/>
        <w:rPr>
          <w:rFonts w:hAnsi="宋体" w:cs="宋体"/>
          <w:bCs/>
          <w:color w:val="auto"/>
          <w:sz w:val="21"/>
          <w:highlight w:val="none"/>
          <w:u w:val="single"/>
        </w:rPr>
      </w:pPr>
      <w:r>
        <w:rPr>
          <w:rFonts w:hint="eastAsia" w:hAnsi="宋体" w:cs="宋体"/>
          <w:bCs/>
          <w:color w:val="auto"/>
          <w:sz w:val="21"/>
          <w:highlight w:val="none"/>
        </w:rPr>
        <w:t>事实依据：</w:t>
      </w:r>
      <w:r>
        <w:rPr>
          <w:rFonts w:hint="eastAsia" w:hAnsi="宋体" w:cs="宋体"/>
          <w:color w:val="auto"/>
          <w:sz w:val="21"/>
          <w:highlight w:val="none"/>
        </w:rPr>
        <w:t xml:space="preserve"> </w:t>
      </w:r>
      <w:r>
        <w:rPr>
          <w:rFonts w:hint="eastAsia" w:hAnsi="宋体" w:cs="宋体"/>
          <w:bCs/>
          <w:color w:val="auto"/>
          <w:sz w:val="21"/>
          <w:highlight w:val="none"/>
          <w:u w:val="single"/>
        </w:rPr>
        <w:t xml:space="preserve">                                                                                      </w:t>
      </w:r>
    </w:p>
    <w:p w14:paraId="3C9E6F41">
      <w:pPr>
        <w:pStyle w:val="17"/>
        <w:spacing w:line="360" w:lineRule="auto"/>
        <w:ind w:firstLine="413" w:firstLineChars="197"/>
        <w:rPr>
          <w:rFonts w:hAnsi="宋体" w:cs="宋体"/>
          <w:color w:val="auto"/>
          <w:sz w:val="21"/>
          <w:highlight w:val="none"/>
        </w:rPr>
      </w:pPr>
      <w:r>
        <w:rPr>
          <w:rFonts w:hint="eastAsia" w:hAnsi="宋体" w:cs="宋体"/>
          <w:bCs/>
          <w:color w:val="auto"/>
          <w:sz w:val="21"/>
          <w:highlight w:val="none"/>
          <w:u w:val="single"/>
        </w:rPr>
        <w:t xml:space="preserve">                                                                                        </w:t>
      </w:r>
    </w:p>
    <w:p w14:paraId="251EDA6B">
      <w:pPr>
        <w:pStyle w:val="17"/>
        <w:spacing w:line="360" w:lineRule="auto"/>
        <w:ind w:firstLine="420" w:firstLineChars="200"/>
        <w:rPr>
          <w:rFonts w:hAnsi="宋体" w:cs="宋体"/>
          <w:bCs/>
          <w:color w:val="auto"/>
          <w:sz w:val="21"/>
          <w:highlight w:val="none"/>
          <w:u w:val="single"/>
        </w:rPr>
      </w:pPr>
      <w:r>
        <w:rPr>
          <w:rFonts w:hint="eastAsia" w:hAnsi="宋体" w:cs="宋体"/>
          <w:bCs/>
          <w:color w:val="auto"/>
          <w:sz w:val="21"/>
          <w:highlight w:val="none"/>
        </w:rPr>
        <w:t>法律依据：</w:t>
      </w:r>
      <w:r>
        <w:rPr>
          <w:rFonts w:hint="eastAsia" w:hAnsi="宋体" w:cs="宋体"/>
          <w:color w:val="auto"/>
          <w:sz w:val="21"/>
          <w:highlight w:val="none"/>
        </w:rPr>
        <w:t xml:space="preserve"> </w:t>
      </w:r>
      <w:r>
        <w:rPr>
          <w:rFonts w:hint="eastAsia" w:hAnsi="宋体" w:cs="宋体"/>
          <w:bCs/>
          <w:color w:val="auto"/>
          <w:sz w:val="21"/>
          <w:highlight w:val="none"/>
          <w:u w:val="single"/>
        </w:rPr>
        <w:t xml:space="preserve">                                                                                      </w:t>
      </w:r>
    </w:p>
    <w:p w14:paraId="2BAE117D">
      <w:pPr>
        <w:pStyle w:val="17"/>
        <w:spacing w:line="360" w:lineRule="auto"/>
        <w:ind w:firstLine="308" w:firstLineChars="147"/>
        <w:rPr>
          <w:rFonts w:hAnsi="宋体" w:cs="宋体"/>
          <w:bCs/>
          <w:color w:val="auto"/>
          <w:sz w:val="21"/>
          <w:highlight w:val="none"/>
          <w:u w:val="single"/>
        </w:rPr>
      </w:pPr>
      <w:r>
        <w:rPr>
          <w:rFonts w:hint="eastAsia" w:hAnsi="宋体" w:cs="宋体"/>
          <w:bCs/>
          <w:color w:val="auto"/>
          <w:sz w:val="21"/>
          <w:highlight w:val="none"/>
        </w:rPr>
        <w:t xml:space="preserve"> </w:t>
      </w:r>
      <w:r>
        <w:rPr>
          <w:rFonts w:hint="eastAsia" w:hAnsi="宋体" w:cs="宋体"/>
          <w:bCs/>
          <w:color w:val="auto"/>
          <w:sz w:val="21"/>
          <w:highlight w:val="none"/>
          <w:u w:val="single"/>
        </w:rPr>
        <w:t xml:space="preserve">                                                                                        </w:t>
      </w:r>
    </w:p>
    <w:p w14:paraId="4FE1C159">
      <w:pPr>
        <w:pStyle w:val="17"/>
        <w:spacing w:line="360" w:lineRule="auto"/>
        <w:ind w:firstLine="413" w:firstLineChars="197"/>
        <w:rPr>
          <w:rFonts w:hAnsi="宋体" w:cs="宋体"/>
          <w:bCs/>
          <w:color w:val="auto"/>
          <w:sz w:val="21"/>
          <w:highlight w:val="none"/>
        </w:rPr>
      </w:pPr>
      <w:r>
        <w:rPr>
          <w:rFonts w:hint="eastAsia" w:hAnsi="宋体" w:cs="宋体"/>
          <w:color w:val="auto"/>
          <w:sz w:val="21"/>
          <w:highlight w:val="none"/>
        </w:rPr>
        <w:t xml:space="preserve">投诉事项2  </w:t>
      </w:r>
      <w:r>
        <w:rPr>
          <w:rFonts w:hint="eastAsia" w:hAnsi="宋体" w:cs="宋体"/>
          <w:bCs/>
          <w:color w:val="auto"/>
          <w:sz w:val="21"/>
          <w:highlight w:val="none"/>
        </w:rPr>
        <w:t xml:space="preserve">   </w:t>
      </w:r>
    </w:p>
    <w:p w14:paraId="22C3647A">
      <w:pPr>
        <w:pStyle w:val="17"/>
        <w:spacing w:line="360" w:lineRule="auto"/>
        <w:ind w:firstLine="413" w:firstLineChars="197"/>
        <w:rPr>
          <w:rFonts w:hAnsi="宋体" w:cs="宋体"/>
          <w:bCs/>
          <w:color w:val="auto"/>
          <w:sz w:val="21"/>
          <w:highlight w:val="none"/>
        </w:rPr>
      </w:pPr>
      <w:r>
        <w:rPr>
          <w:rFonts w:hint="eastAsia" w:hAnsi="宋体" w:cs="宋体"/>
          <w:bCs/>
          <w:color w:val="auto"/>
          <w:sz w:val="21"/>
          <w:highlight w:val="none"/>
        </w:rPr>
        <w:t>……</w:t>
      </w:r>
    </w:p>
    <w:p w14:paraId="3CF25A70">
      <w:pPr>
        <w:pStyle w:val="17"/>
        <w:spacing w:line="360" w:lineRule="auto"/>
        <w:ind w:firstLine="413" w:firstLineChars="196"/>
        <w:rPr>
          <w:rFonts w:hAnsi="宋体" w:cs="宋体"/>
          <w:b/>
          <w:color w:val="auto"/>
          <w:sz w:val="21"/>
          <w:highlight w:val="none"/>
        </w:rPr>
      </w:pPr>
      <w:r>
        <w:rPr>
          <w:rFonts w:hint="eastAsia" w:hAnsi="宋体" w:cs="宋体"/>
          <w:b/>
          <w:color w:val="auto"/>
          <w:sz w:val="21"/>
          <w:highlight w:val="none"/>
        </w:rPr>
        <w:t>五、与投诉事项相关的投诉请求：</w:t>
      </w:r>
    </w:p>
    <w:p w14:paraId="3884446B">
      <w:pPr>
        <w:pStyle w:val="17"/>
        <w:spacing w:line="360" w:lineRule="auto"/>
        <w:ind w:firstLine="413" w:firstLineChars="197"/>
        <w:rPr>
          <w:rFonts w:hAnsi="宋体" w:cs="宋体"/>
          <w:color w:val="auto"/>
          <w:sz w:val="21"/>
          <w:highlight w:val="none"/>
        </w:rPr>
      </w:pPr>
      <w:r>
        <w:rPr>
          <w:rFonts w:hint="eastAsia" w:hAnsi="宋体" w:cs="宋体"/>
          <w:color w:val="auto"/>
          <w:sz w:val="21"/>
          <w:highlight w:val="none"/>
        </w:rPr>
        <w:t>请求：</w:t>
      </w:r>
      <w:r>
        <w:rPr>
          <w:rFonts w:hint="eastAsia" w:hAnsi="宋体" w:cs="宋体"/>
          <w:bCs/>
          <w:color w:val="auto"/>
          <w:sz w:val="21"/>
          <w:highlight w:val="none"/>
          <w:u w:val="single"/>
        </w:rPr>
        <w:t xml:space="preserve">                                                                                 </w:t>
      </w:r>
    </w:p>
    <w:p w14:paraId="45418C85">
      <w:pPr>
        <w:pStyle w:val="17"/>
        <w:spacing w:line="360" w:lineRule="auto"/>
        <w:ind w:firstLine="308" w:firstLineChars="147"/>
        <w:rPr>
          <w:rFonts w:hAnsi="宋体" w:cs="宋体"/>
          <w:color w:val="auto"/>
          <w:sz w:val="21"/>
          <w:highlight w:val="none"/>
        </w:rPr>
      </w:pPr>
    </w:p>
    <w:p w14:paraId="7EB8A760">
      <w:pPr>
        <w:pStyle w:val="17"/>
        <w:spacing w:line="360" w:lineRule="auto"/>
        <w:ind w:firstLine="413" w:firstLineChars="197"/>
        <w:rPr>
          <w:rFonts w:hAnsi="宋体" w:cs="宋体"/>
          <w:color w:val="auto"/>
          <w:sz w:val="21"/>
          <w:highlight w:val="none"/>
          <w:u w:val="single"/>
        </w:rPr>
      </w:pPr>
      <w:r>
        <w:rPr>
          <w:rFonts w:hint="eastAsia" w:hAnsi="宋体" w:cs="宋体"/>
          <w:color w:val="auto"/>
          <w:sz w:val="21"/>
          <w:highlight w:val="none"/>
        </w:rPr>
        <w:t>签字</w:t>
      </w:r>
      <w:r>
        <w:rPr>
          <w:rFonts w:hint="eastAsia" w:hAnsi="宋体"/>
          <w:color w:val="auto"/>
          <w:sz w:val="21"/>
          <w:highlight w:val="none"/>
        </w:rPr>
        <w:t>（或个人CA签章）</w:t>
      </w:r>
      <w:r>
        <w:rPr>
          <w:rFonts w:hint="eastAsia" w:hAnsi="宋体" w:cs="宋体"/>
          <w:color w:val="auto"/>
          <w:sz w:val="21"/>
          <w:highlight w:val="none"/>
        </w:rPr>
        <w:t>（签章）：</w:t>
      </w:r>
      <w:r>
        <w:rPr>
          <w:rFonts w:hint="eastAsia" w:hAnsi="宋体" w:cs="宋体"/>
          <w:color w:val="auto"/>
          <w:sz w:val="21"/>
          <w:highlight w:val="none"/>
          <w:u w:val="single"/>
        </w:rPr>
        <w:t xml:space="preserve"> </w:t>
      </w:r>
      <w:r>
        <w:rPr>
          <w:rFonts w:hAnsi="宋体" w:cs="宋体"/>
          <w:color w:val="auto"/>
          <w:sz w:val="21"/>
          <w:highlight w:val="none"/>
          <w:u w:val="single"/>
        </w:rPr>
        <w:t xml:space="preserve">            </w:t>
      </w:r>
      <w:r>
        <w:rPr>
          <w:rFonts w:hint="eastAsia" w:hAnsi="宋体" w:cs="宋体"/>
          <w:color w:val="auto"/>
          <w:sz w:val="21"/>
          <w:highlight w:val="none"/>
        </w:rPr>
        <w:t xml:space="preserve">                公章</w:t>
      </w:r>
      <w:r>
        <w:rPr>
          <w:rFonts w:hint="eastAsia" w:hAnsi="宋体"/>
          <w:color w:val="auto"/>
          <w:sz w:val="21"/>
          <w:highlight w:val="none"/>
        </w:rPr>
        <w:t>（</w:t>
      </w:r>
      <w:r>
        <w:rPr>
          <w:rFonts w:hint="eastAsia" w:hAnsi="宋体" w:cs="仿宋_GB2312"/>
          <w:color w:val="auto"/>
          <w:sz w:val="21"/>
          <w:highlight w:val="none"/>
        </w:rPr>
        <w:t>或</w:t>
      </w:r>
      <w:r>
        <w:rPr>
          <w:rFonts w:hint="eastAsia" w:hAnsi="宋体"/>
          <w:color w:val="auto"/>
          <w:sz w:val="21"/>
          <w:highlight w:val="none"/>
        </w:rPr>
        <w:t>CA签章）</w:t>
      </w:r>
      <w:r>
        <w:rPr>
          <w:rFonts w:hint="eastAsia" w:hAnsi="宋体" w:cs="宋体"/>
          <w:color w:val="auto"/>
          <w:sz w:val="21"/>
          <w:highlight w:val="none"/>
        </w:rPr>
        <w:t>：</w:t>
      </w:r>
      <w:r>
        <w:rPr>
          <w:rFonts w:hAnsi="宋体" w:cs="宋体"/>
          <w:color w:val="auto"/>
          <w:sz w:val="21"/>
          <w:highlight w:val="none"/>
          <w:u w:val="single"/>
        </w:rPr>
        <w:t xml:space="preserve">            </w:t>
      </w:r>
    </w:p>
    <w:p w14:paraId="0CF9FEA5">
      <w:pPr>
        <w:pStyle w:val="17"/>
        <w:spacing w:line="360" w:lineRule="auto"/>
        <w:ind w:firstLine="308" w:firstLineChars="147"/>
        <w:rPr>
          <w:rFonts w:hAnsi="宋体" w:cs="宋体"/>
          <w:color w:val="auto"/>
          <w:sz w:val="21"/>
          <w:highlight w:val="none"/>
        </w:rPr>
      </w:pPr>
    </w:p>
    <w:p w14:paraId="6DAAC1A7">
      <w:pPr>
        <w:pStyle w:val="17"/>
        <w:spacing w:line="360" w:lineRule="auto"/>
        <w:ind w:firstLine="413" w:firstLineChars="197"/>
        <w:rPr>
          <w:rFonts w:hAnsi="宋体" w:cs="宋体"/>
          <w:color w:val="auto"/>
          <w:sz w:val="21"/>
          <w:highlight w:val="none"/>
        </w:rPr>
      </w:pPr>
      <w:r>
        <w:rPr>
          <w:rFonts w:hint="eastAsia" w:hAnsi="宋体" w:cs="宋体"/>
          <w:color w:val="auto"/>
          <w:sz w:val="21"/>
          <w:highlight w:val="none"/>
        </w:rPr>
        <w:t>日期：</w:t>
      </w:r>
      <w:r>
        <w:rPr>
          <w:rFonts w:hint="eastAsia" w:hAnsi="宋体" w:cs="宋体"/>
          <w:bCs/>
          <w:color w:val="auto"/>
          <w:sz w:val="21"/>
          <w:highlight w:val="none"/>
        </w:rPr>
        <w:t xml:space="preserve">    </w:t>
      </w:r>
      <w:r>
        <w:rPr>
          <w:rFonts w:hint="eastAsia" w:hAnsi="宋体" w:cs="宋体"/>
          <w:color w:val="auto"/>
          <w:spacing w:val="20"/>
          <w:sz w:val="21"/>
          <w:highlight w:val="none"/>
          <w:u w:val="single"/>
        </w:rPr>
        <w:t xml:space="preserve"> </w:t>
      </w:r>
      <w:r>
        <w:rPr>
          <w:rFonts w:hAnsi="宋体" w:cs="宋体"/>
          <w:color w:val="auto"/>
          <w:spacing w:val="20"/>
          <w:sz w:val="21"/>
          <w:highlight w:val="none"/>
          <w:u w:val="single"/>
        </w:rPr>
        <w:t xml:space="preserve">  </w:t>
      </w:r>
      <w:r>
        <w:rPr>
          <w:rFonts w:hint="eastAsia" w:hAnsi="宋体" w:cs="宋体"/>
          <w:color w:val="auto"/>
          <w:spacing w:val="20"/>
          <w:sz w:val="21"/>
          <w:highlight w:val="none"/>
          <w:u w:val="single"/>
        </w:rPr>
        <w:t xml:space="preserve">  </w:t>
      </w:r>
      <w:r>
        <w:rPr>
          <w:rFonts w:hint="eastAsia" w:hAnsi="宋体" w:cs="宋体"/>
          <w:color w:val="auto"/>
          <w:spacing w:val="20"/>
          <w:sz w:val="21"/>
          <w:highlight w:val="none"/>
        </w:rPr>
        <w:t>年</w:t>
      </w:r>
      <w:r>
        <w:rPr>
          <w:rFonts w:hint="eastAsia" w:hAnsi="宋体" w:cs="宋体"/>
          <w:color w:val="auto"/>
          <w:spacing w:val="20"/>
          <w:sz w:val="21"/>
          <w:highlight w:val="none"/>
          <w:u w:val="single"/>
        </w:rPr>
        <w:t xml:space="preserve">  </w:t>
      </w:r>
      <w:r>
        <w:rPr>
          <w:rFonts w:hint="eastAsia" w:hAnsi="宋体" w:cs="宋体"/>
          <w:color w:val="auto"/>
          <w:spacing w:val="20"/>
          <w:sz w:val="21"/>
          <w:highlight w:val="none"/>
        </w:rPr>
        <w:t>月</w:t>
      </w:r>
      <w:r>
        <w:rPr>
          <w:rFonts w:hint="eastAsia" w:hAnsi="宋体" w:cs="宋体"/>
          <w:color w:val="auto"/>
          <w:spacing w:val="20"/>
          <w:sz w:val="21"/>
          <w:highlight w:val="none"/>
          <w:u w:val="single"/>
        </w:rPr>
        <w:t xml:space="preserve">  </w:t>
      </w:r>
      <w:r>
        <w:rPr>
          <w:rFonts w:hint="eastAsia" w:hAnsi="宋体" w:cs="宋体"/>
          <w:color w:val="auto"/>
          <w:spacing w:val="20"/>
          <w:sz w:val="21"/>
          <w:highlight w:val="none"/>
        </w:rPr>
        <w:t>日</w:t>
      </w:r>
      <w:r>
        <w:rPr>
          <w:rFonts w:hint="eastAsia" w:hAnsi="宋体" w:cs="宋体"/>
          <w:bCs/>
          <w:color w:val="auto"/>
          <w:sz w:val="21"/>
          <w:highlight w:val="none"/>
        </w:rPr>
        <w:t xml:space="preserve">                                                         </w:t>
      </w:r>
    </w:p>
    <w:p w14:paraId="4AD408F8">
      <w:pPr>
        <w:pStyle w:val="17"/>
        <w:snapToGrid w:val="0"/>
        <w:spacing w:line="360" w:lineRule="auto"/>
        <w:rPr>
          <w:rFonts w:hAnsi="宋体" w:cs="宋体"/>
          <w:b/>
          <w:color w:val="auto"/>
          <w:sz w:val="21"/>
          <w:highlight w:val="none"/>
        </w:rPr>
      </w:pPr>
    </w:p>
    <w:p w14:paraId="4369021D">
      <w:pPr>
        <w:pStyle w:val="17"/>
        <w:snapToGrid w:val="0"/>
        <w:spacing w:line="360" w:lineRule="auto"/>
        <w:rPr>
          <w:rFonts w:hAnsi="宋体" w:cs="宋体"/>
          <w:b/>
          <w:color w:val="auto"/>
          <w:sz w:val="21"/>
          <w:highlight w:val="none"/>
        </w:rPr>
      </w:pPr>
      <w:r>
        <w:rPr>
          <w:rFonts w:hint="eastAsia" w:hAnsi="宋体" w:cs="宋体"/>
          <w:b/>
          <w:color w:val="auto"/>
          <w:sz w:val="21"/>
          <w:highlight w:val="none"/>
        </w:rPr>
        <w:t>说明：</w:t>
      </w:r>
    </w:p>
    <w:p w14:paraId="2E82DB38">
      <w:pPr>
        <w:pStyle w:val="17"/>
        <w:spacing w:line="360" w:lineRule="auto"/>
        <w:ind w:firstLine="310" w:firstLineChars="147"/>
        <w:rPr>
          <w:rFonts w:hAnsi="宋体" w:cs="宋体"/>
          <w:b/>
          <w:bCs/>
          <w:color w:val="auto"/>
          <w:sz w:val="21"/>
          <w:highlight w:val="none"/>
        </w:rPr>
      </w:pPr>
      <w:r>
        <w:rPr>
          <w:rFonts w:hint="eastAsia" w:hAnsi="宋体" w:cs="宋体"/>
          <w:b/>
          <w:color w:val="auto"/>
          <w:sz w:val="21"/>
          <w:highlight w:val="none"/>
        </w:rPr>
        <w:t>1.投诉人提起投诉时，应当提交投诉书和必要的证明材料，并按照被投诉人和与投诉事项有关的供应商数量提供投诉书副本</w:t>
      </w:r>
      <w:r>
        <w:rPr>
          <w:rFonts w:hint="eastAsia" w:hAnsi="宋体" w:cs="宋体"/>
          <w:b/>
          <w:bCs/>
          <w:color w:val="auto"/>
          <w:sz w:val="21"/>
          <w:highlight w:val="none"/>
        </w:rPr>
        <w:t>。</w:t>
      </w:r>
    </w:p>
    <w:p w14:paraId="6D20AE29">
      <w:pPr>
        <w:pStyle w:val="17"/>
        <w:spacing w:line="360" w:lineRule="auto"/>
        <w:ind w:firstLine="310" w:firstLineChars="147"/>
        <w:rPr>
          <w:rFonts w:hAnsi="宋体" w:cs="宋体"/>
          <w:b/>
          <w:color w:val="auto"/>
          <w:sz w:val="21"/>
          <w:highlight w:val="none"/>
        </w:rPr>
      </w:pPr>
      <w:r>
        <w:rPr>
          <w:rFonts w:hint="eastAsia" w:hAnsi="宋体" w:cs="宋体"/>
          <w:b/>
          <w:color w:val="auto"/>
          <w:sz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9C64B4A">
      <w:pPr>
        <w:pStyle w:val="17"/>
        <w:spacing w:line="360" w:lineRule="auto"/>
        <w:ind w:firstLine="310" w:firstLineChars="147"/>
        <w:rPr>
          <w:rFonts w:hAnsi="宋体" w:cs="宋体"/>
          <w:b/>
          <w:color w:val="auto"/>
          <w:sz w:val="21"/>
          <w:highlight w:val="none"/>
        </w:rPr>
      </w:pPr>
      <w:r>
        <w:rPr>
          <w:rFonts w:hint="eastAsia" w:hAnsi="宋体" w:cs="宋体"/>
          <w:b/>
          <w:color w:val="auto"/>
          <w:sz w:val="21"/>
          <w:highlight w:val="none"/>
        </w:rPr>
        <w:t>3.投诉书应简要列明质疑事项，质疑函、质疑答复等作为附件材料提供。</w:t>
      </w:r>
    </w:p>
    <w:p w14:paraId="67431B0A">
      <w:pPr>
        <w:pStyle w:val="17"/>
        <w:spacing w:line="360" w:lineRule="auto"/>
        <w:ind w:firstLine="310" w:firstLineChars="147"/>
        <w:rPr>
          <w:rFonts w:hAnsi="宋体" w:cs="宋体"/>
          <w:b/>
          <w:color w:val="auto"/>
          <w:sz w:val="21"/>
          <w:highlight w:val="none"/>
        </w:rPr>
      </w:pPr>
      <w:r>
        <w:rPr>
          <w:rFonts w:hint="eastAsia" w:hAnsi="宋体" w:cs="宋体"/>
          <w:b/>
          <w:color w:val="auto"/>
          <w:sz w:val="21"/>
          <w:highlight w:val="none"/>
        </w:rPr>
        <w:t>4.投诉书的投诉事项应具体、明确，并有必要的事实依据和法律依据。</w:t>
      </w:r>
    </w:p>
    <w:p w14:paraId="14714193">
      <w:pPr>
        <w:pStyle w:val="17"/>
        <w:spacing w:line="360" w:lineRule="auto"/>
        <w:ind w:firstLine="310" w:firstLineChars="147"/>
        <w:rPr>
          <w:rFonts w:hAnsi="宋体" w:cs="宋体"/>
          <w:b/>
          <w:color w:val="auto"/>
          <w:sz w:val="21"/>
          <w:highlight w:val="none"/>
        </w:rPr>
      </w:pPr>
      <w:r>
        <w:rPr>
          <w:rFonts w:hint="eastAsia" w:hAnsi="宋体" w:cs="宋体"/>
          <w:b/>
          <w:color w:val="auto"/>
          <w:sz w:val="21"/>
          <w:highlight w:val="none"/>
        </w:rPr>
        <w:t>5.投诉书的投诉请求应与投诉事项相关。</w:t>
      </w:r>
    </w:p>
    <w:p w14:paraId="7B0EE8C7">
      <w:pPr>
        <w:pStyle w:val="17"/>
        <w:spacing w:line="360" w:lineRule="auto"/>
        <w:ind w:firstLine="310" w:firstLineChars="147"/>
        <w:rPr>
          <w:rFonts w:hAnsi="宋体" w:cs="宋体"/>
          <w:b/>
          <w:color w:val="auto"/>
          <w:sz w:val="21"/>
          <w:highlight w:val="none"/>
        </w:rPr>
      </w:pPr>
      <w:r>
        <w:rPr>
          <w:rFonts w:hint="eastAsia" w:hAnsi="宋体" w:cs="宋体"/>
          <w:b/>
          <w:color w:val="auto"/>
          <w:sz w:val="21"/>
          <w:highlight w:val="none"/>
        </w:rPr>
        <w:t>6.投诉人为法人或者其他组织的，投诉书应由法定代表人、主要负责人，或者其授权代表签字（或个人CA签章）或者盖章，并加盖公章（CA签章）。</w:t>
      </w:r>
    </w:p>
    <w:p w14:paraId="57ED704E">
      <w:pPr>
        <w:rPr>
          <w:rFonts w:ascii="楷体" w:hAnsi="楷体" w:eastAsia="楷体" w:cs="宋体"/>
          <w:b/>
          <w:color w:val="auto"/>
          <w:szCs w:val="21"/>
          <w:highlight w:val="none"/>
        </w:rPr>
      </w:pPr>
      <w:r>
        <w:rPr>
          <w:rFonts w:ascii="楷体" w:hAnsi="楷体" w:eastAsia="楷体" w:cs="宋体"/>
          <w:b/>
          <w:color w:val="auto"/>
          <w:szCs w:val="21"/>
          <w:highlight w:val="none"/>
        </w:rPr>
        <w:br w:type="page"/>
      </w:r>
    </w:p>
    <w:p w14:paraId="2FF4BA06">
      <w:pPr>
        <w:pStyle w:val="2"/>
        <w:spacing w:before="0" w:after="0" w:line="360" w:lineRule="auto"/>
        <w:jc w:val="center"/>
        <w:rPr>
          <w:rFonts w:ascii="宋体" w:hAnsi="宋体" w:cs="宋体"/>
          <w:color w:val="auto"/>
          <w:highlight w:val="none"/>
        </w:rPr>
      </w:pPr>
      <w:bookmarkStart w:id="58" w:name="_Toc74322013"/>
      <w:bookmarkStart w:id="59" w:name="_Toc16581"/>
      <w:r>
        <w:rPr>
          <w:rFonts w:hint="eastAsia" w:ascii="宋体" w:hAnsi="宋体" w:cs="宋体"/>
          <w:color w:val="auto"/>
          <w:highlight w:val="none"/>
        </w:rPr>
        <w:t>第六章、合同文本</w:t>
      </w:r>
    </w:p>
    <w:p w14:paraId="141E3BE2">
      <w:pPr>
        <w:pStyle w:val="3"/>
        <w:jc w:val="center"/>
        <w:rPr>
          <w:color w:val="auto"/>
          <w:highlight w:val="none"/>
        </w:rPr>
      </w:pPr>
      <w:r>
        <w:rPr>
          <w:color w:val="auto"/>
          <w:highlight w:val="none"/>
        </w:rPr>
        <w:t>采购合同</w:t>
      </w:r>
    </w:p>
    <w:p w14:paraId="3F76B9CE">
      <w:pPr>
        <w:rPr>
          <w:rFonts w:ascii="Arial" w:hAnsi="Arial" w:cs="Arial"/>
          <w:color w:val="auto"/>
          <w:highlight w:val="none"/>
        </w:rPr>
      </w:pPr>
    </w:p>
    <w:p w14:paraId="3C18AB28">
      <w:pPr>
        <w:spacing w:line="360" w:lineRule="auto"/>
        <w:rPr>
          <w:rFonts w:ascii="宋体" w:hAnsi="宋体"/>
          <w:color w:val="auto"/>
          <w:szCs w:val="21"/>
          <w:highlight w:val="none"/>
        </w:rPr>
      </w:pPr>
      <w:r>
        <w:rPr>
          <w:rFonts w:hint="eastAsia" w:ascii="宋体" w:hAnsi="宋体"/>
          <w:color w:val="auto"/>
          <w:szCs w:val="21"/>
          <w:highlight w:val="none"/>
        </w:rPr>
        <w:t>采购人（甲方）:</w:t>
      </w:r>
      <w:r>
        <w:rPr>
          <w:rFonts w:hint="eastAsia" w:ascii="宋体" w:hAnsi="宋体"/>
          <w:color w:val="auto"/>
          <w:szCs w:val="21"/>
          <w:highlight w:val="none"/>
          <w:u w:val="single"/>
        </w:rPr>
        <w:t xml:space="preserve">广西师范大学      </w:t>
      </w:r>
      <w:r>
        <w:rPr>
          <w:rFonts w:hint="eastAsia" w:ascii="宋体" w:hAnsi="宋体"/>
          <w:color w:val="auto"/>
          <w:szCs w:val="21"/>
          <w:highlight w:val="none"/>
        </w:rPr>
        <w:t xml:space="preserve">               </w:t>
      </w:r>
    </w:p>
    <w:p w14:paraId="537B8B9F">
      <w:pPr>
        <w:spacing w:line="360" w:lineRule="auto"/>
        <w:rPr>
          <w:rFonts w:ascii="宋体" w:hAnsi="宋体"/>
          <w:color w:val="auto"/>
          <w:szCs w:val="21"/>
          <w:highlight w:val="none"/>
          <w:u w:val="single"/>
        </w:rPr>
      </w:pPr>
      <w:r>
        <w:rPr>
          <w:rFonts w:hint="eastAsia" w:ascii="宋体" w:hAnsi="宋体"/>
          <w:color w:val="auto"/>
          <w:szCs w:val="21"/>
          <w:highlight w:val="none"/>
        </w:rPr>
        <w:t>供应商（乙方）: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项目编号:</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14:paraId="1EA80DE7">
      <w:pPr>
        <w:spacing w:line="360" w:lineRule="auto"/>
        <w:rPr>
          <w:rFonts w:ascii="宋体" w:hAnsi="宋体"/>
          <w:color w:val="auto"/>
          <w:szCs w:val="21"/>
          <w:highlight w:val="none"/>
        </w:rPr>
      </w:pPr>
      <w:r>
        <w:rPr>
          <w:rFonts w:hint="eastAsia" w:ascii="宋体" w:hAnsi="宋体" w:cs="宋体"/>
          <w:color w:val="auto"/>
          <w:szCs w:val="21"/>
          <w:highlight w:val="none"/>
        </w:rPr>
        <w:t>项目名称:</w:t>
      </w:r>
      <w:r>
        <w:rPr>
          <w:rFonts w:hint="eastAsia" w:ascii="宋体" w:hAnsi="宋体" w:cs="宋体"/>
          <w:bCs/>
          <w:color w:val="auto"/>
          <w:szCs w:val="21"/>
          <w:highlight w:val="none"/>
          <w:u w:val="single"/>
        </w:rPr>
        <w:t xml:space="preserve"> </w:t>
      </w:r>
      <w:r>
        <w:rPr>
          <w:rFonts w:ascii="宋体" w:hAnsi="宋体" w:cs="宋体"/>
          <w:bCs/>
          <w:color w:val="auto"/>
          <w:szCs w:val="21"/>
          <w:highlight w:val="none"/>
          <w:u w:val="single"/>
        </w:rPr>
        <w:t xml:space="preserve">                      </w:t>
      </w:r>
    </w:p>
    <w:p w14:paraId="73FC701B">
      <w:pPr>
        <w:spacing w:line="360" w:lineRule="auto"/>
        <w:rPr>
          <w:rFonts w:ascii="宋体" w:hAnsi="宋体"/>
          <w:color w:val="auto"/>
          <w:szCs w:val="21"/>
          <w:highlight w:val="none"/>
        </w:rPr>
      </w:pPr>
      <w:r>
        <w:rPr>
          <w:rFonts w:hint="eastAsia" w:ascii="宋体" w:hAnsi="宋体"/>
          <w:color w:val="auto"/>
          <w:szCs w:val="21"/>
          <w:highlight w:val="none"/>
        </w:rPr>
        <w:t>标项：</w:t>
      </w:r>
      <w:r>
        <w:rPr>
          <w:rFonts w:ascii="宋体" w:hAnsi="宋体" w:cs="宋体"/>
          <w:bCs/>
          <w:color w:val="auto"/>
          <w:szCs w:val="21"/>
          <w:highlight w:val="none"/>
          <w:u w:val="single"/>
        </w:rPr>
        <w:t xml:space="preserve">                      </w:t>
      </w:r>
    </w:p>
    <w:p w14:paraId="1561282E">
      <w:pPr>
        <w:spacing w:line="360" w:lineRule="auto"/>
        <w:rPr>
          <w:rFonts w:ascii="宋体" w:hAnsi="宋体"/>
          <w:color w:val="auto"/>
          <w:szCs w:val="21"/>
          <w:highlight w:val="none"/>
          <w:u w:val="single"/>
        </w:rPr>
      </w:pPr>
      <w:r>
        <w:rPr>
          <w:rFonts w:hint="eastAsia" w:ascii="宋体" w:hAnsi="宋体"/>
          <w:color w:val="auto"/>
          <w:szCs w:val="21"/>
          <w:highlight w:val="none"/>
        </w:rPr>
        <w:t>签订地点:</w:t>
      </w:r>
      <w:r>
        <w:rPr>
          <w:rFonts w:hint="eastAsia" w:ascii="宋体" w:hAnsi="宋体"/>
          <w:color w:val="auto"/>
          <w:szCs w:val="21"/>
          <w:highlight w:val="none"/>
          <w:u w:val="single"/>
        </w:rPr>
        <w:t xml:space="preserve">  广西桂林              </w:t>
      </w:r>
      <w:r>
        <w:rPr>
          <w:rFonts w:hint="eastAsia" w:ascii="宋体" w:hAnsi="宋体"/>
          <w:color w:val="auto"/>
          <w:szCs w:val="21"/>
          <w:highlight w:val="none"/>
        </w:rPr>
        <w:t xml:space="preserve">               签订时间:</w:t>
      </w:r>
      <w:r>
        <w:rPr>
          <w:rFonts w:hint="eastAsia" w:ascii="宋体" w:hAnsi="宋体"/>
          <w:color w:val="auto"/>
          <w:szCs w:val="21"/>
          <w:highlight w:val="none"/>
          <w:u w:val="single"/>
        </w:rPr>
        <w:t xml:space="preserve">                </w:t>
      </w:r>
    </w:p>
    <w:p w14:paraId="590EBB62">
      <w:pPr>
        <w:spacing w:line="360" w:lineRule="auto"/>
        <w:rPr>
          <w:rFonts w:ascii="Arial" w:hAnsi="Arial" w:cs="Arial"/>
          <w:color w:val="auto"/>
          <w:highlight w:val="none"/>
        </w:rPr>
      </w:pPr>
    </w:p>
    <w:p w14:paraId="4C12F360">
      <w:pPr>
        <w:spacing w:line="360" w:lineRule="auto"/>
        <w:ind w:firstLine="420" w:firstLineChars="200"/>
        <w:rPr>
          <w:rFonts w:ascii="Arial" w:hAnsi="Arial" w:cs="Arial"/>
          <w:color w:val="auto"/>
          <w:highlight w:val="none"/>
        </w:rPr>
      </w:pPr>
      <w:r>
        <w:rPr>
          <w:rFonts w:ascii="Arial" w:hAnsi="Arial" w:cs="Arial"/>
          <w:color w:val="auto"/>
          <w:highlight w:val="none"/>
        </w:rPr>
        <w:t>根据《中华人民共和国民法典》等法律、法规规定，按照本项目</w:t>
      </w:r>
      <w:r>
        <w:rPr>
          <w:rFonts w:hint="eastAsia" w:ascii="Arial" w:hAnsi="Arial" w:cs="Arial"/>
          <w:color w:val="auto"/>
          <w:highlight w:val="none"/>
        </w:rPr>
        <w:t>竞争性谈判文件（以下简称谈判文件）、响应文件</w:t>
      </w:r>
      <w:r>
        <w:rPr>
          <w:rFonts w:ascii="Arial" w:hAnsi="Arial" w:cs="Arial"/>
          <w:color w:val="auto"/>
          <w:highlight w:val="none"/>
        </w:rPr>
        <w:t>规定条款和</w:t>
      </w:r>
      <w:r>
        <w:rPr>
          <w:rFonts w:hint="eastAsia" w:ascii="Arial" w:hAnsi="Arial" w:cs="Arial"/>
          <w:color w:val="auto"/>
          <w:highlight w:val="none"/>
        </w:rPr>
        <w:t>成交</w:t>
      </w:r>
      <w:r>
        <w:rPr>
          <w:rFonts w:ascii="Arial" w:hAnsi="Arial" w:cs="Arial"/>
          <w:color w:val="auto"/>
          <w:highlight w:val="none"/>
        </w:rPr>
        <w:t>供应商的承诺、甲乙双方签订本合同。</w:t>
      </w:r>
    </w:p>
    <w:p w14:paraId="35374F83">
      <w:pPr>
        <w:spacing w:line="360" w:lineRule="auto"/>
        <w:ind w:firstLine="422" w:firstLineChars="200"/>
        <w:rPr>
          <w:rFonts w:ascii="宋体" w:hAnsi="宋体"/>
          <w:b/>
          <w:color w:val="auto"/>
          <w:szCs w:val="21"/>
          <w:highlight w:val="none"/>
        </w:rPr>
      </w:pPr>
    </w:p>
    <w:p w14:paraId="5A2C04A1">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第一条　合同标的</w:t>
      </w:r>
    </w:p>
    <w:tbl>
      <w:tblPr>
        <w:tblStyle w:val="30"/>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620"/>
        <w:gridCol w:w="855"/>
        <w:gridCol w:w="1190"/>
        <w:gridCol w:w="1238"/>
        <w:gridCol w:w="712"/>
        <w:gridCol w:w="738"/>
        <w:gridCol w:w="792"/>
        <w:gridCol w:w="792"/>
        <w:gridCol w:w="763"/>
      </w:tblGrid>
      <w:tr w14:paraId="08A5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660" w:type="dxa"/>
            <w:vAlign w:val="center"/>
          </w:tcPr>
          <w:p w14:paraId="291FEFCA">
            <w:pPr>
              <w:spacing w:line="360" w:lineRule="auto"/>
              <w:jc w:val="center"/>
              <w:rPr>
                <w:rFonts w:ascii="宋体" w:hAnsi="宋体"/>
                <w:color w:val="auto"/>
                <w:szCs w:val="21"/>
                <w:highlight w:val="none"/>
              </w:rPr>
            </w:pPr>
            <w:r>
              <w:rPr>
                <w:rFonts w:hint="eastAsia" w:ascii="宋体" w:hAnsi="宋体"/>
                <w:color w:val="auto"/>
                <w:szCs w:val="21"/>
                <w:highlight w:val="none"/>
              </w:rPr>
              <w:t>项号</w:t>
            </w:r>
          </w:p>
        </w:tc>
        <w:tc>
          <w:tcPr>
            <w:tcW w:w="1620" w:type="dxa"/>
            <w:vAlign w:val="center"/>
          </w:tcPr>
          <w:p w14:paraId="1C00E882">
            <w:pPr>
              <w:spacing w:line="360" w:lineRule="auto"/>
              <w:jc w:val="center"/>
              <w:rPr>
                <w:rFonts w:ascii="宋体" w:hAnsi="宋体"/>
                <w:color w:val="auto"/>
                <w:szCs w:val="21"/>
                <w:highlight w:val="none"/>
              </w:rPr>
            </w:pPr>
            <w:r>
              <w:rPr>
                <w:rFonts w:hint="eastAsia" w:ascii="宋体" w:hAnsi="宋体"/>
                <w:color w:val="auto"/>
                <w:szCs w:val="21"/>
                <w:highlight w:val="none"/>
              </w:rPr>
              <w:t>标的的名称</w:t>
            </w:r>
          </w:p>
        </w:tc>
        <w:tc>
          <w:tcPr>
            <w:tcW w:w="855" w:type="dxa"/>
            <w:vAlign w:val="center"/>
          </w:tcPr>
          <w:p w14:paraId="033A8A9C">
            <w:pPr>
              <w:spacing w:line="360" w:lineRule="auto"/>
              <w:jc w:val="center"/>
              <w:rPr>
                <w:rFonts w:ascii="宋体" w:hAnsi="宋体"/>
                <w:color w:val="auto"/>
                <w:szCs w:val="21"/>
                <w:highlight w:val="none"/>
              </w:rPr>
            </w:pPr>
            <w:r>
              <w:rPr>
                <w:rFonts w:hint="eastAsia" w:ascii="宋体" w:hAnsi="宋体"/>
                <w:color w:val="auto"/>
                <w:szCs w:val="21"/>
                <w:highlight w:val="none"/>
              </w:rPr>
              <w:t>品牌</w:t>
            </w:r>
          </w:p>
        </w:tc>
        <w:tc>
          <w:tcPr>
            <w:tcW w:w="1190" w:type="dxa"/>
            <w:vAlign w:val="center"/>
          </w:tcPr>
          <w:p w14:paraId="5C77D5A1">
            <w:pPr>
              <w:spacing w:line="360" w:lineRule="auto"/>
              <w:jc w:val="center"/>
              <w:rPr>
                <w:rFonts w:ascii="宋体" w:hAnsi="宋体"/>
                <w:color w:val="auto"/>
                <w:szCs w:val="21"/>
                <w:highlight w:val="none"/>
              </w:rPr>
            </w:pPr>
            <w:r>
              <w:rPr>
                <w:rFonts w:hint="eastAsia" w:ascii="宋体" w:hAnsi="宋体"/>
                <w:color w:val="auto"/>
                <w:szCs w:val="21"/>
                <w:highlight w:val="none"/>
              </w:rPr>
              <w:t>规格型号</w:t>
            </w:r>
          </w:p>
        </w:tc>
        <w:tc>
          <w:tcPr>
            <w:tcW w:w="1238" w:type="dxa"/>
            <w:vAlign w:val="center"/>
          </w:tcPr>
          <w:p w14:paraId="256158A9">
            <w:pPr>
              <w:spacing w:line="360" w:lineRule="auto"/>
              <w:jc w:val="center"/>
              <w:rPr>
                <w:rFonts w:ascii="宋体" w:hAnsi="宋体"/>
                <w:color w:val="auto"/>
                <w:szCs w:val="21"/>
                <w:highlight w:val="none"/>
              </w:rPr>
            </w:pPr>
            <w:r>
              <w:rPr>
                <w:rFonts w:hint="eastAsia" w:ascii="宋体" w:hAnsi="宋体"/>
                <w:color w:val="auto"/>
                <w:szCs w:val="21"/>
                <w:highlight w:val="none"/>
              </w:rPr>
              <w:t>生产厂家、原产地</w:t>
            </w:r>
          </w:p>
        </w:tc>
        <w:tc>
          <w:tcPr>
            <w:tcW w:w="712" w:type="dxa"/>
            <w:vAlign w:val="center"/>
          </w:tcPr>
          <w:p w14:paraId="0609E69F">
            <w:pPr>
              <w:spacing w:line="360" w:lineRule="auto"/>
              <w:jc w:val="center"/>
              <w:rPr>
                <w:rFonts w:ascii="宋体" w:hAnsi="宋体"/>
                <w:color w:val="auto"/>
                <w:szCs w:val="21"/>
                <w:highlight w:val="none"/>
              </w:rPr>
            </w:pPr>
            <w:r>
              <w:rPr>
                <w:rFonts w:hint="eastAsia" w:ascii="宋体" w:hAnsi="宋体"/>
                <w:color w:val="auto"/>
                <w:szCs w:val="21"/>
                <w:highlight w:val="none"/>
              </w:rPr>
              <w:t>数量</w:t>
            </w:r>
          </w:p>
        </w:tc>
        <w:tc>
          <w:tcPr>
            <w:tcW w:w="738" w:type="dxa"/>
            <w:vAlign w:val="center"/>
          </w:tcPr>
          <w:p w14:paraId="14F1D2DF">
            <w:pPr>
              <w:spacing w:line="360" w:lineRule="auto"/>
              <w:jc w:val="center"/>
              <w:rPr>
                <w:rFonts w:ascii="宋体" w:hAnsi="宋体"/>
                <w:color w:val="auto"/>
                <w:szCs w:val="21"/>
                <w:highlight w:val="none"/>
              </w:rPr>
            </w:pPr>
            <w:r>
              <w:rPr>
                <w:rFonts w:hint="eastAsia" w:ascii="宋体" w:hAnsi="宋体"/>
                <w:color w:val="auto"/>
                <w:szCs w:val="21"/>
                <w:highlight w:val="none"/>
              </w:rPr>
              <w:t>单位</w:t>
            </w:r>
          </w:p>
        </w:tc>
        <w:tc>
          <w:tcPr>
            <w:tcW w:w="792" w:type="dxa"/>
            <w:vAlign w:val="center"/>
          </w:tcPr>
          <w:p w14:paraId="112EE373">
            <w:pPr>
              <w:spacing w:line="360" w:lineRule="auto"/>
              <w:jc w:val="center"/>
              <w:rPr>
                <w:rFonts w:ascii="宋体" w:hAnsi="宋体"/>
                <w:color w:val="auto"/>
                <w:szCs w:val="21"/>
                <w:highlight w:val="none"/>
              </w:rPr>
            </w:pPr>
            <w:r>
              <w:rPr>
                <w:rFonts w:hint="eastAsia" w:ascii="宋体" w:hAnsi="宋体"/>
                <w:color w:val="auto"/>
                <w:szCs w:val="21"/>
                <w:highlight w:val="none"/>
              </w:rPr>
              <w:t>技术参数</w:t>
            </w:r>
          </w:p>
        </w:tc>
        <w:tc>
          <w:tcPr>
            <w:tcW w:w="792" w:type="dxa"/>
            <w:vAlign w:val="center"/>
          </w:tcPr>
          <w:p w14:paraId="71E84BB6">
            <w:pPr>
              <w:spacing w:line="360" w:lineRule="auto"/>
              <w:jc w:val="center"/>
              <w:rPr>
                <w:rFonts w:ascii="宋体" w:hAnsi="宋体"/>
                <w:color w:val="auto"/>
                <w:szCs w:val="21"/>
                <w:highlight w:val="none"/>
              </w:rPr>
            </w:pPr>
            <w:r>
              <w:rPr>
                <w:rFonts w:hint="eastAsia" w:ascii="宋体" w:hAnsi="宋体"/>
                <w:color w:val="auto"/>
                <w:szCs w:val="21"/>
                <w:highlight w:val="none"/>
              </w:rPr>
              <w:t>单价</w:t>
            </w:r>
          </w:p>
          <w:p w14:paraId="0DA10B25">
            <w:pPr>
              <w:spacing w:line="360" w:lineRule="auto"/>
              <w:jc w:val="center"/>
              <w:rPr>
                <w:rFonts w:ascii="宋体" w:hAnsi="宋体"/>
                <w:color w:val="auto"/>
                <w:szCs w:val="21"/>
                <w:highlight w:val="none"/>
              </w:rPr>
            </w:pPr>
            <w:r>
              <w:rPr>
                <w:rFonts w:hint="eastAsia" w:ascii="宋体" w:hAnsi="宋体"/>
                <w:color w:val="auto"/>
                <w:szCs w:val="21"/>
                <w:highlight w:val="none"/>
              </w:rPr>
              <w:t>（元）</w:t>
            </w:r>
          </w:p>
        </w:tc>
        <w:tc>
          <w:tcPr>
            <w:tcW w:w="763" w:type="dxa"/>
            <w:vAlign w:val="center"/>
          </w:tcPr>
          <w:p w14:paraId="5591AC59">
            <w:pPr>
              <w:spacing w:line="360" w:lineRule="auto"/>
              <w:jc w:val="center"/>
              <w:rPr>
                <w:rFonts w:ascii="宋体" w:hAnsi="宋体"/>
                <w:color w:val="auto"/>
                <w:szCs w:val="21"/>
                <w:highlight w:val="none"/>
              </w:rPr>
            </w:pPr>
            <w:r>
              <w:rPr>
                <w:rFonts w:hint="eastAsia" w:ascii="宋体" w:hAnsi="宋体"/>
                <w:color w:val="auto"/>
                <w:szCs w:val="21"/>
                <w:highlight w:val="none"/>
              </w:rPr>
              <w:t>金额</w:t>
            </w:r>
          </w:p>
          <w:p w14:paraId="63B1932A">
            <w:pPr>
              <w:spacing w:line="360" w:lineRule="auto"/>
              <w:jc w:val="center"/>
              <w:rPr>
                <w:rFonts w:ascii="宋体" w:hAnsi="宋体"/>
                <w:color w:val="auto"/>
                <w:szCs w:val="21"/>
                <w:highlight w:val="none"/>
              </w:rPr>
            </w:pPr>
            <w:r>
              <w:rPr>
                <w:rFonts w:hint="eastAsia" w:ascii="宋体" w:hAnsi="宋体"/>
                <w:color w:val="auto"/>
                <w:szCs w:val="21"/>
                <w:highlight w:val="none"/>
              </w:rPr>
              <w:t>（元）</w:t>
            </w:r>
          </w:p>
        </w:tc>
      </w:tr>
      <w:tr w14:paraId="04FD3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660" w:type="dxa"/>
            <w:vAlign w:val="center"/>
          </w:tcPr>
          <w:p w14:paraId="2F725E74">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1620" w:type="dxa"/>
            <w:vAlign w:val="center"/>
          </w:tcPr>
          <w:p w14:paraId="09685812">
            <w:pPr>
              <w:spacing w:line="360" w:lineRule="auto"/>
              <w:jc w:val="center"/>
              <w:rPr>
                <w:rFonts w:ascii="宋体" w:hAnsi="宋体"/>
                <w:color w:val="auto"/>
                <w:szCs w:val="21"/>
                <w:highlight w:val="none"/>
              </w:rPr>
            </w:pPr>
          </w:p>
        </w:tc>
        <w:tc>
          <w:tcPr>
            <w:tcW w:w="855" w:type="dxa"/>
            <w:vAlign w:val="center"/>
          </w:tcPr>
          <w:p w14:paraId="7C5C867E">
            <w:pPr>
              <w:spacing w:line="360" w:lineRule="auto"/>
              <w:jc w:val="center"/>
              <w:rPr>
                <w:rFonts w:ascii="宋体" w:hAnsi="宋体"/>
                <w:color w:val="auto"/>
                <w:szCs w:val="21"/>
                <w:highlight w:val="none"/>
              </w:rPr>
            </w:pPr>
          </w:p>
        </w:tc>
        <w:tc>
          <w:tcPr>
            <w:tcW w:w="1190" w:type="dxa"/>
            <w:vAlign w:val="center"/>
          </w:tcPr>
          <w:p w14:paraId="1270730C">
            <w:pPr>
              <w:spacing w:line="360" w:lineRule="auto"/>
              <w:jc w:val="center"/>
              <w:rPr>
                <w:rFonts w:ascii="宋体" w:hAnsi="宋体"/>
                <w:color w:val="auto"/>
                <w:szCs w:val="21"/>
                <w:highlight w:val="none"/>
              </w:rPr>
            </w:pPr>
          </w:p>
        </w:tc>
        <w:tc>
          <w:tcPr>
            <w:tcW w:w="1238" w:type="dxa"/>
            <w:vAlign w:val="center"/>
          </w:tcPr>
          <w:p w14:paraId="2A7090D8">
            <w:pPr>
              <w:spacing w:line="360" w:lineRule="auto"/>
              <w:jc w:val="center"/>
              <w:rPr>
                <w:rFonts w:ascii="宋体" w:hAnsi="宋体"/>
                <w:color w:val="auto"/>
                <w:szCs w:val="21"/>
                <w:highlight w:val="none"/>
              </w:rPr>
            </w:pPr>
          </w:p>
        </w:tc>
        <w:tc>
          <w:tcPr>
            <w:tcW w:w="712" w:type="dxa"/>
            <w:vAlign w:val="center"/>
          </w:tcPr>
          <w:p w14:paraId="42960676">
            <w:pPr>
              <w:spacing w:line="360" w:lineRule="auto"/>
              <w:jc w:val="center"/>
              <w:rPr>
                <w:rFonts w:ascii="宋体" w:hAnsi="宋体"/>
                <w:color w:val="auto"/>
                <w:szCs w:val="21"/>
                <w:highlight w:val="none"/>
              </w:rPr>
            </w:pPr>
          </w:p>
        </w:tc>
        <w:tc>
          <w:tcPr>
            <w:tcW w:w="738" w:type="dxa"/>
            <w:vAlign w:val="center"/>
          </w:tcPr>
          <w:p w14:paraId="4A25C175">
            <w:pPr>
              <w:spacing w:line="360" w:lineRule="auto"/>
              <w:jc w:val="center"/>
              <w:rPr>
                <w:rFonts w:ascii="宋体" w:hAnsi="宋体"/>
                <w:color w:val="auto"/>
                <w:szCs w:val="21"/>
                <w:highlight w:val="none"/>
              </w:rPr>
            </w:pPr>
          </w:p>
        </w:tc>
        <w:tc>
          <w:tcPr>
            <w:tcW w:w="792" w:type="dxa"/>
            <w:vAlign w:val="center"/>
          </w:tcPr>
          <w:p w14:paraId="7851AB54">
            <w:pPr>
              <w:spacing w:line="360" w:lineRule="auto"/>
              <w:jc w:val="center"/>
              <w:rPr>
                <w:rFonts w:ascii="宋体" w:hAnsi="宋体"/>
                <w:color w:val="auto"/>
                <w:szCs w:val="21"/>
                <w:highlight w:val="none"/>
              </w:rPr>
            </w:pPr>
          </w:p>
        </w:tc>
        <w:tc>
          <w:tcPr>
            <w:tcW w:w="792" w:type="dxa"/>
            <w:vAlign w:val="center"/>
          </w:tcPr>
          <w:p w14:paraId="1C07E1C0">
            <w:pPr>
              <w:spacing w:line="360" w:lineRule="auto"/>
              <w:jc w:val="center"/>
              <w:rPr>
                <w:rFonts w:ascii="宋体" w:hAnsi="宋体"/>
                <w:color w:val="auto"/>
                <w:szCs w:val="21"/>
                <w:highlight w:val="none"/>
              </w:rPr>
            </w:pPr>
          </w:p>
        </w:tc>
        <w:tc>
          <w:tcPr>
            <w:tcW w:w="763" w:type="dxa"/>
            <w:vAlign w:val="center"/>
          </w:tcPr>
          <w:p w14:paraId="73498B69">
            <w:pPr>
              <w:spacing w:line="360" w:lineRule="auto"/>
              <w:jc w:val="center"/>
              <w:rPr>
                <w:rFonts w:ascii="宋体" w:hAnsi="宋体"/>
                <w:color w:val="auto"/>
                <w:szCs w:val="21"/>
                <w:highlight w:val="none"/>
              </w:rPr>
            </w:pPr>
          </w:p>
        </w:tc>
      </w:tr>
      <w:tr w14:paraId="67E2F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660" w:type="dxa"/>
            <w:vAlign w:val="center"/>
          </w:tcPr>
          <w:p w14:paraId="590811CD">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1620" w:type="dxa"/>
            <w:vAlign w:val="center"/>
          </w:tcPr>
          <w:p w14:paraId="0DCF3370">
            <w:pPr>
              <w:spacing w:line="360" w:lineRule="auto"/>
              <w:jc w:val="center"/>
              <w:rPr>
                <w:rFonts w:ascii="宋体" w:hAnsi="宋体"/>
                <w:color w:val="auto"/>
                <w:szCs w:val="21"/>
                <w:highlight w:val="none"/>
              </w:rPr>
            </w:pPr>
          </w:p>
        </w:tc>
        <w:tc>
          <w:tcPr>
            <w:tcW w:w="855" w:type="dxa"/>
            <w:vAlign w:val="center"/>
          </w:tcPr>
          <w:p w14:paraId="67C29418">
            <w:pPr>
              <w:spacing w:line="360" w:lineRule="auto"/>
              <w:jc w:val="center"/>
              <w:rPr>
                <w:rFonts w:ascii="宋体" w:hAnsi="宋体"/>
                <w:color w:val="auto"/>
                <w:szCs w:val="21"/>
                <w:highlight w:val="none"/>
              </w:rPr>
            </w:pPr>
          </w:p>
        </w:tc>
        <w:tc>
          <w:tcPr>
            <w:tcW w:w="1190" w:type="dxa"/>
            <w:vAlign w:val="center"/>
          </w:tcPr>
          <w:p w14:paraId="19B31B67">
            <w:pPr>
              <w:spacing w:line="360" w:lineRule="auto"/>
              <w:jc w:val="center"/>
              <w:rPr>
                <w:rFonts w:ascii="宋体" w:hAnsi="宋体"/>
                <w:color w:val="auto"/>
                <w:szCs w:val="21"/>
                <w:highlight w:val="none"/>
              </w:rPr>
            </w:pPr>
          </w:p>
        </w:tc>
        <w:tc>
          <w:tcPr>
            <w:tcW w:w="1238" w:type="dxa"/>
            <w:vAlign w:val="center"/>
          </w:tcPr>
          <w:p w14:paraId="34F534DB">
            <w:pPr>
              <w:spacing w:line="360" w:lineRule="auto"/>
              <w:jc w:val="center"/>
              <w:rPr>
                <w:rFonts w:ascii="宋体" w:hAnsi="宋体"/>
                <w:color w:val="auto"/>
                <w:szCs w:val="21"/>
                <w:highlight w:val="none"/>
              </w:rPr>
            </w:pPr>
          </w:p>
        </w:tc>
        <w:tc>
          <w:tcPr>
            <w:tcW w:w="712" w:type="dxa"/>
            <w:vAlign w:val="center"/>
          </w:tcPr>
          <w:p w14:paraId="794EA236">
            <w:pPr>
              <w:spacing w:line="360" w:lineRule="auto"/>
              <w:jc w:val="center"/>
              <w:rPr>
                <w:rFonts w:ascii="宋体" w:hAnsi="宋体"/>
                <w:color w:val="auto"/>
                <w:szCs w:val="21"/>
                <w:highlight w:val="none"/>
              </w:rPr>
            </w:pPr>
          </w:p>
        </w:tc>
        <w:tc>
          <w:tcPr>
            <w:tcW w:w="738" w:type="dxa"/>
            <w:vAlign w:val="center"/>
          </w:tcPr>
          <w:p w14:paraId="1D9C00BF">
            <w:pPr>
              <w:spacing w:line="360" w:lineRule="auto"/>
              <w:jc w:val="center"/>
              <w:rPr>
                <w:rFonts w:ascii="宋体" w:hAnsi="宋体"/>
                <w:color w:val="auto"/>
                <w:szCs w:val="21"/>
                <w:highlight w:val="none"/>
              </w:rPr>
            </w:pPr>
          </w:p>
        </w:tc>
        <w:tc>
          <w:tcPr>
            <w:tcW w:w="792" w:type="dxa"/>
            <w:vAlign w:val="center"/>
          </w:tcPr>
          <w:p w14:paraId="11AF36C8">
            <w:pPr>
              <w:spacing w:line="360" w:lineRule="auto"/>
              <w:jc w:val="center"/>
              <w:rPr>
                <w:rFonts w:ascii="宋体" w:hAnsi="宋体"/>
                <w:color w:val="auto"/>
                <w:szCs w:val="21"/>
                <w:highlight w:val="none"/>
              </w:rPr>
            </w:pPr>
          </w:p>
        </w:tc>
        <w:tc>
          <w:tcPr>
            <w:tcW w:w="792" w:type="dxa"/>
            <w:vAlign w:val="center"/>
          </w:tcPr>
          <w:p w14:paraId="59873A04">
            <w:pPr>
              <w:spacing w:line="360" w:lineRule="auto"/>
              <w:jc w:val="center"/>
              <w:rPr>
                <w:rFonts w:ascii="宋体" w:hAnsi="宋体"/>
                <w:color w:val="auto"/>
                <w:szCs w:val="21"/>
                <w:highlight w:val="none"/>
              </w:rPr>
            </w:pPr>
          </w:p>
        </w:tc>
        <w:tc>
          <w:tcPr>
            <w:tcW w:w="763" w:type="dxa"/>
            <w:vAlign w:val="center"/>
          </w:tcPr>
          <w:p w14:paraId="083E52D7">
            <w:pPr>
              <w:spacing w:line="360" w:lineRule="auto"/>
              <w:jc w:val="center"/>
              <w:rPr>
                <w:rFonts w:ascii="宋体" w:hAnsi="宋体"/>
                <w:color w:val="auto"/>
                <w:szCs w:val="21"/>
                <w:highlight w:val="none"/>
              </w:rPr>
            </w:pPr>
          </w:p>
        </w:tc>
      </w:tr>
      <w:tr w14:paraId="02438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660" w:type="dxa"/>
            <w:vAlign w:val="center"/>
          </w:tcPr>
          <w:p w14:paraId="5179DA2F">
            <w:pPr>
              <w:spacing w:line="360" w:lineRule="auto"/>
              <w:jc w:val="center"/>
              <w:rPr>
                <w:rFonts w:ascii="宋体" w:hAnsi="宋体"/>
                <w:color w:val="auto"/>
                <w:szCs w:val="21"/>
                <w:highlight w:val="none"/>
              </w:rPr>
            </w:pPr>
            <w:r>
              <w:rPr>
                <w:rFonts w:hint="eastAsia" w:ascii="宋体" w:hAnsi="宋体"/>
                <w:color w:val="auto"/>
                <w:szCs w:val="21"/>
                <w:highlight w:val="none"/>
              </w:rPr>
              <w:t>...</w:t>
            </w:r>
          </w:p>
        </w:tc>
        <w:tc>
          <w:tcPr>
            <w:tcW w:w="1620" w:type="dxa"/>
            <w:vAlign w:val="center"/>
          </w:tcPr>
          <w:p w14:paraId="57382729">
            <w:pPr>
              <w:spacing w:line="360" w:lineRule="auto"/>
              <w:jc w:val="center"/>
              <w:rPr>
                <w:rFonts w:ascii="宋体" w:hAnsi="宋体"/>
                <w:color w:val="auto"/>
                <w:szCs w:val="21"/>
                <w:highlight w:val="none"/>
              </w:rPr>
            </w:pPr>
          </w:p>
        </w:tc>
        <w:tc>
          <w:tcPr>
            <w:tcW w:w="855" w:type="dxa"/>
            <w:vAlign w:val="center"/>
          </w:tcPr>
          <w:p w14:paraId="782A9B76">
            <w:pPr>
              <w:spacing w:line="360" w:lineRule="auto"/>
              <w:jc w:val="center"/>
              <w:rPr>
                <w:rFonts w:ascii="宋体" w:hAnsi="宋体"/>
                <w:color w:val="auto"/>
                <w:szCs w:val="21"/>
                <w:highlight w:val="none"/>
              </w:rPr>
            </w:pPr>
          </w:p>
        </w:tc>
        <w:tc>
          <w:tcPr>
            <w:tcW w:w="1190" w:type="dxa"/>
            <w:vAlign w:val="center"/>
          </w:tcPr>
          <w:p w14:paraId="570D49E8">
            <w:pPr>
              <w:spacing w:line="360" w:lineRule="auto"/>
              <w:jc w:val="center"/>
              <w:rPr>
                <w:rFonts w:ascii="宋体" w:hAnsi="宋体"/>
                <w:color w:val="auto"/>
                <w:szCs w:val="21"/>
                <w:highlight w:val="none"/>
              </w:rPr>
            </w:pPr>
          </w:p>
        </w:tc>
        <w:tc>
          <w:tcPr>
            <w:tcW w:w="1238" w:type="dxa"/>
            <w:vAlign w:val="center"/>
          </w:tcPr>
          <w:p w14:paraId="63BC8BFE">
            <w:pPr>
              <w:spacing w:line="360" w:lineRule="auto"/>
              <w:jc w:val="center"/>
              <w:rPr>
                <w:rFonts w:ascii="宋体" w:hAnsi="宋体"/>
                <w:color w:val="auto"/>
                <w:szCs w:val="21"/>
                <w:highlight w:val="none"/>
              </w:rPr>
            </w:pPr>
          </w:p>
        </w:tc>
        <w:tc>
          <w:tcPr>
            <w:tcW w:w="712" w:type="dxa"/>
            <w:vAlign w:val="center"/>
          </w:tcPr>
          <w:p w14:paraId="72EB3D78">
            <w:pPr>
              <w:spacing w:line="360" w:lineRule="auto"/>
              <w:jc w:val="center"/>
              <w:rPr>
                <w:rFonts w:ascii="宋体" w:hAnsi="宋体"/>
                <w:color w:val="auto"/>
                <w:szCs w:val="21"/>
                <w:highlight w:val="none"/>
              </w:rPr>
            </w:pPr>
          </w:p>
        </w:tc>
        <w:tc>
          <w:tcPr>
            <w:tcW w:w="738" w:type="dxa"/>
            <w:vAlign w:val="center"/>
          </w:tcPr>
          <w:p w14:paraId="2421FE18">
            <w:pPr>
              <w:spacing w:line="360" w:lineRule="auto"/>
              <w:jc w:val="center"/>
              <w:rPr>
                <w:rFonts w:ascii="宋体" w:hAnsi="宋体"/>
                <w:color w:val="auto"/>
                <w:szCs w:val="21"/>
                <w:highlight w:val="none"/>
              </w:rPr>
            </w:pPr>
          </w:p>
        </w:tc>
        <w:tc>
          <w:tcPr>
            <w:tcW w:w="792" w:type="dxa"/>
            <w:vAlign w:val="center"/>
          </w:tcPr>
          <w:p w14:paraId="2CBCADFC">
            <w:pPr>
              <w:spacing w:line="360" w:lineRule="auto"/>
              <w:jc w:val="center"/>
              <w:rPr>
                <w:rFonts w:ascii="宋体" w:hAnsi="宋体"/>
                <w:color w:val="auto"/>
                <w:szCs w:val="21"/>
                <w:highlight w:val="none"/>
              </w:rPr>
            </w:pPr>
          </w:p>
        </w:tc>
        <w:tc>
          <w:tcPr>
            <w:tcW w:w="792" w:type="dxa"/>
            <w:vAlign w:val="center"/>
          </w:tcPr>
          <w:p w14:paraId="4715BE09">
            <w:pPr>
              <w:spacing w:line="360" w:lineRule="auto"/>
              <w:jc w:val="center"/>
              <w:rPr>
                <w:rFonts w:ascii="宋体" w:hAnsi="宋体"/>
                <w:color w:val="auto"/>
                <w:szCs w:val="21"/>
                <w:highlight w:val="none"/>
              </w:rPr>
            </w:pPr>
          </w:p>
        </w:tc>
        <w:tc>
          <w:tcPr>
            <w:tcW w:w="763" w:type="dxa"/>
            <w:vAlign w:val="center"/>
          </w:tcPr>
          <w:p w14:paraId="2E0F7919">
            <w:pPr>
              <w:spacing w:line="360" w:lineRule="auto"/>
              <w:jc w:val="center"/>
              <w:rPr>
                <w:rFonts w:ascii="宋体" w:hAnsi="宋体"/>
                <w:color w:val="auto"/>
                <w:szCs w:val="21"/>
                <w:highlight w:val="none"/>
              </w:rPr>
            </w:pPr>
          </w:p>
        </w:tc>
      </w:tr>
      <w:tr w14:paraId="2543A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9360" w:type="dxa"/>
            <w:gridSpan w:val="10"/>
            <w:vAlign w:val="center"/>
          </w:tcPr>
          <w:p w14:paraId="38C9BC35">
            <w:pPr>
              <w:spacing w:line="360" w:lineRule="auto"/>
              <w:rPr>
                <w:rFonts w:ascii="宋体" w:hAnsi="宋体"/>
                <w:color w:val="auto"/>
                <w:szCs w:val="21"/>
                <w:highlight w:val="none"/>
              </w:rPr>
            </w:pPr>
            <w:r>
              <w:rPr>
                <w:rFonts w:hint="eastAsia" w:ascii="宋体" w:hAnsi="宋体"/>
                <w:color w:val="auto"/>
                <w:szCs w:val="21"/>
                <w:highlight w:val="none"/>
              </w:rPr>
              <w:t>合计金额（人民币）：</w:t>
            </w:r>
            <w:r>
              <w:rPr>
                <w:rFonts w:hint="eastAsia" w:ascii="宋体" w:hAnsi="宋体"/>
                <w:color w:val="auto"/>
                <w:szCs w:val="21"/>
                <w:highlight w:val="none"/>
                <w:u w:val="single"/>
              </w:rPr>
              <w:t>（大写               元整）（小写¥            ）</w:t>
            </w:r>
          </w:p>
        </w:tc>
      </w:tr>
    </w:tbl>
    <w:p w14:paraId="26224CFF">
      <w:pPr>
        <w:spacing w:line="360" w:lineRule="auto"/>
        <w:ind w:firstLine="516" w:firstLineChars="246"/>
        <w:rPr>
          <w:rFonts w:ascii="Arial" w:hAnsi="Arial" w:cs="Arial"/>
          <w:color w:val="auto"/>
          <w:szCs w:val="21"/>
          <w:highlight w:val="none"/>
        </w:rPr>
      </w:pPr>
      <w:r>
        <w:rPr>
          <w:rFonts w:ascii="Arial" w:hAnsi="Arial" w:cs="Arial"/>
          <w:color w:val="auto"/>
          <w:szCs w:val="21"/>
          <w:highlight w:val="none"/>
        </w:rPr>
        <w:t>根据《</w:t>
      </w:r>
      <w:r>
        <w:rPr>
          <w:rFonts w:hint="eastAsia" w:ascii="Arial" w:hAnsi="Arial" w:cs="Arial"/>
          <w:color w:val="auto"/>
          <w:szCs w:val="21"/>
          <w:highlight w:val="none"/>
        </w:rPr>
        <w:t>成交</w:t>
      </w:r>
      <w:r>
        <w:rPr>
          <w:rFonts w:ascii="Arial" w:hAnsi="Arial" w:cs="Arial"/>
          <w:color w:val="auto"/>
          <w:szCs w:val="21"/>
          <w:highlight w:val="none"/>
        </w:rPr>
        <w:t>通知书》的</w:t>
      </w:r>
      <w:r>
        <w:rPr>
          <w:rFonts w:hint="eastAsia" w:ascii="Arial" w:hAnsi="Arial" w:cs="Arial"/>
          <w:color w:val="auto"/>
          <w:szCs w:val="21"/>
          <w:highlight w:val="none"/>
        </w:rPr>
        <w:t>成交</w:t>
      </w:r>
      <w:r>
        <w:rPr>
          <w:rFonts w:ascii="Arial" w:hAnsi="Arial" w:cs="Arial"/>
          <w:color w:val="auto"/>
          <w:szCs w:val="21"/>
          <w:highlight w:val="none"/>
        </w:rPr>
        <w:t>内容，乙方作为本项目的</w:t>
      </w:r>
      <w:r>
        <w:rPr>
          <w:rFonts w:hint="eastAsia" w:ascii="Arial" w:hAnsi="Arial" w:cs="Arial"/>
          <w:color w:val="auto"/>
          <w:szCs w:val="21"/>
          <w:highlight w:val="none"/>
        </w:rPr>
        <w:t>成交</w:t>
      </w:r>
      <w:r>
        <w:rPr>
          <w:rFonts w:ascii="Arial" w:hAnsi="Arial" w:cs="Arial"/>
          <w:color w:val="auto"/>
          <w:szCs w:val="21"/>
          <w:highlight w:val="none"/>
        </w:rPr>
        <w:t>人，合同</w:t>
      </w:r>
      <w:r>
        <w:rPr>
          <w:rFonts w:hint="eastAsia" w:ascii="Arial" w:hAnsi="Arial" w:cs="Arial"/>
          <w:color w:val="auto"/>
          <w:szCs w:val="21"/>
          <w:highlight w:val="none"/>
        </w:rPr>
        <w:t>（含税）</w:t>
      </w:r>
      <w:r>
        <w:rPr>
          <w:rFonts w:ascii="Arial" w:hAnsi="Arial" w:cs="Arial"/>
          <w:color w:val="auto"/>
          <w:szCs w:val="21"/>
          <w:highlight w:val="none"/>
        </w:rPr>
        <w:t>总金额为：（大写）</w:t>
      </w:r>
      <w:r>
        <w:rPr>
          <w:rFonts w:ascii="Arial" w:hAnsi="Arial" w:cs="Arial"/>
          <w:color w:val="auto"/>
          <w:szCs w:val="21"/>
          <w:highlight w:val="none"/>
          <w:u w:val="single"/>
        </w:rPr>
        <w:t>　　</w:t>
      </w:r>
      <w:r>
        <w:rPr>
          <w:rFonts w:ascii="Arial" w:hAnsi="Arial" w:cs="Arial"/>
          <w:color w:val="auto"/>
          <w:szCs w:val="21"/>
          <w:highlight w:val="none"/>
        </w:rPr>
        <w:t>人民币（</w:t>
      </w:r>
      <w:r>
        <w:rPr>
          <w:rFonts w:hint="eastAsia" w:ascii="Arial" w:hAnsi="Arial" w:cs="Arial"/>
          <w:color w:val="auto"/>
          <w:szCs w:val="21"/>
          <w:highlight w:val="none"/>
        </w:rPr>
        <w:t>¥</w:t>
      </w:r>
      <w:r>
        <w:rPr>
          <w:rFonts w:ascii="Arial" w:hAnsi="Arial" w:cs="Arial"/>
          <w:color w:val="auto"/>
          <w:szCs w:val="21"/>
          <w:highlight w:val="none"/>
          <w:u w:val="single"/>
        </w:rPr>
        <w:t>　　　　　　　</w:t>
      </w:r>
      <w:r>
        <w:rPr>
          <w:rFonts w:ascii="Arial" w:hAnsi="Arial" w:cs="Arial"/>
          <w:color w:val="auto"/>
          <w:szCs w:val="21"/>
          <w:highlight w:val="none"/>
        </w:rPr>
        <w:t>元）</w:t>
      </w:r>
    </w:p>
    <w:p w14:paraId="7084FC00">
      <w:pPr>
        <w:spacing w:line="360" w:lineRule="auto"/>
        <w:ind w:firstLine="413" w:firstLineChars="196"/>
        <w:rPr>
          <w:rFonts w:ascii="Arial" w:hAnsi="Arial" w:cs="Arial"/>
          <w:b/>
          <w:color w:val="auto"/>
          <w:szCs w:val="21"/>
          <w:highlight w:val="none"/>
        </w:rPr>
      </w:pPr>
      <w:r>
        <w:rPr>
          <w:rFonts w:ascii="Arial" w:hAnsi="Arial" w:cs="Arial"/>
          <w:b/>
          <w:color w:val="auto"/>
          <w:szCs w:val="21"/>
          <w:highlight w:val="none"/>
        </w:rPr>
        <w:t>第二条  质量保证</w:t>
      </w:r>
    </w:p>
    <w:p w14:paraId="7916D516">
      <w:pPr>
        <w:spacing w:line="360" w:lineRule="auto"/>
        <w:ind w:firstLine="411" w:firstLineChars="196"/>
        <w:rPr>
          <w:rFonts w:ascii="Arial" w:hAnsi="Arial" w:cs="Arial"/>
          <w:color w:val="auto"/>
          <w:szCs w:val="21"/>
          <w:highlight w:val="none"/>
        </w:rPr>
      </w:pPr>
      <w:r>
        <w:rPr>
          <w:rFonts w:ascii="Arial" w:hAnsi="Arial" w:cs="Arial"/>
          <w:color w:val="auto"/>
          <w:szCs w:val="21"/>
          <w:highlight w:val="none"/>
        </w:rPr>
        <w:t>1．乙方应按</w:t>
      </w:r>
      <w:r>
        <w:rPr>
          <w:rFonts w:hint="eastAsia" w:ascii="Arial" w:hAnsi="Arial" w:cs="Arial"/>
          <w:color w:val="auto"/>
          <w:szCs w:val="21"/>
          <w:highlight w:val="none"/>
        </w:rPr>
        <w:t>响应文件</w:t>
      </w:r>
      <w:r>
        <w:rPr>
          <w:rFonts w:ascii="Arial" w:hAnsi="Arial" w:cs="Arial"/>
          <w:color w:val="auto"/>
          <w:szCs w:val="21"/>
          <w:highlight w:val="none"/>
        </w:rPr>
        <w:t>承诺的货物型号、技术规格、技术参数、质量标准向甲方提供未经使用的全新原装产品，且在正常安装、使用和保养条件下，其使用寿命期内各项指标均达到质量标准。</w:t>
      </w:r>
    </w:p>
    <w:p w14:paraId="26D95395">
      <w:pPr>
        <w:spacing w:line="360" w:lineRule="auto"/>
        <w:ind w:firstLine="435"/>
        <w:rPr>
          <w:rFonts w:ascii="Arial" w:hAnsi="Arial" w:cs="Arial"/>
          <w:color w:val="auto"/>
          <w:szCs w:val="21"/>
          <w:highlight w:val="none"/>
        </w:rPr>
      </w:pPr>
      <w:r>
        <w:rPr>
          <w:rFonts w:ascii="Arial" w:hAnsi="Arial" w:cs="Arial"/>
          <w:color w:val="auto"/>
          <w:szCs w:val="21"/>
          <w:highlight w:val="none"/>
        </w:rPr>
        <w:t>2．乙方提供货物的质量保证期为</w:t>
      </w:r>
      <w:r>
        <w:rPr>
          <w:rFonts w:ascii="Arial" w:hAnsi="Arial" w:cs="Arial"/>
          <w:color w:val="auto"/>
          <w:szCs w:val="21"/>
          <w:highlight w:val="none"/>
          <w:u w:val="single"/>
        </w:rPr>
        <w:t xml:space="preserve">             </w:t>
      </w:r>
      <w:r>
        <w:rPr>
          <w:rFonts w:ascii="Arial" w:hAnsi="Arial" w:cs="Arial"/>
          <w:color w:val="auto"/>
          <w:szCs w:val="21"/>
          <w:highlight w:val="none"/>
        </w:rPr>
        <w:t>。在质保期内因货物本身的质量问题发生故障，乙方应负责免费修理和更换零部件。对达不到技术要求者，根据实际情况，</w:t>
      </w:r>
      <w:r>
        <w:rPr>
          <w:rFonts w:hint="eastAsia" w:ascii="Arial" w:hAnsi="Arial" w:cs="Arial"/>
          <w:color w:val="auto"/>
          <w:szCs w:val="21"/>
          <w:highlight w:val="none"/>
        </w:rPr>
        <w:t>甲方有权选择</w:t>
      </w:r>
      <w:r>
        <w:rPr>
          <w:rFonts w:ascii="Arial" w:hAnsi="Arial" w:cs="Arial"/>
          <w:color w:val="auto"/>
          <w:szCs w:val="21"/>
          <w:highlight w:val="none"/>
        </w:rPr>
        <w:t>按以下办法</w:t>
      </w:r>
      <w:r>
        <w:rPr>
          <w:rFonts w:hint="eastAsia" w:ascii="Arial" w:hAnsi="Arial" w:cs="Arial"/>
          <w:color w:val="auto"/>
          <w:szCs w:val="21"/>
          <w:highlight w:val="none"/>
        </w:rPr>
        <w:t>之一</w:t>
      </w:r>
      <w:r>
        <w:rPr>
          <w:rFonts w:ascii="Arial" w:hAnsi="Arial" w:cs="Arial"/>
          <w:color w:val="auto"/>
          <w:szCs w:val="21"/>
          <w:highlight w:val="none"/>
        </w:rPr>
        <w:t>处理：</w:t>
      </w:r>
    </w:p>
    <w:p w14:paraId="38B300C5">
      <w:pPr>
        <w:spacing w:line="360" w:lineRule="auto"/>
        <w:ind w:firstLine="435"/>
        <w:rPr>
          <w:rFonts w:ascii="Arial" w:hAnsi="Arial" w:cs="Arial"/>
          <w:color w:val="auto"/>
          <w:szCs w:val="21"/>
          <w:highlight w:val="none"/>
        </w:rPr>
      </w:pPr>
      <w:r>
        <w:rPr>
          <w:rFonts w:ascii="Arial" w:hAnsi="Arial" w:cs="Arial"/>
          <w:color w:val="auto"/>
          <w:szCs w:val="21"/>
          <w:highlight w:val="none"/>
        </w:rPr>
        <w:t>（1）更换：由乙方承担所有发生的全部费用</w:t>
      </w:r>
      <w:r>
        <w:rPr>
          <w:rFonts w:hint="eastAsia" w:ascii="Arial" w:hAnsi="Arial" w:cs="Arial"/>
          <w:color w:val="auto"/>
          <w:szCs w:val="21"/>
          <w:highlight w:val="none"/>
        </w:rPr>
        <w:t>和停用期间损失（按照每日每台【100 】元计）</w:t>
      </w:r>
      <w:r>
        <w:rPr>
          <w:rFonts w:ascii="Arial" w:hAnsi="Arial" w:cs="Arial"/>
          <w:color w:val="auto"/>
          <w:szCs w:val="21"/>
          <w:highlight w:val="none"/>
        </w:rPr>
        <w:t>。</w:t>
      </w:r>
    </w:p>
    <w:p w14:paraId="7D238812">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（2）贬值处理：由甲乙双方合议定价。</w:t>
      </w:r>
    </w:p>
    <w:p w14:paraId="538C862D">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（3）退货处理：乙方应退还甲方支付的合同款，同时应承担该货物的直接费用（运输、保险、检验、贷款利息及银行手续费等）</w:t>
      </w:r>
      <w:r>
        <w:rPr>
          <w:rFonts w:hint="eastAsia" w:ascii="Arial" w:hAnsi="Arial" w:cs="Arial"/>
          <w:color w:val="auto"/>
          <w:szCs w:val="21"/>
          <w:highlight w:val="none"/>
        </w:rPr>
        <w:t>和停用期间损失（按照每日每台【 100 】元计）</w:t>
      </w:r>
      <w:r>
        <w:rPr>
          <w:rFonts w:ascii="Arial" w:hAnsi="Arial" w:cs="Arial"/>
          <w:color w:val="auto"/>
          <w:szCs w:val="21"/>
          <w:highlight w:val="none"/>
        </w:rPr>
        <w:t>。</w:t>
      </w:r>
    </w:p>
    <w:p w14:paraId="3B0B4ABF">
      <w:pPr>
        <w:spacing w:line="360" w:lineRule="auto"/>
        <w:ind w:firstLine="413" w:firstLineChars="196"/>
        <w:rPr>
          <w:rFonts w:ascii="Arial" w:hAnsi="Arial" w:cs="Arial"/>
          <w:b/>
          <w:color w:val="auto"/>
          <w:szCs w:val="21"/>
          <w:highlight w:val="none"/>
        </w:rPr>
      </w:pPr>
      <w:r>
        <w:rPr>
          <w:rFonts w:ascii="Arial" w:hAnsi="Arial" w:cs="Arial"/>
          <w:b/>
          <w:color w:val="auto"/>
          <w:szCs w:val="21"/>
          <w:highlight w:val="none"/>
        </w:rPr>
        <w:t xml:space="preserve">第三条  </w:t>
      </w:r>
      <w:r>
        <w:rPr>
          <w:rFonts w:hint="eastAsia" w:ascii="Arial" w:hAnsi="Arial" w:cs="Arial"/>
          <w:b/>
          <w:color w:val="auto"/>
          <w:szCs w:val="21"/>
          <w:highlight w:val="none"/>
        </w:rPr>
        <w:t>权利</w:t>
      </w:r>
      <w:r>
        <w:rPr>
          <w:rFonts w:ascii="Arial" w:hAnsi="Arial" w:cs="Arial"/>
          <w:b/>
          <w:color w:val="auto"/>
          <w:szCs w:val="21"/>
          <w:highlight w:val="none"/>
        </w:rPr>
        <w:t>保证</w:t>
      </w:r>
    </w:p>
    <w:p w14:paraId="2BC9AD58">
      <w:pPr>
        <w:spacing w:line="360" w:lineRule="auto"/>
        <w:ind w:firstLine="411" w:firstLineChars="196"/>
        <w:rPr>
          <w:rFonts w:ascii="Arial" w:hAnsi="Arial" w:cs="Arial"/>
          <w:color w:val="auto"/>
          <w:szCs w:val="21"/>
          <w:highlight w:val="none"/>
        </w:rPr>
      </w:pPr>
      <w:r>
        <w:rPr>
          <w:rFonts w:ascii="Arial" w:hAnsi="Arial" w:cs="Arial"/>
          <w:color w:val="auto"/>
          <w:szCs w:val="21"/>
          <w:highlight w:val="none"/>
        </w:rPr>
        <w:t>1．乙方应保证所提供货物在使用时不会侵犯任何第三方的专利权、商标权、工业设计权或其他权利。</w:t>
      </w:r>
    </w:p>
    <w:p w14:paraId="2D5D1F61">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2. 乙方应按</w:t>
      </w:r>
      <w:r>
        <w:rPr>
          <w:rFonts w:hint="eastAsia" w:ascii="Arial" w:hAnsi="Arial" w:cs="Arial"/>
          <w:color w:val="auto"/>
          <w:szCs w:val="21"/>
          <w:highlight w:val="none"/>
        </w:rPr>
        <w:t>采购文件</w:t>
      </w:r>
      <w:r>
        <w:rPr>
          <w:rFonts w:ascii="Arial" w:hAnsi="Arial" w:cs="Arial"/>
          <w:color w:val="auto"/>
          <w:szCs w:val="21"/>
          <w:highlight w:val="none"/>
        </w:rPr>
        <w:t>规定的时间向甲方提供使用货物的有关技术资料。</w:t>
      </w:r>
    </w:p>
    <w:p w14:paraId="735D28A6">
      <w:pPr>
        <w:spacing w:line="360" w:lineRule="auto"/>
        <w:rPr>
          <w:rFonts w:ascii="Arial" w:hAnsi="Arial" w:cs="Arial"/>
          <w:color w:val="auto"/>
          <w:szCs w:val="21"/>
          <w:highlight w:val="none"/>
        </w:rPr>
      </w:pPr>
      <w:r>
        <w:rPr>
          <w:rFonts w:ascii="Arial" w:hAnsi="Arial" w:cs="Arial"/>
          <w:color w:val="auto"/>
          <w:szCs w:val="21"/>
          <w:highlight w:val="none"/>
        </w:rPr>
        <w:t xml:space="preserve">    3．乙方保证所交付的货物的所有权完全属于乙方且无任何抵押、质押、查封等产权瑕疵</w:t>
      </w:r>
      <w:r>
        <w:rPr>
          <w:rFonts w:hint="eastAsia" w:ascii="Arial" w:hAnsi="Arial" w:cs="Arial"/>
          <w:color w:val="auto"/>
          <w:szCs w:val="21"/>
          <w:highlight w:val="none"/>
        </w:rPr>
        <w:t>或权利限制</w:t>
      </w:r>
      <w:r>
        <w:rPr>
          <w:rFonts w:ascii="Arial" w:hAnsi="Arial" w:cs="Arial"/>
          <w:color w:val="auto"/>
          <w:szCs w:val="21"/>
          <w:highlight w:val="none"/>
        </w:rPr>
        <w:t>。</w:t>
      </w:r>
    </w:p>
    <w:p w14:paraId="7CE54F40">
      <w:pPr>
        <w:spacing w:line="360" w:lineRule="auto"/>
        <w:ind w:firstLine="422" w:firstLineChars="200"/>
        <w:rPr>
          <w:rFonts w:ascii="Arial" w:hAnsi="Arial" w:cs="Arial"/>
          <w:b/>
          <w:color w:val="auto"/>
          <w:szCs w:val="21"/>
          <w:highlight w:val="none"/>
        </w:rPr>
      </w:pPr>
      <w:r>
        <w:rPr>
          <w:rFonts w:ascii="Arial" w:hAnsi="Arial" w:cs="Arial"/>
          <w:b/>
          <w:color w:val="auto"/>
          <w:szCs w:val="21"/>
          <w:highlight w:val="none"/>
        </w:rPr>
        <w:t>第四条  货物包装、运输</w:t>
      </w:r>
    </w:p>
    <w:p w14:paraId="621E768D">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1．乙方应在货物发运前对其进行满足运输距离、防潮、防震和防破损装卸等要求包装，以保证货物安全运达甲方指定地点。</w:t>
      </w:r>
    </w:p>
    <w:p w14:paraId="066E3EC6">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2．使用说明书、质量检验证明书、随配附件和工具以及清单一并附于货物内。</w:t>
      </w:r>
    </w:p>
    <w:p w14:paraId="6939FE2C">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3．乙方在货物发运手续办理完毕后二十四小时内或货到甲方四十八小时前通知甲方，以准备接货。</w:t>
      </w:r>
    </w:p>
    <w:p w14:paraId="6E0A6D85">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4．货物在</w:t>
      </w:r>
      <w:r>
        <w:rPr>
          <w:rFonts w:hint="eastAsia" w:ascii="Arial" w:hAnsi="Arial" w:cs="Arial"/>
          <w:color w:val="auto"/>
          <w:szCs w:val="21"/>
          <w:highlight w:val="none"/>
        </w:rPr>
        <w:t>最终验收移交</w:t>
      </w:r>
      <w:r>
        <w:rPr>
          <w:rFonts w:ascii="Arial" w:hAnsi="Arial" w:cs="Arial"/>
          <w:color w:val="auto"/>
          <w:szCs w:val="21"/>
          <w:highlight w:val="none"/>
        </w:rPr>
        <w:t>甲方前发生的风险均由乙方负责。</w:t>
      </w:r>
    </w:p>
    <w:p w14:paraId="6B30BAA8">
      <w:pPr>
        <w:spacing w:line="360" w:lineRule="auto"/>
        <w:ind w:firstLine="413" w:firstLineChars="196"/>
        <w:rPr>
          <w:rFonts w:ascii="Arial" w:hAnsi="Arial" w:cs="Arial"/>
          <w:b/>
          <w:color w:val="auto"/>
          <w:szCs w:val="21"/>
          <w:highlight w:val="none"/>
        </w:rPr>
      </w:pPr>
      <w:r>
        <w:rPr>
          <w:rFonts w:ascii="Arial" w:hAnsi="Arial" w:cs="Arial"/>
          <w:b/>
          <w:color w:val="auto"/>
          <w:szCs w:val="21"/>
          <w:highlight w:val="none"/>
        </w:rPr>
        <w:t>第五条  交付</w:t>
      </w:r>
    </w:p>
    <w:p w14:paraId="7BE2EBC2">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1．</w:t>
      </w:r>
      <w:r>
        <w:rPr>
          <w:rFonts w:hint="eastAsia" w:ascii="Arial" w:hAnsi="Arial" w:cs="Arial"/>
          <w:color w:val="auto"/>
          <w:szCs w:val="21"/>
          <w:highlight w:val="none"/>
        </w:rPr>
        <w:t>交货时间：自签订合同之日起60个日历天</w:t>
      </w:r>
      <w:r>
        <w:rPr>
          <w:rFonts w:ascii="Arial" w:hAnsi="Arial" w:cs="Arial"/>
          <w:color w:val="auto"/>
          <w:szCs w:val="21"/>
          <w:highlight w:val="none"/>
        </w:rPr>
        <w:t>内到货并安装</w:t>
      </w:r>
      <w:r>
        <w:rPr>
          <w:rFonts w:hint="eastAsia" w:ascii="Arial" w:hAnsi="Arial" w:cs="Arial"/>
          <w:color w:val="auto"/>
          <w:szCs w:val="21"/>
          <w:highlight w:val="none"/>
        </w:rPr>
        <w:t>调试验收</w:t>
      </w:r>
      <w:r>
        <w:rPr>
          <w:rFonts w:ascii="Arial" w:hAnsi="Arial" w:cs="Arial"/>
          <w:color w:val="auto"/>
          <w:szCs w:val="21"/>
          <w:highlight w:val="none"/>
        </w:rPr>
        <w:t>完毕</w:t>
      </w:r>
      <w:r>
        <w:rPr>
          <w:rFonts w:hint="eastAsia" w:ascii="Arial" w:hAnsi="Arial" w:cs="Arial"/>
          <w:color w:val="auto"/>
          <w:szCs w:val="21"/>
          <w:highlight w:val="none"/>
        </w:rPr>
        <w:t>。交货地点：广西师范大学雁山校区、育才校区。</w:t>
      </w:r>
    </w:p>
    <w:p w14:paraId="2BEC5794">
      <w:pPr>
        <w:spacing w:line="360" w:lineRule="auto"/>
        <w:rPr>
          <w:rFonts w:ascii="Arial" w:hAnsi="Arial" w:cs="Arial"/>
          <w:color w:val="auto"/>
          <w:szCs w:val="21"/>
          <w:highlight w:val="none"/>
        </w:rPr>
      </w:pPr>
      <w:r>
        <w:rPr>
          <w:rFonts w:ascii="Arial" w:hAnsi="Arial" w:cs="Arial"/>
          <w:color w:val="auto"/>
          <w:szCs w:val="21"/>
          <w:highlight w:val="none"/>
        </w:rPr>
        <w:t xml:space="preserve">    2．乙方提供不符合</w:t>
      </w:r>
      <w:r>
        <w:rPr>
          <w:rFonts w:hint="eastAsia" w:ascii="Arial" w:hAnsi="Arial" w:cs="Arial"/>
          <w:color w:val="auto"/>
          <w:szCs w:val="21"/>
          <w:highlight w:val="none"/>
        </w:rPr>
        <w:t>采购文件</w:t>
      </w:r>
      <w:r>
        <w:rPr>
          <w:rFonts w:ascii="Arial" w:hAnsi="Arial" w:cs="Arial"/>
          <w:color w:val="auto"/>
          <w:szCs w:val="21"/>
          <w:highlight w:val="none"/>
        </w:rPr>
        <w:t>、</w:t>
      </w:r>
      <w:r>
        <w:rPr>
          <w:rFonts w:hint="eastAsia" w:ascii="Arial" w:hAnsi="Arial" w:cs="Arial"/>
          <w:color w:val="auto"/>
          <w:szCs w:val="21"/>
          <w:highlight w:val="none"/>
        </w:rPr>
        <w:t>响应文件</w:t>
      </w:r>
      <w:r>
        <w:rPr>
          <w:rFonts w:ascii="Arial" w:hAnsi="Arial" w:cs="Arial"/>
          <w:color w:val="auto"/>
          <w:szCs w:val="21"/>
          <w:highlight w:val="none"/>
        </w:rPr>
        <w:t>和本合同规定的货物，甲方有权拒绝</w:t>
      </w:r>
      <w:r>
        <w:rPr>
          <w:rFonts w:hint="eastAsia" w:ascii="Arial" w:hAnsi="Arial" w:cs="Arial"/>
          <w:color w:val="auto"/>
          <w:szCs w:val="21"/>
          <w:highlight w:val="none"/>
        </w:rPr>
        <w:t>接收</w:t>
      </w:r>
      <w:r>
        <w:rPr>
          <w:rFonts w:ascii="Arial" w:hAnsi="Arial" w:cs="Arial"/>
          <w:color w:val="auto"/>
          <w:szCs w:val="21"/>
          <w:highlight w:val="none"/>
        </w:rPr>
        <w:t>。</w:t>
      </w:r>
    </w:p>
    <w:p w14:paraId="29EA6710">
      <w:pPr>
        <w:spacing w:line="360" w:lineRule="auto"/>
        <w:rPr>
          <w:rFonts w:ascii="Arial" w:hAnsi="Arial" w:cs="Arial"/>
          <w:color w:val="auto"/>
          <w:szCs w:val="21"/>
          <w:highlight w:val="none"/>
        </w:rPr>
      </w:pPr>
      <w:r>
        <w:rPr>
          <w:rFonts w:ascii="Arial" w:hAnsi="Arial" w:cs="Arial"/>
          <w:color w:val="auto"/>
          <w:szCs w:val="21"/>
          <w:highlight w:val="none"/>
        </w:rPr>
        <w:t xml:space="preserve">    3．乙方应将所有提供货物的装箱清单、用户手册、原厂保修卡、随机资料、工具和备用、备件等交付给甲方、如有缺失应及时补齐，否则视为逾期交货。</w:t>
      </w:r>
    </w:p>
    <w:p w14:paraId="136513FC">
      <w:pPr>
        <w:spacing w:line="360" w:lineRule="auto"/>
        <w:rPr>
          <w:rFonts w:ascii="宋体" w:hAnsi="宋体"/>
          <w:b/>
          <w:color w:val="auto"/>
          <w:szCs w:val="21"/>
          <w:highlight w:val="none"/>
        </w:rPr>
      </w:pPr>
      <w:r>
        <w:rPr>
          <w:rFonts w:ascii="Arial" w:hAnsi="Arial" w:cs="Arial"/>
          <w:b/>
          <w:color w:val="auto"/>
          <w:szCs w:val="21"/>
          <w:highlight w:val="none"/>
        </w:rPr>
        <w:t xml:space="preserve">第六条  </w:t>
      </w:r>
      <w:r>
        <w:rPr>
          <w:rFonts w:hint="eastAsia" w:ascii="宋体" w:hAnsi="宋体"/>
          <w:b/>
          <w:color w:val="auto"/>
          <w:szCs w:val="21"/>
          <w:highlight w:val="none"/>
        </w:rPr>
        <w:t>质量标准、验收标准、验收程序及方法</w:t>
      </w:r>
    </w:p>
    <w:p w14:paraId="09DB9EDE">
      <w:pPr>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1.质量标准</w:t>
      </w:r>
    </w:p>
    <w:p w14:paraId="5BEA9595">
      <w:pPr>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本项目执行国家相关标准、行业标准、地方标准或者其他标准、规范。如具体采购需求与标准、规范不一致的，高于标准、规范的按具体采购需求执行；低于标准、规范的按标准、规范执行。供应商所提供的产品必须是全新、完好、无破损、未经使用的原装产品，产品符合制造厂家合格产品的出厂质量标准，且在正常安装、使用和保养条件下，其使用寿命期内各项指标均达到质量要求。</w:t>
      </w:r>
    </w:p>
    <w:p w14:paraId="47FF7071">
      <w:pPr>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2.验收标准</w:t>
      </w:r>
    </w:p>
    <w:p w14:paraId="0D27C40C">
      <w:pPr>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1）本项目执行国家相关标准、行业标准、地方标准或者其他标准、规范。如具体采购需求与标准、规范不一致的，高于标准、规范的按具体采购需求执行；低于标准、规范的按标准、规范执行。供应商所提供的产品必须是全新、完好、无破损、未经使用的原装产品，产品符合制造厂家合格产品的出厂质量标准，且在正常安装、使用和保养条件下，其使用寿命期内各项指标均达到质量要求。</w:t>
      </w:r>
    </w:p>
    <w:p w14:paraId="618F2D45">
      <w:pPr>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2）产品到货后，甲方现场根据谈判文件要求及响应文件承诺逐条对应进行核验（含测试或试运行），核验不合格的，甲方有权不予验收，同时报相关监督管理部门，由此造成甲方经济损失的由乙方负责承担全部赔偿责任。</w:t>
      </w:r>
    </w:p>
    <w:p w14:paraId="70C7ED2C">
      <w:pPr>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3）因产品质量问题发生争议的，应邀请国家认可的质量检测机构对产品质量进行鉴定。产品符合标准的，鉴定费由甲方承担；产品不符合标准的，鉴定费由乙方承担。</w:t>
      </w:r>
    </w:p>
    <w:p w14:paraId="1434DDFA">
      <w:pPr>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3.验收程序及方法：</w:t>
      </w:r>
    </w:p>
    <w:p w14:paraId="4A87C943">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1</w:t>
      </w:r>
      <w:r>
        <w:rPr>
          <w:rFonts w:hint="eastAsia" w:ascii="Arial" w:hAnsi="Arial" w:cs="Arial"/>
          <w:color w:val="auto"/>
          <w:szCs w:val="21"/>
          <w:highlight w:val="none"/>
        </w:rPr>
        <w:t>）乙方履行完合同义务后，书面向甲方提交验收申请。</w:t>
      </w:r>
    </w:p>
    <w:p w14:paraId="7D50ACDA">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2</w:t>
      </w:r>
      <w:r>
        <w:rPr>
          <w:rFonts w:hint="eastAsia" w:ascii="Arial" w:hAnsi="Arial" w:cs="Arial"/>
          <w:color w:val="auto"/>
          <w:szCs w:val="21"/>
          <w:highlight w:val="none"/>
        </w:rPr>
        <w:t>）甲方委托第三方机构组织项目验收的，其验收时间以该项目验收方案确定的验收时间为准。</w:t>
      </w:r>
    </w:p>
    <w:p w14:paraId="38EDC6E2">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3</w:t>
      </w:r>
      <w:r>
        <w:rPr>
          <w:rFonts w:hint="eastAsia" w:ascii="Arial" w:hAnsi="Arial" w:cs="Arial"/>
          <w:color w:val="auto"/>
          <w:szCs w:val="21"/>
          <w:highlight w:val="none"/>
        </w:rPr>
        <w:t>）本项目验收由验收小组按照采购合同约定对每一项技术和商务要求的履约情况进行确认。</w:t>
      </w:r>
    </w:p>
    <w:p w14:paraId="7B09C32C">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4</w:t>
      </w:r>
      <w:r>
        <w:rPr>
          <w:rFonts w:hint="eastAsia" w:ascii="Arial" w:hAnsi="Arial" w:cs="Arial"/>
          <w:color w:val="auto"/>
          <w:szCs w:val="21"/>
          <w:highlight w:val="none"/>
        </w:rPr>
        <w:t>）验收结束后，验收小组出具采购验收书，验收书应当包括每一项技术和商务要求的履约情况，并列明项目总体评价，由验收小组、甲方和乙方共同签署。甲方委托第三方机构组织项目验收的，其验收结果以第三方机构出具验收结论为准，甲方和乙方共同签署确认。</w:t>
      </w:r>
    </w:p>
    <w:p w14:paraId="0FA1460E">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5</w:t>
      </w:r>
      <w:r>
        <w:rPr>
          <w:rFonts w:hint="eastAsia" w:ascii="Arial" w:hAnsi="Arial" w:cs="Arial"/>
          <w:color w:val="auto"/>
          <w:szCs w:val="21"/>
          <w:highlight w:val="none"/>
        </w:rPr>
        <w:t>）验收过程中所产生的一切费用均由乙方承担。</w:t>
      </w:r>
    </w:p>
    <w:p w14:paraId="40DED751">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6</w:t>
      </w:r>
      <w:r>
        <w:rPr>
          <w:rFonts w:hint="eastAsia" w:ascii="Arial" w:hAnsi="Arial" w:cs="Arial"/>
          <w:color w:val="auto"/>
          <w:szCs w:val="21"/>
          <w:highlight w:val="none"/>
        </w:rPr>
        <w:t>）验收书一式五份，甲乙双方各执二份、受托第三方机构一份（如有）。</w:t>
      </w:r>
    </w:p>
    <w:p w14:paraId="74993780">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7</w:t>
      </w:r>
      <w:r>
        <w:rPr>
          <w:rFonts w:hint="eastAsia" w:ascii="Arial" w:hAnsi="Arial" w:cs="Arial"/>
          <w:color w:val="auto"/>
          <w:szCs w:val="21"/>
          <w:highlight w:val="none"/>
        </w:rPr>
        <w:t>）验收结论不合格的，乙方应自收到验收书后</w:t>
      </w:r>
      <w:r>
        <w:rPr>
          <w:rFonts w:ascii="Arial" w:hAnsi="Arial" w:cs="Arial"/>
          <w:color w:val="auto"/>
          <w:szCs w:val="21"/>
          <w:highlight w:val="none"/>
        </w:rPr>
        <w:t>7</w:t>
      </w:r>
      <w:r>
        <w:rPr>
          <w:rFonts w:hint="eastAsia" w:ascii="Arial" w:hAnsi="Arial" w:cs="Arial"/>
          <w:color w:val="auto"/>
          <w:szCs w:val="21"/>
          <w:highlight w:val="none"/>
        </w:rPr>
        <w:t>日内及时予以解决。经乙方对验收结论不合格的货物进行整改后，仍然达不到要求的，甲方有权选择按以下办法之一处理：</w:t>
      </w:r>
    </w:p>
    <w:p w14:paraId="09FC8C1F">
      <w:pPr>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①更换：由乙方承担所发生的全部费用。</w:t>
      </w:r>
    </w:p>
    <w:p w14:paraId="0EC9A014">
      <w:pPr>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②贬值处理：由甲乙双方合议定价。</w:t>
      </w:r>
    </w:p>
    <w:p w14:paraId="09A87AAA">
      <w:pPr>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③退货处</w:t>
      </w:r>
      <w:r>
        <w:rPr>
          <w:rFonts w:ascii="Arial" w:hAnsi="Arial" w:cs="Arial"/>
          <w:color w:val="auto"/>
          <w:szCs w:val="21"/>
          <w:highlight w:val="none"/>
        </w:rPr>
        <w:t>理：乙方应退还甲方支付的合同款，同时应承担该货物的直接费用（运输、保险、检验、贷款利息及银行手续费等）</w:t>
      </w:r>
      <w:r>
        <w:rPr>
          <w:rFonts w:hint="eastAsia" w:ascii="Arial" w:hAnsi="Arial" w:cs="Arial"/>
          <w:color w:val="auto"/>
          <w:szCs w:val="21"/>
          <w:highlight w:val="none"/>
        </w:rPr>
        <w:t>和停用期间损失（按照每日每台【 100 】元计）</w:t>
      </w:r>
      <w:r>
        <w:rPr>
          <w:rFonts w:ascii="Arial" w:hAnsi="Arial" w:cs="Arial"/>
          <w:color w:val="auto"/>
          <w:szCs w:val="21"/>
          <w:highlight w:val="none"/>
        </w:rPr>
        <w:t>。</w:t>
      </w:r>
    </w:p>
    <w:p w14:paraId="77524DC4">
      <w:pPr>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4</w:t>
      </w:r>
      <w:r>
        <w:rPr>
          <w:rFonts w:ascii="Arial" w:hAnsi="Arial" w:cs="Arial"/>
          <w:color w:val="auto"/>
          <w:szCs w:val="21"/>
          <w:highlight w:val="none"/>
        </w:rPr>
        <w:t>.</w:t>
      </w:r>
      <w:r>
        <w:rPr>
          <w:rFonts w:hint="eastAsia" w:ascii="Arial" w:hAnsi="Arial" w:cs="Arial"/>
          <w:color w:val="auto"/>
          <w:szCs w:val="21"/>
          <w:highlight w:val="none"/>
        </w:rPr>
        <w:t>交付标准和方法</w:t>
      </w:r>
    </w:p>
    <w:p w14:paraId="7FDB6A1D">
      <w:pPr>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w:t>
      </w:r>
      <w:r>
        <w:rPr>
          <w:rFonts w:ascii="Arial" w:hAnsi="Arial" w:cs="Arial"/>
          <w:color w:val="auto"/>
          <w:szCs w:val="21"/>
          <w:highlight w:val="none"/>
        </w:rPr>
        <w:t>1</w:t>
      </w:r>
      <w:r>
        <w:rPr>
          <w:rFonts w:hint="eastAsia" w:ascii="Arial" w:hAnsi="Arial" w:cs="Arial"/>
          <w:color w:val="auto"/>
          <w:szCs w:val="21"/>
          <w:highlight w:val="none"/>
        </w:rPr>
        <w:t>）除售后服务验收外，验收结论合格的，乙方应自收到验收书后</w:t>
      </w:r>
      <w:r>
        <w:rPr>
          <w:rFonts w:ascii="Arial" w:hAnsi="Arial" w:cs="Arial"/>
          <w:color w:val="auto"/>
          <w:szCs w:val="21"/>
          <w:highlight w:val="none"/>
        </w:rPr>
        <w:t>7</w:t>
      </w:r>
      <w:r>
        <w:rPr>
          <w:rFonts w:hint="eastAsia" w:ascii="Arial" w:hAnsi="Arial" w:cs="Arial"/>
          <w:color w:val="auto"/>
          <w:szCs w:val="21"/>
          <w:highlight w:val="none"/>
        </w:rPr>
        <w:t>日内向甲方交付使用。</w:t>
      </w:r>
    </w:p>
    <w:p w14:paraId="4145872D">
      <w:pPr>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rPr>
        <w:t>（</w:t>
      </w:r>
      <w:r>
        <w:rPr>
          <w:rFonts w:ascii="Arial" w:hAnsi="Arial" w:cs="Arial"/>
          <w:color w:val="auto"/>
          <w:szCs w:val="21"/>
          <w:highlight w:val="none"/>
        </w:rPr>
        <w:t>2</w:t>
      </w:r>
      <w:r>
        <w:rPr>
          <w:rFonts w:hint="eastAsia" w:ascii="Arial" w:hAnsi="Arial" w:cs="Arial"/>
          <w:color w:val="auto"/>
          <w:szCs w:val="21"/>
          <w:highlight w:val="none"/>
        </w:rPr>
        <w:t>）货物的所有权和风险自交付时起由乙方转移至甲方，货物交付给甲方之前所有风险均由乙方承担。</w:t>
      </w:r>
    </w:p>
    <w:p w14:paraId="0F7A7C8E">
      <w:pPr>
        <w:spacing w:line="360" w:lineRule="auto"/>
        <w:ind w:firstLine="413" w:firstLineChars="196"/>
        <w:rPr>
          <w:rFonts w:ascii="Arial" w:hAnsi="Arial" w:cs="Arial"/>
          <w:b/>
          <w:color w:val="auto"/>
          <w:szCs w:val="21"/>
          <w:highlight w:val="none"/>
        </w:rPr>
      </w:pPr>
      <w:r>
        <w:rPr>
          <w:rFonts w:ascii="Arial" w:hAnsi="Arial" w:cs="Arial"/>
          <w:b/>
          <w:color w:val="auto"/>
          <w:szCs w:val="21"/>
          <w:highlight w:val="none"/>
        </w:rPr>
        <w:t>第七条  安装和培训</w:t>
      </w:r>
    </w:p>
    <w:p w14:paraId="2BC4BEBF">
      <w:pPr>
        <w:spacing w:line="360" w:lineRule="auto"/>
        <w:ind w:firstLine="315" w:firstLineChars="150"/>
        <w:rPr>
          <w:rFonts w:ascii="Arial" w:hAnsi="Arial" w:cs="Arial"/>
          <w:color w:val="auto"/>
          <w:szCs w:val="21"/>
          <w:highlight w:val="none"/>
        </w:rPr>
      </w:pPr>
      <w:r>
        <w:rPr>
          <w:rFonts w:ascii="Arial" w:hAnsi="Arial" w:cs="Arial"/>
          <w:color w:val="auto"/>
          <w:szCs w:val="21"/>
          <w:highlight w:val="none"/>
        </w:rPr>
        <w:t xml:space="preserve"> 1．甲方应提供必要安装条件（如场地、电源、水源等）。</w:t>
      </w:r>
    </w:p>
    <w:p w14:paraId="4EB2BEEB">
      <w:pPr>
        <w:spacing w:line="360" w:lineRule="auto"/>
        <w:ind w:firstLine="315" w:firstLineChars="150"/>
        <w:rPr>
          <w:rFonts w:ascii="Arial" w:hAnsi="Arial" w:cs="Arial"/>
          <w:color w:val="auto"/>
          <w:szCs w:val="21"/>
          <w:highlight w:val="none"/>
        </w:rPr>
      </w:pPr>
      <w:r>
        <w:rPr>
          <w:rFonts w:ascii="Arial" w:hAnsi="Arial" w:cs="Arial"/>
          <w:color w:val="auto"/>
          <w:szCs w:val="21"/>
          <w:highlight w:val="none"/>
        </w:rPr>
        <w:t xml:space="preserve"> 2．乙方负责甲方有关人员的培训。培训时间、地点：</w:t>
      </w:r>
      <w:r>
        <w:rPr>
          <w:rFonts w:ascii="Arial" w:hAnsi="Arial" w:cs="Arial"/>
          <w:color w:val="auto"/>
          <w:szCs w:val="21"/>
          <w:highlight w:val="none"/>
          <w:u w:val="single"/>
        </w:rPr>
        <w:t>广西桂林市采购人指定时间地点</w:t>
      </w:r>
      <w:r>
        <w:rPr>
          <w:rFonts w:ascii="Arial" w:hAnsi="Arial" w:cs="Arial"/>
          <w:color w:val="auto"/>
          <w:szCs w:val="21"/>
          <w:highlight w:val="none"/>
        </w:rPr>
        <w:t>。</w:t>
      </w:r>
    </w:p>
    <w:p w14:paraId="23435A12">
      <w:pPr>
        <w:spacing w:line="360" w:lineRule="auto"/>
        <w:ind w:firstLine="413" w:firstLineChars="196"/>
        <w:rPr>
          <w:rFonts w:ascii="Arial" w:hAnsi="Arial" w:cs="Arial"/>
          <w:b/>
          <w:color w:val="auto"/>
          <w:szCs w:val="21"/>
          <w:highlight w:val="none"/>
        </w:rPr>
      </w:pPr>
      <w:r>
        <w:rPr>
          <w:rFonts w:ascii="Arial" w:hAnsi="Arial" w:cs="Arial"/>
          <w:b/>
          <w:color w:val="auto"/>
          <w:szCs w:val="21"/>
          <w:highlight w:val="none"/>
        </w:rPr>
        <w:t>第八条  售后服务、保修期</w:t>
      </w:r>
    </w:p>
    <w:p w14:paraId="7FF5400F">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1．乙方应按照国家有关法律规定和“三包”规定以及</w:t>
      </w:r>
      <w:r>
        <w:rPr>
          <w:rFonts w:hint="eastAsia" w:ascii="Arial" w:hAnsi="Arial" w:cs="Arial"/>
          <w:color w:val="auto"/>
          <w:szCs w:val="21"/>
          <w:highlight w:val="none"/>
        </w:rPr>
        <w:t>响应文件</w:t>
      </w:r>
      <w:r>
        <w:rPr>
          <w:rFonts w:ascii="Arial" w:hAnsi="Arial" w:cs="Arial"/>
          <w:color w:val="auto"/>
          <w:szCs w:val="21"/>
          <w:highlight w:val="none"/>
        </w:rPr>
        <w:t>和本合同所附的《服务承诺》，为甲方提供售后服务。</w:t>
      </w:r>
    </w:p>
    <w:p w14:paraId="68DF4468">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2．如在使用过程中发生质量问题，乙方在接到甲方通知后在</w:t>
      </w:r>
      <w:r>
        <w:rPr>
          <w:rFonts w:hint="eastAsia" w:ascii="Arial" w:hAnsi="Arial" w:cs="Arial"/>
          <w:color w:val="auto"/>
          <w:szCs w:val="21"/>
          <w:highlight w:val="none"/>
          <w:u w:val="single"/>
        </w:rPr>
        <w:t>响应文件</w:t>
      </w:r>
      <w:r>
        <w:rPr>
          <w:rFonts w:ascii="Arial" w:hAnsi="Arial" w:cs="Arial"/>
          <w:color w:val="auto"/>
          <w:szCs w:val="21"/>
          <w:highlight w:val="none"/>
          <w:u w:val="single"/>
        </w:rPr>
        <w:t>承诺的时间</w:t>
      </w:r>
      <w:r>
        <w:rPr>
          <w:rFonts w:ascii="Arial" w:hAnsi="Arial" w:cs="Arial"/>
          <w:color w:val="auto"/>
          <w:szCs w:val="21"/>
          <w:highlight w:val="none"/>
        </w:rPr>
        <w:t>内到达甲方现场处理。</w:t>
      </w:r>
    </w:p>
    <w:p w14:paraId="192627A0">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3．在质保期内，乙方应对货物出现的质量及安全问题负责处理解决并承担一切费用。</w:t>
      </w:r>
    </w:p>
    <w:p w14:paraId="58FACFA6">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4．货物免费保修（升级、维护）期限为</w:t>
      </w:r>
      <w:r>
        <w:rPr>
          <w:rFonts w:ascii="Arial" w:hAnsi="Arial" w:cs="Arial"/>
          <w:color w:val="auto"/>
          <w:szCs w:val="21"/>
          <w:highlight w:val="none"/>
          <w:u w:val="single"/>
        </w:rPr>
        <w:t>按乙方</w:t>
      </w:r>
      <w:r>
        <w:rPr>
          <w:rFonts w:hint="eastAsia" w:ascii="Arial" w:hAnsi="Arial" w:cs="Arial"/>
          <w:color w:val="auto"/>
          <w:szCs w:val="21"/>
          <w:highlight w:val="none"/>
          <w:u w:val="single"/>
        </w:rPr>
        <w:t>响应文件</w:t>
      </w:r>
      <w:r>
        <w:rPr>
          <w:rFonts w:ascii="Arial" w:hAnsi="Arial" w:cs="Arial"/>
          <w:color w:val="auto"/>
          <w:szCs w:val="21"/>
          <w:highlight w:val="none"/>
          <w:u w:val="single"/>
        </w:rPr>
        <w:t>中承诺且不低于采购要求的时间</w:t>
      </w:r>
      <w:r>
        <w:rPr>
          <w:rFonts w:ascii="Arial" w:hAnsi="Arial" w:cs="Arial"/>
          <w:color w:val="auto"/>
          <w:szCs w:val="21"/>
          <w:highlight w:val="none"/>
        </w:rPr>
        <w:t>，因人为因素出现的故障不在免费保修范围内。超过保修期的货物，终生维修，维修时只收部件成本费。</w:t>
      </w:r>
    </w:p>
    <w:p w14:paraId="0DC626E1">
      <w:pPr>
        <w:spacing w:line="360" w:lineRule="auto"/>
        <w:ind w:firstLine="413" w:firstLineChars="196"/>
        <w:rPr>
          <w:rFonts w:ascii="Arial" w:hAnsi="Arial" w:cs="Arial"/>
          <w:b/>
          <w:color w:val="auto"/>
          <w:szCs w:val="21"/>
          <w:highlight w:val="none"/>
        </w:rPr>
      </w:pPr>
      <w:r>
        <w:rPr>
          <w:rFonts w:ascii="Arial" w:hAnsi="Arial" w:cs="Arial"/>
          <w:b/>
          <w:color w:val="auto"/>
          <w:szCs w:val="21"/>
          <w:highlight w:val="none"/>
        </w:rPr>
        <w:t>第九条  税费</w:t>
      </w:r>
    </w:p>
    <w:p w14:paraId="5310481B">
      <w:pPr>
        <w:spacing w:line="360" w:lineRule="auto"/>
        <w:ind w:firstLine="411" w:firstLineChars="196"/>
        <w:rPr>
          <w:rFonts w:ascii="Arial" w:hAnsi="Arial" w:cs="Arial"/>
          <w:color w:val="auto"/>
          <w:szCs w:val="21"/>
          <w:highlight w:val="none"/>
        </w:rPr>
      </w:pPr>
      <w:r>
        <w:rPr>
          <w:rFonts w:ascii="Arial" w:hAnsi="Arial" w:cs="Arial"/>
          <w:color w:val="auto"/>
          <w:szCs w:val="21"/>
          <w:highlight w:val="none"/>
        </w:rPr>
        <w:t>本合同执行中相关的一切税费均由乙方负担。</w:t>
      </w:r>
    </w:p>
    <w:p w14:paraId="5455D04E">
      <w:pPr>
        <w:spacing w:line="360" w:lineRule="auto"/>
        <w:ind w:firstLine="413" w:firstLineChars="196"/>
        <w:rPr>
          <w:rFonts w:ascii="Arial" w:hAnsi="Arial" w:cs="Arial"/>
          <w:b/>
          <w:color w:val="auto"/>
          <w:szCs w:val="21"/>
          <w:highlight w:val="none"/>
        </w:rPr>
      </w:pPr>
      <w:r>
        <w:rPr>
          <w:rFonts w:ascii="Arial" w:hAnsi="Arial" w:cs="Arial"/>
          <w:b/>
          <w:color w:val="auto"/>
          <w:szCs w:val="21"/>
          <w:highlight w:val="none"/>
        </w:rPr>
        <w:t>第十条  付款方式</w:t>
      </w:r>
    </w:p>
    <w:p w14:paraId="6A09A8AD">
      <w:pPr>
        <w:spacing w:line="360" w:lineRule="auto"/>
        <w:ind w:firstLine="411" w:firstLineChars="196"/>
        <w:rPr>
          <w:rFonts w:ascii="Arial" w:hAnsi="Arial" w:cs="Arial"/>
          <w:color w:val="auto"/>
          <w:szCs w:val="21"/>
          <w:highlight w:val="none"/>
        </w:rPr>
      </w:pPr>
      <w:r>
        <w:rPr>
          <w:rFonts w:hint="eastAsia" w:ascii="Arial" w:hAnsi="Arial" w:cs="Arial"/>
          <w:color w:val="auto"/>
          <w:szCs w:val="21"/>
          <w:highlight w:val="none"/>
        </w:rPr>
        <w:t>乙方按合同约定交货、测试验收合格后15日内甲方支付合同总金额的100%，甲方在支付合同款项前，乙方须按甲方要求开具相应发票并办理支付手续（无息）。</w:t>
      </w:r>
    </w:p>
    <w:p w14:paraId="084472F0">
      <w:pPr>
        <w:spacing w:line="360" w:lineRule="auto"/>
        <w:ind w:firstLine="413" w:firstLineChars="196"/>
        <w:rPr>
          <w:rFonts w:ascii="Arial" w:hAnsi="Arial" w:cs="Arial"/>
          <w:bCs/>
          <w:color w:val="auto"/>
          <w:szCs w:val="21"/>
          <w:highlight w:val="none"/>
        </w:rPr>
      </w:pPr>
      <w:r>
        <w:rPr>
          <w:rFonts w:ascii="Arial" w:hAnsi="Arial" w:cs="Arial"/>
          <w:b/>
          <w:color w:val="auto"/>
          <w:szCs w:val="21"/>
          <w:highlight w:val="none"/>
        </w:rPr>
        <w:t>第</w:t>
      </w:r>
      <w:r>
        <w:rPr>
          <w:rFonts w:hint="eastAsia" w:ascii="Arial" w:hAnsi="Arial" w:cs="Arial"/>
          <w:b/>
          <w:color w:val="auto"/>
          <w:szCs w:val="21"/>
          <w:highlight w:val="none"/>
        </w:rPr>
        <w:t>十一</w:t>
      </w:r>
      <w:r>
        <w:rPr>
          <w:rFonts w:ascii="Arial" w:hAnsi="Arial" w:cs="Arial"/>
          <w:b/>
          <w:color w:val="auto"/>
          <w:szCs w:val="21"/>
          <w:highlight w:val="none"/>
        </w:rPr>
        <w:t>条 履约保证金</w:t>
      </w:r>
      <w:r>
        <w:rPr>
          <w:rFonts w:ascii="Arial" w:hAnsi="Arial" w:cs="Arial"/>
          <w:bCs/>
          <w:color w:val="auto"/>
          <w:szCs w:val="21"/>
          <w:highlight w:val="none"/>
        </w:rPr>
        <w:t xml:space="preserve">   </w:t>
      </w:r>
    </w:p>
    <w:p w14:paraId="1E241ECF">
      <w:pPr>
        <w:spacing w:line="360" w:lineRule="auto"/>
        <w:ind w:firstLine="411" w:firstLineChars="196"/>
        <w:rPr>
          <w:rFonts w:ascii="Arial" w:hAnsi="Arial" w:cs="Arial"/>
          <w:bCs/>
          <w:color w:val="auto"/>
          <w:szCs w:val="21"/>
          <w:highlight w:val="none"/>
        </w:rPr>
      </w:pPr>
      <w:r>
        <w:rPr>
          <w:rFonts w:hint="eastAsia" w:ascii="Arial" w:hAnsi="Arial" w:cs="Arial"/>
          <w:bCs/>
          <w:color w:val="auto"/>
          <w:szCs w:val="21"/>
          <w:highlight w:val="none"/>
        </w:rPr>
        <w:t>1.</w:t>
      </w:r>
      <w:r>
        <w:rPr>
          <w:rFonts w:ascii="Arial" w:hAnsi="Arial" w:cs="Arial"/>
          <w:bCs/>
          <w:color w:val="auto"/>
          <w:szCs w:val="21"/>
          <w:highlight w:val="none"/>
        </w:rPr>
        <w:t>履约保证金金额：合同金额的</w:t>
      </w:r>
      <w:r>
        <w:rPr>
          <w:rFonts w:hint="eastAsia" w:ascii="Arial" w:hAnsi="Arial" w:cs="Arial"/>
          <w:bCs/>
          <w:color w:val="auto"/>
          <w:szCs w:val="21"/>
          <w:highlight w:val="none"/>
        </w:rPr>
        <w:t>2</w:t>
      </w:r>
      <w:r>
        <w:rPr>
          <w:rFonts w:ascii="Arial" w:hAnsi="Arial" w:cs="Arial"/>
          <w:bCs/>
          <w:color w:val="auto"/>
          <w:szCs w:val="21"/>
          <w:highlight w:val="none"/>
        </w:rPr>
        <w:t>%</w:t>
      </w:r>
    </w:p>
    <w:p w14:paraId="434B6CC7">
      <w:pPr>
        <w:spacing w:line="360" w:lineRule="auto"/>
        <w:ind w:firstLine="411" w:firstLineChars="196"/>
        <w:rPr>
          <w:rFonts w:ascii="Arial" w:hAnsi="Arial" w:cs="Arial"/>
          <w:bCs/>
          <w:color w:val="auto"/>
          <w:szCs w:val="21"/>
          <w:highlight w:val="none"/>
        </w:rPr>
      </w:pPr>
      <w:r>
        <w:rPr>
          <w:rFonts w:ascii="Arial" w:hAnsi="Arial" w:cs="Arial"/>
          <w:bCs/>
          <w:color w:val="auto"/>
          <w:szCs w:val="21"/>
          <w:highlight w:val="none"/>
        </w:rPr>
        <w:t>履约保证金缴纳形式：供应商可以选择电汇、转账、支票、汇票、本票、保函等形式缴纳或提交；采用保函形式缴纳的，甲方在保证期限届满后及时对收取的保证金进行核实和结算。</w:t>
      </w:r>
    </w:p>
    <w:p w14:paraId="5F5CEA42">
      <w:pPr>
        <w:spacing w:line="360" w:lineRule="auto"/>
        <w:ind w:firstLine="411" w:firstLineChars="196"/>
        <w:rPr>
          <w:rFonts w:ascii="Arial" w:hAnsi="Arial" w:cs="Arial"/>
          <w:bCs/>
          <w:color w:val="auto"/>
          <w:szCs w:val="21"/>
          <w:highlight w:val="none"/>
        </w:rPr>
      </w:pPr>
      <w:r>
        <w:rPr>
          <w:rFonts w:ascii="Arial" w:hAnsi="Arial" w:cs="Arial"/>
          <w:bCs/>
          <w:color w:val="auto"/>
          <w:szCs w:val="21"/>
          <w:highlight w:val="none"/>
        </w:rPr>
        <w:t>保证金缴纳的账号信息：</w:t>
      </w:r>
    </w:p>
    <w:p w14:paraId="0BDB2246">
      <w:pPr>
        <w:spacing w:line="360" w:lineRule="auto"/>
        <w:ind w:firstLine="411" w:firstLineChars="196"/>
        <w:rPr>
          <w:rFonts w:ascii="Arial" w:hAnsi="Arial" w:cs="Arial"/>
          <w:bCs/>
          <w:color w:val="auto"/>
          <w:szCs w:val="21"/>
          <w:highlight w:val="none"/>
        </w:rPr>
      </w:pPr>
      <w:r>
        <w:rPr>
          <w:rFonts w:ascii="Arial" w:hAnsi="Arial" w:cs="Arial"/>
          <w:bCs/>
          <w:color w:val="auto"/>
          <w:szCs w:val="21"/>
          <w:highlight w:val="none"/>
        </w:rPr>
        <w:t>开户名称：广西师范大学</w:t>
      </w:r>
    </w:p>
    <w:p w14:paraId="1F2A0B09">
      <w:pPr>
        <w:spacing w:line="360" w:lineRule="auto"/>
        <w:ind w:firstLine="411" w:firstLineChars="196"/>
        <w:rPr>
          <w:rFonts w:ascii="Arial" w:hAnsi="Arial" w:cs="Arial"/>
          <w:bCs/>
          <w:color w:val="auto"/>
          <w:szCs w:val="21"/>
          <w:highlight w:val="none"/>
        </w:rPr>
      </w:pPr>
      <w:r>
        <w:rPr>
          <w:rFonts w:ascii="Arial" w:hAnsi="Arial" w:cs="Arial"/>
          <w:bCs/>
          <w:color w:val="auto"/>
          <w:szCs w:val="21"/>
          <w:highlight w:val="none"/>
        </w:rPr>
        <w:t>开户银行：中国工商银行股份有限公司桂林市高新科技支行</w:t>
      </w:r>
    </w:p>
    <w:p w14:paraId="43EE8C93">
      <w:pPr>
        <w:spacing w:line="360" w:lineRule="auto"/>
        <w:ind w:firstLine="411" w:firstLineChars="196"/>
        <w:rPr>
          <w:rFonts w:ascii="Arial" w:hAnsi="Arial" w:cs="Arial"/>
          <w:bCs/>
          <w:color w:val="auto"/>
          <w:szCs w:val="21"/>
          <w:highlight w:val="none"/>
        </w:rPr>
      </w:pPr>
      <w:r>
        <w:rPr>
          <w:rFonts w:ascii="Arial" w:hAnsi="Arial" w:cs="Arial"/>
          <w:bCs/>
          <w:color w:val="auto"/>
          <w:szCs w:val="21"/>
          <w:highlight w:val="none"/>
        </w:rPr>
        <w:t>账    号：2103215109264004618</w:t>
      </w:r>
    </w:p>
    <w:p w14:paraId="271BF9B5">
      <w:pPr>
        <w:spacing w:line="360" w:lineRule="auto"/>
        <w:ind w:firstLine="411" w:firstLineChars="196"/>
        <w:rPr>
          <w:rFonts w:ascii="Arial" w:hAnsi="Arial" w:cs="Arial"/>
          <w:bCs/>
          <w:color w:val="auto"/>
          <w:szCs w:val="21"/>
          <w:highlight w:val="none"/>
        </w:rPr>
      </w:pPr>
      <w:r>
        <w:rPr>
          <w:rFonts w:ascii="Arial" w:hAnsi="Arial" w:cs="Arial"/>
          <w:bCs/>
          <w:color w:val="auto"/>
          <w:szCs w:val="21"/>
          <w:highlight w:val="none"/>
        </w:rPr>
        <w:t>履约保证金退还方式及时间、条件、不予退还的情形：履约保证金待履行完合同约定的权利义务事项后【</w:t>
      </w:r>
      <w:r>
        <w:rPr>
          <w:rFonts w:hint="eastAsia" w:ascii="Arial" w:hAnsi="Arial" w:cs="Arial"/>
          <w:bCs/>
          <w:color w:val="auto"/>
          <w:szCs w:val="21"/>
          <w:highlight w:val="none"/>
        </w:rPr>
        <w:t>乙方</w:t>
      </w:r>
      <w:r>
        <w:rPr>
          <w:rFonts w:ascii="Arial" w:hAnsi="Arial" w:cs="Arial"/>
          <w:bCs/>
          <w:color w:val="auto"/>
          <w:szCs w:val="21"/>
          <w:highlight w:val="none"/>
        </w:rPr>
        <w:t>承诺保质期（免费保修、维护、升级期）满】且不存在争议的，由</w:t>
      </w:r>
      <w:r>
        <w:rPr>
          <w:rFonts w:hint="eastAsia" w:ascii="Arial" w:hAnsi="Arial" w:cs="Arial"/>
          <w:bCs/>
          <w:color w:val="auto"/>
          <w:szCs w:val="21"/>
          <w:highlight w:val="none"/>
        </w:rPr>
        <w:t>乙方</w:t>
      </w:r>
      <w:r>
        <w:rPr>
          <w:rFonts w:ascii="Arial" w:hAnsi="Arial" w:cs="Arial"/>
          <w:bCs/>
          <w:color w:val="auto"/>
          <w:szCs w:val="21"/>
          <w:highlight w:val="none"/>
        </w:rPr>
        <w:t>向履约保证金收取单位提供</w:t>
      </w:r>
      <w:r>
        <w:rPr>
          <w:rFonts w:ascii="Arial" w:hAnsi="Arial" w:cs="Arial"/>
          <w:color w:val="auto"/>
          <w:szCs w:val="21"/>
          <w:highlight w:val="none"/>
        </w:rPr>
        <w:t>《采购项目履约保证金退付意见书》</w:t>
      </w:r>
      <w:r>
        <w:rPr>
          <w:rFonts w:ascii="Arial" w:hAnsi="Arial" w:cs="Arial"/>
          <w:bCs/>
          <w:color w:val="auto"/>
          <w:szCs w:val="21"/>
          <w:highlight w:val="none"/>
        </w:rPr>
        <w:t>，履约保证金收取单位在收到合格材料后</w:t>
      </w:r>
      <w:r>
        <w:rPr>
          <w:rFonts w:hint="eastAsia" w:ascii="Arial" w:hAnsi="Arial" w:cs="Arial"/>
          <w:bCs/>
          <w:color w:val="auto"/>
          <w:szCs w:val="21"/>
          <w:highlight w:val="none"/>
        </w:rPr>
        <w:t>30</w:t>
      </w:r>
      <w:r>
        <w:rPr>
          <w:rFonts w:ascii="Arial" w:hAnsi="Arial" w:cs="Arial"/>
          <w:bCs/>
          <w:color w:val="auto"/>
          <w:szCs w:val="21"/>
          <w:highlight w:val="none"/>
        </w:rPr>
        <w:t>个工作日内办理退还手续（不计利息）。乙方发生违约事项的，甲方将违约金在履约保证金中相应扣除，</w:t>
      </w:r>
      <w:r>
        <w:rPr>
          <w:rFonts w:hint="eastAsia" w:ascii="Arial" w:hAnsi="Arial" w:cs="Arial"/>
          <w:bCs/>
          <w:color w:val="auto"/>
          <w:szCs w:val="21"/>
          <w:highlight w:val="none"/>
        </w:rPr>
        <w:t>履约保证金</w:t>
      </w:r>
      <w:r>
        <w:rPr>
          <w:rFonts w:ascii="Arial" w:hAnsi="Arial" w:cs="Arial"/>
          <w:bCs/>
          <w:color w:val="auto"/>
          <w:szCs w:val="21"/>
          <w:highlight w:val="none"/>
        </w:rPr>
        <w:t>余额无息返还乙方。</w:t>
      </w:r>
    </w:p>
    <w:p w14:paraId="30B2C419">
      <w:pPr>
        <w:spacing w:line="360" w:lineRule="auto"/>
        <w:ind w:firstLine="411" w:firstLineChars="196"/>
        <w:rPr>
          <w:rFonts w:ascii="Arial" w:hAnsi="Arial" w:cs="Arial"/>
          <w:bCs/>
          <w:color w:val="auto"/>
          <w:szCs w:val="21"/>
          <w:highlight w:val="none"/>
        </w:rPr>
      </w:pPr>
      <w:r>
        <w:rPr>
          <w:rFonts w:ascii="Arial" w:hAnsi="Arial" w:cs="Arial"/>
          <w:bCs/>
          <w:color w:val="auto"/>
          <w:szCs w:val="21"/>
          <w:highlight w:val="none"/>
        </w:rPr>
        <w:t>2、</w:t>
      </w:r>
      <w:r>
        <w:rPr>
          <w:rFonts w:hint="eastAsia" w:ascii="Arial" w:hAnsi="Arial" w:cs="Arial"/>
          <w:bCs/>
          <w:color w:val="auto"/>
          <w:szCs w:val="21"/>
          <w:highlight w:val="none"/>
        </w:rPr>
        <w:t>履约</w:t>
      </w:r>
      <w:r>
        <w:rPr>
          <w:rFonts w:ascii="Arial" w:hAnsi="Arial" w:cs="Arial"/>
          <w:bCs/>
          <w:color w:val="auto"/>
          <w:szCs w:val="21"/>
          <w:highlight w:val="none"/>
        </w:rPr>
        <w:t>保证金采用保函形式缴纳的，采购人在保证期限届满后及时对收取的保证金进行核实和结算。</w:t>
      </w:r>
    </w:p>
    <w:p w14:paraId="26DD2191">
      <w:pPr>
        <w:spacing w:line="360" w:lineRule="auto"/>
        <w:ind w:firstLine="413" w:firstLineChars="196"/>
        <w:rPr>
          <w:rFonts w:ascii="Arial" w:hAnsi="Arial" w:cs="Arial"/>
          <w:b/>
          <w:color w:val="auto"/>
          <w:szCs w:val="21"/>
          <w:highlight w:val="none"/>
        </w:rPr>
      </w:pPr>
      <w:r>
        <w:rPr>
          <w:rFonts w:ascii="Arial" w:hAnsi="Arial" w:cs="Arial"/>
          <w:b/>
          <w:color w:val="auto"/>
          <w:szCs w:val="21"/>
          <w:highlight w:val="none"/>
        </w:rPr>
        <w:t>第十</w:t>
      </w:r>
      <w:r>
        <w:rPr>
          <w:rFonts w:hint="eastAsia" w:ascii="Arial" w:hAnsi="Arial" w:cs="Arial"/>
          <w:b/>
          <w:color w:val="auto"/>
          <w:szCs w:val="21"/>
          <w:highlight w:val="none"/>
        </w:rPr>
        <w:t>二</w:t>
      </w:r>
      <w:r>
        <w:rPr>
          <w:rFonts w:ascii="Arial" w:hAnsi="Arial" w:cs="Arial"/>
          <w:b/>
          <w:color w:val="auto"/>
          <w:szCs w:val="21"/>
          <w:highlight w:val="none"/>
        </w:rPr>
        <w:t>条  违约责任</w:t>
      </w:r>
    </w:p>
    <w:p w14:paraId="7A0D90DE">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1．乙方所提供的货物规格、技术标准、材料等质量不合格的，应及时更换，更换不及时</w:t>
      </w:r>
      <w:r>
        <w:rPr>
          <w:rFonts w:hint="eastAsia" w:ascii="Arial" w:hAnsi="Arial" w:cs="Arial"/>
          <w:color w:val="auto"/>
          <w:szCs w:val="21"/>
          <w:highlight w:val="none"/>
        </w:rPr>
        <w:t>造成逾期交货的</w:t>
      </w:r>
      <w:r>
        <w:rPr>
          <w:rFonts w:ascii="Arial" w:hAnsi="Arial" w:cs="Arial"/>
          <w:color w:val="auto"/>
          <w:szCs w:val="21"/>
          <w:highlight w:val="none"/>
        </w:rPr>
        <w:t>，乙方应</w:t>
      </w:r>
      <w:r>
        <w:rPr>
          <w:rFonts w:hint="eastAsia" w:ascii="Arial" w:hAnsi="Arial" w:cs="Arial"/>
          <w:color w:val="auto"/>
          <w:szCs w:val="21"/>
          <w:highlight w:val="none"/>
        </w:rPr>
        <w:t>每日</w:t>
      </w:r>
      <w:r>
        <w:rPr>
          <w:rFonts w:ascii="Arial" w:hAnsi="Arial" w:cs="Arial"/>
          <w:color w:val="auto"/>
          <w:szCs w:val="21"/>
          <w:highlight w:val="none"/>
        </w:rPr>
        <w:t>向甲方支付合同金额</w:t>
      </w:r>
      <w:r>
        <w:rPr>
          <w:rFonts w:ascii="Arial" w:hAnsi="Arial" w:cs="Arial"/>
          <w:color w:val="auto"/>
          <w:szCs w:val="21"/>
          <w:highlight w:val="none"/>
          <w:u w:val="single"/>
        </w:rPr>
        <w:t>　</w:t>
      </w:r>
      <w:r>
        <w:rPr>
          <w:rFonts w:hint="eastAsia" w:ascii="Arial" w:hAnsi="Arial" w:cs="Arial"/>
          <w:color w:val="auto"/>
          <w:szCs w:val="21"/>
          <w:highlight w:val="none"/>
          <w:u w:val="single"/>
        </w:rPr>
        <w:t>0.02</w:t>
      </w:r>
      <w:r>
        <w:rPr>
          <w:rFonts w:ascii="Arial" w:hAnsi="Arial" w:cs="Arial"/>
          <w:color w:val="auto"/>
          <w:szCs w:val="21"/>
          <w:highlight w:val="none"/>
          <w:u w:val="single"/>
        </w:rPr>
        <w:t>　</w:t>
      </w:r>
      <w:r>
        <w:rPr>
          <w:rFonts w:ascii="Arial" w:hAnsi="Arial" w:cs="Arial"/>
          <w:color w:val="auto"/>
          <w:szCs w:val="21"/>
          <w:highlight w:val="none"/>
        </w:rPr>
        <w:t>%违约金并赔偿甲方经济损失。</w:t>
      </w:r>
    </w:p>
    <w:p w14:paraId="5A5F8180">
      <w:pPr>
        <w:spacing w:line="360" w:lineRule="auto"/>
        <w:ind w:firstLine="359" w:firstLineChars="171"/>
        <w:rPr>
          <w:rFonts w:ascii="Arial" w:hAnsi="Arial" w:cs="Arial"/>
          <w:color w:val="auto"/>
          <w:szCs w:val="21"/>
          <w:highlight w:val="none"/>
        </w:rPr>
      </w:pPr>
      <w:r>
        <w:rPr>
          <w:rFonts w:ascii="Arial" w:hAnsi="Arial" w:cs="Arial"/>
          <w:color w:val="auto"/>
          <w:szCs w:val="21"/>
          <w:highlight w:val="none"/>
        </w:rPr>
        <w:t>2．乙方提供的货物如果侵犯了第三方合法权益而引发的任何纠纷或诉讼，均由乙方负责交涉并承担全部责任。</w:t>
      </w:r>
    </w:p>
    <w:p w14:paraId="4263BEF2">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3．因包装、运输引起的货物损坏，按质量不合格处理。</w:t>
      </w:r>
    </w:p>
    <w:p w14:paraId="413E44E5">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4．乙方逾期交货</w:t>
      </w:r>
      <w:r>
        <w:rPr>
          <w:rFonts w:hint="eastAsia" w:ascii="Arial" w:hAnsi="Arial" w:cs="Arial"/>
          <w:color w:val="auto"/>
          <w:szCs w:val="21"/>
          <w:highlight w:val="none"/>
        </w:rPr>
        <w:t>、逾期完成安装调试申请验收</w:t>
      </w:r>
      <w:r>
        <w:rPr>
          <w:rFonts w:ascii="Arial" w:hAnsi="Arial" w:cs="Arial"/>
          <w:color w:val="auto"/>
          <w:szCs w:val="21"/>
          <w:highlight w:val="none"/>
        </w:rPr>
        <w:t>的，每天向</w:t>
      </w:r>
      <w:r>
        <w:rPr>
          <w:rFonts w:hint="eastAsia" w:ascii="Arial" w:hAnsi="Arial" w:cs="Arial"/>
          <w:color w:val="auto"/>
          <w:szCs w:val="21"/>
          <w:highlight w:val="none"/>
        </w:rPr>
        <w:t>甲方</w:t>
      </w:r>
      <w:r>
        <w:rPr>
          <w:rFonts w:ascii="Arial" w:hAnsi="Arial" w:cs="Arial"/>
          <w:color w:val="auto"/>
          <w:szCs w:val="21"/>
          <w:highlight w:val="none"/>
        </w:rPr>
        <w:t>偿付合同金额</w:t>
      </w:r>
      <w:r>
        <w:rPr>
          <w:rFonts w:ascii="Arial" w:hAnsi="Arial" w:cs="Arial"/>
          <w:color w:val="auto"/>
          <w:szCs w:val="21"/>
          <w:highlight w:val="none"/>
          <w:u w:val="single"/>
        </w:rPr>
        <w:t>　</w:t>
      </w:r>
      <w:r>
        <w:rPr>
          <w:rFonts w:hint="eastAsia" w:ascii="Arial" w:hAnsi="Arial" w:cs="Arial"/>
          <w:color w:val="auto"/>
          <w:szCs w:val="21"/>
          <w:highlight w:val="none"/>
          <w:u w:val="single"/>
        </w:rPr>
        <w:t>0.2</w:t>
      </w:r>
      <w:r>
        <w:rPr>
          <w:rFonts w:ascii="Arial" w:hAnsi="Arial" w:cs="Arial"/>
          <w:color w:val="auto"/>
          <w:szCs w:val="21"/>
          <w:highlight w:val="none"/>
          <w:u w:val="single"/>
        </w:rPr>
        <w:t>　‰</w:t>
      </w:r>
      <w:r>
        <w:rPr>
          <w:rFonts w:ascii="Arial" w:hAnsi="Arial" w:cs="Arial"/>
          <w:color w:val="auto"/>
          <w:szCs w:val="21"/>
          <w:highlight w:val="none"/>
        </w:rPr>
        <w:t>违约金，但违约金额不得超过合同金额</w:t>
      </w:r>
      <w:r>
        <w:rPr>
          <w:rFonts w:ascii="Arial" w:hAnsi="Arial" w:cs="Arial"/>
          <w:color w:val="auto"/>
          <w:szCs w:val="21"/>
          <w:highlight w:val="none"/>
          <w:u w:val="single"/>
        </w:rPr>
        <w:t>　</w:t>
      </w:r>
      <w:r>
        <w:rPr>
          <w:rFonts w:hint="eastAsia" w:ascii="Arial" w:hAnsi="Arial" w:cs="Arial"/>
          <w:color w:val="auto"/>
          <w:szCs w:val="21"/>
          <w:highlight w:val="none"/>
          <w:u w:val="single"/>
        </w:rPr>
        <w:t>2</w:t>
      </w:r>
      <w:r>
        <w:rPr>
          <w:rFonts w:ascii="Arial" w:hAnsi="Arial" w:cs="Arial"/>
          <w:color w:val="auto"/>
          <w:szCs w:val="21"/>
          <w:highlight w:val="none"/>
          <w:u w:val="single"/>
        </w:rPr>
        <w:t>　</w:t>
      </w:r>
      <w:r>
        <w:rPr>
          <w:rFonts w:ascii="Arial" w:hAnsi="Arial" w:cs="Arial"/>
          <w:color w:val="auto"/>
          <w:szCs w:val="21"/>
          <w:highlight w:val="none"/>
        </w:rPr>
        <w:t>%，超过</w:t>
      </w:r>
      <w:r>
        <w:rPr>
          <w:rFonts w:ascii="Arial" w:hAnsi="Arial" w:cs="Arial"/>
          <w:color w:val="auto"/>
          <w:szCs w:val="21"/>
          <w:highlight w:val="none"/>
          <w:u w:val="single"/>
        </w:rPr>
        <w:t>　20　</w:t>
      </w:r>
      <w:r>
        <w:rPr>
          <w:rFonts w:ascii="Arial" w:hAnsi="Arial" w:cs="Arial"/>
          <w:color w:val="auto"/>
          <w:szCs w:val="21"/>
          <w:highlight w:val="none"/>
        </w:rPr>
        <w:t>天</w:t>
      </w:r>
      <w:r>
        <w:rPr>
          <w:rFonts w:hint="eastAsia" w:ascii="Arial" w:hAnsi="Arial" w:cs="Arial"/>
          <w:color w:val="auto"/>
          <w:szCs w:val="21"/>
          <w:highlight w:val="none"/>
        </w:rPr>
        <w:t>甲方</w:t>
      </w:r>
      <w:r>
        <w:rPr>
          <w:rFonts w:ascii="Arial" w:hAnsi="Arial" w:cs="Arial"/>
          <w:color w:val="auto"/>
          <w:szCs w:val="21"/>
          <w:highlight w:val="none"/>
        </w:rPr>
        <w:t>有权解除合同，</w:t>
      </w:r>
      <w:r>
        <w:rPr>
          <w:rFonts w:hint="eastAsia" w:ascii="Arial" w:hAnsi="Arial" w:cs="Arial"/>
          <w:color w:val="auto"/>
          <w:szCs w:val="21"/>
          <w:highlight w:val="none"/>
        </w:rPr>
        <w:t>乙方按照合同金额的5%支付违约金。</w:t>
      </w:r>
      <w:r>
        <w:rPr>
          <w:rFonts w:ascii="Arial" w:hAnsi="Arial" w:cs="Arial"/>
          <w:color w:val="auto"/>
          <w:szCs w:val="21"/>
          <w:highlight w:val="none"/>
        </w:rPr>
        <w:t>甲方延期付货款的，每天向乙方偿付合同金额</w:t>
      </w:r>
      <w:r>
        <w:rPr>
          <w:rFonts w:ascii="Arial" w:hAnsi="Arial" w:cs="Arial"/>
          <w:color w:val="auto"/>
          <w:szCs w:val="21"/>
          <w:highlight w:val="none"/>
          <w:u w:val="single"/>
        </w:rPr>
        <w:t>　</w:t>
      </w:r>
      <w:r>
        <w:rPr>
          <w:rFonts w:hint="eastAsia" w:ascii="Arial" w:hAnsi="Arial" w:cs="Arial"/>
          <w:color w:val="auto"/>
          <w:szCs w:val="21"/>
          <w:highlight w:val="none"/>
          <w:u w:val="single"/>
        </w:rPr>
        <w:t>0.2</w:t>
      </w:r>
      <w:r>
        <w:rPr>
          <w:rFonts w:ascii="Arial" w:hAnsi="Arial" w:cs="Arial"/>
          <w:color w:val="auto"/>
          <w:szCs w:val="21"/>
          <w:highlight w:val="none"/>
          <w:u w:val="single"/>
        </w:rPr>
        <w:t>　</w:t>
      </w:r>
      <w:r>
        <w:rPr>
          <w:rFonts w:ascii="Arial" w:hAnsi="Arial" w:cs="Arial"/>
          <w:color w:val="auto"/>
          <w:szCs w:val="21"/>
          <w:highlight w:val="none"/>
        </w:rPr>
        <w:t>‰滞纳金，但滞纳金累计不得超过合同金额</w:t>
      </w:r>
      <w:r>
        <w:rPr>
          <w:rFonts w:ascii="Arial" w:hAnsi="Arial" w:cs="Arial"/>
          <w:color w:val="auto"/>
          <w:szCs w:val="21"/>
          <w:highlight w:val="none"/>
          <w:u w:val="single"/>
        </w:rPr>
        <w:t>　</w:t>
      </w:r>
      <w:r>
        <w:rPr>
          <w:rFonts w:hint="eastAsia" w:ascii="Arial" w:hAnsi="Arial" w:cs="Arial"/>
          <w:color w:val="auto"/>
          <w:szCs w:val="21"/>
          <w:highlight w:val="none"/>
          <w:u w:val="single"/>
        </w:rPr>
        <w:t>2</w:t>
      </w:r>
      <w:r>
        <w:rPr>
          <w:rFonts w:ascii="Arial" w:hAnsi="Arial" w:cs="Arial"/>
          <w:color w:val="auto"/>
          <w:szCs w:val="21"/>
          <w:highlight w:val="none"/>
          <w:u w:val="single"/>
        </w:rPr>
        <w:t>　</w:t>
      </w:r>
      <w:r>
        <w:rPr>
          <w:rFonts w:ascii="Arial" w:hAnsi="Arial" w:cs="Arial"/>
          <w:color w:val="auto"/>
          <w:szCs w:val="21"/>
          <w:highlight w:val="none"/>
        </w:rPr>
        <w:t>%。</w:t>
      </w:r>
    </w:p>
    <w:p w14:paraId="2B83CCAA">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5．乙方未按本合同和</w:t>
      </w:r>
      <w:r>
        <w:rPr>
          <w:rFonts w:hint="eastAsia" w:ascii="Arial" w:hAnsi="Arial" w:cs="Arial"/>
          <w:color w:val="auto"/>
          <w:szCs w:val="21"/>
          <w:highlight w:val="none"/>
        </w:rPr>
        <w:t>响应文件</w:t>
      </w:r>
      <w:r>
        <w:rPr>
          <w:rFonts w:ascii="Arial" w:hAnsi="Arial" w:cs="Arial"/>
          <w:color w:val="auto"/>
          <w:szCs w:val="21"/>
          <w:highlight w:val="none"/>
        </w:rPr>
        <w:t>中规定的服务承诺提供售后服务的</w:t>
      </w:r>
      <w:r>
        <w:rPr>
          <w:rFonts w:hint="eastAsia" w:ascii="Arial" w:hAnsi="Arial" w:cs="Arial"/>
          <w:color w:val="auto"/>
          <w:szCs w:val="21"/>
          <w:highlight w:val="none"/>
        </w:rPr>
        <w:t>（包括未按时响应、未按时完成维修等情形）</w:t>
      </w:r>
      <w:r>
        <w:rPr>
          <w:rFonts w:ascii="Arial" w:hAnsi="Arial" w:cs="Arial"/>
          <w:color w:val="auto"/>
          <w:szCs w:val="21"/>
          <w:highlight w:val="none"/>
        </w:rPr>
        <w:t>，乙方应按</w:t>
      </w:r>
      <w:r>
        <w:rPr>
          <w:rFonts w:hint="eastAsia" w:ascii="Arial" w:hAnsi="Arial" w:cs="Arial"/>
          <w:color w:val="auto"/>
          <w:szCs w:val="21"/>
          <w:highlight w:val="none"/>
        </w:rPr>
        <w:t>1000元/次</w:t>
      </w:r>
      <w:r>
        <w:rPr>
          <w:rFonts w:ascii="Arial" w:hAnsi="Arial" w:cs="Arial"/>
          <w:color w:val="auto"/>
          <w:szCs w:val="21"/>
          <w:highlight w:val="none"/>
        </w:rPr>
        <w:t>向甲方支付违约金。</w:t>
      </w:r>
    </w:p>
    <w:p w14:paraId="325E5FC0">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6．乙方提供的货物在质保期内，因设计、工艺或材料的缺陷和其他质量原因造成的问题，由乙方负责，</w:t>
      </w:r>
      <w:r>
        <w:rPr>
          <w:rFonts w:hint="eastAsia" w:ascii="Arial" w:hAnsi="Arial" w:cs="Arial"/>
          <w:color w:val="auto"/>
          <w:szCs w:val="21"/>
          <w:highlight w:val="none"/>
        </w:rPr>
        <w:t>乙方拒绝处理的，甲方代为处理的</w:t>
      </w:r>
      <w:r>
        <w:rPr>
          <w:rFonts w:ascii="Arial" w:hAnsi="Arial" w:cs="Arial"/>
          <w:color w:val="auto"/>
          <w:szCs w:val="21"/>
          <w:highlight w:val="none"/>
        </w:rPr>
        <w:t>费用从质量保证金中扣除，不足另补。</w:t>
      </w:r>
    </w:p>
    <w:p w14:paraId="194945B0">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7．其他违约行为按违约</w:t>
      </w:r>
      <w:r>
        <w:rPr>
          <w:rFonts w:hint="eastAsia" w:ascii="Arial" w:hAnsi="Arial" w:cs="Arial"/>
          <w:color w:val="auto"/>
          <w:szCs w:val="21"/>
          <w:highlight w:val="none"/>
        </w:rPr>
        <w:t>所涉金</w:t>
      </w:r>
      <w:r>
        <w:rPr>
          <w:rFonts w:ascii="Arial" w:hAnsi="Arial" w:cs="Arial"/>
          <w:color w:val="auto"/>
          <w:szCs w:val="21"/>
          <w:highlight w:val="none"/>
        </w:rPr>
        <w:t>额</w:t>
      </w:r>
      <w:r>
        <w:rPr>
          <w:rFonts w:ascii="Arial" w:hAnsi="Arial" w:cs="Arial"/>
          <w:color w:val="auto"/>
          <w:szCs w:val="21"/>
          <w:highlight w:val="none"/>
          <w:u w:val="single"/>
        </w:rPr>
        <w:t>　</w:t>
      </w:r>
      <w:r>
        <w:rPr>
          <w:rFonts w:hint="eastAsia" w:ascii="Arial" w:hAnsi="Arial" w:cs="Arial"/>
          <w:color w:val="auto"/>
          <w:szCs w:val="21"/>
          <w:highlight w:val="none"/>
          <w:u w:val="single"/>
        </w:rPr>
        <w:t xml:space="preserve">2  </w:t>
      </w:r>
      <w:r>
        <w:rPr>
          <w:rFonts w:ascii="Arial" w:hAnsi="Arial" w:cs="Arial"/>
          <w:color w:val="auto"/>
          <w:szCs w:val="21"/>
          <w:highlight w:val="none"/>
        </w:rPr>
        <w:t>%收取违约金并赔偿经济损失。</w:t>
      </w:r>
    </w:p>
    <w:p w14:paraId="345F5B6B">
      <w:pPr>
        <w:spacing w:line="360" w:lineRule="auto"/>
        <w:ind w:firstLine="413" w:firstLineChars="196"/>
        <w:rPr>
          <w:rFonts w:ascii="Arial" w:hAnsi="Arial" w:cs="Arial"/>
          <w:b/>
          <w:color w:val="auto"/>
          <w:szCs w:val="21"/>
          <w:highlight w:val="none"/>
        </w:rPr>
      </w:pPr>
      <w:r>
        <w:rPr>
          <w:rFonts w:ascii="Arial" w:hAnsi="Arial" w:cs="Arial"/>
          <w:b/>
          <w:color w:val="auto"/>
          <w:szCs w:val="21"/>
          <w:highlight w:val="none"/>
        </w:rPr>
        <w:t>第十</w:t>
      </w:r>
      <w:r>
        <w:rPr>
          <w:rFonts w:hint="eastAsia" w:ascii="Arial" w:hAnsi="Arial" w:cs="Arial"/>
          <w:b/>
          <w:color w:val="auto"/>
          <w:szCs w:val="21"/>
          <w:highlight w:val="none"/>
        </w:rPr>
        <w:t>三</w:t>
      </w:r>
      <w:r>
        <w:rPr>
          <w:rFonts w:ascii="Arial" w:hAnsi="Arial" w:cs="Arial"/>
          <w:b/>
          <w:color w:val="auto"/>
          <w:szCs w:val="21"/>
          <w:highlight w:val="none"/>
        </w:rPr>
        <w:t>条  不可抗力事件处理</w:t>
      </w:r>
    </w:p>
    <w:p w14:paraId="2CB680D5">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1．在合同有效期内，乙方因不可抗力事件导致不能履行合同，则合同履行期可延长，其延长期与不可抗力影响期相同。</w:t>
      </w:r>
    </w:p>
    <w:p w14:paraId="10BD7209">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2．不可抗力事件发生后，应立即通知对方，并寄送有关权威机构出具的证明。</w:t>
      </w:r>
    </w:p>
    <w:p w14:paraId="656E55CA">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3．不可抗力事件延续一百二十天以上，双方应通过友好协商，确定是否继续履行合同。</w:t>
      </w:r>
    </w:p>
    <w:p w14:paraId="588B47F4">
      <w:pPr>
        <w:spacing w:line="360" w:lineRule="auto"/>
        <w:ind w:firstLine="413" w:firstLineChars="196"/>
        <w:rPr>
          <w:rFonts w:ascii="Arial" w:hAnsi="Arial" w:cs="Arial"/>
          <w:b/>
          <w:color w:val="auto"/>
          <w:szCs w:val="21"/>
          <w:highlight w:val="none"/>
        </w:rPr>
      </w:pPr>
      <w:r>
        <w:rPr>
          <w:rFonts w:ascii="Arial" w:hAnsi="Arial" w:cs="Arial"/>
          <w:b/>
          <w:color w:val="auto"/>
          <w:szCs w:val="21"/>
          <w:highlight w:val="none"/>
        </w:rPr>
        <w:t>第十</w:t>
      </w:r>
      <w:r>
        <w:rPr>
          <w:rFonts w:hint="eastAsia" w:ascii="Arial" w:hAnsi="Arial" w:cs="Arial"/>
          <w:b/>
          <w:color w:val="auto"/>
          <w:szCs w:val="21"/>
          <w:highlight w:val="none"/>
        </w:rPr>
        <w:t>四</w:t>
      </w:r>
      <w:r>
        <w:rPr>
          <w:rFonts w:ascii="Arial" w:hAnsi="Arial" w:cs="Arial"/>
          <w:b/>
          <w:color w:val="auto"/>
          <w:szCs w:val="21"/>
          <w:highlight w:val="none"/>
        </w:rPr>
        <w:t>条  合同争议解决</w:t>
      </w:r>
    </w:p>
    <w:p w14:paraId="4EE2B063">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1．因货物质量问题发生争议的，应邀请国家认可的质量检测机构对货物质量进行鉴定。货物符合标准的，鉴定费由甲方承担；货物不符合标准的，鉴定费由乙方承担。</w:t>
      </w:r>
    </w:p>
    <w:p w14:paraId="0A599044">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2．因履行本合同引起的或与本合同有关的争议，甲乙双方应首先通过友好协商解决，如果协商不能解决，可向甲方所在地人民法院提起诉讼。</w:t>
      </w:r>
    </w:p>
    <w:p w14:paraId="4D1F6CAA">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3．诉讼期间，本合同继续履行。</w:t>
      </w:r>
    </w:p>
    <w:p w14:paraId="3EB9C941">
      <w:pPr>
        <w:spacing w:line="360" w:lineRule="auto"/>
        <w:ind w:firstLine="413" w:firstLineChars="196"/>
        <w:rPr>
          <w:rFonts w:ascii="Arial" w:hAnsi="Arial" w:cs="Arial"/>
          <w:b/>
          <w:color w:val="auto"/>
          <w:szCs w:val="21"/>
          <w:highlight w:val="none"/>
        </w:rPr>
      </w:pPr>
      <w:r>
        <w:rPr>
          <w:rFonts w:ascii="Arial" w:hAnsi="Arial" w:cs="Arial"/>
          <w:b/>
          <w:color w:val="auto"/>
          <w:szCs w:val="21"/>
          <w:highlight w:val="none"/>
        </w:rPr>
        <w:t>第十</w:t>
      </w:r>
      <w:r>
        <w:rPr>
          <w:rFonts w:hint="eastAsia" w:ascii="Arial" w:hAnsi="Arial" w:cs="Arial"/>
          <w:b/>
          <w:color w:val="auto"/>
          <w:szCs w:val="21"/>
          <w:highlight w:val="none"/>
        </w:rPr>
        <w:t>五</w:t>
      </w:r>
      <w:r>
        <w:rPr>
          <w:rFonts w:ascii="Arial" w:hAnsi="Arial" w:cs="Arial"/>
          <w:b/>
          <w:color w:val="auto"/>
          <w:szCs w:val="21"/>
          <w:highlight w:val="none"/>
        </w:rPr>
        <w:t xml:space="preserve">条  </w:t>
      </w:r>
      <w:r>
        <w:rPr>
          <w:rFonts w:hint="eastAsia" w:ascii="Arial" w:hAnsi="Arial" w:cs="Arial"/>
          <w:b/>
          <w:color w:val="auto"/>
          <w:szCs w:val="21"/>
          <w:highlight w:val="none"/>
        </w:rPr>
        <w:t>知识产权和保密要求</w:t>
      </w:r>
    </w:p>
    <w:p w14:paraId="3B72235D">
      <w:pPr>
        <w:spacing w:line="360" w:lineRule="auto"/>
        <w:ind w:firstLine="411" w:firstLineChars="196"/>
        <w:rPr>
          <w:rFonts w:ascii="Arial" w:hAnsi="Arial" w:cs="Arial"/>
          <w:bCs/>
          <w:color w:val="auto"/>
          <w:szCs w:val="21"/>
          <w:highlight w:val="none"/>
        </w:rPr>
      </w:pPr>
      <w:r>
        <w:rPr>
          <w:rFonts w:ascii="Arial" w:hAnsi="Arial" w:cs="Arial"/>
          <w:bCs/>
          <w:color w:val="auto"/>
          <w:szCs w:val="21"/>
          <w:highlight w:val="none"/>
        </w:rPr>
        <w:t>1.</w:t>
      </w:r>
      <w:r>
        <w:rPr>
          <w:rFonts w:hint="eastAsia" w:ascii="Arial" w:hAnsi="Arial" w:cs="Arial"/>
          <w:bCs/>
          <w:color w:val="auto"/>
          <w:szCs w:val="21"/>
          <w:highlight w:val="none"/>
        </w:rPr>
        <w:t>甲方在履行合同过程中提供给乙方的全部图纸、文件和其他含有数据和信息的资料，其知识产权属于甲方。</w:t>
      </w:r>
    </w:p>
    <w:p w14:paraId="590D8452">
      <w:pPr>
        <w:spacing w:line="360" w:lineRule="auto"/>
        <w:ind w:firstLine="411" w:firstLineChars="196"/>
        <w:rPr>
          <w:rFonts w:ascii="Arial" w:hAnsi="Arial" w:cs="Arial"/>
          <w:bCs/>
          <w:color w:val="auto"/>
          <w:szCs w:val="21"/>
          <w:highlight w:val="none"/>
        </w:rPr>
      </w:pPr>
      <w:r>
        <w:rPr>
          <w:rFonts w:ascii="Arial" w:hAnsi="Arial" w:cs="Arial"/>
          <w:bCs/>
          <w:color w:val="auto"/>
          <w:szCs w:val="21"/>
          <w:highlight w:val="none"/>
        </w:rPr>
        <w:t>2.</w:t>
      </w:r>
      <w:r>
        <w:rPr>
          <w:rFonts w:hint="eastAsia" w:ascii="Arial" w:hAnsi="Arial" w:cs="Arial"/>
          <w:bCs/>
          <w:color w:val="auto"/>
          <w:szCs w:val="21"/>
          <w:highlight w:val="none"/>
        </w:rPr>
        <w:t>除采购文件及采购需求另有约定外，甲方不因签署和履行合同而享有乙方在履行合同过程中提供给甲方的图纸、文件、配套软件、电子辅助程序和其他含有数据和信息的资料的知识产权。</w:t>
      </w:r>
    </w:p>
    <w:p w14:paraId="178AE568">
      <w:pPr>
        <w:spacing w:line="360" w:lineRule="auto"/>
        <w:ind w:firstLine="411" w:firstLineChars="196"/>
        <w:rPr>
          <w:rFonts w:ascii="Arial" w:hAnsi="Arial" w:cs="Arial"/>
          <w:bCs/>
          <w:color w:val="auto"/>
          <w:szCs w:val="21"/>
          <w:highlight w:val="none"/>
        </w:rPr>
      </w:pPr>
      <w:r>
        <w:rPr>
          <w:rFonts w:ascii="Arial" w:hAnsi="Arial" w:cs="Arial"/>
          <w:bCs/>
          <w:color w:val="auto"/>
          <w:szCs w:val="21"/>
          <w:highlight w:val="none"/>
        </w:rPr>
        <w:t>3.</w:t>
      </w:r>
      <w:r>
        <w:rPr>
          <w:rFonts w:hint="eastAsia" w:ascii="Arial" w:hAnsi="Arial" w:cs="Arial"/>
          <w:bCs/>
          <w:color w:val="auto"/>
          <w:szCs w:val="21"/>
          <w:highlight w:val="none"/>
        </w:rPr>
        <w:t>乙方应保证所提供货物在使用时不会侵犯任何第三方的知识产权或者其他权利。如合同货物涉及知识产权，则乙方保证甲方在使用合同货物过程中免于受到第三方提出的有关知识产权侵权的主张、索赔或诉讼的伤害。</w:t>
      </w:r>
    </w:p>
    <w:p w14:paraId="09830142">
      <w:pPr>
        <w:spacing w:line="360" w:lineRule="auto"/>
        <w:ind w:firstLine="411" w:firstLineChars="196"/>
        <w:rPr>
          <w:rFonts w:ascii="Arial" w:hAnsi="Arial" w:cs="Arial"/>
          <w:bCs/>
          <w:color w:val="auto"/>
          <w:szCs w:val="21"/>
          <w:highlight w:val="none"/>
        </w:rPr>
      </w:pPr>
      <w:r>
        <w:rPr>
          <w:rFonts w:ascii="Arial" w:hAnsi="Arial" w:cs="Arial"/>
          <w:bCs/>
          <w:color w:val="auto"/>
          <w:szCs w:val="21"/>
          <w:highlight w:val="none"/>
        </w:rPr>
        <w:t>4.</w:t>
      </w:r>
      <w:r>
        <w:rPr>
          <w:rFonts w:hint="eastAsia" w:ascii="Arial" w:hAnsi="Arial" w:cs="Arial"/>
          <w:bCs/>
          <w:color w:val="auto"/>
          <w:szCs w:val="21"/>
          <w:highlight w:val="none"/>
        </w:rPr>
        <w:t>如果甲方收到任何第三方有关知识产权的主张、索赔或诉讼，乙方在收到甲方通知后，应以甲方名义并在甲方的协助下，自负费用处理与第三方的索赔或诉讼，并赔偿甲方因此发生的费用和遭受的损失。如果乙方拒绝处理前述索赔或诉讼或在收到甲方通知后</w:t>
      </w:r>
      <w:r>
        <w:rPr>
          <w:rFonts w:ascii="Arial" w:hAnsi="Arial" w:cs="Arial"/>
          <w:bCs/>
          <w:color w:val="auto"/>
          <w:szCs w:val="21"/>
          <w:highlight w:val="none"/>
        </w:rPr>
        <w:t>28</w:t>
      </w:r>
      <w:r>
        <w:rPr>
          <w:rFonts w:hint="eastAsia" w:ascii="Arial" w:hAnsi="Arial" w:cs="Arial"/>
          <w:bCs/>
          <w:color w:val="auto"/>
          <w:szCs w:val="21"/>
          <w:highlight w:val="none"/>
        </w:rPr>
        <w:t>日内未作表示，甲方可以自己的名义进行这些索赔或诉讼，因此发生的费用和遭受的损失均应由乙方承担。</w:t>
      </w:r>
    </w:p>
    <w:p w14:paraId="51454051">
      <w:pPr>
        <w:spacing w:line="360" w:lineRule="auto"/>
        <w:ind w:firstLine="411" w:firstLineChars="196"/>
        <w:rPr>
          <w:rFonts w:ascii="Arial" w:hAnsi="Arial" w:cs="Arial"/>
          <w:bCs/>
          <w:color w:val="auto"/>
          <w:szCs w:val="21"/>
          <w:highlight w:val="none"/>
        </w:rPr>
      </w:pPr>
      <w:r>
        <w:rPr>
          <w:rFonts w:ascii="Arial" w:hAnsi="Arial" w:cs="Arial"/>
          <w:bCs/>
          <w:color w:val="auto"/>
          <w:szCs w:val="21"/>
          <w:highlight w:val="none"/>
        </w:rPr>
        <w:t>5.</w:t>
      </w:r>
      <w:r>
        <w:rPr>
          <w:rFonts w:hint="eastAsia" w:ascii="Arial" w:hAnsi="Arial" w:cs="Arial"/>
          <w:bCs/>
          <w:color w:val="auto"/>
          <w:szCs w:val="21"/>
          <w:highlight w:val="none"/>
        </w:rPr>
        <w:t>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7AF841AA">
      <w:pPr>
        <w:spacing w:line="360" w:lineRule="auto"/>
        <w:ind w:firstLine="411" w:firstLineChars="196"/>
        <w:rPr>
          <w:rFonts w:ascii="Arial" w:hAnsi="Arial" w:cs="Arial"/>
          <w:bCs/>
          <w:color w:val="auto"/>
          <w:szCs w:val="21"/>
          <w:highlight w:val="none"/>
        </w:rPr>
      </w:pPr>
      <w:r>
        <w:rPr>
          <w:rFonts w:ascii="Arial" w:hAnsi="Arial" w:cs="Arial"/>
          <w:bCs/>
          <w:color w:val="auto"/>
          <w:szCs w:val="21"/>
          <w:highlight w:val="none"/>
        </w:rPr>
        <w:t>6.</w:t>
      </w:r>
      <w:r>
        <w:rPr>
          <w:rFonts w:hint="eastAsia" w:ascii="Arial" w:hAnsi="Arial" w:cs="Arial"/>
          <w:bCs/>
          <w:color w:val="auto"/>
          <w:szCs w:val="21"/>
          <w:highlight w:val="none"/>
        </w:rPr>
        <w:t>乙方保证将要交付的货物的所有权完全属于乙方且无任何抵押、质押、查封等产权瑕疵。</w:t>
      </w:r>
    </w:p>
    <w:p w14:paraId="43B2869C">
      <w:pPr>
        <w:spacing w:line="360" w:lineRule="auto"/>
        <w:ind w:firstLine="413" w:firstLineChars="196"/>
        <w:rPr>
          <w:rFonts w:ascii="Arial" w:hAnsi="Arial" w:cs="Arial"/>
          <w:b/>
          <w:color w:val="auto"/>
          <w:szCs w:val="21"/>
          <w:highlight w:val="none"/>
        </w:rPr>
      </w:pPr>
      <w:r>
        <w:rPr>
          <w:rFonts w:hint="eastAsia" w:ascii="Arial" w:hAnsi="Arial" w:cs="Arial"/>
          <w:b/>
          <w:color w:val="auto"/>
          <w:szCs w:val="21"/>
          <w:highlight w:val="none"/>
        </w:rPr>
        <w:t xml:space="preserve">第十六条 </w:t>
      </w:r>
      <w:r>
        <w:rPr>
          <w:rFonts w:ascii="Arial" w:hAnsi="Arial" w:cs="Arial"/>
          <w:b/>
          <w:color w:val="auto"/>
          <w:szCs w:val="21"/>
          <w:highlight w:val="none"/>
        </w:rPr>
        <w:t>合同生效及其它</w:t>
      </w:r>
    </w:p>
    <w:p w14:paraId="1419C580">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1．合同经甲乙双方法定代表人或授权代表签字并加盖单位公章后生效。</w:t>
      </w:r>
    </w:p>
    <w:p w14:paraId="26A5D58A">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2．合同执行中涉及采购资金和采购内容修改或补充的，需经采购人审批。</w:t>
      </w:r>
    </w:p>
    <w:p w14:paraId="00D681F7">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3．本合同未尽事宜，遵照《</w:t>
      </w:r>
      <w:r>
        <w:rPr>
          <w:rFonts w:hint="eastAsia" w:ascii="Arial" w:hAnsi="Arial" w:cs="Arial"/>
          <w:color w:val="auto"/>
          <w:szCs w:val="21"/>
          <w:highlight w:val="none"/>
        </w:rPr>
        <w:t>民法典</w:t>
      </w:r>
      <w:r>
        <w:rPr>
          <w:rFonts w:ascii="Arial" w:hAnsi="Arial" w:cs="Arial"/>
          <w:color w:val="auto"/>
          <w:szCs w:val="21"/>
          <w:highlight w:val="none"/>
        </w:rPr>
        <w:t>》有关条文执行。</w:t>
      </w:r>
    </w:p>
    <w:p w14:paraId="457BDE84">
      <w:pPr>
        <w:spacing w:line="360" w:lineRule="auto"/>
        <w:ind w:firstLine="413" w:firstLineChars="196"/>
        <w:rPr>
          <w:rFonts w:ascii="Arial" w:hAnsi="Arial" w:cs="Arial"/>
          <w:b/>
          <w:color w:val="auto"/>
          <w:szCs w:val="21"/>
          <w:highlight w:val="none"/>
        </w:rPr>
      </w:pPr>
      <w:r>
        <w:rPr>
          <w:rFonts w:ascii="Arial" w:hAnsi="Arial" w:cs="Arial"/>
          <w:b/>
          <w:color w:val="auto"/>
          <w:szCs w:val="21"/>
          <w:highlight w:val="none"/>
        </w:rPr>
        <w:t>第十</w:t>
      </w:r>
      <w:r>
        <w:rPr>
          <w:rFonts w:hint="eastAsia" w:ascii="Arial" w:hAnsi="Arial" w:cs="Arial"/>
          <w:b/>
          <w:color w:val="auto"/>
          <w:szCs w:val="21"/>
          <w:highlight w:val="none"/>
        </w:rPr>
        <w:t>七</w:t>
      </w:r>
      <w:r>
        <w:rPr>
          <w:rFonts w:ascii="Arial" w:hAnsi="Arial" w:cs="Arial"/>
          <w:b/>
          <w:color w:val="auto"/>
          <w:szCs w:val="21"/>
          <w:highlight w:val="none"/>
        </w:rPr>
        <w:t>条  合同的变更、终止与转让</w:t>
      </w:r>
    </w:p>
    <w:p w14:paraId="48F8AC64">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1．本合同一经签订，甲乙双方不得擅自变更，中止或终止。</w:t>
      </w:r>
    </w:p>
    <w:p w14:paraId="668F3C5E">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2. 乙方不得擅自转让</w:t>
      </w:r>
      <w:r>
        <w:rPr>
          <w:rFonts w:hint="eastAsia" w:ascii="Arial" w:hAnsi="Arial" w:cs="Arial"/>
          <w:color w:val="auto"/>
          <w:szCs w:val="21"/>
          <w:highlight w:val="none"/>
        </w:rPr>
        <w:t>（</w:t>
      </w:r>
      <w:r>
        <w:rPr>
          <w:rFonts w:ascii="Arial" w:hAnsi="Arial" w:cs="Arial"/>
          <w:color w:val="auto"/>
          <w:szCs w:val="21"/>
          <w:highlight w:val="none"/>
        </w:rPr>
        <w:t>无进口资格的供应商委托进口货物除外</w:t>
      </w:r>
      <w:r>
        <w:rPr>
          <w:rFonts w:hint="eastAsia" w:ascii="Arial" w:hAnsi="Arial" w:cs="Arial"/>
          <w:color w:val="auto"/>
          <w:szCs w:val="21"/>
          <w:highlight w:val="none"/>
        </w:rPr>
        <w:t>）</w:t>
      </w:r>
      <w:r>
        <w:rPr>
          <w:rFonts w:ascii="Arial" w:hAnsi="Arial" w:cs="Arial"/>
          <w:color w:val="auto"/>
          <w:szCs w:val="21"/>
          <w:highlight w:val="none"/>
        </w:rPr>
        <w:t>其应履行的合同义务。</w:t>
      </w:r>
    </w:p>
    <w:p w14:paraId="67584532">
      <w:pPr>
        <w:spacing w:line="360" w:lineRule="auto"/>
        <w:ind w:firstLine="413" w:firstLineChars="196"/>
        <w:rPr>
          <w:rFonts w:ascii="Arial" w:hAnsi="Arial" w:cs="Arial"/>
          <w:b/>
          <w:color w:val="auto"/>
          <w:szCs w:val="21"/>
          <w:highlight w:val="none"/>
        </w:rPr>
      </w:pPr>
      <w:r>
        <w:rPr>
          <w:rFonts w:ascii="Arial" w:hAnsi="Arial" w:cs="Arial"/>
          <w:b/>
          <w:color w:val="auto"/>
          <w:szCs w:val="21"/>
          <w:highlight w:val="none"/>
        </w:rPr>
        <w:t>第十</w:t>
      </w:r>
      <w:r>
        <w:rPr>
          <w:rFonts w:hint="eastAsia" w:ascii="Arial" w:hAnsi="Arial" w:cs="Arial"/>
          <w:b/>
          <w:color w:val="auto"/>
          <w:szCs w:val="21"/>
          <w:highlight w:val="none"/>
        </w:rPr>
        <w:t>八</w:t>
      </w:r>
      <w:r>
        <w:rPr>
          <w:rFonts w:ascii="Arial" w:hAnsi="Arial" w:cs="Arial"/>
          <w:b/>
          <w:color w:val="auto"/>
          <w:szCs w:val="21"/>
          <w:highlight w:val="none"/>
        </w:rPr>
        <w:t>条  签订本合同依据</w:t>
      </w:r>
      <w:r>
        <w:rPr>
          <w:rFonts w:hint="eastAsia" w:ascii="Arial" w:hAnsi="Arial" w:cs="Arial"/>
          <w:b/>
          <w:color w:val="auto"/>
          <w:szCs w:val="21"/>
          <w:highlight w:val="none"/>
        </w:rPr>
        <w:t>（合同组成部分）</w:t>
      </w:r>
    </w:p>
    <w:p w14:paraId="3F32D6AB">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1．</w:t>
      </w:r>
      <w:r>
        <w:rPr>
          <w:rFonts w:hint="eastAsia" w:ascii="Arial" w:hAnsi="Arial" w:cs="Arial"/>
          <w:color w:val="auto"/>
          <w:szCs w:val="21"/>
          <w:highlight w:val="none"/>
        </w:rPr>
        <w:t>采购文件</w:t>
      </w:r>
      <w:r>
        <w:rPr>
          <w:rFonts w:ascii="Arial" w:hAnsi="Arial" w:cs="Arial"/>
          <w:color w:val="auto"/>
          <w:szCs w:val="21"/>
          <w:highlight w:val="none"/>
        </w:rPr>
        <w:t>；</w:t>
      </w:r>
    </w:p>
    <w:p w14:paraId="3D490201">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2．</w:t>
      </w:r>
      <w:r>
        <w:rPr>
          <w:rFonts w:hint="eastAsia" w:ascii="Arial" w:hAnsi="Arial" w:cs="Arial"/>
          <w:color w:val="auto"/>
          <w:szCs w:val="21"/>
          <w:highlight w:val="none"/>
        </w:rPr>
        <w:t>竞争性谈判报价表</w:t>
      </w:r>
      <w:r>
        <w:rPr>
          <w:rFonts w:ascii="Arial" w:hAnsi="Arial" w:cs="Arial"/>
          <w:color w:val="auto"/>
          <w:szCs w:val="21"/>
          <w:highlight w:val="none"/>
        </w:rPr>
        <w:t>、技术响应表；</w:t>
      </w:r>
    </w:p>
    <w:p w14:paraId="300F2C30">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3．售后服务承诺书；</w:t>
      </w:r>
    </w:p>
    <w:p w14:paraId="7AA60D52">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4．</w:t>
      </w:r>
      <w:r>
        <w:rPr>
          <w:rFonts w:hint="eastAsia" w:ascii="Arial" w:hAnsi="Arial" w:cs="Arial"/>
          <w:color w:val="auto"/>
          <w:szCs w:val="21"/>
          <w:highlight w:val="none"/>
        </w:rPr>
        <w:t>成交</w:t>
      </w:r>
      <w:r>
        <w:rPr>
          <w:rFonts w:ascii="Arial" w:hAnsi="Arial" w:cs="Arial"/>
          <w:color w:val="auto"/>
          <w:szCs w:val="21"/>
          <w:highlight w:val="none"/>
        </w:rPr>
        <w:t>通知书。</w:t>
      </w:r>
    </w:p>
    <w:p w14:paraId="659CF701">
      <w:pPr>
        <w:tabs>
          <w:tab w:val="left" w:pos="4320"/>
          <w:tab w:val="left" w:pos="4500"/>
        </w:tabs>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本合同一式伍份，甲方执贰份，乙方执贰份，采购代理机构壹份。补充协议含售后服务承诺书等，与本合同具有同等法律效力。</w:t>
      </w:r>
    </w:p>
    <w:p w14:paraId="2072F132">
      <w:pPr>
        <w:pStyle w:val="27"/>
        <w:ind w:firstLine="422"/>
        <w:rPr>
          <w:rFonts w:ascii="Arial" w:hAnsi="Arial" w:cs="Arial"/>
          <w:color w:val="auto"/>
          <w:highlight w:val="none"/>
        </w:rPr>
      </w:pPr>
    </w:p>
    <w:p w14:paraId="4F74F054">
      <w:pPr>
        <w:tabs>
          <w:tab w:val="left" w:pos="4320"/>
          <w:tab w:val="left" w:pos="4500"/>
        </w:tabs>
        <w:spacing w:line="400" w:lineRule="exact"/>
        <w:rPr>
          <w:rFonts w:ascii="Arial" w:hAnsi="Arial" w:cs="Arial"/>
          <w:color w:val="auto"/>
          <w:szCs w:val="21"/>
          <w:highlight w:val="none"/>
          <w:u w:val="single"/>
        </w:rPr>
      </w:pPr>
      <w:r>
        <w:rPr>
          <w:rFonts w:ascii="Arial" w:hAnsi="Arial" w:cs="Arial"/>
          <w:color w:val="auto"/>
          <w:szCs w:val="21"/>
          <w:highlight w:val="none"/>
        </w:rPr>
        <w:t>甲方名称（公章）：</w:t>
      </w:r>
      <w:r>
        <w:rPr>
          <w:rFonts w:ascii="Arial" w:hAnsi="Arial" w:cs="Arial"/>
          <w:color w:val="auto"/>
          <w:szCs w:val="21"/>
          <w:highlight w:val="none"/>
          <w:u w:val="single"/>
        </w:rPr>
        <w:t xml:space="preserve">                      </w:t>
      </w:r>
      <w:r>
        <w:rPr>
          <w:rFonts w:ascii="Arial" w:hAnsi="Arial" w:cs="Arial"/>
          <w:color w:val="auto"/>
          <w:szCs w:val="21"/>
          <w:highlight w:val="none"/>
        </w:rPr>
        <w:t xml:space="preserve">     乙方名称（公章）：</w:t>
      </w:r>
      <w:r>
        <w:rPr>
          <w:rFonts w:ascii="Arial" w:hAnsi="Arial" w:cs="Arial"/>
          <w:color w:val="auto"/>
          <w:szCs w:val="21"/>
          <w:highlight w:val="none"/>
          <w:u w:val="single"/>
        </w:rPr>
        <w:t xml:space="preserve">                           </w:t>
      </w:r>
    </w:p>
    <w:p w14:paraId="5A4BA8A4">
      <w:pPr>
        <w:spacing w:line="400" w:lineRule="exact"/>
        <w:ind w:left="4620" w:hanging="4620" w:hangingChars="2200"/>
        <w:rPr>
          <w:rFonts w:ascii="Arial" w:hAnsi="Arial" w:cs="Arial"/>
          <w:color w:val="auto"/>
          <w:szCs w:val="21"/>
          <w:highlight w:val="none"/>
          <w:u w:val="single"/>
        </w:rPr>
      </w:pPr>
      <w:r>
        <w:rPr>
          <w:rFonts w:ascii="Arial" w:hAnsi="Arial" w:cs="Arial"/>
          <w:color w:val="auto"/>
          <w:szCs w:val="21"/>
          <w:highlight w:val="none"/>
        </w:rPr>
        <w:t>法定代表人：</w:t>
      </w:r>
      <w:r>
        <w:rPr>
          <w:rFonts w:ascii="Arial" w:hAnsi="Arial" w:cs="Arial"/>
          <w:color w:val="auto"/>
          <w:szCs w:val="21"/>
          <w:highlight w:val="none"/>
          <w:u w:val="single"/>
        </w:rPr>
        <w:t xml:space="preserve">                           </w:t>
      </w:r>
      <w:r>
        <w:rPr>
          <w:rFonts w:ascii="Arial" w:hAnsi="Arial" w:cs="Arial"/>
          <w:color w:val="auto"/>
          <w:szCs w:val="21"/>
          <w:highlight w:val="none"/>
        </w:rPr>
        <w:t xml:space="preserve">     </w:t>
      </w:r>
      <w:r>
        <w:rPr>
          <w:rFonts w:ascii="Arial" w:hAnsi="Arial" w:cs="Arial"/>
          <w:color w:val="auto"/>
          <w:highlight w:val="none"/>
        </w:rPr>
        <w:t>法定代表人签字</w:t>
      </w:r>
      <w:r>
        <w:rPr>
          <w:rFonts w:ascii="Arial" w:hAnsi="Arial" w:cs="Arial"/>
          <w:color w:val="auto"/>
          <w:szCs w:val="21"/>
          <w:highlight w:val="none"/>
        </w:rPr>
        <w:t>：</w:t>
      </w:r>
      <w:r>
        <w:rPr>
          <w:rFonts w:ascii="Arial" w:hAnsi="Arial" w:cs="Arial"/>
          <w:color w:val="auto"/>
          <w:szCs w:val="21"/>
          <w:highlight w:val="none"/>
          <w:u w:val="single"/>
        </w:rPr>
        <w:t xml:space="preserve">                               </w:t>
      </w:r>
    </w:p>
    <w:p w14:paraId="61701295">
      <w:pPr>
        <w:tabs>
          <w:tab w:val="left" w:pos="4680"/>
        </w:tabs>
        <w:spacing w:line="400" w:lineRule="exact"/>
        <w:rPr>
          <w:rFonts w:ascii="Arial" w:hAnsi="Arial" w:cs="Arial"/>
          <w:color w:val="auto"/>
          <w:szCs w:val="21"/>
          <w:highlight w:val="none"/>
          <w:u w:val="single"/>
        </w:rPr>
      </w:pPr>
      <w:r>
        <w:rPr>
          <w:rFonts w:ascii="Arial" w:hAnsi="Arial" w:cs="Arial"/>
          <w:color w:val="auto"/>
          <w:szCs w:val="21"/>
          <w:highlight w:val="none"/>
        </w:rPr>
        <w:t>委托代理人：</w:t>
      </w:r>
      <w:r>
        <w:rPr>
          <w:rFonts w:ascii="Arial" w:hAnsi="Arial" w:cs="Arial"/>
          <w:color w:val="auto"/>
          <w:szCs w:val="21"/>
          <w:highlight w:val="none"/>
          <w:u w:val="single"/>
        </w:rPr>
        <w:t xml:space="preserve">                           </w:t>
      </w:r>
      <w:r>
        <w:rPr>
          <w:rFonts w:ascii="Arial" w:hAnsi="Arial" w:cs="Arial"/>
          <w:color w:val="auto"/>
          <w:szCs w:val="21"/>
          <w:highlight w:val="none"/>
        </w:rPr>
        <w:t xml:space="preserve">     委托代理人：</w:t>
      </w:r>
      <w:r>
        <w:rPr>
          <w:rFonts w:ascii="Arial" w:hAnsi="Arial" w:cs="Arial"/>
          <w:color w:val="auto"/>
          <w:szCs w:val="21"/>
          <w:highlight w:val="none"/>
          <w:u w:val="single"/>
        </w:rPr>
        <w:t xml:space="preserve">                                 </w:t>
      </w:r>
    </w:p>
    <w:p w14:paraId="5DB7E056">
      <w:pPr>
        <w:tabs>
          <w:tab w:val="left" w:pos="5040"/>
        </w:tabs>
        <w:spacing w:line="400" w:lineRule="exact"/>
        <w:rPr>
          <w:rFonts w:ascii="Arial" w:hAnsi="Arial" w:cs="Arial"/>
          <w:color w:val="auto"/>
          <w:szCs w:val="21"/>
          <w:highlight w:val="none"/>
          <w:u w:val="single"/>
        </w:rPr>
      </w:pPr>
      <w:r>
        <w:rPr>
          <w:rFonts w:ascii="Arial" w:hAnsi="Arial" w:cs="Arial"/>
          <w:color w:val="auto"/>
          <w:szCs w:val="21"/>
          <w:highlight w:val="none"/>
        </w:rPr>
        <w:t>电  话：</w:t>
      </w:r>
      <w:r>
        <w:rPr>
          <w:rFonts w:ascii="Arial" w:hAnsi="Arial" w:cs="Arial"/>
          <w:color w:val="auto"/>
          <w:szCs w:val="21"/>
          <w:highlight w:val="none"/>
          <w:u w:val="single"/>
        </w:rPr>
        <w:t xml:space="preserve">                               </w:t>
      </w:r>
      <w:r>
        <w:rPr>
          <w:rFonts w:ascii="Arial" w:hAnsi="Arial" w:cs="Arial"/>
          <w:color w:val="auto"/>
          <w:szCs w:val="21"/>
          <w:highlight w:val="none"/>
        </w:rPr>
        <w:t xml:space="preserve">     电   话： </w:t>
      </w:r>
      <w:r>
        <w:rPr>
          <w:rFonts w:ascii="Arial" w:hAnsi="Arial" w:cs="Arial"/>
          <w:color w:val="auto"/>
          <w:szCs w:val="21"/>
          <w:highlight w:val="none"/>
          <w:u w:val="single"/>
        </w:rPr>
        <w:t xml:space="preserve">                                  </w:t>
      </w:r>
    </w:p>
    <w:p w14:paraId="24043082">
      <w:pPr>
        <w:tabs>
          <w:tab w:val="left" w:pos="5040"/>
        </w:tabs>
        <w:spacing w:line="400" w:lineRule="exact"/>
        <w:rPr>
          <w:rFonts w:ascii="Arial" w:hAnsi="Arial" w:cs="Arial"/>
          <w:color w:val="auto"/>
          <w:szCs w:val="21"/>
          <w:highlight w:val="none"/>
        </w:rPr>
      </w:pPr>
      <w:r>
        <w:rPr>
          <w:rFonts w:ascii="Arial" w:hAnsi="Arial" w:cs="Arial"/>
          <w:color w:val="auto"/>
          <w:szCs w:val="21"/>
          <w:highlight w:val="none"/>
        </w:rPr>
        <w:t>开户名称：</w:t>
      </w:r>
      <w:r>
        <w:rPr>
          <w:rFonts w:ascii="Arial" w:hAnsi="Arial" w:cs="Arial"/>
          <w:color w:val="auto"/>
          <w:szCs w:val="21"/>
          <w:highlight w:val="none"/>
          <w:u w:val="single"/>
        </w:rPr>
        <w:t xml:space="preserve">                             </w:t>
      </w:r>
      <w:r>
        <w:rPr>
          <w:rFonts w:ascii="Arial" w:hAnsi="Arial" w:cs="Arial"/>
          <w:color w:val="auto"/>
          <w:szCs w:val="21"/>
          <w:highlight w:val="none"/>
        </w:rPr>
        <w:t xml:space="preserve">     开户名称：</w:t>
      </w:r>
      <w:r>
        <w:rPr>
          <w:rFonts w:ascii="Arial" w:hAnsi="Arial" w:cs="Arial"/>
          <w:color w:val="auto"/>
          <w:szCs w:val="21"/>
          <w:highlight w:val="none"/>
          <w:u w:val="single"/>
        </w:rPr>
        <w:t xml:space="preserve">                                   </w:t>
      </w:r>
      <w:r>
        <w:rPr>
          <w:rFonts w:ascii="Arial" w:hAnsi="Arial" w:cs="Arial"/>
          <w:color w:val="auto"/>
          <w:szCs w:val="21"/>
          <w:highlight w:val="none"/>
        </w:rPr>
        <w:t xml:space="preserve">     </w:t>
      </w:r>
    </w:p>
    <w:p w14:paraId="620304AF">
      <w:pPr>
        <w:tabs>
          <w:tab w:val="left" w:pos="5040"/>
        </w:tabs>
        <w:spacing w:line="400" w:lineRule="exact"/>
        <w:rPr>
          <w:rFonts w:ascii="Arial" w:hAnsi="Arial" w:cs="Arial"/>
          <w:color w:val="auto"/>
          <w:szCs w:val="21"/>
          <w:highlight w:val="none"/>
        </w:rPr>
      </w:pPr>
      <w:r>
        <w:rPr>
          <w:rFonts w:ascii="Arial" w:hAnsi="Arial" w:cs="Arial"/>
          <w:color w:val="auto"/>
          <w:szCs w:val="21"/>
          <w:highlight w:val="none"/>
        </w:rPr>
        <w:t>开户银行：</w:t>
      </w:r>
      <w:r>
        <w:rPr>
          <w:rFonts w:ascii="Arial" w:hAnsi="Arial" w:cs="Arial"/>
          <w:color w:val="auto"/>
          <w:szCs w:val="21"/>
          <w:highlight w:val="none"/>
          <w:u w:val="single"/>
        </w:rPr>
        <w:t xml:space="preserve">                             </w:t>
      </w:r>
      <w:r>
        <w:rPr>
          <w:rFonts w:ascii="Arial" w:hAnsi="Arial" w:cs="Arial"/>
          <w:color w:val="auto"/>
          <w:szCs w:val="21"/>
          <w:highlight w:val="none"/>
        </w:rPr>
        <w:t xml:space="preserve">     开户银行：</w:t>
      </w:r>
      <w:r>
        <w:rPr>
          <w:rFonts w:ascii="Arial" w:hAnsi="Arial" w:cs="Arial"/>
          <w:color w:val="auto"/>
          <w:szCs w:val="21"/>
          <w:highlight w:val="none"/>
          <w:u w:val="single"/>
        </w:rPr>
        <w:t xml:space="preserve">                                   </w:t>
      </w:r>
      <w:r>
        <w:rPr>
          <w:rFonts w:ascii="Arial" w:hAnsi="Arial" w:cs="Arial"/>
          <w:color w:val="auto"/>
          <w:szCs w:val="21"/>
          <w:highlight w:val="none"/>
        </w:rPr>
        <w:t xml:space="preserve">     </w:t>
      </w:r>
    </w:p>
    <w:p w14:paraId="4FA673AA">
      <w:pPr>
        <w:tabs>
          <w:tab w:val="left" w:pos="5040"/>
        </w:tabs>
        <w:spacing w:line="400" w:lineRule="exact"/>
        <w:rPr>
          <w:rFonts w:ascii="Arial" w:hAnsi="Arial" w:cs="Arial"/>
          <w:color w:val="auto"/>
          <w:szCs w:val="21"/>
          <w:highlight w:val="none"/>
        </w:rPr>
      </w:pPr>
      <w:r>
        <w:rPr>
          <w:rFonts w:ascii="Arial" w:hAnsi="Arial" w:cs="Arial"/>
          <w:color w:val="auto"/>
          <w:szCs w:val="21"/>
          <w:highlight w:val="none"/>
        </w:rPr>
        <w:t>银行账号：</w:t>
      </w:r>
      <w:r>
        <w:rPr>
          <w:rFonts w:ascii="Arial" w:hAnsi="Arial" w:cs="Arial"/>
          <w:color w:val="auto"/>
          <w:szCs w:val="21"/>
          <w:highlight w:val="none"/>
          <w:u w:val="single"/>
        </w:rPr>
        <w:t xml:space="preserve">                             </w:t>
      </w:r>
      <w:r>
        <w:rPr>
          <w:rFonts w:ascii="Arial" w:hAnsi="Arial" w:cs="Arial"/>
          <w:color w:val="auto"/>
          <w:szCs w:val="21"/>
          <w:highlight w:val="none"/>
        </w:rPr>
        <w:t xml:space="preserve">     银行账号：</w:t>
      </w:r>
      <w:r>
        <w:rPr>
          <w:rFonts w:ascii="Arial" w:hAnsi="Arial" w:cs="Arial"/>
          <w:color w:val="auto"/>
          <w:szCs w:val="21"/>
          <w:highlight w:val="none"/>
          <w:u w:val="single"/>
        </w:rPr>
        <w:t xml:space="preserve">                                  </w:t>
      </w:r>
      <w:r>
        <w:rPr>
          <w:rFonts w:ascii="Arial" w:hAnsi="Arial" w:cs="Arial"/>
          <w:color w:val="auto"/>
          <w:szCs w:val="21"/>
          <w:highlight w:val="none"/>
        </w:rPr>
        <w:t xml:space="preserve">     </w:t>
      </w:r>
    </w:p>
    <w:p w14:paraId="644F6182">
      <w:pPr>
        <w:tabs>
          <w:tab w:val="left" w:pos="5040"/>
        </w:tabs>
        <w:spacing w:line="400" w:lineRule="exact"/>
        <w:rPr>
          <w:rFonts w:ascii="Arial" w:hAnsi="Arial" w:cs="Arial"/>
          <w:color w:val="auto"/>
          <w:szCs w:val="21"/>
          <w:highlight w:val="none"/>
        </w:rPr>
      </w:pPr>
      <w:r>
        <w:rPr>
          <w:rFonts w:ascii="Arial" w:hAnsi="Arial" w:cs="Arial"/>
          <w:color w:val="auto"/>
          <w:szCs w:val="21"/>
          <w:highlight w:val="none"/>
        </w:rPr>
        <w:t>日    期：</w:t>
      </w:r>
      <w:r>
        <w:rPr>
          <w:rFonts w:ascii="Arial" w:hAnsi="Arial" w:cs="Arial"/>
          <w:color w:val="auto"/>
          <w:szCs w:val="21"/>
          <w:highlight w:val="none"/>
          <w:u w:val="single"/>
        </w:rPr>
        <w:t xml:space="preserve">                            </w:t>
      </w:r>
      <w:r>
        <w:rPr>
          <w:rFonts w:ascii="Arial" w:hAnsi="Arial" w:cs="Arial"/>
          <w:color w:val="auto"/>
          <w:szCs w:val="21"/>
          <w:highlight w:val="none"/>
        </w:rPr>
        <w:t xml:space="preserve">      日    期：</w:t>
      </w:r>
      <w:r>
        <w:rPr>
          <w:rFonts w:ascii="Arial" w:hAnsi="Arial" w:cs="Arial"/>
          <w:color w:val="auto"/>
          <w:szCs w:val="21"/>
          <w:highlight w:val="none"/>
          <w:u w:val="single"/>
        </w:rPr>
        <w:t xml:space="preserve">                                  </w:t>
      </w:r>
    </w:p>
    <w:bookmarkEnd w:id="58"/>
    <w:bookmarkEnd w:id="59"/>
    <w:p w14:paraId="3411AB79">
      <w:pPr>
        <w:jc w:val="left"/>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br w:type="page"/>
      </w:r>
    </w:p>
    <w:p w14:paraId="76A6089A">
      <w:pPr>
        <w:jc w:val="center"/>
        <w:rPr>
          <w:rFonts w:ascii="宋体" w:hAnsi="宋体" w:cs="宋体"/>
          <w:color w:val="auto"/>
          <w:sz w:val="32"/>
          <w:szCs w:val="32"/>
          <w:highlight w:val="none"/>
        </w:rPr>
      </w:pPr>
      <w:r>
        <w:rPr>
          <w:rFonts w:hint="eastAsia" w:ascii="宋体" w:hAnsi="宋体" w:cs="宋体"/>
          <w:b/>
          <w:bCs/>
          <w:color w:val="auto"/>
          <w:kern w:val="0"/>
          <w:sz w:val="32"/>
          <w:szCs w:val="32"/>
          <w:highlight w:val="none"/>
        </w:rPr>
        <w:t>政府采购采购项目履约保证金退付意见书</w:t>
      </w:r>
    </w:p>
    <w:p w14:paraId="5AA50271">
      <w:pPr>
        <w:snapToGrid w:val="0"/>
        <w:spacing w:line="400" w:lineRule="exact"/>
        <w:jc w:val="center"/>
        <w:rPr>
          <w:rFonts w:ascii="宋体" w:hAnsi="宋体" w:cs="宋体"/>
          <w:b/>
          <w:color w:val="auto"/>
          <w:sz w:val="24"/>
          <w:highlight w:val="none"/>
        </w:rPr>
      </w:pPr>
    </w:p>
    <w:tbl>
      <w:tblPr>
        <w:tblStyle w:val="30"/>
        <w:tblW w:w="8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7731"/>
      </w:tblGrid>
      <w:tr w14:paraId="2CA7E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173" w:type="dxa"/>
            <w:vMerge w:val="restart"/>
            <w:vAlign w:val="center"/>
          </w:tcPr>
          <w:p w14:paraId="4B0C756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供应商申请</w:t>
            </w:r>
          </w:p>
        </w:tc>
        <w:tc>
          <w:tcPr>
            <w:tcW w:w="7731" w:type="dxa"/>
            <w:vAlign w:val="center"/>
          </w:tcPr>
          <w:p w14:paraId="2146C194">
            <w:pPr>
              <w:spacing w:line="360" w:lineRule="auto"/>
              <w:rPr>
                <w:rFonts w:ascii="宋体" w:hAnsi="宋体" w:cs="宋体"/>
                <w:color w:val="auto"/>
                <w:szCs w:val="21"/>
                <w:highlight w:val="none"/>
              </w:rPr>
            </w:pPr>
            <w:r>
              <w:rPr>
                <w:rFonts w:hint="eastAsia" w:ascii="宋体" w:hAnsi="宋体" w:cs="宋体"/>
                <w:color w:val="auto"/>
                <w:szCs w:val="21"/>
                <w:highlight w:val="none"/>
              </w:rPr>
              <w:t>项目编号：</w:t>
            </w:r>
          </w:p>
        </w:tc>
      </w:tr>
      <w:tr w14:paraId="7A6A8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 w:hRule="atLeast"/>
          <w:jc w:val="center"/>
        </w:trPr>
        <w:tc>
          <w:tcPr>
            <w:tcW w:w="1173" w:type="dxa"/>
            <w:vMerge w:val="continue"/>
            <w:vAlign w:val="center"/>
          </w:tcPr>
          <w:p w14:paraId="439F519F">
            <w:pPr>
              <w:spacing w:line="360" w:lineRule="auto"/>
              <w:rPr>
                <w:rFonts w:ascii="宋体" w:hAnsi="宋体" w:cs="宋体"/>
                <w:color w:val="auto"/>
                <w:szCs w:val="21"/>
                <w:highlight w:val="none"/>
              </w:rPr>
            </w:pPr>
          </w:p>
        </w:tc>
        <w:tc>
          <w:tcPr>
            <w:tcW w:w="7731" w:type="dxa"/>
            <w:vAlign w:val="center"/>
          </w:tcPr>
          <w:p w14:paraId="2BCA7932">
            <w:pPr>
              <w:spacing w:line="360" w:lineRule="auto"/>
              <w:rPr>
                <w:rFonts w:ascii="宋体" w:hAnsi="宋体" w:cs="宋体"/>
                <w:color w:val="auto"/>
                <w:szCs w:val="21"/>
                <w:highlight w:val="none"/>
              </w:rPr>
            </w:pPr>
            <w:r>
              <w:rPr>
                <w:rFonts w:hint="eastAsia" w:ascii="宋体" w:hAnsi="宋体" w:cs="宋体"/>
                <w:color w:val="auto"/>
                <w:szCs w:val="21"/>
                <w:highlight w:val="none"/>
              </w:rPr>
              <w:t>项目名称：</w:t>
            </w:r>
          </w:p>
        </w:tc>
      </w:tr>
      <w:tr w14:paraId="7A2A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73" w:type="dxa"/>
            <w:vMerge w:val="continue"/>
          </w:tcPr>
          <w:p w14:paraId="7BAC90C4">
            <w:pPr>
              <w:spacing w:line="360" w:lineRule="auto"/>
              <w:rPr>
                <w:rFonts w:ascii="宋体" w:hAnsi="宋体" w:cs="宋体"/>
                <w:color w:val="auto"/>
                <w:szCs w:val="21"/>
                <w:highlight w:val="none"/>
              </w:rPr>
            </w:pPr>
          </w:p>
        </w:tc>
        <w:tc>
          <w:tcPr>
            <w:tcW w:w="7731" w:type="dxa"/>
          </w:tcPr>
          <w:p w14:paraId="4A6C32EE">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w:t>
            </w:r>
          </w:p>
          <w:p w14:paraId="142F34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该项目已于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日验收并交付使用。根据合同规定，该项目的履约保证金期限于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日已满，请将履约保证金</w:t>
            </w:r>
          </w:p>
          <w:p w14:paraId="1D3EEA8A">
            <w:pPr>
              <w:spacing w:line="360" w:lineRule="auto"/>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（小写）退付到达以下账户。</w:t>
            </w:r>
          </w:p>
          <w:p w14:paraId="73317CBB">
            <w:pPr>
              <w:spacing w:line="360" w:lineRule="auto"/>
              <w:ind w:firstLine="705"/>
              <w:rPr>
                <w:rFonts w:ascii="宋体" w:hAnsi="宋体" w:cs="宋体"/>
                <w:color w:val="auto"/>
                <w:szCs w:val="21"/>
                <w:highlight w:val="none"/>
              </w:rPr>
            </w:pPr>
            <w:r>
              <w:rPr>
                <w:rFonts w:hint="eastAsia" w:ascii="宋体" w:hAnsi="宋体" w:cs="宋体"/>
                <w:color w:val="auto"/>
                <w:szCs w:val="21"/>
                <w:highlight w:val="none"/>
              </w:rPr>
              <w:t>单位名称：</w:t>
            </w:r>
          </w:p>
          <w:p w14:paraId="21B73CF1">
            <w:pPr>
              <w:spacing w:line="360" w:lineRule="auto"/>
              <w:ind w:firstLine="705"/>
              <w:rPr>
                <w:rFonts w:ascii="宋体" w:hAnsi="宋体" w:cs="宋体"/>
                <w:color w:val="auto"/>
                <w:szCs w:val="21"/>
                <w:highlight w:val="none"/>
              </w:rPr>
            </w:pPr>
            <w:r>
              <w:rPr>
                <w:rFonts w:hint="eastAsia" w:ascii="宋体" w:hAnsi="宋体" w:cs="宋体"/>
                <w:color w:val="auto"/>
                <w:szCs w:val="21"/>
                <w:highlight w:val="none"/>
              </w:rPr>
              <w:t>开户银行：</w:t>
            </w:r>
          </w:p>
          <w:p w14:paraId="1094735E">
            <w:pPr>
              <w:spacing w:line="360" w:lineRule="auto"/>
              <w:ind w:firstLine="705"/>
              <w:rPr>
                <w:rFonts w:ascii="宋体" w:hAnsi="宋体" w:cs="宋体"/>
                <w:color w:val="auto"/>
                <w:szCs w:val="21"/>
                <w:highlight w:val="none"/>
              </w:rPr>
            </w:pPr>
            <w:r>
              <w:rPr>
                <w:rFonts w:hint="eastAsia" w:ascii="宋体" w:hAnsi="宋体" w:cs="宋体"/>
                <w:color w:val="auto"/>
                <w:szCs w:val="21"/>
                <w:highlight w:val="none"/>
              </w:rPr>
              <w:t>账   号：</w:t>
            </w:r>
          </w:p>
          <w:p w14:paraId="5AF0F505">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联系人及电话：                        供应商公章：</w:t>
            </w:r>
          </w:p>
          <w:p w14:paraId="70E1CBC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                           年    月     日</w:t>
            </w:r>
          </w:p>
        </w:tc>
      </w:tr>
      <w:tr w14:paraId="448CB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Align w:val="center"/>
          </w:tcPr>
          <w:p w14:paraId="3EC39EC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w:t>
            </w:r>
          </w:p>
          <w:p w14:paraId="7EBE522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单位</w:t>
            </w:r>
          </w:p>
          <w:p w14:paraId="112C833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意见</w:t>
            </w:r>
          </w:p>
        </w:tc>
        <w:tc>
          <w:tcPr>
            <w:tcW w:w="7731" w:type="dxa"/>
          </w:tcPr>
          <w:p w14:paraId="74258511">
            <w:pPr>
              <w:spacing w:line="360" w:lineRule="auto"/>
              <w:rPr>
                <w:rFonts w:ascii="宋体" w:hAnsi="宋体" w:cs="宋体"/>
                <w:color w:val="auto"/>
                <w:szCs w:val="21"/>
                <w:highlight w:val="none"/>
              </w:rPr>
            </w:pPr>
            <w:r>
              <w:rPr>
                <w:rFonts w:hint="eastAsia" w:ascii="宋体" w:hAnsi="宋体" w:cs="宋体"/>
                <w:color w:val="auto"/>
                <w:szCs w:val="21"/>
                <w:highlight w:val="none"/>
              </w:rPr>
              <w:t>退付意见：是否同意退付履约保证金及退付金额：</w:t>
            </w:r>
          </w:p>
          <w:p w14:paraId="37AD2D1A">
            <w:pPr>
              <w:spacing w:line="360" w:lineRule="auto"/>
              <w:rPr>
                <w:rFonts w:ascii="宋体" w:hAnsi="宋体" w:cs="宋体"/>
                <w:color w:val="auto"/>
                <w:szCs w:val="21"/>
                <w:highlight w:val="none"/>
              </w:rPr>
            </w:pPr>
          </w:p>
          <w:p w14:paraId="1F157971">
            <w:pPr>
              <w:spacing w:line="360" w:lineRule="auto"/>
              <w:rPr>
                <w:rFonts w:ascii="宋体" w:hAnsi="宋体" w:cs="宋体"/>
                <w:color w:val="auto"/>
                <w:szCs w:val="21"/>
                <w:highlight w:val="none"/>
              </w:rPr>
            </w:pPr>
          </w:p>
          <w:p w14:paraId="3CBA3F09">
            <w:pPr>
              <w:spacing w:line="360" w:lineRule="auto"/>
              <w:rPr>
                <w:rFonts w:ascii="宋体" w:hAnsi="宋体" w:cs="宋体"/>
                <w:color w:val="auto"/>
                <w:szCs w:val="21"/>
                <w:highlight w:val="none"/>
              </w:rPr>
            </w:pPr>
            <w:r>
              <w:rPr>
                <w:rFonts w:hint="eastAsia" w:ascii="宋体" w:hAnsi="宋体" w:cs="宋体"/>
                <w:color w:val="auto"/>
                <w:szCs w:val="21"/>
                <w:highlight w:val="none"/>
              </w:rPr>
              <w:t>联系人及电话：                                 采购单位公章</w:t>
            </w:r>
          </w:p>
          <w:p w14:paraId="768AF31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                                        年    月     日</w:t>
            </w:r>
          </w:p>
        </w:tc>
      </w:tr>
      <w:tr w14:paraId="4BB10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Align w:val="center"/>
          </w:tcPr>
          <w:p w14:paraId="7F2307B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财务</w:t>
            </w:r>
          </w:p>
          <w:p w14:paraId="7B765F0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部门</w:t>
            </w:r>
          </w:p>
          <w:p w14:paraId="435763A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意见</w:t>
            </w:r>
          </w:p>
        </w:tc>
        <w:tc>
          <w:tcPr>
            <w:tcW w:w="7731" w:type="dxa"/>
          </w:tcPr>
          <w:p w14:paraId="5378E9F3">
            <w:pPr>
              <w:spacing w:line="360" w:lineRule="auto"/>
              <w:rPr>
                <w:rFonts w:ascii="宋体" w:hAnsi="宋体" w:cs="宋体"/>
                <w:color w:val="auto"/>
                <w:szCs w:val="21"/>
                <w:highlight w:val="none"/>
              </w:rPr>
            </w:pPr>
            <w:r>
              <w:rPr>
                <w:rFonts w:hint="eastAsia" w:ascii="宋体" w:hAnsi="宋体" w:cs="宋体"/>
                <w:color w:val="auto"/>
                <w:szCs w:val="21"/>
                <w:highlight w:val="none"/>
              </w:rPr>
              <w:t>此表于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月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日收到。</w:t>
            </w:r>
          </w:p>
          <w:p w14:paraId="5861B015">
            <w:pPr>
              <w:spacing w:line="360" w:lineRule="auto"/>
              <w:rPr>
                <w:rFonts w:ascii="宋体" w:hAnsi="宋体" w:cs="宋体"/>
                <w:color w:val="auto"/>
                <w:szCs w:val="21"/>
                <w:highlight w:val="none"/>
              </w:rPr>
            </w:pPr>
            <w:r>
              <w:rPr>
                <w:rFonts w:hint="eastAsia" w:ascii="宋体" w:hAnsi="宋体" w:cs="宋体"/>
                <w:color w:val="auto"/>
                <w:szCs w:val="21"/>
                <w:highlight w:val="none"/>
              </w:rPr>
              <w:t>会计审核：</w:t>
            </w:r>
          </w:p>
          <w:p w14:paraId="2C2E3C17">
            <w:pPr>
              <w:spacing w:line="360" w:lineRule="auto"/>
              <w:rPr>
                <w:rFonts w:ascii="宋体" w:hAnsi="宋体" w:cs="宋体"/>
                <w:color w:val="auto"/>
                <w:szCs w:val="21"/>
                <w:highlight w:val="none"/>
              </w:rPr>
            </w:pPr>
            <w:r>
              <w:rPr>
                <w:rFonts w:hint="eastAsia" w:ascii="宋体" w:hAnsi="宋体" w:cs="宋体"/>
                <w:color w:val="auto"/>
                <w:szCs w:val="21"/>
                <w:highlight w:val="none"/>
              </w:rPr>
              <w:t>财务负责人审核：</w:t>
            </w:r>
          </w:p>
          <w:p w14:paraId="5BDAF370">
            <w:pPr>
              <w:spacing w:line="360" w:lineRule="auto"/>
              <w:rPr>
                <w:rFonts w:ascii="宋体" w:hAnsi="宋体" w:cs="宋体"/>
                <w:color w:val="auto"/>
                <w:szCs w:val="21"/>
                <w:highlight w:val="none"/>
              </w:rPr>
            </w:pPr>
            <w:r>
              <w:rPr>
                <w:rFonts w:hint="eastAsia" w:ascii="宋体" w:hAnsi="宋体" w:cs="宋体"/>
                <w:color w:val="auto"/>
                <w:szCs w:val="21"/>
                <w:highlight w:val="none"/>
              </w:rPr>
              <w:t>单位负责人签字：</w:t>
            </w:r>
          </w:p>
          <w:p w14:paraId="66D03ABB">
            <w:pPr>
              <w:spacing w:line="360" w:lineRule="auto"/>
              <w:rPr>
                <w:rFonts w:ascii="宋体" w:hAnsi="宋体" w:cs="宋体"/>
                <w:color w:val="auto"/>
                <w:szCs w:val="21"/>
                <w:highlight w:val="none"/>
              </w:rPr>
            </w:pPr>
            <w:r>
              <w:rPr>
                <w:rFonts w:hint="eastAsia" w:ascii="宋体" w:hAnsi="宋体" w:cs="宋体"/>
                <w:color w:val="auto"/>
                <w:szCs w:val="21"/>
                <w:highlight w:val="none"/>
              </w:rPr>
              <w:t>出纳办理转账日期：</w:t>
            </w:r>
          </w:p>
        </w:tc>
      </w:tr>
    </w:tbl>
    <w:p w14:paraId="7E1F240B">
      <w:pPr>
        <w:snapToGrid w:val="0"/>
        <w:spacing w:line="360" w:lineRule="auto"/>
        <w:rPr>
          <w:rFonts w:ascii="宋体" w:hAnsi="宋体" w:cs="宋体"/>
          <w:color w:val="auto"/>
          <w:sz w:val="24"/>
          <w:highlight w:val="none"/>
        </w:rPr>
      </w:pPr>
    </w:p>
    <w:bookmarkEnd w:id="60"/>
    <w:sectPr>
      <w:footerReference r:id="rId9" w:type="first"/>
      <w:pgSz w:w="11905" w:h="16838"/>
      <w:pgMar w:top="1417" w:right="1417" w:bottom="1417" w:left="1417" w:header="850" w:footer="992" w:gutter="0"/>
      <w:cols w:space="720" w:num="1"/>
      <w:titlePg/>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方正书宋_GBK">
    <w:altName w:val="Microsoft YaHei UI"/>
    <w:panose1 w:val="00000000000000000000"/>
    <w:charset w:val="86"/>
    <w:family w:val="auto"/>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0002AFF" w:usb1="C0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方正小标宋简体">
    <w:altName w:val="Microsoft YaHei UI"/>
    <w:panose1 w:val="00000000000000000000"/>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2EEBCA72">
    <w:panose1 w:val="020B0502040204020203"/>
    <w:charset w:val="86"/>
    <w:family w:val="auto"/>
    <w:pitch w:val="default"/>
    <w:sig w:usb0="00000001" w:usb1="00000000" w:usb2="00000000" w:usb3="00000000" w:csb0="003E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F14E5">
    <w:pPr>
      <w:pStyle w:val="21"/>
      <w:framePr w:wrap="around" w:vAnchor="text" w:hAnchor="margin" w:xAlign="center" w:y="1"/>
      <w:jc w:val="center"/>
      <w:rPr>
        <w:rStyle w:val="40"/>
      </w:rPr>
    </w:pPr>
    <w:r>
      <w:fldChar w:fldCharType="begin"/>
    </w:r>
    <w:r>
      <w:rPr>
        <w:rStyle w:val="40"/>
      </w:rPr>
      <w:instrText xml:space="preserve">PAGE  </w:instrText>
    </w:r>
    <w:r>
      <w:fldChar w:fldCharType="separate"/>
    </w:r>
    <w:r>
      <w:rPr>
        <w:rStyle w:val="40"/>
      </w:rPr>
      <w:t>27</w:t>
    </w:r>
    <w:r>
      <w:fldChar w:fldCharType="end"/>
    </w:r>
  </w:p>
  <w:p w14:paraId="1B118C55">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43FA5">
    <w:pPr>
      <w:pStyle w:val="21"/>
      <w:framePr w:wrap="around" w:vAnchor="text" w:hAnchor="margin" w:xAlign="center" w:y="1"/>
      <w:rPr>
        <w:rStyle w:val="40"/>
      </w:rPr>
    </w:pPr>
    <w:r>
      <w:fldChar w:fldCharType="begin"/>
    </w:r>
    <w:r>
      <w:rPr>
        <w:rStyle w:val="40"/>
      </w:rPr>
      <w:instrText xml:space="preserve">PAGE  </w:instrText>
    </w:r>
    <w:r>
      <w:fldChar w:fldCharType="separate"/>
    </w:r>
    <w:r>
      <w:rPr>
        <w:rStyle w:val="40"/>
      </w:rPr>
      <w:t>1</w:t>
    </w:r>
    <w:r>
      <w:fldChar w:fldCharType="end"/>
    </w:r>
  </w:p>
  <w:p w14:paraId="726AAB9A">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D5CBB">
    <w:pPr>
      <w:pStyle w:val="21"/>
      <w:jc w:val="center"/>
    </w:pPr>
    <w:r>
      <w:fldChar w:fldCharType="begin"/>
    </w:r>
    <w:r>
      <w:instrText xml:space="preserve"> PAGE   \* MERGEFORMAT </w:instrText>
    </w:r>
    <w:r>
      <w:fldChar w:fldCharType="separate"/>
    </w:r>
    <w:r>
      <w:rPr>
        <w:lang w:val="zh-CN"/>
      </w:rPr>
      <w:t>28</w:t>
    </w:r>
    <w:r>
      <w:fldChar w:fldCharType="end"/>
    </w:r>
  </w:p>
  <w:p w14:paraId="4A6B5EA7">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155A6">
    <w:pPr>
      <w:pStyle w:val="21"/>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5CC7121">
                          <w:pPr>
                            <w:pStyle w:val="21"/>
                          </w:pPr>
                          <w:r>
                            <w:fldChar w:fldCharType="begin"/>
                          </w:r>
                          <w:r>
                            <w:instrText xml:space="preserve"> PAGE  \* MERGEFORMAT </w:instrText>
                          </w:r>
                          <w:r>
                            <w:fldChar w:fldCharType="separate"/>
                          </w:r>
                          <w:r>
                            <w:t>19</w:t>
                          </w:r>
                          <w:r>
                            <w:fldChar w:fldCharType="end"/>
                          </w:r>
                        </w:p>
                      </w:txbxContent>
                    </wps:txbx>
                    <wps:bodyPr vert="horz" wrap="none" lIns="0" tIns="0" rIns="0" bIns="0" anchor="t">
                      <a:spAutoFit/>
                    </wps:bodyPr>
                  </wps:wsp>
                </a:graphicData>
              </a:graphic>
            </wp:anchor>
          </w:drawing>
        </mc:Choice>
        <mc:Fallback>
          <w:pict>
            <v:rect id="文本框 9"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MikF9jKAQAAkgMAAA4AAAAAAAAAAQAgAAAAHwEAAGRycy9lMm9E&#10;b2MueG1sUEsFBgAAAAAGAAYAWQEAAFsFAAAAAA==&#10;">
              <v:fill on="f" focussize="0,0"/>
              <v:stroke on="f"/>
              <v:imagedata o:title=""/>
              <o:lock v:ext="edit" aspectratio="f"/>
              <v:textbox inset="0mm,0mm,0mm,0mm" style="mso-fit-shape-to-text:t;">
                <w:txbxContent>
                  <w:p w14:paraId="65CC7121">
                    <w:pPr>
                      <w:pStyle w:val="21"/>
                    </w:pPr>
                    <w:r>
                      <w:fldChar w:fldCharType="begin"/>
                    </w:r>
                    <w:r>
                      <w:instrText xml:space="preserve"> PAGE  \* MERGEFORMAT </w:instrText>
                    </w:r>
                    <w:r>
                      <w:fldChar w:fldCharType="separate"/>
                    </w:r>
                    <w:r>
                      <w:t>19</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A269D">
    <w:pPr>
      <w:pStyle w:val="21"/>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512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2F03515">
                          <w:pPr>
                            <w:pStyle w:val="21"/>
                          </w:pPr>
                          <w:r>
                            <w:rPr>
                              <w:rFonts w:hint="eastAsia"/>
                            </w:rPr>
                            <w:fldChar w:fldCharType="begin"/>
                          </w:r>
                          <w:r>
                            <w:rPr>
                              <w:rFonts w:hint="eastAsia"/>
                            </w:rPr>
                            <w:instrText xml:space="preserve"> PAGE  \* MERGEFORMAT </w:instrText>
                          </w:r>
                          <w:r>
                            <w:rPr>
                              <w:rFonts w:hint="eastAsia"/>
                            </w:rPr>
                            <w:fldChar w:fldCharType="separate"/>
                          </w:r>
                          <w:r>
                            <w:t>70</w:t>
                          </w:r>
                          <w:r>
                            <w:rPr>
                              <w:rFonts w:hint="eastAsia"/>
                            </w:rPr>
                            <w:fldChar w:fldCharType="end"/>
                          </w:r>
                        </w:p>
                      </w:txbxContent>
                    </wps:txbx>
                    <wps:bodyPr wrap="none" lIns="0" tIns="0" rIns="0" bIns="0">
                      <a:spAutoFit/>
                    </wps:bodyPr>
                  </wps:wsp>
                </a:graphicData>
              </a:graphic>
            </wp:anchor>
          </w:drawing>
        </mc:Choice>
        <mc:Fallback>
          <w:pict>
            <v:rect id="文本框 512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uXW5UtAAAAAFAQAADwAAAAAAAAABACAAAAAiAAAAZHJzL2Rvd25yZXYueG1sUEsBAhQAFAAA&#10;AAgAh07iQKyTdIS+AQAAfgMAAA4AAAAAAAAAAQAgAAAAHwEAAGRycy9lMm9Eb2MueG1sUEsFBgAA&#10;AAAGAAYAWQEAAE8FAAAAAA==&#10;">
              <v:fill on="f" focussize="0,0"/>
              <v:stroke on="f"/>
              <v:imagedata o:title=""/>
              <o:lock v:ext="edit" aspectratio="f"/>
              <v:textbox inset="0mm,0mm,0mm,0mm" style="mso-fit-shape-to-text:t;">
                <w:txbxContent>
                  <w:p w14:paraId="42F03515">
                    <w:pPr>
                      <w:pStyle w:val="21"/>
                    </w:pPr>
                    <w:r>
                      <w:rPr>
                        <w:rFonts w:hint="eastAsia"/>
                      </w:rPr>
                      <w:fldChar w:fldCharType="begin"/>
                    </w:r>
                    <w:r>
                      <w:rPr>
                        <w:rFonts w:hint="eastAsia"/>
                      </w:rPr>
                      <w:instrText xml:space="preserve"> PAGE  \* MERGEFORMAT </w:instrText>
                    </w:r>
                    <w:r>
                      <w:rPr>
                        <w:rFonts w:hint="eastAsia"/>
                      </w:rPr>
                      <w:fldChar w:fldCharType="separate"/>
                    </w:r>
                    <w:r>
                      <w:t>70</w:t>
                    </w:r>
                    <w:r>
                      <w:rPr>
                        <w:rFonts w:hint="eastAsia"/>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A5451">
    <w:pPr>
      <w:pStyle w:val="22"/>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C097D">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hideSpellingErrors/>
  <w:trackRevisions w:val="1"/>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C1B"/>
    <w:rsid w:val="00244C1B"/>
    <w:rsid w:val="00422FE8"/>
    <w:rsid w:val="00566632"/>
    <w:rsid w:val="0108329A"/>
    <w:rsid w:val="06496D79"/>
    <w:rsid w:val="069046D5"/>
    <w:rsid w:val="17594B3A"/>
    <w:rsid w:val="185408C5"/>
    <w:rsid w:val="185A61CA"/>
    <w:rsid w:val="1A9F789A"/>
    <w:rsid w:val="1D1722B1"/>
    <w:rsid w:val="23F137F1"/>
    <w:rsid w:val="27743E5C"/>
    <w:rsid w:val="27F0056F"/>
    <w:rsid w:val="2BD96379"/>
    <w:rsid w:val="2C0E48B1"/>
    <w:rsid w:val="2D994B6E"/>
    <w:rsid w:val="31981B11"/>
    <w:rsid w:val="36A7747D"/>
    <w:rsid w:val="3752150F"/>
    <w:rsid w:val="38BA732C"/>
    <w:rsid w:val="39D90CD2"/>
    <w:rsid w:val="3C291F3C"/>
    <w:rsid w:val="3D2A0465"/>
    <w:rsid w:val="3DFF7C2B"/>
    <w:rsid w:val="3F514749"/>
    <w:rsid w:val="3F630132"/>
    <w:rsid w:val="44402359"/>
    <w:rsid w:val="4A9D0FB6"/>
    <w:rsid w:val="4FED08BB"/>
    <w:rsid w:val="51AB0F0B"/>
    <w:rsid w:val="531909A5"/>
    <w:rsid w:val="5514038D"/>
    <w:rsid w:val="56E11498"/>
    <w:rsid w:val="57B56E7B"/>
    <w:rsid w:val="58906C13"/>
    <w:rsid w:val="5A132EDD"/>
    <w:rsid w:val="5A62466F"/>
    <w:rsid w:val="610614CF"/>
    <w:rsid w:val="69DB59DB"/>
    <w:rsid w:val="6BC40E5C"/>
    <w:rsid w:val="6C9C3912"/>
    <w:rsid w:val="6E9F0D8B"/>
    <w:rsid w:val="76213529"/>
    <w:rsid w:val="762914BB"/>
    <w:rsid w:val="7C635AEE"/>
    <w:rsid w:val="7D9A538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6"/>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5">
    <w:name w:val="heading 5"/>
    <w:basedOn w:val="1"/>
    <w:next w:val="6"/>
    <w:link w:val="47"/>
    <w:qFormat/>
    <w:uiPriority w:val="9"/>
    <w:pPr>
      <w:keepNext/>
      <w:keepLines/>
      <w:spacing w:before="280" w:after="290" w:line="376" w:lineRule="auto"/>
      <w:outlineLvl w:val="4"/>
    </w:pPr>
    <w:rPr>
      <w:b/>
      <w:bCs/>
      <w:sz w:val="28"/>
      <w:szCs w:val="28"/>
    </w:rPr>
  </w:style>
  <w:style w:type="character" w:default="1" w:styleId="39">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8">
    <w:name w:val="annotation text"/>
    <w:basedOn w:val="1"/>
    <w:link w:val="48"/>
    <w:qFormat/>
    <w:uiPriority w:val="0"/>
    <w:pPr>
      <w:jc w:val="left"/>
    </w:pPr>
  </w:style>
  <w:style w:type="paragraph" w:styleId="9">
    <w:name w:val="Body Text 3"/>
    <w:basedOn w:val="1"/>
    <w:link w:val="49"/>
    <w:qFormat/>
    <w:uiPriority w:val="99"/>
    <w:pPr>
      <w:spacing w:after="120"/>
    </w:pPr>
    <w:rPr>
      <w:sz w:val="16"/>
      <w:szCs w:val="16"/>
    </w:rPr>
  </w:style>
  <w:style w:type="paragraph" w:styleId="10">
    <w:name w:val="Body Text"/>
    <w:basedOn w:val="1"/>
    <w:next w:val="11"/>
    <w:link w:val="50"/>
    <w:qFormat/>
    <w:uiPriority w:val="0"/>
    <w:pPr>
      <w:spacing w:after="120"/>
    </w:pPr>
  </w:style>
  <w:style w:type="paragraph" w:styleId="11">
    <w:name w:val="Body Text First Indent 2"/>
    <w:basedOn w:val="12"/>
    <w:next w:val="14"/>
    <w:qFormat/>
    <w:uiPriority w:val="0"/>
    <w:pPr>
      <w:spacing w:after="120"/>
      <w:ind w:left="420" w:leftChars="200" w:firstLine="420" w:firstLineChars="200"/>
    </w:pPr>
    <w:rPr>
      <w:szCs w:val="24"/>
    </w:rPr>
  </w:style>
  <w:style w:type="paragraph" w:styleId="12">
    <w:name w:val="Body Text Indent"/>
    <w:basedOn w:val="1"/>
    <w:next w:val="13"/>
    <w:link w:val="51"/>
    <w:qFormat/>
    <w:uiPriority w:val="0"/>
    <w:pPr>
      <w:ind w:firstLine="830" w:firstLineChars="352"/>
    </w:pPr>
    <w:rPr>
      <w:rFonts w:ascii="仿宋_GB2312" w:eastAsia="仿宋_GB2312"/>
      <w:kern w:val="0"/>
      <w:sz w:val="32"/>
      <w:szCs w:val="20"/>
    </w:rPr>
  </w:style>
  <w:style w:type="paragraph" w:styleId="13">
    <w:name w:val="envelope return"/>
    <w:basedOn w:val="1"/>
    <w:qFormat/>
    <w:uiPriority w:val="0"/>
    <w:pPr>
      <w:snapToGrid w:val="0"/>
    </w:pPr>
    <w:rPr>
      <w:rFonts w:ascii="Arial" w:hAnsi="Arial"/>
    </w:rPr>
  </w:style>
  <w:style w:type="paragraph" w:styleId="14">
    <w:name w:val="Body Text First Indent"/>
    <w:basedOn w:val="10"/>
    <w:next w:val="1"/>
    <w:qFormat/>
    <w:uiPriority w:val="0"/>
    <w:pPr>
      <w:ind w:firstLine="420" w:firstLineChars="100"/>
    </w:pPr>
  </w:style>
  <w:style w:type="paragraph" w:styleId="15">
    <w:name w:val="List 2"/>
    <w:basedOn w:val="1"/>
    <w:qFormat/>
    <w:uiPriority w:val="99"/>
    <w:pPr>
      <w:ind w:left="100" w:leftChars="200" w:hanging="200" w:hangingChars="200"/>
      <w:contextualSpacing/>
    </w:pPr>
  </w:style>
  <w:style w:type="paragraph" w:styleId="16">
    <w:name w:val="Block Text"/>
    <w:basedOn w:val="1"/>
    <w:qFormat/>
    <w:uiPriority w:val="0"/>
    <w:pPr>
      <w:tabs>
        <w:tab w:val="left" w:pos="1440"/>
      </w:tabs>
      <w:spacing w:after="100"/>
      <w:ind w:left="3600" w:right="-288" w:hanging="2880"/>
    </w:pPr>
    <w:rPr>
      <w:snapToGrid w:val="0"/>
      <w:kern w:val="0"/>
      <w:sz w:val="22"/>
      <w:szCs w:val="20"/>
      <w:lang w:eastAsia="en-US"/>
    </w:rPr>
  </w:style>
  <w:style w:type="paragraph" w:styleId="17">
    <w:name w:val="Plain Text"/>
    <w:basedOn w:val="1"/>
    <w:next w:val="4"/>
    <w:link w:val="52"/>
    <w:qFormat/>
    <w:uiPriority w:val="0"/>
    <w:rPr>
      <w:rFonts w:ascii="宋体" w:hAnsi="Courier New"/>
      <w:kern w:val="0"/>
      <w:sz w:val="20"/>
      <w:szCs w:val="21"/>
    </w:rPr>
  </w:style>
  <w:style w:type="paragraph" w:styleId="18">
    <w:name w:val="Date"/>
    <w:basedOn w:val="1"/>
    <w:next w:val="1"/>
    <w:link w:val="53"/>
    <w:qFormat/>
    <w:uiPriority w:val="99"/>
    <w:pPr>
      <w:ind w:left="100" w:leftChars="2500"/>
    </w:pPr>
  </w:style>
  <w:style w:type="paragraph" w:styleId="19">
    <w:name w:val="Body Text Indent 2"/>
    <w:basedOn w:val="1"/>
    <w:qFormat/>
    <w:uiPriority w:val="0"/>
    <w:pPr>
      <w:ind w:firstLine="630"/>
    </w:pPr>
    <w:rPr>
      <w:kern w:val="0"/>
      <w:sz w:val="32"/>
      <w:szCs w:val="20"/>
    </w:rPr>
  </w:style>
  <w:style w:type="paragraph" w:styleId="20">
    <w:name w:val="Balloon Text"/>
    <w:basedOn w:val="1"/>
    <w:qFormat/>
    <w:uiPriority w:val="0"/>
    <w:rPr>
      <w:sz w:val="18"/>
      <w:szCs w:val="18"/>
    </w:rPr>
  </w:style>
  <w:style w:type="paragraph" w:styleId="21">
    <w:name w:val="footer"/>
    <w:basedOn w:val="1"/>
    <w:link w:val="54"/>
    <w:qFormat/>
    <w:uiPriority w:val="99"/>
    <w:pPr>
      <w:tabs>
        <w:tab w:val="center" w:pos="4153"/>
        <w:tab w:val="right" w:pos="8306"/>
      </w:tabs>
      <w:snapToGrid w:val="0"/>
      <w:jc w:val="left"/>
    </w:pPr>
    <w:rPr>
      <w:kern w:val="0"/>
      <w:sz w:val="18"/>
      <w:szCs w:val="18"/>
    </w:rPr>
  </w:style>
  <w:style w:type="paragraph" w:styleId="22">
    <w:name w:val="header"/>
    <w:basedOn w:val="1"/>
    <w:link w:val="55"/>
    <w:qFormat/>
    <w:uiPriority w:val="99"/>
    <w:pPr>
      <w:pBdr>
        <w:bottom w:val="single" w:color="auto" w:sz="6" w:space="1"/>
      </w:pBdr>
      <w:tabs>
        <w:tab w:val="center" w:pos="4153"/>
        <w:tab w:val="right" w:pos="8306"/>
      </w:tabs>
      <w:snapToGrid w:val="0"/>
      <w:jc w:val="center"/>
    </w:pPr>
    <w:rPr>
      <w:kern w:val="0"/>
      <w:sz w:val="18"/>
      <w:szCs w:val="18"/>
    </w:rPr>
  </w:style>
  <w:style w:type="paragraph" w:styleId="23">
    <w:name w:val="toc 1"/>
    <w:basedOn w:val="1"/>
    <w:next w:val="1"/>
    <w:qFormat/>
    <w:uiPriority w:val="39"/>
  </w:style>
  <w:style w:type="paragraph" w:styleId="24">
    <w:name w:val="toc 2"/>
    <w:basedOn w:val="1"/>
    <w:next w:val="1"/>
    <w:qFormat/>
    <w:uiPriority w:val="39"/>
    <w:pPr>
      <w:tabs>
        <w:tab w:val="right" w:leader="dot" w:pos="8296"/>
      </w:tabs>
      <w:ind w:left="420" w:leftChars="200"/>
    </w:pPr>
  </w:style>
  <w:style w:type="paragraph" w:styleId="25">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kern w:val="0"/>
      <w:sz w:val="24"/>
    </w:rPr>
  </w:style>
  <w:style w:type="paragraph" w:styleId="26">
    <w:name w:val="Normal (Web)"/>
    <w:basedOn w:val="1"/>
    <w:qFormat/>
    <w:uiPriority w:val="99"/>
    <w:rPr>
      <w:rFonts w:ascii="Calibri" w:hAnsi="Calibri"/>
      <w:kern w:val="0"/>
      <w:sz w:val="24"/>
    </w:rPr>
  </w:style>
  <w:style w:type="paragraph" w:styleId="27">
    <w:name w:val="index 1"/>
    <w:basedOn w:val="1"/>
    <w:next w:val="1"/>
    <w:qFormat/>
    <w:uiPriority w:val="0"/>
    <w:pPr>
      <w:spacing w:line="400" w:lineRule="exact"/>
      <w:ind w:firstLine="420" w:firstLineChars="200"/>
    </w:pPr>
    <w:rPr>
      <w:rFonts w:ascii="宋体" w:hAnsi="Courier New"/>
      <w:b/>
      <w:szCs w:val="20"/>
    </w:rPr>
  </w:style>
  <w:style w:type="paragraph" w:styleId="28">
    <w:name w:val="Title"/>
    <w:basedOn w:val="1"/>
    <w:next w:val="1"/>
    <w:qFormat/>
    <w:uiPriority w:val="0"/>
    <w:pPr>
      <w:spacing w:before="240" w:after="60"/>
      <w:jc w:val="center"/>
      <w:outlineLvl w:val="0"/>
    </w:pPr>
    <w:rPr>
      <w:rFonts w:ascii="等线 Light" w:hAnsi="等线 Light"/>
      <w:b/>
      <w:bCs/>
      <w:sz w:val="32"/>
      <w:szCs w:val="32"/>
    </w:rPr>
  </w:style>
  <w:style w:type="paragraph" w:styleId="29">
    <w:name w:val="annotation subject"/>
    <w:basedOn w:val="8"/>
    <w:next w:val="8"/>
    <w:link w:val="56"/>
    <w:qFormat/>
    <w:uiPriority w:val="99"/>
    <w:rPr>
      <w:b/>
      <w:bCs/>
    </w:rPr>
  </w:style>
  <w:style w:type="table" w:styleId="31">
    <w:name w:val="Table Grid"/>
    <w:basedOn w:val="3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
    <w:name w:val="Medium Grid 3"/>
    <w:basedOn w:val="30"/>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33">
    <w:name w:val="Medium Grid 3 Accent 1"/>
    <w:basedOn w:val="30"/>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34">
    <w:name w:val="Medium Grid 3 Accent 2"/>
    <w:basedOn w:val="30"/>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35">
    <w:name w:val="Medium Grid 3 Accent 3"/>
    <w:basedOn w:val="30"/>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36">
    <w:name w:val="Medium Grid 3 Accent 4"/>
    <w:basedOn w:val="30"/>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37">
    <w:name w:val="Medium Grid 3 Accent 5"/>
    <w:basedOn w:val="30"/>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38">
    <w:name w:val="Medium Grid 3 Accent 6"/>
    <w:basedOn w:val="30"/>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character" w:styleId="40">
    <w:name w:val="page number"/>
    <w:qFormat/>
    <w:uiPriority w:val="0"/>
  </w:style>
  <w:style w:type="character" w:styleId="41">
    <w:name w:val="Emphasis"/>
    <w:basedOn w:val="39"/>
    <w:qFormat/>
    <w:uiPriority w:val="0"/>
    <w:rPr>
      <w:i/>
    </w:rPr>
  </w:style>
  <w:style w:type="character" w:styleId="42">
    <w:name w:val="Hyperlink"/>
    <w:qFormat/>
    <w:uiPriority w:val="99"/>
    <w:rPr>
      <w:color w:val="0000FF"/>
      <w:u w:val="single"/>
    </w:rPr>
  </w:style>
  <w:style w:type="character" w:styleId="43">
    <w:name w:val="annotation reference"/>
    <w:basedOn w:val="39"/>
    <w:qFormat/>
    <w:uiPriority w:val="0"/>
    <w:rPr>
      <w:sz w:val="21"/>
      <w:szCs w:val="21"/>
    </w:rPr>
  </w:style>
  <w:style w:type="paragraph" w:customStyle="1" w:styleId="44">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45">
    <w:name w:val="标题 1 字符1"/>
    <w:link w:val="2"/>
    <w:qFormat/>
    <w:uiPriority w:val="0"/>
    <w:rPr>
      <w:b/>
      <w:bCs/>
      <w:kern w:val="44"/>
      <w:sz w:val="44"/>
      <w:szCs w:val="44"/>
    </w:rPr>
  </w:style>
  <w:style w:type="character" w:customStyle="1" w:styleId="46">
    <w:name w:val="标题 2 字符"/>
    <w:link w:val="3"/>
    <w:qFormat/>
    <w:uiPriority w:val="9"/>
    <w:rPr>
      <w:rFonts w:ascii="Cambria" w:hAnsi="Cambria" w:eastAsia="宋体" w:cs="Times New Roman"/>
      <w:b/>
      <w:bCs/>
      <w:kern w:val="2"/>
      <w:sz w:val="32"/>
      <w:szCs w:val="32"/>
    </w:rPr>
  </w:style>
  <w:style w:type="character" w:customStyle="1" w:styleId="47">
    <w:name w:val="标题 5 字符"/>
    <w:link w:val="5"/>
    <w:qFormat/>
    <w:uiPriority w:val="9"/>
    <w:rPr>
      <w:rFonts w:ascii="Times New Roman" w:hAnsi="Times New Roman"/>
      <w:b/>
      <w:bCs/>
      <w:kern w:val="2"/>
      <w:sz w:val="28"/>
      <w:szCs w:val="28"/>
    </w:rPr>
  </w:style>
  <w:style w:type="character" w:customStyle="1" w:styleId="48">
    <w:name w:val="批注文字 字符"/>
    <w:link w:val="8"/>
    <w:qFormat/>
    <w:uiPriority w:val="0"/>
    <w:rPr>
      <w:rFonts w:ascii="Times New Roman" w:hAnsi="Times New Roman"/>
      <w:kern w:val="2"/>
      <w:sz w:val="21"/>
      <w:szCs w:val="24"/>
    </w:rPr>
  </w:style>
  <w:style w:type="character" w:customStyle="1" w:styleId="49">
    <w:name w:val="正文文本 3 字符"/>
    <w:link w:val="9"/>
    <w:qFormat/>
    <w:uiPriority w:val="99"/>
    <w:rPr>
      <w:rFonts w:ascii="Times New Roman" w:hAnsi="Times New Roman"/>
      <w:kern w:val="2"/>
      <w:sz w:val="16"/>
      <w:szCs w:val="16"/>
    </w:rPr>
  </w:style>
  <w:style w:type="character" w:customStyle="1" w:styleId="50">
    <w:name w:val="正文文本 字符"/>
    <w:link w:val="10"/>
    <w:qFormat/>
    <w:uiPriority w:val="0"/>
    <w:rPr>
      <w:rFonts w:ascii="Times New Roman" w:hAnsi="Times New Roman"/>
      <w:kern w:val="2"/>
      <w:sz w:val="21"/>
      <w:szCs w:val="24"/>
    </w:rPr>
  </w:style>
  <w:style w:type="character" w:customStyle="1" w:styleId="51">
    <w:name w:val="正文文本缩进 字符"/>
    <w:link w:val="12"/>
    <w:qFormat/>
    <w:uiPriority w:val="0"/>
    <w:rPr>
      <w:rFonts w:ascii="仿宋_GB2312" w:hAnsi="Times New Roman" w:eastAsia="仿宋_GB2312" w:cs="Times New Roman"/>
      <w:sz w:val="32"/>
      <w:szCs w:val="20"/>
    </w:rPr>
  </w:style>
  <w:style w:type="character" w:customStyle="1" w:styleId="52">
    <w:name w:val="纯文本 字符"/>
    <w:link w:val="17"/>
    <w:qFormat/>
    <w:uiPriority w:val="0"/>
    <w:rPr>
      <w:rFonts w:ascii="宋体" w:hAnsi="Courier New" w:eastAsia="宋体" w:cs="Courier New"/>
      <w:szCs w:val="21"/>
    </w:rPr>
  </w:style>
  <w:style w:type="character" w:customStyle="1" w:styleId="53">
    <w:name w:val="日期 字符"/>
    <w:link w:val="18"/>
    <w:qFormat/>
    <w:uiPriority w:val="99"/>
    <w:rPr>
      <w:rFonts w:ascii="Times New Roman" w:hAnsi="Times New Roman"/>
      <w:kern w:val="2"/>
      <w:sz w:val="21"/>
      <w:szCs w:val="24"/>
    </w:rPr>
  </w:style>
  <w:style w:type="character" w:customStyle="1" w:styleId="54">
    <w:name w:val="页脚 字符"/>
    <w:link w:val="21"/>
    <w:qFormat/>
    <w:uiPriority w:val="99"/>
    <w:rPr>
      <w:sz w:val="18"/>
      <w:szCs w:val="18"/>
    </w:rPr>
  </w:style>
  <w:style w:type="character" w:customStyle="1" w:styleId="55">
    <w:name w:val="页眉 字符"/>
    <w:link w:val="22"/>
    <w:qFormat/>
    <w:uiPriority w:val="99"/>
    <w:rPr>
      <w:sz w:val="18"/>
      <w:szCs w:val="18"/>
    </w:rPr>
  </w:style>
  <w:style w:type="character" w:customStyle="1" w:styleId="56">
    <w:name w:val="批注主题 字符"/>
    <w:link w:val="29"/>
    <w:qFormat/>
    <w:uiPriority w:val="99"/>
    <w:rPr>
      <w:rFonts w:ascii="Times New Roman" w:hAnsi="Times New Roman"/>
      <w:b/>
      <w:bCs/>
      <w:kern w:val="2"/>
      <w:sz w:val="21"/>
      <w:szCs w:val="24"/>
    </w:rPr>
  </w:style>
  <w:style w:type="character" w:customStyle="1" w:styleId="57">
    <w:name w:val="正文文本缩进 字符1"/>
    <w:qFormat/>
    <w:uiPriority w:val="0"/>
    <w:rPr>
      <w:rFonts w:ascii="仿宋_GB2312" w:hAnsi="Times New Roman" w:eastAsia="仿宋_GB2312" w:cs="Times New Roman"/>
      <w:sz w:val="32"/>
      <w:szCs w:val="20"/>
    </w:rPr>
  </w:style>
  <w:style w:type="character" w:customStyle="1" w:styleId="58">
    <w:name w:val="apple-style-span"/>
    <w:qFormat/>
    <w:uiPriority w:val="0"/>
  </w:style>
  <w:style w:type="character" w:customStyle="1" w:styleId="59">
    <w:name w:val="标题 1 字符"/>
    <w:qFormat/>
    <w:uiPriority w:val="9"/>
    <w:rPr>
      <w:b/>
      <w:bCs/>
      <w:kern w:val="44"/>
      <w:sz w:val="44"/>
      <w:szCs w:val="44"/>
    </w:rPr>
  </w:style>
  <w:style w:type="character" w:customStyle="1" w:styleId="60">
    <w:name w:val="textcontents"/>
    <w:qFormat/>
    <w:uiPriority w:val="0"/>
  </w:style>
  <w:style w:type="character" w:customStyle="1" w:styleId="61">
    <w:name w:val="纯文本 字符1"/>
    <w:qFormat/>
    <w:uiPriority w:val="0"/>
    <w:rPr>
      <w:rFonts w:ascii="宋体" w:hAnsi="Courier New"/>
    </w:rPr>
  </w:style>
  <w:style w:type="character" w:customStyle="1" w:styleId="62">
    <w:name w:val="批注文字 字符1"/>
    <w:qFormat/>
    <w:uiPriority w:val="0"/>
    <w:rPr>
      <w:kern w:val="2"/>
      <w:sz w:val="21"/>
      <w:szCs w:val="24"/>
    </w:rPr>
  </w:style>
  <w:style w:type="character" w:customStyle="1" w:styleId="63">
    <w:name w:val="纯文本 字符2"/>
    <w:qFormat/>
    <w:uiPriority w:val="0"/>
    <w:rPr>
      <w:rFonts w:ascii="宋体" w:hAnsi="Courier New" w:eastAsia="宋体" w:cs="Courier New"/>
      <w:szCs w:val="21"/>
    </w:rPr>
  </w:style>
  <w:style w:type="character" w:customStyle="1" w:styleId="64">
    <w:name w:val="页脚 Char"/>
    <w:qFormat/>
    <w:uiPriority w:val="99"/>
    <w:rPr>
      <w:lang w:eastAsia="zh-CN"/>
    </w:rPr>
  </w:style>
  <w:style w:type="paragraph" w:customStyle="1" w:styleId="65">
    <w:name w:val="默认段落字体 Para Char Char Char Char Char Char Char Char Char1 Char Char Char Char"/>
    <w:basedOn w:val="1"/>
    <w:qFormat/>
    <w:uiPriority w:val="0"/>
    <w:rPr>
      <w:rFonts w:ascii="Tahoma" w:hAnsi="Tahoma"/>
      <w:sz w:val="24"/>
      <w:szCs w:val="20"/>
    </w:rPr>
  </w:style>
  <w:style w:type="paragraph" w:customStyle="1" w:styleId="6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67">
    <w:name w:val="列出段落1"/>
    <w:basedOn w:val="1"/>
    <w:qFormat/>
    <w:uiPriority w:val="34"/>
    <w:pPr>
      <w:ind w:firstLine="420" w:firstLineChars="200"/>
    </w:pPr>
  </w:style>
  <w:style w:type="paragraph" w:customStyle="1" w:styleId="68">
    <w:name w:val="Table Paragraph"/>
    <w:basedOn w:val="1"/>
    <w:qFormat/>
    <w:uiPriority w:val="1"/>
    <w:pPr>
      <w:jc w:val="left"/>
    </w:pPr>
    <w:rPr>
      <w:rFonts w:ascii="Calibri" w:hAnsi="Calibri"/>
      <w:kern w:val="0"/>
      <w:sz w:val="22"/>
      <w:szCs w:val="22"/>
      <w:lang w:eastAsia="en-US"/>
    </w:rPr>
  </w:style>
  <w:style w:type="character" w:customStyle="1" w:styleId="69">
    <w:name w:val="批注文字 Char1"/>
    <w:qFormat/>
    <w:uiPriority w:val="0"/>
    <w:rPr>
      <w:rFonts w:ascii="Times New Roman" w:hAnsi="Times New Roman"/>
      <w:kern w:val="2"/>
      <w:sz w:val="21"/>
      <w:szCs w:val="24"/>
    </w:rPr>
  </w:style>
  <w:style w:type="character" w:customStyle="1" w:styleId="70">
    <w:name w:val="批注文字 字符2"/>
    <w:qFormat/>
    <w:uiPriority w:val="0"/>
    <w:rPr>
      <w:rFonts w:ascii="Times New Roman" w:hAnsi="Times New Roman"/>
      <w:kern w:val="2"/>
      <w:sz w:val="21"/>
      <w:szCs w:val="24"/>
    </w:rPr>
  </w:style>
  <w:style w:type="character" w:customStyle="1" w:styleId="71">
    <w:name w:val="正文文本 (26) + 间距 0 pt"/>
    <w:qFormat/>
    <w:uiPriority w:val="0"/>
    <w:rPr>
      <w:rFonts w:hint="eastAsia" w:ascii="宋体" w:hAnsi="宋体" w:eastAsia="宋体" w:cs="宋体"/>
      <w:color w:val="000000"/>
      <w:spacing w:val="0"/>
      <w:w w:val="100"/>
      <w:position w:val="0"/>
      <w:sz w:val="22"/>
      <w:szCs w:val="22"/>
      <w:u w:val="none"/>
      <w:lang w:val="zh-CN" w:eastAsia="zh-CN" w:bidi="zh-CN"/>
    </w:rPr>
  </w:style>
  <w:style w:type="character" w:customStyle="1" w:styleId="72">
    <w:name w:val="纯文本 Char1"/>
    <w:qFormat/>
    <w:uiPriority w:val="0"/>
    <w:rPr>
      <w:rFonts w:ascii="宋体" w:hAnsi="Courier New" w:eastAsia="宋体" w:cs="Courier New"/>
      <w:szCs w:val="21"/>
    </w:rPr>
  </w:style>
  <w:style w:type="character" w:customStyle="1" w:styleId="73">
    <w:name w:val="批注文字 Char2"/>
    <w:qFormat/>
    <w:uiPriority w:val="0"/>
    <w:rPr>
      <w:rFonts w:ascii="Times New Roman" w:hAnsi="Times New Roman"/>
      <w:kern w:val="2"/>
      <w:sz w:val="21"/>
      <w:szCs w:val="24"/>
    </w:rPr>
  </w:style>
  <w:style w:type="character" w:customStyle="1" w:styleId="74">
    <w:name w:val="font11"/>
    <w:basedOn w:val="39"/>
    <w:qFormat/>
    <w:uiPriority w:val="0"/>
    <w:rPr>
      <w:rFonts w:hint="eastAsia" w:ascii="宋体" w:hAnsi="宋体" w:eastAsia="宋体" w:cs="宋体"/>
      <w:color w:val="000000"/>
      <w:sz w:val="20"/>
      <w:szCs w:val="20"/>
      <w:u w:val="none"/>
    </w:rPr>
  </w:style>
  <w:style w:type="character" w:customStyle="1" w:styleId="75">
    <w:name w:val="font41"/>
    <w:qFormat/>
    <w:uiPriority w:val="0"/>
    <w:rPr>
      <w:rFonts w:ascii="宋体" w:hAnsi="宋体" w:eastAsia="宋体" w:cs="宋体"/>
      <w:color w:val="000000"/>
      <w:sz w:val="20"/>
      <w:szCs w:val="20"/>
      <w:u w:val="none"/>
    </w:rPr>
  </w:style>
  <w:style w:type="character" w:customStyle="1" w:styleId="76">
    <w:name w:val="font31"/>
    <w:qFormat/>
    <w:uiPriority w:val="0"/>
    <w:rPr>
      <w:rFonts w:ascii="方正书宋_GBK" w:hAnsi="方正书宋_GBK" w:eastAsia="方正书宋_GBK" w:cs="方正书宋_GBK"/>
      <w:color w:val="000000"/>
      <w:sz w:val="21"/>
      <w:szCs w:val="21"/>
      <w:u w:val="none"/>
    </w:rPr>
  </w:style>
  <w:style w:type="character" w:customStyle="1" w:styleId="77">
    <w:name w:val="font61"/>
    <w:basedOn w:val="39"/>
    <w:qFormat/>
    <w:uiPriority w:val="0"/>
    <w:rPr>
      <w:rFonts w:hint="default" w:ascii="Times New Roman" w:hAnsi="Times New Roman" w:cs="Times New Roman"/>
      <w:color w:val="000000"/>
      <w:sz w:val="21"/>
      <w:szCs w:val="21"/>
      <w:u w:val="none"/>
    </w:rPr>
  </w:style>
  <w:style w:type="character" w:customStyle="1" w:styleId="78">
    <w:name w:val="font71"/>
    <w:basedOn w:val="39"/>
    <w:qFormat/>
    <w:uiPriority w:val="0"/>
    <w:rPr>
      <w:rFonts w:hint="eastAsia" w:ascii="宋体" w:hAnsi="宋体" w:eastAsia="宋体" w:cs="宋体"/>
      <w:b/>
      <w:bCs/>
      <w:color w:val="000000"/>
      <w:sz w:val="18"/>
      <w:szCs w:val="18"/>
      <w:u w:val="none"/>
    </w:rPr>
  </w:style>
  <w:style w:type="character" w:customStyle="1" w:styleId="79">
    <w:name w:val="font81"/>
    <w:basedOn w:val="39"/>
    <w:qFormat/>
    <w:uiPriority w:val="0"/>
    <w:rPr>
      <w:rFonts w:hint="eastAsia" w:ascii="宋体" w:hAnsi="宋体" w:eastAsia="宋体" w:cs="宋体"/>
      <w:color w:val="000000"/>
      <w:sz w:val="18"/>
      <w:szCs w:val="18"/>
      <w:u w:val="none"/>
    </w:rPr>
  </w:style>
  <w:style w:type="character" w:customStyle="1" w:styleId="80">
    <w:name w:val="font01"/>
    <w:basedOn w:val="39"/>
    <w:qFormat/>
    <w:uiPriority w:val="0"/>
    <w:rPr>
      <w:rFonts w:hint="default" w:ascii="Arial" w:hAnsi="Arial" w:cs="Arial"/>
      <w:color w:val="000000"/>
      <w:sz w:val="18"/>
      <w:szCs w:val="18"/>
      <w:u w:val="none"/>
    </w:rPr>
  </w:style>
  <w:style w:type="character" w:customStyle="1" w:styleId="81">
    <w:name w:val="font91"/>
    <w:basedOn w:val="39"/>
    <w:qFormat/>
    <w:uiPriority w:val="0"/>
    <w:rPr>
      <w:rFonts w:hint="eastAsia" w:ascii="宋体" w:hAnsi="宋体" w:eastAsia="宋体" w:cs="宋体"/>
      <w:color w:val="000000"/>
      <w:sz w:val="18"/>
      <w:szCs w:val="18"/>
      <w:u w:val="none"/>
    </w:rPr>
  </w:style>
  <w:style w:type="character" w:customStyle="1" w:styleId="82">
    <w:name w:val="font51"/>
    <w:qFormat/>
    <w:uiPriority w:val="0"/>
    <w:rPr>
      <w:rFonts w:hint="default" w:ascii="Times New Roman" w:hAnsi="Times New Roman" w:cs="Times New Roman"/>
      <w:b/>
      <w:color w:val="000000"/>
      <w:sz w:val="18"/>
      <w:szCs w:val="18"/>
      <w:u w:val="none"/>
    </w:rPr>
  </w:style>
  <w:style w:type="paragraph" w:styleId="83">
    <w:name w:val="List Paragraph"/>
    <w:basedOn w:val="1"/>
    <w:qFormat/>
    <w:uiPriority w:val="34"/>
    <w:pPr>
      <w:ind w:firstLine="420" w:firstLineChars="200"/>
    </w:pPr>
  </w:style>
  <w:style w:type="paragraph" w:customStyle="1" w:styleId="84">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85">
    <w:name w:val="Title1"/>
    <w:basedOn w:val="1"/>
    <w:next w:val="1"/>
    <w:qFormat/>
    <w:uiPriority w:val="0"/>
    <w:pPr>
      <w:jc w:val="center"/>
      <w:outlineLvl w:val="0"/>
    </w:pPr>
    <w:rPr>
      <w:rFonts w:ascii="Calibri Light" w:hAnsi="Calibri Light" w:eastAsia="Arial Unicode MS"/>
      <w:b/>
    </w:rPr>
  </w:style>
  <w:style w:type="paragraph" w:customStyle="1" w:styleId="86">
    <w:name w:val="Revision_227012b0-9578-45be-a8b7-dd4d85ed4a82"/>
    <w:qFormat/>
    <w:uiPriority w:val="99"/>
    <w:rPr>
      <w:rFonts w:ascii="Times New Roman" w:hAnsi="Times New Roman" w:eastAsia="宋体" w:cs="Times New Roman"/>
      <w:kern w:val="2"/>
      <w:sz w:val="21"/>
      <w:szCs w:val="24"/>
      <w:lang w:val="en-US" w:eastAsia="zh-CN" w:bidi="ar-SA"/>
    </w:rPr>
  </w:style>
  <w:style w:type="character" w:customStyle="1" w:styleId="87">
    <w:name w:val="未处理的提及1"/>
    <w:basedOn w:val="39"/>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5d524af2-4558-49cc-88fa-991ac395d3e4</errorID>
      <errorWord>上午00:00</errorWord>
      <group>L1_Knowledge</group>
      <groupName>知识性问题</groupName>
      <ability>L2_Time</ability>
      <abilityName>日期时间</abilityName>
      <candidateList/>
      <explain>时间与前缀不匹配，可能的时间前缀有“下午、晚上、凌晨、午夜”。</explain>
      <paraID> C025D70</paraID>
      <start>25</start>
      <end>32</end>
      <status>unmodified</status>
      <modifiedWord/>
      <trackRevisions>false</trackRevisions>
    </reviewItem>
    <reviewItem>
      <errorID>671140e2-4cbb-43dd-92ea-9cbca5ddf3f9</errorID>
      <errorWord>-</errorWord>
      <group>L1_Format</group>
      <groupName>格式问题</groupName>
      <ability>L2_HalfPunc</ability>
      <abilityName>全半角检查</abilityName>
      <candidateList>
        <item>－</item>
      </candidateList>
      <explain>文本全半角错误。</explain>
      <paraID>67F6C86C</paraID>
      <start>110</start>
      <end>111</end>
      <status>unmodified</status>
      <modifiedWord/>
      <trackRevisions>false</trackRevisions>
    </reviewItem>
    <reviewItem>
      <errorID>f53be167-ddd4-4cae-b8fe-835eefac96ee</errorID>
      <errorWord>-</errorWord>
      <group>L1_Format</group>
      <groupName>格式问题</groupName>
      <ability>L2_HalfPunc</ability>
      <abilityName>全半角检查</abilityName>
      <candidateList>
        <item>－</item>
      </candidateList>
      <explain>文本全半角错误。</explain>
      <paraID>67F6C86C</paraID>
      <start>115</start>
      <end>116</end>
      <status>unmodified</status>
      <modifiedWord/>
      <trackRevisions>false</trackRevisions>
    </reviewItem>
    <reviewItem>
      <errorID>174e7741-27cd-42b7-b9da-65aa08eb1bcc</errorID>
      <errorWord>-</errorWord>
      <group>L1_Format</group>
      <groupName>格式问题</groupName>
      <ability>L2_HalfPunc</ability>
      <abilityName>全半角检查</abilityName>
      <candidateList>
        <item>－</item>
      </candidateList>
      <explain>文本全半角错误。</explain>
      <paraID>67F6C86C</paraID>
      <start>122</start>
      <end>123</end>
      <status>unmodified</status>
      <modifiedWord/>
      <trackRevisions>false</trackRevisions>
    </reviewItem>
    <reviewItem>
      <errorID>17dca048-63ee-42fb-babe-eee03c3e937d</errorID>
      <errorWord>-</errorWord>
      <group>L1_Format</group>
      <groupName>格式问题</groupName>
      <ability>L2_HalfPunc</ability>
      <abilityName>全半角检查</abilityName>
      <candidateList>
        <item>－</item>
      </candidateList>
      <explain>文本全半角错误。</explain>
      <paraID>67F6C86C</paraID>
      <start>128</start>
      <end>129</end>
      <status>unmodified</status>
      <modifiedWord/>
      <trackRevisions>false</trackRevisions>
    </reviewItem>
    <reviewItem>
      <errorID>4fe24855-b447-43fb-b952-e920f4b2222c</errorID>
      <errorWord>(</errorWord>
      <group>L1_Format</group>
      <groupName>格式问题</groupName>
      <ability>L2_HalfPunc</ability>
      <abilityName>全半角检查</abilityName>
      <candidateList>
        <item>（</item>
      </candidateList>
      <explain>文本全半角错误。</explain>
      <paraID>361BB43A</paraID>
      <start>64</start>
      <end>65</end>
      <status>unmodified</status>
      <modifiedWord/>
      <trackRevisions>false</trackRevisions>
    </reviewItem>
    <reviewItem>
      <errorID>4c942a9b-b08c-431f-9686-ac69fd49f1b0</errorID>
      <errorWord>)</errorWord>
      <group>L1_Format</group>
      <groupName>格式问题</groupName>
      <ability>L2_HalfPunc</ability>
      <abilityName>全半角检查</abilityName>
      <candidateList>
        <item>）</item>
      </candidateList>
      <explain>文本全半角错误。</explain>
      <paraID>361BB43A</paraID>
      <start>87</start>
      <end>88</end>
      <status>unmodified</status>
      <modifiedWord/>
      <trackRevisions>false</trackRevisions>
    </reviewItem>
    <reviewItem>
      <errorID>c821433e-27ba-4bd4-a2b9-dd1219f748a5</errorID>
      <errorWord>(</errorWord>
      <group>L1_Format</group>
      <groupName>格式问题</groupName>
      <ability>L2_HalfPunc</ability>
      <abilityName>全半角检查</abilityName>
      <candidateList>
        <item>（</item>
      </candidateList>
      <explain>文本全半角错误。</explain>
      <paraID>361BB43A</paraID>
      <start>97</start>
      <end>98</end>
      <status>unmodified</status>
      <modifiedWord/>
      <trackRevisions>false</trackRevisions>
    </reviewItem>
    <reviewItem>
      <errorID>75e47988-7089-4ca2-b1fc-5dfab0393645</errorID>
      <errorWord>)</errorWord>
      <group>L1_Format</group>
      <groupName>格式问题</groupName>
      <ability>L2_HalfPunc</ability>
      <abilityName>全半角检查</abilityName>
      <candidateList>
        <item>）</item>
      </candidateList>
      <explain>文本全半角错误。</explain>
      <paraID>361BB43A</paraID>
      <start>113</start>
      <end>114</end>
      <status>unmodified</status>
      <modifiedWord/>
      <trackRevisions>false</trackRevisions>
    </reviewItem>
    <reviewItem>
      <errorID>3fab9760-11e5-40e4-9532-ee60ff925477</errorID>
      <errorWord>-</errorWord>
      <group>L1_Format</group>
      <groupName>格式问题</groupName>
      <ability>L2_HalfPunc</ability>
      <abilityName>全半角检查</abilityName>
      <candidateList>
        <item>－</item>
      </candidateList>
      <explain>文本全半角错误。</explain>
      <paraID>3BE6EFEC</paraID>
      <start>94</start>
      <end>95</end>
      <status>unmodified</status>
      <modifiedWord/>
      <trackRevisions>false</trackRevisions>
    </reviewItem>
    <reviewItem>
      <errorID>946d1ada-56ba-45af-aa9a-875ec1fea388</errorID>
      <errorWord>操作合</errorWord>
      <group>L1_Word</group>
      <groupName>字词问题</groupName>
      <ability>L2_Typo</ability>
      <abilityName>字词错误</abilityName>
      <candidateList>
        <item>操作台</item>
      </candidateList>
      <explain/>
      <paraID>44A27FF4</paraID>
      <start>8</start>
      <end>11</end>
      <status>unmodified</status>
      <modifiedWord/>
      <trackRevisions>false</trackRevisions>
    </reviewItem>
    <reviewItem>
      <errorID>16da584a-f1ff-4fdc-824e-44da133c070d</errorID>
      <errorWord>须要</errorWord>
      <group>L1_Word</group>
      <groupName>字词问题</groupName>
      <ability>L2_Typo</ability>
      <abilityName>字词错误</abilityName>
      <candidateList>
        <item>需要</item>
      </candidateList>
      <explain>存在发音相同字词的误用。</explain>
      <paraID>6EB17325</paraID>
      <start>21</start>
      <end>23</end>
      <status>unmodified</status>
      <modifiedWord/>
      <trackRevisions>false</trackRevisions>
    </reviewItem>
    <reviewItem>
      <errorID>f558a679-cad0-4b57-babc-08d15b0fe7da</errorID>
      <errorWord>具备有</errorWord>
      <group>L1_Word</group>
      <groupName>字词问题</groupName>
      <ability>L2_Typo</ability>
      <abilityName>字词错误</abilityName>
      <candidateList>
        <item>具备</item>
      </candidateList>
      <explain/>
      <paraID>289B4C34</paraID>
      <start>8</start>
      <end>11</end>
      <status>unmodified</status>
      <modifiedWord/>
      <trackRevisions>false</trackRevisions>
    </reviewItem>
    <reviewItem>
      <errorID>f7112b69-bea1-4084-97af-21d24bd6fd4c</errorID>
      <errorWord>*</errorWord>
      <group>L1_Punc</group>
      <groupName>标点问题</groupName>
      <ability>L2_Punc</ability>
      <abilityName>标点符号检查</abilityName>
      <candidateList/>
      <explain/>
      <paraID>218E27D1</paraID>
      <start>41</start>
      <end>42</end>
      <status>unmodified</status>
      <modifiedWord/>
      <trackRevisions>false</trackRevisions>
    </reviewItem>
    <reviewItem>
      <errorID>92d2e831-471c-4fcf-959f-e89bcfa80d51</errorID>
      <errorWord>:</errorWord>
      <group>L1_Format</group>
      <groupName>格式问题</groupName>
      <ability>L2_HalfPunc</ability>
      <abilityName>全半角检查</abilityName>
      <candidateList>
        <item>：</item>
      </candidateList>
      <explain>文本全半角错误。</explain>
      <paraID>2B04FB8E</paraID>
      <start>9</start>
      <end>10</end>
      <status>unmodified</status>
      <modifiedWord/>
      <trackRevisions>false</trackRevisions>
    </reviewItem>
    <reviewItem>
      <errorID>ee6c58c7-f91f-40b3-bc8c-4c65c21cc466</errorID>
      <errorWord>：/</errorWord>
      <group>L1_Punc</group>
      <groupName>标点问题</groupName>
      <ability>L2_Punc</ability>
      <abilityName>标点符号检查</abilityName>
      <candidateList>
        <item>：</item>
      </candidateList>
      <explain/>
      <paraID>4763B265</paraID>
      <start>4</start>
      <end>6</end>
      <status>unmodified</status>
      <modifiedWord/>
      <trackRevisions>false</trackRevisions>
    </reviewItem>
    <reviewItem>
      <errorID>6939958e-06e6-4be5-aae1-409d22b90e35</errorID>
      <errorWord>：/</errorWord>
      <group>L1_Punc</group>
      <groupName>标点问题</groupName>
      <ability>L2_Punc</ability>
      <abilityName>标点符号检查</abilityName>
      <candidateList>
        <item>：</item>
      </candidateList>
      <explain/>
      <paraID>56BF95AC</paraID>
      <start>8</start>
      <end>10</end>
      <status>unmodified</status>
      <modifiedWord/>
      <trackRevisions>false</trackRevisions>
    </reviewItem>
    <reviewItem>
      <errorID>a1ed8b0d-91f2-465c-92c6-4ddf1d136bbb</errorID>
      <errorWord>（</errorWord>
      <group>L1_Punc</group>
      <groupName>标点问题</groupName>
      <ability>L2_Punc</ability>
      <abilityName>标点符号检查</abilityName>
      <candidateList/>
      <explain>同一形式括号套用。</explain>
      <paraID> 18D328A</paraID>
      <start>59</start>
      <end>60</end>
      <status>unmodified</status>
      <modifiedWord/>
      <trackRevisions>false</trackRevisions>
    </reviewItem>
    <reviewItem>
      <errorID>5f47967b-c8bd-43cc-994f-d57db41ec2a0</errorID>
      <errorWord>）</errorWord>
      <group>L1_Punc</group>
      <groupName>标点问题</groupName>
      <ability>L2_Punc</ability>
      <abilityName>标点符号检查</abilityName>
      <candidateList/>
      <explain>同一形式括号套用。</explain>
      <paraID> 18D328A</paraID>
      <start>74</start>
      <end>75</end>
      <status>unmodified</status>
      <modifiedWord/>
      <trackRevisions>false</trackRevisions>
    </reviewItem>
    <reviewItem>
      <errorID>ebae2b4c-06d1-478d-a929-0d8a4e97e4bf</errorID>
      <errorWord>（</errorWord>
      <group>L1_Punc</group>
      <groupName>标点问题</groupName>
      <ability>L2_Punc</ability>
      <abilityName>标点符号检查</abilityName>
      <candidateList/>
      <explain>同一形式括号套用。</explain>
      <paraID>20D88CF6</paraID>
      <start>40</start>
      <end>41</end>
      <status>unmodified</status>
      <modifiedWord/>
      <trackRevisions>false</trackRevisions>
    </reviewItem>
    <reviewItem>
      <errorID>22cf6e55-3ab7-4e39-b86f-ea32c2ae3bee</errorID>
      <errorWord>）</errorWord>
      <group>L1_Punc</group>
      <groupName>标点问题</groupName>
      <ability>L2_Punc</ability>
      <abilityName>标点符号检查</abilityName>
      <candidateList/>
      <explain>同一形式括号套用。</explain>
      <paraID>20D88CF6</paraID>
      <start>84</start>
      <end>85</end>
      <status>unmodified</status>
      <modifiedWord/>
      <trackRevisions>false</trackRevisions>
    </reviewItem>
    <reviewItem>
      <errorID>84fa30a2-ea86-443e-85b9-0baf3be2699b</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14112340</paraID>
      <start>43</start>
      <end>44</end>
      <status>unmodified</status>
      <modifiedWord/>
      <trackRevisions>false</trackRevisions>
    </reviewItem>
    <reviewItem>
      <errorID>83b70117-7445-4911-8806-f8b66bf5c60f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3107954</paraID>
      <start>38</start>
      <end>39</end>
      <status>unmodified</status>
      <modifiedWord/>
      <trackRevisions>false</trackRevisions>
    </reviewItem>
    <reviewItem>
      <errorID>c99187f7-4fa0-4ef4-bb3f-41545f778bf2</errorID>
      <errorWord>下午15:00</errorWord>
      <group>L1_Knowledge</group>
      <groupName>知识性问题</groupName>
      <ability>L2_Time</ability>
      <abilityName>日期时间</abilityName>
      <candidateList>
        <item>15:00</item>
      </candidateList>
      <explain>24小时制的时间，不需要强调“下午”。</explain>
      <paraID>59232CA1</paraID>
      <start>23</start>
      <end>30</end>
      <status>unmodified</status>
      <modifiedWord/>
      <trackRevisions>false</trackRevisions>
    </reviewItem>
    <reviewItem>
      <errorID>306e192c-8c95-4514-b891-6791d2617d25</errorID>
      <errorWord>予以</errorWord>
      <group>L1_Word</group>
      <groupName>字词问题</groupName>
      <ability>L2_Typo</ability>
      <abilityName>字词错误</abilityName>
      <candidateList>
        <item>予</item>
      </candidateList>
      <explain/>
      <paraID>256E6D18</paraID>
      <start>86</start>
      <end>88</end>
      <status>unmodified</status>
      <modifiedWord/>
      <trackRevisions>false</trackRevisions>
    </reviewItem>
    <reviewItem>
      <errorID>5c4fc373-2043-4c88-b13b-3bc923234b72</errorID>
      <errorWord>，</errorWord>
      <group>L1_Word</group>
      <groupName>字词问题</groupName>
      <ability>L2_Typo</ability>
      <abilityName>字词错误</abilityName>
      <candidateList>
        <item>，使</item>
      </candidateList>
      <explain/>
      <paraID>410D3385</paraID>
      <start>32</start>
      <end>33</end>
      <status>unmodified</status>
      <modifiedWord/>
      <trackRevisions>false</trackRevisions>
    </reviewItem>
    <reviewItem>
      <errorID>11bb6358-5ff8-4729-b78d-3c4a315687ca</errorID>
      <errorWord>法律、法规</errorWord>
      <group>L1_Word</group>
      <groupName>字词问题</groupName>
      <ability>L2_Typo</ability>
      <abilityName>字词错误</abilityName>
      <candidateList>
        <item>法律法规</item>
      </candidateList>
      <explain/>
      <paraID>1756344F</paraID>
      <start>40</start>
      <end>45</end>
      <status>unmodified</status>
      <modifiedWord/>
      <trackRevisions>false</trackRevisions>
    </reviewItem>
    <reviewItem>
      <errorID>3ac9cf7b-8ba0-4a00-bf06-e2df358c1191</errorID>
      <errorWord>式</errorWord>
      <group>L1_Word</group>
      <groupName>字词问题</groupName>
      <ability>L2_Typo</ability>
      <abilityName>字词错误</abilityName>
      <candidateList>
        <item>式向</item>
      </candidateList>
      <explain/>
      <paraID>43D703E5</paraID>
      <start>33</start>
      <end>34</end>
      <status>unmodified</status>
      <modifiedWord/>
      <trackRevisions>false</trackRevisions>
    </reviewItem>
    <reviewItem>
      <errorID>66e69f57-1f5e-4da5-9c4e-8b821a1f68fe</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32F65257</paraID>
      <start>159</start>
      <end>164</end>
      <status>unmodified</status>
      <modifiedWord/>
      <trackRevisions>false</trackRevisions>
    </reviewItem>
    <reviewItem>
      <errorID>ecf2eb8d-03f9-4279-9085-b5c536cc8f15</errorID>
      <errorWord>,</errorWord>
      <group>L1_Format</group>
      <groupName>格式问题</groupName>
      <ability>L2_HalfPunc</ability>
      <abilityName>全半角检查</abilityName>
      <candidateList>
        <item>，</item>
      </candidateList>
      <explain>文本全半角错误。</explain>
      <paraID>5544B79A</paraID>
      <start>37</start>
      <end>38</end>
      <status>unmodified</status>
      <modifiedWord/>
      <trackRevisions>false</trackRevisions>
    </reviewItem>
    <reviewItem>
      <errorID>27123868-114c-4ec0-a9c3-156612fc8d72</errorID>
      <errorWord>,</errorWord>
      <group>L1_Format</group>
      <groupName>格式问题</groupName>
      <ability>L2_HalfPunc</ability>
      <abilityName>全半角检查</abilityName>
      <candidateList>
        <item>，</item>
      </candidateList>
      <explain>文本全半角错误。</explain>
      <paraID>5544B79A</paraID>
      <start>72</start>
      <end>73</end>
      <status>unmodified</status>
      <modifiedWord/>
      <trackRevisions>false</trackRevisions>
    </reviewItem>
    <reviewItem>
      <errorID>ce31facb-773a-434d-ad38-f1df9a0c4f00</errorID>
      <errorWord>,</errorWord>
      <group>L1_Format</group>
      <groupName>格式问题</groupName>
      <ability>L2_HalfPunc</ability>
      <abilityName>全半角检查</abilityName>
      <candidateList>
        <item>，</item>
      </candidateList>
      <explain>文本全半角错误。</explain>
      <paraID>755FD81C</paraID>
      <start>22</start>
      <end>23</end>
      <status>unmodified</status>
      <modifiedWord/>
      <trackRevisions>false</trackRevisions>
    </reviewItem>
    <reviewItem>
      <errorID>5dd6eb41-7f44-4e24-bb35-2a45647c7550</errorID>
      <errorWord>,</errorWord>
      <group>L1_Format</group>
      <groupName>格式问题</groupName>
      <ability>L2_HalfPunc</ability>
      <abilityName>全半角检查</abilityName>
      <candidateList>
        <item>，</item>
      </candidateList>
      <explain>文本全半角错误。</explain>
      <paraID>755FD81C</paraID>
      <start>50</start>
      <end>51</end>
      <status>unmodified</status>
      <modifiedWord/>
      <trackRevisions>false</trackRevisions>
    </reviewItem>
    <reviewItem>
      <errorID>4a49261e-5985-4e4d-80cd-c6f1101fb585</errorID>
      <errorWord>,</errorWord>
      <group>L1_Format</group>
      <groupName>格式问题</groupName>
      <ability>L2_HalfPunc</ability>
      <abilityName>全半角检查</abilityName>
      <candidateList>
        <item>，</item>
      </candidateList>
      <explain>文本全半角错误。</explain>
      <paraID>755FD81C</paraID>
      <start>67</start>
      <end>68</end>
      <status>unmodified</status>
      <modifiedWord/>
      <trackRevisions>false</trackRevisions>
    </reviewItem>
    <reviewItem>
      <errorID>4521fee2-26c9-4588-ad18-b493fc6f42b3</errorID>
      <errorWord>置</errorWord>
      <group>L1_Word</group>
      <groupName>字词问题</groupName>
      <ability>L2_Typo</ability>
      <abilityName>字词错误</abilityName>
      <candidateList>
        <item>置加</item>
      </candidateList>
      <explain/>
      <paraID>18A6465A</paraID>
      <start>17</start>
      <end>18</end>
      <status>unmodified</status>
      <modifiedWord/>
      <trackRevisions>false</trackRevisions>
    </reviewItem>
    <reviewItem>
      <errorID>71c88783-4acc-402f-96fa-5d9c811ae7e4</errorID>
      <errorWord>，</errorWord>
      <group>L1_Word</group>
      <groupName>字词问题</groupName>
      <ability>L2_Typo</ability>
      <abilityName>字词错误</abilityName>
      <candidateList>
        <item>，在</item>
      </candidateList>
      <explain/>
      <paraID>75969825</paraID>
      <start>37</start>
      <end>38</end>
      <status>unmodified</status>
      <modifiedWord/>
      <trackRevisions>false</trackRevisions>
    </reviewItem>
    <reviewItem>
      <errorID>d5d582ac-9d29-4ea1-9051-a844009a1fcd</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197634D5</paraID>
      <start>33</start>
      <end>37</end>
      <status>modified</status>
      <modifiedWord>账号</modifiedWord>
      <trackRevisions>true</trackRevisions>
    </reviewItem>
    <reviewItem>
      <errorID>ea54d94d-e782-4c41-82cc-49d6daa70a3d</errorID>
      <errorWord>务</errorWord>
      <group>L1_Word</group>
      <groupName>字词问题</groupName>
      <ability>L2_Typo</ability>
      <abilityName>字词错误</abilityName>
      <candidateList>
        <item>务费</item>
      </candidateList>
      <explain/>
      <paraID> FF315C4</paraID>
      <start>13</start>
      <end>16</end>
      <status>modified</status>
      <modifiedWord>务费</modifiedWord>
      <trackRevisions>true</trackRevisions>
    </reviewItem>
    <reviewItem>
      <errorID>7f6e5e27-b8b5-40c1-8f60-0987d21f44a4</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1896B4A3</paraID>
      <start>0</start>
      <end>8</end>
      <status>unmodified</status>
      <modifiedWord/>
      <trackRevisions>false</trackRevisions>
    </reviewItem>
    <reviewItem>
      <errorID>3fead2ab-a47e-494f-ad83-1f3b214acd46</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4519CEBA</paraID>
      <start>0</start>
      <end>9</end>
      <status>unmodified</status>
      <modifiedWord/>
      <trackRevisions>false</trackRevisions>
    </reviewItem>
    <reviewItem>
      <errorID>66ce72af-292b-4671-9689-608d3dab8138</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74CE6219</paraID>
      <start>0</start>
      <end>10</end>
      <status>unmodified</status>
      <modifiedWord/>
      <trackRevisions>false</trackRevisions>
    </reviewItem>
    <reviewItem>
      <errorID>d8b3e43e-c196-4d49-9e50-d07d103b4e99</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2806D967</paraID>
      <start>0</start>
      <end>4</end>
      <status>unmodified</status>
      <modifiedWord/>
      <trackRevisions>false</trackRevisions>
    </reviewItem>
    <reviewItem>
      <errorID>53b968a2-3a0f-4417-bf47-7e7aec4b4960</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 FB45BBD</paraID>
      <start>0</start>
      <end>5</end>
      <status>unmodified</status>
      <modifiedWord/>
      <trackRevisions>false</trackRevisions>
    </reviewItem>
    <reviewItem>
      <errorID>30a9a843-ca0e-421a-9f4e-db31ded3af0b</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1C86DB23</paraID>
      <start>0</start>
      <end>6</end>
      <status>unmodified</status>
      <modifiedWord/>
      <trackRevisions>false</trackRevisions>
    </reviewItem>
    <reviewItem>
      <errorID>72d25767-b64b-4da9-81d2-1c5b62529939</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  C91272</paraID>
      <start>0</start>
      <end>7</end>
      <status>unmodified</status>
      <modifiedWord/>
      <trackRevisions>false</trackRevisions>
    </reviewItem>
    <reviewItem>
      <errorID>d41c4a93-271f-4db6-86a4-08c87e6d7f77</errorID>
      <errorWord>计</errorWord>
      <group>L1_Word</group>
      <groupName>字词问题</groupName>
      <ability>L2_Typo</ability>
      <abilityName>字词错误</abilityName>
      <candidateList>
        <item>计算</item>
      </candidateList>
      <explain/>
      <paraID>4DF16E77</paraID>
      <start>102</start>
      <end>103</end>
      <status>unmodified</status>
      <modifiedWord/>
      <trackRevisions>false</trackRevisions>
    </reviewItem>
    <reviewItem>
      <errorID>f48cfbb6-4be0-46af-b72c-7d8d02cc6698</errorID>
      <errorWord>,</errorWord>
      <group>L1_Format</group>
      <groupName>格式问题</groupName>
      <ability>L2_HalfPunc</ability>
      <abilityName>全半角检查</abilityName>
      <candidateList>
        <item>，</item>
      </candidateList>
      <explain>文本全半角错误。</explain>
      <paraID>4BB53D5E</paraID>
      <start>105</start>
      <end>106</end>
      <status>unmodified</status>
      <modifiedWord/>
      <trackRevisions>false</trackRevisions>
    </reviewItem>
    <reviewItem>
      <errorID>8c909678-9482-4fed-b7b1-3b15f28362a4</errorID>
      <errorWord>实验</errorWord>
      <group>L1_Word</group>
      <groupName>字词问题</groupName>
      <ability>L2_Typo</ability>
      <abilityName>字词错误</abilityName>
      <candidateList>
        <item>试验</item>
      </candidateList>
      <explain/>
      <paraID>1C2F9499</paraID>
      <start>12</start>
      <end>14</end>
      <status>unmodified</status>
      <modifiedWord/>
      <trackRevisions>false</trackRevisions>
    </reviewItem>
    <reviewItem>
      <errorID>d7986e18-6b0d-453d-bd8d-0806525fae69</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1C2F9499</paraID>
      <start>14</start>
      <end>20</end>
      <status>modified</status>
      <modifiedWord>必需的</modifiedWord>
      <trackRevisions>true</trackRevisions>
    </reviewItem>
    <reviewItem>
      <errorID>1348831f-5b1c-427a-b2bd-19e751f20cc7</errorID>
      <errorWord>,</errorWord>
      <group>L1_Format</group>
      <groupName>格式问题</groupName>
      <ability>L2_HalfPunc</ability>
      <abilityName>全半角检查</abilityName>
      <candidateList>
        <item>，</item>
      </candidateList>
      <explain>文本全半角错误。</explain>
      <paraID>1C2F9499</paraID>
      <start>25</start>
      <end>26</end>
      <status>unmodified</status>
      <modifiedWord/>
      <trackRevisions>false</trackRevisions>
    </reviewItem>
    <reviewItem>
      <errorID>da30c8ae-cc46-4a64-9249-fa1187ba46cb</errorID>
      <errorWord>….</errorWord>
      <group>L1_Punc</group>
      <groupName>标点问题</groupName>
      <ability>L2_Punc</ability>
      <abilityName>标点符号检查</abilityName>
      <candidateList>
        <item>…</item>
      </candidateList>
      <explain/>
      <paraID>226F699A</paraID>
      <start>25</start>
      <end>27</end>
      <status>unmodified</status>
      <modifiedWord/>
      <trackRevisions>false</trackRevisions>
    </reviewItem>
    <reviewItem>
      <errorID>9169d2b5-cf2c-4e9a-8858-3cd87c30665e</errorID>
      <errorWord>做</errorWord>
      <group>L1_Word</group>
      <groupName>字词问题</groupName>
      <ability>L2_Typo</ability>
      <abilityName>字词错误</abilityName>
      <candidateList>
        <item>作</item>
      </candidateList>
      <explain>存在发音相同字词的误用。</explain>
      <paraID>6541C933</paraID>
      <start>64</start>
      <end>66</end>
      <status>modified</status>
      <modifiedWord>作</modifiedWord>
      <trackRevisions>true</trackRevisions>
    </reviewItem>
    <reviewItem>
      <errorID>0a635c2f-8095-4f5c-9920-c8c1ede64da5</errorID>
      <errorWord>,</errorWord>
      <group>L1_Format</group>
      <groupName>格式问题</groupName>
      <ability>L2_HalfPunc</ability>
      <abilityName>全半角检查</abilityName>
      <candidateList>
        <item>，</item>
      </candidateList>
      <explain>文本全半角错误。</explain>
      <paraID> 89CF1D1</paraID>
      <start>17</start>
      <end>18</end>
      <status>unmodified</status>
      <modifiedWord/>
      <trackRevisions>false</trackRevisions>
    </reviewItem>
    <reviewItem>
      <errorID>c70db849-7645-4542-af66-36d0063210a3</errorID>
      <errorWord>200—500万</errorWord>
      <group>L1_Knowledge</group>
      <groupName>知识性问题</groupName>
      <ability>L2_Knowledge</ability>
      <abilityName>其他知识</abilityName>
      <candidateList>
        <item>200万—500万</item>
      </candidateList>
      <explain>1. “200—500万”中的单位“万”仅出现在后一个数字上，容易引起歧义；根据《现代汉语标点符号数字用法规范手册》，数字表示范围两边需要使用统一的格式。2.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 7F58D29</paraID>
      <start>4</start>
      <end>12</end>
      <status>unmodified</status>
      <modifiedWord/>
      <trackRevisions>false</trackRevisions>
    </reviewItem>
    <reviewItem>
      <errorID>32428e33-cc9b-42c2-a135-99aef9de26df</errorID>
      <errorWord>,</errorWord>
      <group>L1_Format</group>
      <groupName>格式问题</groupName>
      <ability>L2_HalfPunc</ability>
      <abilityName>全半角检查</abilityName>
      <candidateList>
        <item>，</item>
      </candidateList>
      <explain>文本全半角错误。</explain>
      <paraID> 7F58D29</paraID>
      <start>17</start>
      <end>18</end>
      <status>unmodified</status>
      <modifiedWord/>
      <trackRevisions>false</trackRevisions>
    </reviewItem>
    <reviewItem>
      <errorID>7bf258c8-47b0-4f72-b395-821bb3a140a3</errorID>
      <errorWord>,</errorWord>
      <group>L1_Format</group>
      <groupName>格式问题</groupName>
      <ability>L2_HalfPunc</ability>
      <abilityName>全半角检查</abilityName>
      <candidateList>
        <item>，</item>
      </candidateList>
      <explain>文本全半角错误。</explain>
      <paraID>72351424</paraID>
      <start>11</start>
      <end>12</end>
      <status>unmodified</status>
      <modifiedWord/>
      <trackRevisions>false</trackRevisions>
    </reviewItem>
    <reviewItem>
      <errorID>0172be31-dee2-447c-bea4-ad4637064c40</errorID>
      <errorWord>（</errorWord>
      <group>L1_Format</group>
      <groupName>格式问题</groupName>
      <ability>L2_HalfPunc</ability>
      <abilityName>全半角检查</abilityName>
      <candidateList>
        <item>(</item>
      </candidateList>
      <explain>文本全半角错误。</explain>
      <paraID> A27FE4C</paraID>
      <start>0</start>
      <end>1</end>
      <status>unmodified</status>
      <modifiedWord/>
      <trackRevisions>false</trackRevisions>
    </reviewItem>
    <reviewItem>
      <errorID>beee0f47-f94c-4576-bf1b-ae87e84e42b4</errorID>
      <errorWord>）</errorWord>
      <group>L1_Format</group>
      <groupName>格式问题</groupName>
      <ability>L2_HalfPunc</ability>
      <abilityName>全半角检查</abilityName>
      <candidateList>
        <item>)</item>
      </candidateList>
      <explain>文本全半角错误。</explain>
      <paraID> A27FE4C</paraID>
      <start>8</start>
      <end>9</end>
      <status>unmodified</status>
      <modifiedWord/>
      <trackRevisions>false</trackRevisions>
    </reviewItem>
    <reviewItem>
      <errorID>b5e17cd2-2219-4c91-b4d7-fda82bc96dae</errorID>
      <errorWord>[2011]300号</errorWord>
      <group>L1_Knowledge</group>
      <groupName>知识性问题</groupName>
      <ability>L2_Knowledge</ability>
      <abilityName>其他知识</abilityName>
      <candidateList>
        <item>〔2011〕300号</item>
      </candidateList>
      <explain>发文字号格式错误。</explain>
      <paraID>25E73312</paraID>
      <start>32</start>
      <end>42</end>
      <status>unmodified</status>
      <modifiedWord/>
      <trackRevisions>false</trackRevisions>
    </reviewItem>
    <reviewItem>
      <errorID>fadb8c71-9b9f-47b4-a32b-268cabe057be</errorID>
      <errorWord>须</errorWord>
      <group>L1_Word</group>
      <groupName>字词问题</groupName>
      <ability>L2_Typo</ability>
      <abilityName>字词错误</abilityName>
      <candidateList>
        <item>需</item>
      </candidateList>
      <explain>存在发音相同字词的误用。</explain>
      <paraID>25E73312</paraID>
      <start>79</start>
      <end>81</end>
      <status>modified</status>
      <modifiedWord>需</modifiedWord>
      <trackRevisions>true</trackRevisions>
    </reviewItem>
    <reviewItem>
      <errorID>b934627c-5878-4e7d-b568-4cace87f68fb</errorID>
      <errorWord>(</errorWord>
      <group>L1_Format</group>
      <groupName>格式问题</groupName>
      <ability>L2_HalfPunc</ability>
      <abilityName>全半角检查</abilityName>
      <candidateList>
        <item>（</item>
      </candidateList>
      <explain>文本全半角错误。</explain>
      <paraID>5E19EB79</paraID>
      <start>82</start>
      <end>83</end>
      <status>unmodified</status>
      <modifiedWord/>
      <trackRevisions>false</trackRevisions>
    </reviewItem>
    <reviewItem>
      <errorID>e121a1f6-8408-416c-88f4-dff248604818</errorID>
      <errorWord>)</errorWord>
      <group>L1_Format</group>
      <groupName>格式问题</groupName>
      <ability>L2_HalfPunc</ability>
      <abilityName>全半角检查</abilityName>
      <candidateList>
        <item>）</item>
      </candidateList>
      <explain>文本全半角错误。</explain>
      <paraID>5E19EB79</paraID>
      <start>105</start>
      <end>106</end>
      <status>unmodified</status>
      <modifiedWord/>
      <trackRevisions>false</trackRevisions>
    </reviewItem>
    <reviewItem>
      <errorID>7de6d587-86f8-418c-8179-2bb5eaa91515</errorID>
      <errorWord>(</errorWord>
      <group>L1_Format</group>
      <groupName>格式问题</groupName>
      <ability>L2_HalfPunc</ability>
      <abilityName>全半角检查</abilityName>
      <candidateList>
        <item>（</item>
      </candidateList>
      <explain>文本全半角错误。</explain>
      <paraID>5E19EB79</paraID>
      <start>115</start>
      <end>116</end>
      <status>unmodified</status>
      <modifiedWord/>
      <trackRevisions>false</trackRevisions>
    </reviewItem>
    <reviewItem>
      <errorID>4670d587-6d7b-4801-9b23-6543f67c8de3</errorID>
      <errorWord>)</errorWord>
      <group>L1_Format</group>
      <groupName>格式问题</groupName>
      <ability>L2_HalfPunc</ability>
      <abilityName>全半角检查</abilityName>
      <candidateList>
        <item>）</item>
      </candidateList>
      <explain>文本全半角错误。</explain>
      <paraID>5E19EB79</paraID>
      <start>131</start>
      <end>132</end>
      <status>unmodified</status>
      <modifiedWord/>
      <trackRevisions>false</trackRevisions>
    </reviewItem>
    <reviewItem>
      <errorID>bff7a5d0-0299-454d-a3c4-d590f0555fee</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2DA48F47</paraID>
      <start>19</start>
      <end>23</end>
      <status>modified</status>
      <modifiedWord>响应</modifiedWord>
      <trackRevisions>true</trackRevisions>
    </reviewItem>
    <reviewItem>
      <errorID>e2abea40-1120-403e-8cfc-f4c77869e3a2</errorID>
      <errorWord>-</errorWord>
      <group>L1_Format</group>
      <groupName>格式问题</groupName>
      <ability>L2_HalfPunc</ability>
      <abilityName>全半角检查</abilityName>
      <candidateList>
        <item>－</item>
      </candidateList>
      <explain>文本全半角错误。</explain>
      <paraID>25AA1710</paraID>
      <start>20</start>
      <end>21</end>
      <status>unmodified</status>
      <modifiedWord/>
      <trackRevisions>false</trackRevisions>
    </reviewItem>
    <reviewItem>
      <errorID>6af9bb2a-b8d7-4935-968c-25a5f1d87922</errorID>
      <errorWord>法律、法规</errorWord>
      <group>L1_Word</group>
      <groupName>字词问题</groupName>
      <ability>L2_Typo</ability>
      <abilityName>字词错误</abilityName>
      <candidateList>
        <item>法律法规</item>
      </candidateList>
      <explain/>
      <paraID> CBF7698</paraID>
      <start>3</start>
      <end>8</end>
      <status>unmodified</status>
      <modifiedWord/>
      <trackRevisions>false</trackRevisions>
    </reviewItem>
    <reviewItem>
      <errorID>31a057a6-bab9-48e7-9d44-3c4ccf5e1589</errorID>
      <errorWord>，</errorWord>
      <group>L1_Word</group>
      <groupName>字词问题</groupName>
      <ability>L2_Typo</ability>
      <abilityName>字词错误</abilityName>
      <candidateList>
        <item>，在</item>
      </candidateList>
      <explain/>
      <paraID> 33DD9E3</paraID>
      <start>20</start>
      <end>21</end>
      <status>unmodified</status>
      <modifiedWord/>
      <trackRevisions>false</trackRevisions>
    </reviewItem>
    <reviewItem>
      <errorID>e2cb841e-3f02-4601-8c53-32aea97d51c4</errorID>
      <errorWord>&lt;</errorWord>
      <group>L1_Format</group>
      <groupName>格式问题</groupName>
      <ability>L2_HalfPunc</ability>
      <abilityName>全半角检查</abilityName>
      <candidateList>
        <item>〈</item>
      </candidateList>
      <explain>文本全半角错误。</explain>
      <paraID>3DDDFD2E</paraID>
      <start>52</start>
      <end>53</end>
      <status>unmodified</status>
      <modifiedWord/>
      <trackRevisions>false</trackRevisions>
    </reviewItem>
    <reviewItem>
      <errorID>273e6862-f621-4fa5-a2eb-0dc513b4bcd9</errorID>
      <errorWord>&lt;</errorWord>
      <group>L1_Format</group>
      <groupName>格式问题</groupName>
      <ability>L2_HalfPunc</ability>
      <abilityName>全半角检查</abilityName>
      <candidateList>
        <item>〈</item>
      </candidateList>
      <explain>文本全半角错误。</explain>
      <paraID> 846B5A4</paraID>
      <start>52</start>
      <end>53</end>
      <status>unmodified</status>
      <modifiedWord/>
      <trackRevisions>false</trackRevisions>
    </reviewItem>
    <reviewItem>
      <errorID>481b1a12-9640-416e-8229-0a02e84e3624</errorID>
      <errorWord>&lt;</errorWord>
      <group>L1_Format</group>
      <groupName>格式问题</groupName>
      <ability>L2_HalfPunc</ability>
      <abilityName>全半角检查</abilityName>
      <candidateList>
        <item>〈</item>
      </candidateList>
      <explain>文本全半角错误。</explain>
      <paraID>1BB30595</paraID>
      <start>37</start>
      <end>38</end>
      <status>unmodified</status>
      <modifiedWord/>
      <trackRevisions>false</trackRevisions>
    </reviewItem>
    <reviewItem>
      <errorID>c8a59046-b793-4690-9c52-142a9a8e8023</errorID>
      <errorWord>,</errorWord>
      <group>L1_Format</group>
      <groupName>格式问题</groupName>
      <ability>L2_HalfPunc</ability>
      <abilityName>全半角检查</abilityName>
      <candidateList>
        <item>，</item>
      </candidateList>
      <explain>文本全半角错误。</explain>
      <paraID>60680F9B</paraID>
      <start>117</start>
      <end>118</end>
      <status>unmodified</status>
      <modifiedWord/>
      <trackRevisions>false</trackRevisions>
    </reviewItem>
    <reviewItem>
      <errorID>469ef61c-c611-4849-b28c-94e25053167e</errorID>
      <errorWord>股东大会</errorWord>
      <group>L1_Word</group>
      <groupName>字词问题</groupName>
      <ability>L2_Typo</ability>
      <abilityName>字词错误</abilityName>
      <candidateList>
        <item>股东会</item>
      </candidateList>
      <explain/>
      <paraID>1DBA38FB</paraID>
      <start>113</start>
      <end>117</end>
      <status>unmodified</status>
      <modifiedWord/>
      <trackRevisions>false</trackRevisions>
    </reviewItem>
    <reviewItem>
      <errorID>7e44baa7-b269-453c-92c0-45ded5451f50</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1EDD45D2</paraID>
      <start>32</start>
      <end>36</end>
      <status>modified</status>
      <modifiedWord>账号</modifiedWord>
      <trackRevisions>true</trackRevisions>
    </reviewItem>
    <reviewItem>
      <errorID>bc8c1ff6-62bd-4ee7-8290-715b2e9646fb</errorID>
      <errorWord>者</errorWord>
      <group>L1_Word</group>
      <groupName>字词问题</groupName>
      <ability>L2_Typo</ability>
      <abilityName>字词错误</abilityName>
      <candidateList>
        <item>者加</item>
      </candidateList>
      <explain/>
      <paraID>44D5C18A</paraID>
      <start>29</start>
      <end>30</end>
      <status>unmodified</status>
      <modifiedWord/>
      <trackRevisions>false</trackRevisions>
    </reviewItem>
    <reviewItem>
      <errorID>d90d9796-9f5c-4daa-b884-ac665e49e7e7</errorID>
      <errorWord>位</errorWord>
      <group>L1_Word</group>
      <groupName>字词问题</groupName>
      <ability>L2_Typo</ability>
      <abilityName>字词错误</abilityName>
      <candidateList>
        <item>位公</item>
      </candidateList>
      <explain/>
      <paraID>44D5C18A</paraID>
      <start>32</start>
      <end>35</end>
      <status>modified</status>
      <modifiedWord>位公</modifiedWord>
      <trackRevisions>true</trackRevisions>
    </reviewItem>
    <reviewItem>
      <errorID>45cf0e3f-9b53-4495-a2b3-ac1b8d629975</errorID>
      <errorWord>,</errorWord>
      <group>L1_Format</group>
      <groupName>格式问题</groupName>
      <ability>L2_HalfPunc</ability>
      <abilityName>全半角检查</abilityName>
      <candidateList>
        <item>，</item>
      </candidateList>
      <explain>文本全半角错误。</explain>
      <paraID> 79A951F</paraID>
      <start>26</start>
      <end>27</end>
      <status>unmodified</status>
      <modifiedWord/>
      <trackRevisions>false</trackRevisions>
    </reviewItem>
    <reviewItem>
      <errorID>d5aa437d-524b-430b-bb76-fc6e93b408ca</errorID>
      <errorWord>,</errorWord>
      <group>L1_Format</group>
      <groupName>格式问题</groupName>
      <ability>L2_HalfPunc</ability>
      <abilityName>全半角检查</abilityName>
      <candidateList>
        <item>，</item>
      </candidateList>
      <explain>文本全半角错误。</explain>
      <paraID> 79A951F</paraID>
      <start>55</start>
      <end>56</end>
      <status>unmodified</status>
      <modifiedWord/>
      <trackRevisions>false</trackRevisions>
    </reviewItem>
    <reviewItem>
      <errorID>7a8f820e-6042-43bf-8370-71286941ef16</errorID>
      <errorWord>,</errorWord>
      <group>L1_Format</group>
      <groupName>格式问题</groupName>
      <ability>L2_HalfPunc</ability>
      <abilityName>全半角检查</abilityName>
      <candidateList>
        <item>，</item>
      </candidateList>
      <explain>文本全半角错误。</explain>
      <paraID> 79A951F</paraID>
      <start>72</start>
      <end>73</end>
      <status>unmodified</status>
      <modifiedWord/>
      <trackRevisions>false</trackRevisions>
    </reviewItem>
    <reviewItem>
      <errorID>ab6fab3c-a87b-40a6-8103-7af330591d46</errorID>
      <errorWord>:</errorWord>
      <group>L1_Format</group>
      <groupName>格式问题</groupName>
      <ability>L2_HalfPunc</ability>
      <abilityName>全半角检查</abilityName>
      <candidateList>
        <item>：</item>
      </candidateList>
      <explain>文本全半角错误。</explain>
      <paraID>66995AE8</paraID>
      <start>1</start>
      <end>2</end>
      <status>unmodified</status>
      <modifiedWord/>
      <trackRevisions>false</trackRevisions>
    </reviewItem>
    <reviewItem>
      <errorID>29c036b3-a4e2-4a04-84d4-c3dd9fb0e894</errorID>
      <errorWord>,</errorWord>
      <group>L1_Format</group>
      <groupName>格式问题</groupName>
      <ability>L2_HalfPunc</ability>
      <abilityName>全半角检查</abilityName>
      <candidateList>
        <item>，</item>
      </candidateList>
      <explain>文本全半角错误。</explain>
      <paraID>3EAF8FB7</paraID>
      <start>14</start>
      <end>15</end>
      <status>unmodified</status>
      <modifiedWord/>
      <trackRevisions>false</trackRevisions>
    </reviewItem>
    <reviewItem>
      <errorID>1700a806-b760-4b40-920d-c2369a1932b0</errorID>
      <errorWord>,</errorWord>
      <group>L1_Format</group>
      <groupName>格式问题</groupName>
      <ability>L2_HalfPunc</ability>
      <abilityName>全半角检查</abilityName>
      <candidateList>
        <item>，</item>
      </candidateList>
      <explain>文本全半角错误。</explain>
      <paraID>702944DB</paraID>
      <start>14</start>
      <end>15</end>
      <status>unmodified</status>
      <modifiedWord/>
      <trackRevisions>false</trackRevisions>
    </reviewItem>
    <reviewItem>
      <errorID>e36a1a75-2fae-475d-9909-07e419d19d61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1C45C496</paraID>
      <start>36</start>
      <end>39</end>
      <status>unmodified</status>
      <modifiedWord/>
      <trackRevisions>false</trackRevisions>
    </reviewItem>
    <reviewItem>
      <errorID>3b3c3680-9886-4e45-a4c4-4f192513a341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5E01C2E9</paraID>
      <start>47</start>
      <end>50</end>
      <status>unmodified</status>
      <modifiedWord/>
      <trackRevisions>false</trackRevisions>
    </reviewItem>
    <reviewItem>
      <errorID>5cd0f619-f1ed-473d-874e-637f7630ef15</errorID>
      <errorWord>(</errorWord>
      <group>L1_Format</group>
      <groupName>格式问题</groupName>
      <ability>L2_HalfPunc</ability>
      <abilityName>全半角检查</abilityName>
      <candidateList>
        <item>（</item>
      </candidateList>
      <explain>文本全半角错误。</explain>
      <paraID>32EDE880</paraID>
      <start>3</start>
      <end>4</end>
      <status>unmodified</status>
      <modifiedWord/>
      <trackRevisions>false</trackRevisions>
    </reviewItem>
    <reviewItem>
      <errorID>e64381ca-ac72-48a9-80c1-8108f312c6c4</errorID>
      <errorWord>)</errorWord>
      <group>L1_Format</group>
      <groupName>格式问题</groupName>
      <ability>L2_HalfPunc</ability>
      <abilityName>全半角检查</abilityName>
      <candidateList>
        <item>）</item>
      </candidateList>
      <explain>文本全半角错误。</explain>
      <paraID>32EDE880</paraID>
      <start>6</start>
      <end>7</end>
      <status>unmodified</status>
      <modifiedWord/>
      <trackRevisions>false</trackRevisions>
    </reviewItem>
    <reviewItem>
      <errorID>d2e1a09b-3bb9-4b40-ac64-d30b5d33d794</errorID>
      <errorWord>(</errorWord>
      <group>L1_Format</group>
      <groupName>格式问题</groupName>
      <ability>L2_HalfPunc</ability>
      <abilityName>全半角检查</abilityName>
      <candidateList>
        <item>（</item>
      </candidateList>
      <explain>文本全半角错误。</explain>
      <paraID>32EDE880</paraID>
      <start>46</start>
      <end>47</end>
      <status>unmodified</status>
      <modifiedWord/>
      <trackRevisions>false</trackRevisions>
    </reviewItem>
    <reviewItem>
      <errorID>bb0a970c-6795-4e59-953d-9950ccce5e30</errorID>
      <errorWord>)</errorWord>
      <group>L1_Format</group>
      <groupName>格式问题</groupName>
      <ability>L2_HalfPunc</ability>
      <abilityName>全半角检查</abilityName>
      <candidateList>
        <item>）</item>
      </candidateList>
      <explain>文本全半角错误。</explain>
      <paraID>32EDE880</paraID>
      <start>59</start>
      <end>60</end>
      <status>unmodified</status>
      <modifiedWord/>
      <trackRevisions>false</trackRevisions>
    </reviewItem>
    <reviewItem>
      <errorID>2958aec9-b762-458b-85c3-6bfc988d4d3e</errorID>
      <errorWord>(</errorWord>
      <group>L1_Format</group>
      <groupName>格式问题</groupName>
      <ability>L2_HalfPunc</ability>
      <abilityName>全半角检查</abilityName>
      <candidateList>
        <item>（</item>
      </candidateList>
      <explain>文本全半角错误。</explain>
      <paraID>32EDE880</paraID>
      <start>67</start>
      <end>68</end>
      <status>unmodified</status>
      <modifiedWord/>
      <trackRevisions>false</trackRevisions>
    </reviewItem>
    <reviewItem>
      <errorID>0fd7e649-9f27-4b9a-b308-b02281632724</errorID>
      <errorWord>)</errorWord>
      <group>L1_Format</group>
      <groupName>格式问题</groupName>
      <ability>L2_HalfPunc</ability>
      <abilityName>全半角检查</abilityName>
      <candidateList>
        <item>）</item>
      </candidateList>
      <explain>文本全半角错误。</explain>
      <paraID>32EDE880</paraID>
      <start>70</start>
      <end>71</end>
      <status>unmodified</status>
      <modifiedWord/>
      <trackRevisions>false</trackRevisions>
    </reviewItem>
    <reviewItem>
      <errorID>185af58e-ddbc-4832-a314-c2743386c642</errorID>
      <errorWord>(</errorWord>
      <group>L1_Format</group>
      <groupName>格式问题</groupName>
      <ability>L2_HalfPunc</ability>
      <abilityName>全半角检查</abilityName>
      <candidateList>
        <item>（</item>
      </candidateList>
      <explain>文本全半角错误。</explain>
      <paraID>6BFD5150</paraID>
      <start>2</start>
      <end>3</end>
      <status>unmodified</status>
      <modifiedWord/>
      <trackRevisions>false</trackRevisions>
    </reviewItem>
    <reviewItem>
      <errorID>11d61446-3cee-49b3-bce7-e89fc8c468f9</errorID>
      <errorWord>)</errorWord>
      <group>L1_Format</group>
      <groupName>格式问题</groupName>
      <ability>L2_HalfPunc</ability>
      <abilityName>全半角检查</abilityName>
      <candidateList>
        <item>）</item>
      </candidateList>
      <explain>文本全半角错误。</explain>
      <paraID>6BFD5150</paraID>
      <start>8</start>
      <end>9</end>
      <status>unmodified</status>
      <modifiedWord/>
      <trackRevisions>false</trackRevisions>
    </reviewItem>
    <reviewItem>
      <errorID>51419e16-7ec8-4060-9f4b-ebb9a4d5fc3c</errorID>
      <errorWord>(</errorWord>
      <group>L1_Format</group>
      <groupName>格式问题</groupName>
      <ability>L2_HalfPunc</ability>
      <abilityName>全半角检查</abilityName>
      <candidateList>
        <item>（</item>
      </candidateList>
      <explain>文本全半角错误。</explain>
      <paraID>6BFD5150</paraID>
      <start>15</start>
      <end>16</end>
      <status>unmodified</status>
      <modifiedWord/>
      <trackRevisions>false</trackRevisions>
    </reviewItem>
    <reviewItem>
      <errorID>b1e5cbbf-3d2b-4ee3-99d1-4d84f5738500</errorID>
      <errorWord>)</errorWord>
      <group>L1_Format</group>
      <groupName>格式问题</groupName>
      <ability>L2_HalfPunc</ability>
      <abilityName>全半角检查</abilityName>
      <candidateList>
        <item>）</item>
      </candidateList>
      <explain>文本全半角错误。</explain>
      <paraID>6BFD5150</paraID>
      <start>18</start>
      <end>19</end>
      <status>unmodified</status>
      <modifiedWord/>
      <trackRevisions>false</trackRevisions>
    </reviewItem>
    <reviewItem>
      <errorID>746d3c4d-f27e-4aa2-812c-f7b6c108d13a</errorID>
      <errorWord>(</errorWord>
      <group>L1_Format</group>
      <groupName>格式问题</groupName>
      <ability>L2_HalfPunc</ability>
      <abilityName>全半角检查</abilityName>
      <candidateList>
        <item>（</item>
      </candidateList>
      <explain>文本全半角错误。</explain>
      <paraID>6BFD5150</paraID>
      <start>24</start>
      <end>25</end>
      <status>unmodified</status>
      <modifiedWord/>
      <trackRevisions>false</trackRevisions>
    </reviewItem>
    <reviewItem>
      <errorID>b7712f0e-e493-4491-94d2-80f69fe4a46d</errorID>
      <errorWord>)</errorWord>
      <group>L1_Format</group>
      <groupName>格式问题</groupName>
      <ability>L2_HalfPunc</ability>
      <abilityName>全半角检查</abilityName>
      <candidateList>
        <item>）</item>
      </candidateList>
      <explain>文本全半角错误。</explain>
      <paraID>6BFD5150</paraID>
      <start>29</start>
      <end>30</end>
      <status>unmodified</status>
      <modifiedWord/>
      <trackRevisions>false</trackRevisions>
    </reviewItem>
    <reviewItem>
      <errorID>feaccae3-004a-44e4-b56d-c96b1e7b4f14</errorID>
      <errorWord>(</errorWord>
      <group>L1_Format</group>
      <groupName>格式问题</groupName>
      <ability>L2_HalfPunc</ability>
      <abilityName>全半角检查</abilityName>
      <candidateList>
        <item>（</item>
      </candidateList>
      <explain>文本全半角错误。</explain>
      <paraID>6BFD5150</paraID>
      <start>31</start>
      <end>32</end>
      <status>unmodified</status>
      <modifiedWord/>
      <trackRevisions>false</trackRevisions>
    </reviewItem>
    <reviewItem>
      <errorID>fbba38b1-aa98-4c78-ae71-984bc9a32cd1</errorID>
      <errorWord>)</errorWord>
      <group>L1_Format</group>
      <groupName>格式问题</groupName>
      <ability>L2_HalfPunc</ability>
      <abilityName>全半角检查</abilityName>
      <candidateList>
        <item>）</item>
      </candidateList>
      <explain>文本全半角错误。</explain>
      <paraID>6BFD5150</paraID>
      <start>37</start>
      <end>38</end>
      <status>unmodified</status>
      <modifiedWord/>
      <trackRevisions>false</trackRevisions>
    </reviewItem>
    <reviewItem>
      <errorID>63de9be2-ffa6-4c10-a7ce-f4f3c6b8458e</errorID>
      <errorWord>(</errorWord>
      <group>L1_Format</group>
      <groupName>格式问题</groupName>
      <ability>L2_HalfPunc</ability>
      <abilityName>全半角检查</abilityName>
      <candidateList>
        <item>（</item>
      </candidateList>
      <explain>文本全半角错误。</explain>
      <paraID>6BFD5150</paraID>
      <start>53</start>
      <end>54</end>
      <status>unmodified</status>
      <modifiedWord/>
      <trackRevisions>false</trackRevisions>
    </reviewItem>
    <reviewItem>
      <errorID>80df4524-0101-475b-9778-37499e4f6c74</errorID>
      <errorWord>)</errorWord>
      <group>L1_Format</group>
      <groupName>格式问题</groupName>
      <ability>L2_HalfPunc</ability>
      <abilityName>全半角检查</abilityName>
      <candidateList>
        <item>）</item>
      </candidateList>
      <explain>文本全半角错误。</explain>
      <paraID>6BFD5150</paraID>
      <start>58</start>
      <end>59</end>
      <status>unmodified</status>
      <modifiedWord/>
      <trackRevisions>false</trackRevisions>
    </reviewItem>
    <reviewItem>
      <errorID>49487d95-f02a-48f9-8a29-685839661f48</errorID>
      <errorWord>(</errorWord>
      <group>L1_Format</group>
      <groupName>格式问题</groupName>
      <ability>L2_HalfPunc</ability>
      <abilityName>全半角检查</abilityName>
      <candidateList>
        <item>（</item>
      </candidateList>
      <explain>文本全半角错误。</explain>
      <paraID>6BFD5150</paraID>
      <start>61</start>
      <end>62</end>
      <status>unmodified</status>
      <modifiedWord/>
      <trackRevisions>false</trackRevisions>
    </reviewItem>
    <reviewItem>
      <errorID>518f69b2-bb4b-49e3-9b97-79e1acbbf19e</errorID>
      <errorWord>)</errorWord>
      <group>L1_Format</group>
      <groupName>格式问题</groupName>
      <ability>L2_HalfPunc</ability>
      <abilityName>全半角检查</abilityName>
      <candidateList>
        <item>）</item>
      </candidateList>
      <explain>文本全半角错误。</explain>
      <paraID>6BFD5150</paraID>
      <start>67</start>
      <end>68</end>
      <status>unmodified</status>
      <modifiedWord/>
      <trackRevisions>false</trackRevisions>
    </reviewItem>
    <reviewItem>
      <errorID>3f125e0f-b4e4-479c-88ba-431c2cb0f529</errorID>
      <errorWord>(</errorWord>
      <group>L1_Format</group>
      <groupName>格式问题</groupName>
      <ability>L2_HalfPunc</ability>
      <abilityName>全半角检查</abilityName>
      <candidateList>
        <item>（</item>
      </candidateList>
      <explain>文本全半角错误。</explain>
      <paraID>6BFD5150</paraID>
      <start>69</start>
      <end>70</end>
      <status>unmodified</status>
      <modifiedWord/>
      <trackRevisions>false</trackRevisions>
    </reviewItem>
    <reviewItem>
      <errorID>d3f37dbc-f828-4aca-bb1e-41c11eab35c9</errorID>
      <errorWord>)</errorWord>
      <group>L1_Format</group>
      <groupName>格式问题</groupName>
      <ability>L2_HalfPunc</ability>
      <abilityName>全半角检查</abilityName>
      <candidateList>
        <item>）</item>
      </candidateList>
      <explain>文本全半角错误。</explain>
      <paraID>6BFD5150</paraID>
      <start>74</start>
      <end>75</end>
      <status>unmodified</status>
      <modifiedWord/>
      <trackRevisions>false</trackRevisions>
    </reviewItem>
    <reviewItem>
      <errorID>9358f0f1-e19d-423d-93bf-00e2301ef9bb</errorID>
      <errorWord>(</errorWord>
      <group>L1_Format</group>
      <groupName>格式问题</groupName>
      <ability>L2_HalfPunc</ability>
      <abilityName>全半角检查</abilityName>
      <candidateList>
        <item>（</item>
      </candidateList>
      <explain>文本全半角错误。</explain>
      <paraID>6BFD5150</paraID>
      <start>84</start>
      <end>85</end>
      <status>unmodified</status>
      <modifiedWord/>
      <trackRevisions>false</trackRevisions>
    </reviewItem>
    <reviewItem>
      <errorID>bce5520a-576e-44c0-a00e-35fda66c5e53</errorID>
      <errorWord>)</errorWord>
      <group>L1_Format</group>
      <groupName>格式问题</groupName>
      <ability>L2_HalfPunc</ability>
      <abilityName>全半角检查</abilityName>
      <candidateList>
        <item>）</item>
      </candidateList>
      <explain>文本全半角错误。</explain>
      <paraID>6BFD5150</paraID>
      <start>90</start>
      <end>91</end>
      <status>unmodified</status>
      <modifiedWord/>
      <trackRevisions>false</trackRevisions>
    </reviewItem>
    <reviewItem>
      <errorID>18f0664d-82a6-4c1d-b36a-d30723e59680</errorID>
      <errorWord>(</errorWord>
      <group>L1_Format</group>
      <groupName>格式问题</groupName>
      <ability>L2_HalfPunc</ability>
      <abilityName>全半角检查</abilityName>
      <candidateList>
        <item>（</item>
      </candidateList>
      <explain>文本全半角错误。</explain>
      <paraID>6BFD5150</paraID>
      <start>92</start>
      <end>93</end>
      <status>unmodified</status>
      <modifiedWord/>
      <trackRevisions>false</trackRevisions>
    </reviewItem>
    <reviewItem>
      <errorID>f08d83ee-41b1-4fee-8300-034e02e28869</errorID>
      <errorWord>)</errorWord>
      <group>L1_Format</group>
      <groupName>格式问题</groupName>
      <ability>L2_HalfPunc</ability>
      <abilityName>全半角检查</abilityName>
      <candidateList>
        <item>）</item>
      </candidateList>
      <explain>文本全半角错误。</explain>
      <paraID>6BFD5150</paraID>
      <start>97</start>
      <end>98</end>
      <status>unmodified</status>
      <modifiedWord/>
      <trackRevisions>false</trackRevisions>
    </reviewItem>
    <reviewItem>
      <errorID>54306b1c-c1fc-4ca2-941b-786215caf7cc</errorID>
      <errorWord>(</errorWord>
      <group>L1_Format</group>
      <groupName>格式问题</groupName>
      <ability>L2_HalfPunc</ability>
      <abilityName>全半角检查</abilityName>
      <candidateList>
        <item>（</item>
      </candidateList>
      <explain>文本全半角错误。</explain>
      <paraID>70254998</paraID>
      <start>2</start>
      <end>3</end>
      <status>unmodified</status>
      <modifiedWord/>
      <trackRevisions>false</trackRevisions>
    </reviewItem>
    <reviewItem>
      <errorID>a39f9eaf-1520-47c7-9888-f52b46be5ee4</errorID>
      <errorWord>)</errorWord>
      <group>L1_Format</group>
      <groupName>格式问题</groupName>
      <ability>L2_HalfPunc</ability>
      <abilityName>全半角检查</abilityName>
      <candidateList>
        <item>）</item>
      </candidateList>
      <explain>文本全半角错误。</explain>
      <paraID>70254998</paraID>
      <start>8</start>
      <end>9</end>
      <status>unmodified</status>
      <modifiedWord/>
      <trackRevisions>false</trackRevisions>
    </reviewItem>
    <reviewItem>
      <errorID>bda9c9d1-34e3-45cb-8e56-831857efa4d8</errorID>
      <errorWord>(</errorWord>
      <group>L1_Format</group>
      <groupName>格式问题</groupName>
      <ability>L2_HalfPunc</ability>
      <abilityName>全半角检查</abilityName>
      <candidateList>
        <item>（</item>
      </candidateList>
      <explain>文本全半角错误。</explain>
      <paraID>70254998</paraID>
      <start>14</start>
      <end>15</end>
      <status>unmodified</status>
      <modifiedWord/>
      <trackRevisions>false</trackRevisions>
    </reviewItem>
    <reviewItem>
      <errorID>fab1797e-8079-48c4-88b5-b858c66bb3f3</errorID>
      <errorWord>)</errorWord>
      <group>L1_Format</group>
      <groupName>格式问题</groupName>
      <ability>L2_HalfPunc</ability>
      <abilityName>全半角检查</abilityName>
      <candidateList>
        <item>）</item>
      </candidateList>
      <explain>文本全半角错误。</explain>
      <paraID>70254998</paraID>
      <start>17</start>
      <end>18</end>
      <status>unmodified</status>
      <modifiedWord/>
      <trackRevisions>false</trackRevisions>
    </reviewItem>
    <reviewItem>
      <errorID>cf9960c5-0975-4c93-855c-afd47c708df3</errorID>
      <errorWord>(</errorWord>
      <group>L1_Format</group>
      <groupName>格式问题</groupName>
      <ability>L2_HalfPunc</ability>
      <abilityName>全半角检查</abilityName>
      <candidateList>
        <item>（</item>
      </candidateList>
      <explain>文本全半角错误。</explain>
      <paraID>70254998</paraID>
      <start>22</start>
      <end>23</end>
      <status>unmodified</status>
      <modifiedWord/>
      <trackRevisions>false</trackRevisions>
    </reviewItem>
    <reviewItem>
      <errorID>f61ed82c-d1aa-4f5c-a5ce-12ab1aa48559</errorID>
      <errorWord>)</errorWord>
      <group>L1_Format</group>
      <groupName>格式问题</groupName>
      <ability>L2_HalfPunc</ability>
      <abilityName>全半角检查</abilityName>
      <candidateList>
        <item>）</item>
      </candidateList>
      <explain>文本全半角错误。</explain>
      <paraID>70254998</paraID>
      <start>27</start>
      <end>28</end>
      <status>unmodified</status>
      <modifiedWord/>
      <trackRevisions>false</trackRevisions>
    </reviewItem>
    <reviewItem>
      <errorID>855f2e81-e6a8-40b4-acdf-c34190c466a6</errorID>
      <errorWord>(</errorWord>
      <group>L1_Format</group>
      <groupName>格式问题</groupName>
      <ability>L2_HalfPunc</ability>
      <abilityName>全半角检查</abilityName>
      <candidateList>
        <item>（</item>
      </candidateList>
      <explain>文本全半角错误。</explain>
      <paraID>70254998</paraID>
      <start>29</start>
      <end>30</end>
      <status>unmodified</status>
      <modifiedWord/>
      <trackRevisions>false</trackRevisions>
    </reviewItem>
    <reviewItem>
      <errorID>13f569cf-c687-4d1e-a507-2354df8deea7</errorID>
      <errorWord>)</errorWord>
      <group>L1_Format</group>
      <groupName>格式问题</groupName>
      <ability>L2_HalfPunc</ability>
      <abilityName>全半角检查</abilityName>
      <candidateList>
        <item>）</item>
      </candidateList>
      <explain>文本全半角错误。</explain>
      <paraID>70254998</paraID>
      <start>35</start>
      <end>36</end>
      <status>unmodified</status>
      <modifiedWord/>
      <trackRevisions>false</trackRevisions>
    </reviewItem>
    <reviewItem>
      <errorID>36b68222-d592-4226-a391-33577f95353e</errorID>
      <errorWord>(</errorWord>
      <group>L1_Format</group>
      <groupName>格式问题</groupName>
      <ability>L2_HalfPunc</ability>
      <abilityName>全半角检查</abilityName>
      <candidateList>
        <item>（</item>
      </candidateList>
      <explain>文本全半角错误。</explain>
      <paraID>70254998</paraID>
      <start>51</start>
      <end>52</end>
      <status>unmodified</status>
      <modifiedWord/>
      <trackRevisions>false</trackRevisions>
    </reviewItem>
    <reviewItem>
      <errorID>5934e6c5-7641-4260-b732-5b4f678ddc71</errorID>
      <errorWord>)</errorWord>
      <group>L1_Format</group>
      <groupName>格式问题</groupName>
      <ability>L2_HalfPunc</ability>
      <abilityName>全半角检查</abilityName>
      <candidateList>
        <item>）</item>
      </candidateList>
      <explain>文本全半角错误。</explain>
      <paraID>70254998</paraID>
      <start>56</start>
      <end>57</end>
      <status>unmodified</status>
      <modifiedWord/>
      <trackRevisions>false</trackRevisions>
    </reviewItem>
    <reviewItem>
      <errorID>17c9039b-f027-4b61-881d-fad54a763bc6</errorID>
      <errorWord>(</errorWord>
      <group>L1_Format</group>
      <groupName>格式问题</groupName>
      <ability>L2_HalfPunc</ability>
      <abilityName>全半角检查</abilityName>
      <candidateList>
        <item>（</item>
      </candidateList>
      <explain>文本全半角错误。</explain>
      <paraID>70254998</paraID>
      <start>58</start>
      <end>59</end>
      <status>unmodified</status>
      <modifiedWord/>
      <trackRevisions>false</trackRevisions>
    </reviewItem>
    <reviewItem>
      <errorID>04458f3b-612d-48d1-bf56-bf4aa9aaacb8</errorID>
      <errorWord>)</errorWord>
      <group>L1_Format</group>
      <groupName>格式问题</groupName>
      <ability>L2_HalfPunc</ability>
      <abilityName>全半角检查</abilityName>
      <candidateList>
        <item>）</item>
      </candidateList>
      <explain>文本全半角错误。</explain>
      <paraID>70254998</paraID>
      <start>64</start>
      <end>65</end>
      <status>unmodified</status>
      <modifiedWord/>
      <trackRevisions>false</trackRevisions>
    </reviewItem>
    <reviewItem>
      <errorID>9a6479c7-0120-44ff-8c31-96e89ad2ce7c</errorID>
      <errorWord>(</errorWord>
      <group>L1_Format</group>
      <groupName>格式问题</groupName>
      <ability>L2_HalfPunc</ability>
      <abilityName>全半角检查</abilityName>
      <candidateList>
        <item>（</item>
      </candidateList>
      <explain>文本全半角错误。</explain>
      <paraID>70254998</paraID>
      <start>66</start>
      <end>67</end>
      <status>unmodified</status>
      <modifiedWord/>
      <trackRevisions>false</trackRevisions>
    </reviewItem>
    <reviewItem>
      <errorID>90bd23f6-ed77-4d72-bf9f-55de538e4987</errorID>
      <errorWord>)</errorWord>
      <group>L1_Format</group>
      <groupName>格式问题</groupName>
      <ability>L2_HalfPunc</ability>
      <abilityName>全半角检查</abilityName>
      <candidateList>
        <item>）</item>
      </candidateList>
      <explain>文本全半角错误。</explain>
      <paraID>70254998</paraID>
      <start>71</start>
      <end>72</end>
      <status>unmodified</status>
      <modifiedWord/>
      <trackRevisions>false</trackRevisions>
    </reviewItem>
    <reviewItem>
      <errorID>b4e0b62e-fc34-43cb-8fee-a4c39501c274</errorID>
      <errorWord>(</errorWord>
      <group>L1_Format</group>
      <groupName>格式问题</groupName>
      <ability>L2_HalfPunc</ability>
      <abilityName>全半角检查</abilityName>
      <candidateList>
        <item>（</item>
      </candidateList>
      <explain>文本全半角错误。</explain>
      <paraID>70254998</paraID>
      <start>80</start>
      <end>81</end>
      <status>unmodified</status>
      <modifiedWord/>
      <trackRevisions>false</trackRevisions>
    </reviewItem>
    <reviewItem>
      <errorID>db7b3c0c-cfcf-4c43-8577-78d84e55e0d0</errorID>
      <errorWord>)</errorWord>
      <group>L1_Format</group>
      <groupName>格式问题</groupName>
      <ability>L2_HalfPunc</ability>
      <abilityName>全半角检查</abilityName>
      <candidateList>
        <item>）</item>
      </candidateList>
      <explain>文本全半角错误。</explain>
      <paraID>70254998</paraID>
      <start>86</start>
      <end>87</end>
      <status>unmodified</status>
      <modifiedWord/>
      <trackRevisions>false</trackRevisions>
    </reviewItem>
    <reviewItem>
      <errorID>4c5d7838-a0b4-4a6e-b12d-297cdd9d002d</errorID>
      <errorWord>(</errorWord>
      <group>L1_Format</group>
      <groupName>格式问题</groupName>
      <ability>L2_HalfPunc</ability>
      <abilityName>全半角检查</abilityName>
      <candidateList>
        <item>（</item>
      </candidateList>
      <explain>文本全半角错误。</explain>
      <paraID>70254998</paraID>
      <start>88</start>
      <end>89</end>
      <status>unmodified</status>
      <modifiedWord/>
      <trackRevisions>false</trackRevisions>
    </reviewItem>
    <reviewItem>
      <errorID>4e842c8d-54c7-4bbb-b610-59202cd03cb4</errorID>
      <errorWord>)</errorWord>
      <group>L1_Format</group>
      <groupName>格式问题</groupName>
      <ability>L2_HalfPunc</ability>
      <abilityName>全半角检查</abilityName>
      <candidateList>
        <item>）</item>
      </candidateList>
      <explain>文本全半角错误。</explain>
      <paraID>70254998</paraID>
      <start>93</start>
      <end>94</end>
      <status>unmodified</status>
      <modifiedWord/>
      <trackRevisions>false</trackRevisions>
    </reviewItem>
    <reviewItem>
      <errorID>e5319392-c045-4105-b68a-d52f40c95dbf</errorID>
      <errorWord>(</errorWord>
      <group>L1_Format</group>
      <groupName>格式问题</groupName>
      <ability>L2_HalfPunc</ability>
      <abilityName>全半角检查</abilityName>
      <candidateList>
        <item>（</item>
      </candidateList>
      <explain>文本全半角错误。</explain>
      <paraID>4F7BB7E1</paraID>
      <start>3</start>
      <end>4</end>
      <status>unmodified</status>
      <modifiedWord/>
      <trackRevisions>false</trackRevisions>
    </reviewItem>
    <reviewItem>
      <errorID>1c9b6e7e-4686-4a97-b408-b38df08381fc</errorID>
      <errorWord>)</errorWord>
      <group>L1_Format</group>
      <groupName>格式问题</groupName>
      <ability>L2_HalfPunc</ability>
      <abilityName>全半角检查</abilityName>
      <candidateList>
        <item>）</item>
      </candidateList>
      <explain>文本全半角错误。</explain>
      <paraID>4F7BB7E1</paraID>
      <start>6</start>
      <end>7</end>
      <status>unmodified</status>
      <modifiedWord/>
      <trackRevisions>false</trackRevisions>
    </reviewItem>
    <reviewItem>
      <errorID>3d114098-e090-43ab-abf0-b64263e59eef</errorID>
      <errorWord>(</errorWord>
      <group>L1_Format</group>
      <groupName>格式问题</groupName>
      <ability>L2_HalfPunc</ability>
      <abilityName>全半角检查</abilityName>
      <candidateList>
        <item>（</item>
      </candidateList>
      <explain>文本全半角错误。</explain>
      <paraID>2EC5596D</paraID>
      <start>2</start>
      <end>3</end>
      <status>unmodified</status>
      <modifiedWord/>
      <trackRevisions>false</trackRevisions>
    </reviewItem>
    <reviewItem>
      <errorID>25dd6eaf-6ed2-4a0c-b195-f6faa131a362</errorID>
      <errorWord>)</errorWord>
      <group>L1_Format</group>
      <groupName>格式问题</groupName>
      <ability>L2_HalfPunc</ability>
      <abilityName>全半角检查</abilityName>
      <candidateList>
        <item>）</item>
      </candidateList>
      <explain>文本全半角错误。</explain>
      <paraID>2EC5596D</paraID>
      <start>5</start>
      <end>6</end>
      <status>unmodified</status>
      <modifiedWord/>
      <trackRevisions>false</trackRevisions>
    </reviewItem>
    <reviewItem>
      <errorID>692a760b-3597-4f03-9913-7a6a53121cb9</errorID>
      <errorWord>(</errorWord>
      <group>L1_Format</group>
      <groupName>格式问题</groupName>
      <ability>L2_HalfPunc</ability>
      <abilityName>全半角检查</abilityName>
      <candidateList>
        <item>（</item>
      </candidateList>
      <explain>文本全半角错误。</explain>
      <paraID>2EC5596D</paraID>
      <start>8</start>
      <end>9</end>
      <status>unmodified</status>
      <modifiedWord/>
      <trackRevisions>false</trackRevisions>
    </reviewItem>
    <reviewItem>
      <errorID>0314981b-edd2-4bf8-aa91-52c183428663</errorID>
      <errorWord>)</errorWord>
      <group>L1_Format</group>
      <groupName>格式问题</groupName>
      <ability>L2_HalfPunc</ability>
      <abilityName>全半角检查</abilityName>
      <candidateList>
        <item>）</item>
      </candidateList>
      <explain>文本全半角错误。</explain>
      <paraID>2EC5596D</paraID>
      <start>11</start>
      <end>12</end>
      <status>unmodified</status>
      <modifiedWord/>
      <trackRevisions>false</trackRevisions>
    </reviewItem>
    <reviewItem>
      <errorID>0e4d6402-c698-4c9a-a56f-a729abf9453f</errorID>
      <errorWord>提出质疑</errorWord>
      <group>L1_Grammar</group>
      <groupName>语法问题</groupName>
      <ability>L2_Grammar</ability>
      <abilityName>语法错误</abilityName>
      <candidateList>
        <item>质疑</item>
      </candidateList>
      <explain>〈动〉提出疑问：～问难。</explain>
      <paraID>14C211EF</paraID>
      <start>53</start>
      <end>57</end>
      <status>unmodified</status>
      <modifiedWord/>
      <trackRevisions>false</trackRevisions>
    </reviewItem>
    <reviewItem>
      <errorID>02b03aec-fd03-43f0-8ed5-ad4e34dfb87c</errorID>
      <errorWord>法律、法规</errorWord>
      <group>L1_Word</group>
      <groupName>字词问题</groupName>
      <ability>L2_Typo</ability>
      <abilityName>字词错误</abilityName>
      <candidateList>
        <item>法律法规</item>
      </candidateList>
      <explain/>
      <paraID>15889126</paraID>
      <start>29</start>
      <end>34</end>
      <status>unmodified</status>
      <modifiedWord/>
      <trackRevisions>false</trackRevisions>
    </reviewItem>
    <reviewItem>
      <errorID>0dfc875c-f6a2-4ed0-b609-c37d2638931e</errorID>
      <errorWord>实验</errorWord>
      <group>L1_Word</group>
      <groupName>字词问题</groupName>
      <ability>L2_Typo</ability>
      <abilityName>字词错误</abilityName>
      <candidateList>
        <item>试验</item>
      </candidateList>
      <explain/>
      <paraID>2941AA42</paraID>
      <start>12</start>
      <end>14</end>
      <status>unmodified</status>
      <modifiedWord/>
      <trackRevisions>false</trackRevisions>
    </reviewItem>
    <reviewItem>
      <errorID>ec745f82-39a9-4890-b081-4674c2f527a3</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2941AA42</paraID>
      <start>14</start>
      <end>20</end>
      <status>modified</status>
      <modifiedWord>必需的</modifiedWord>
      <trackRevisions>true</trackRevisions>
    </reviewItem>
    <reviewItem>
      <errorID>afd33aad-be12-4c10-9950-aaeadadd9fb4</errorID>
      <errorWord>,</errorWord>
      <group>L1_Format</group>
      <groupName>格式问题</groupName>
      <ability>L2_HalfPunc</ability>
      <abilityName>全半角检查</abilityName>
      <candidateList>
        <item>，</item>
      </candidateList>
      <explain>文本全半角错误。</explain>
      <paraID>2941AA42</paraID>
      <start>25</start>
      <end>26</end>
      <status>unmodified</status>
      <modifiedWord/>
      <trackRevisions>false</trackRevisions>
    </reviewItem>
    <reviewItem>
      <errorID>7a2ccf33-39df-45f4-abbc-0fc89f7233c0</errorID>
      <errorWord>签</errorWord>
      <group>L1_Word</group>
      <groupName>字词问题</groupName>
      <ability>L2_Typo</ability>
      <abilityName>字词错误</abilityName>
      <candidateList>
        <item>签订</item>
      </candidateList>
      <explain>〈动〉订立条约或合同并签字：两国～了贸易议定书和支付协定。</explain>
      <paraID>20EA3F38</paraID>
      <start>43</start>
      <end>44</end>
      <status>unmodified</status>
      <modifiedWord/>
      <trackRevisions>false</trackRevisions>
    </reviewItem>
    <reviewItem>
      <errorID>34b9ee39-c6da-4f4d-80cc-0dc2163ccd98</errorID>
      <errorWord>,</errorWord>
      <group>L1_Format</group>
      <groupName>格式问题</groupName>
      <ability>L2_HalfPunc</ability>
      <abilityName>全半角检查</abilityName>
      <candidateList>
        <item>，</item>
      </candidateList>
      <explain>文本全半角错误。</explain>
      <paraID>732F5D8C</paraID>
      <start>16</start>
      <end>17</end>
      <status>unmodified</status>
      <modifiedWord/>
      <trackRevisions>false</trackRevisions>
    </reviewItem>
    <reviewItem>
      <errorID>e4fe72a1-f527-427e-b162-817d239ea6e9</errorID>
      <errorWord>,</errorWord>
      <group>L1_Format</group>
      <groupName>格式问题</groupName>
      <ability>L2_HalfPunc</ability>
      <abilityName>全半角检查</abilityName>
      <candidateList>
        <item>，</item>
      </candidateList>
      <explain>文本全半角错误。</explain>
      <paraID>732F5D8C</paraID>
      <start>34</start>
      <end>35</end>
      <status>unmodified</status>
      <modifiedWord/>
      <trackRevisions>false</trackRevisions>
    </reviewItem>
    <reviewItem>
      <errorID>15817e27-be7b-4dea-92e7-4801d9c9b7d8</errorID>
      <errorWord>（</errorWord>
      <group>L1_Punc</group>
      <groupName>标点问题</groupName>
      <ability>L2_Punc</ability>
      <abilityName>标点符号检查</abilityName>
      <candidateList/>
      <explain>同一形式括号套用。</explain>
      <paraID>2D2D3E78</paraID>
      <start>103</start>
      <end>104</end>
      <status>unmodified</status>
      <modifiedWord/>
      <trackRevisions>false</trackRevisions>
    </reviewItem>
    <reviewItem>
      <errorID>a6b1bb09-c5e3-4da4-836f-2b887659d262</errorID>
      <errorWord>）</errorWord>
      <group>L1_Punc</group>
      <groupName>标点问题</groupName>
      <ability>L2_Punc</ability>
      <abilityName>标点符号检查</abilityName>
      <candidateList/>
      <explain>同一形式括号套用。</explain>
      <paraID>2D2D3E78</paraID>
      <start>109</start>
      <end>110</end>
      <status>unmodified</status>
      <modifiedWord/>
      <trackRevisions>false</trackRevisions>
    </reviewItem>
    <reviewItem>
      <errorID>b8d278bf-11e4-4e34-b384-8b4df34b0bc3</errorID>
      <errorWord>作出</errorWord>
      <group>L1_Word</group>
      <groupName>字词问题</groupName>
      <ability>L2_Typo</ability>
      <abilityName>字词错误</abilityName>
      <candidateList>
        <item>做出</item>
      </candidateList>
      <explain/>
      <paraID>785300AA</paraID>
      <start>95</start>
      <end>99</end>
      <status>modified</status>
      <modifiedWord>做出</modifiedWord>
      <trackRevisions>true</trackRevisions>
    </reviewItem>
    <reviewItem>
      <errorID>69c3cc0f-6f79-4e37-b9c1-5b7daaeec667</errorID>
      <errorWord>,</errorWord>
      <group>L1_Format</group>
      <groupName>格式问题</groupName>
      <ability>L2_HalfPunc</ability>
      <abilityName>全半角检查</abilityName>
      <candidateList>
        <item>，</item>
      </candidateList>
      <explain>文本全半角错误。</explain>
      <paraID>785300AA</paraID>
      <start>101</start>
      <end>102</end>
      <status>unmodified</status>
      <modifiedWord/>
      <trackRevisions>false</trackRevisions>
    </reviewItem>
    <reviewItem>
      <errorID>dda01deb-c97e-4c4a-ba36-1bd7c015b86c</errorID>
      <errorWord>其它</errorWord>
      <group>L1_Word</group>
      <groupName>字词问题</groupName>
      <ability>L2_Alias</ability>
      <abilityName>也作/曾用词</abilityName>
      <candidateList>
        <item>其他</item>
      </candidateList>
      <explain>词汇[其它]为不规范表述或旧称，其规范书面表述为[其他]。</explain>
      <paraID>583475FF</paraID>
      <start>32</start>
      <end>34</end>
      <status>unmodified</status>
      <modifiedWord/>
      <trackRevisions>false</trackRevisions>
    </reviewItem>
    <reviewItem>
      <errorID>01ff40ab-e43f-4a62-ba42-5c46b306625e</errorID>
      <errorWord>按《中华人民共和国</errorWord>
      <group>L1_Word</group>
      <groupName>字词问题</groupName>
      <ability>L2_Typo</ability>
      <abilityName>字词错误</abilityName>
      <candidateList>
        <item>按照《中华人民共和国</item>
      </candidateList>
      <explain/>
      <paraID>5B14FF07</paraID>
      <start>9</start>
      <end>18</end>
      <status>unmodified</status>
      <modifiedWord/>
      <trackRevisions>false</trackRevisions>
    </reviewItem>
    <reviewItem>
      <errorID>d88132f8-238e-4726-9cc4-98521e858fc7</errorID>
      <errorWord>到达</errorWord>
      <group>L1_Word</group>
      <groupName>字词问题</groupName>
      <ability>L2_Typo</ability>
      <abilityName>字词错误</abilityName>
      <candidateList>
        <item>到</item>
      </candidateList>
      <explain>❶〈动〉达于某一点；到达；达到：～期｜迟～｜火车～站了｜从星期三～星期五。❷〈动〉往：～郊外去｜～群众中去。❸〈动〉用作动词的补语，表示动作有结果：看～｜办得～｜说～一定要做～｜想不～你来了。❹〈形〉周到：想得很～｜有不～的地方请原谅。❺（Dào）〈名〉姓。</explain>
      <paraID>3E0858E8</paraID>
      <start>89</start>
      <end>91</end>
      <status>unmodified</status>
      <modifiedWord/>
      <trackRevisions>false</trackRevisions>
    </reviewItem>
    <reviewItem>
      <errorID>59d34d8c-2287-480d-a3a3-b3f6f7c41e1f</errorID>
      <errorWord>帐户</errorWord>
      <group>L1_Word</group>
      <groupName>字词问题</groupName>
      <ability>L2_Typo</ability>
      <abilityName>字词错误</abilityName>
      <candidateList>
        <item>账户</item>
      </candidateList>
      <explain>〈名〉会计上指账簿中对各种资金运用、来源和周转过程等设置的分类。</explain>
      <paraID>3E0858E8</paraID>
      <start>93</start>
      <end>97</end>
      <status>modified</status>
      <modifiedWord>账户</modifiedWord>
      <trackRevisions>true</trackRevisions>
    </reviewItem>
    <reviewItem>
      <errorID>733fec1c-3cef-40c2-9905-50b7c5e42229</errorID>
      <errorWord>银行帐号</errorWord>
      <group>L1_Word</group>
      <groupName>字词问题</groupName>
      <ability>L2_Alias</ability>
      <abilityName>也作/曾用词</abilityName>
      <candidateList>
        <item>银行账号</item>
      </candidateList>
      <explain>词汇[银行帐号]为不规范表述或旧称，其规范书面表述为[银行账号]。</explain>
      <paraID>  30B412</paraID>
      <start>0</start>
      <end>8</end>
      <status>modified</status>
      <modifiedWord>银行账号</modifiedWord>
      <trackRevisions>true</trackRevisions>
    </reviewItem>
  </reviewItems>
  <config/>
</contractReview>
</file>

<file path=customXml/item3.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26057E-CE62-4B16-B51F-513A46518C80}">
  <ds:schemaRefs/>
</ds:datastoreItem>
</file>

<file path=customXml/itemProps3.xml><?xml version="1.0" encoding="utf-8"?>
<ds:datastoreItem xmlns:ds="http://schemas.openxmlformats.org/officeDocument/2006/customXml" ds:itemID="{0C4A449F-0531-4B91-A953-41CA47FF347F}">
  <ds:schemaRefs/>
</ds:datastoreItem>
</file>

<file path=docProps/app.xml><?xml version="1.0" encoding="utf-8"?>
<Properties xmlns="http://schemas.openxmlformats.org/officeDocument/2006/extended-properties" xmlns:vt="http://schemas.openxmlformats.org/officeDocument/2006/docPropsVTypes">
  <Template>Normal.dotm</Template>
  <Company>KWZB;</Company>
  <Pages>120</Pages>
  <Words>142</Words>
  <Characters>177</Characters>
  <Lines>120</Lines>
  <Paragraphs>155</Paragraphs>
  <TotalTime>37</TotalTime>
  <ScaleCrop>false</ScaleCrop>
  <LinksUpToDate>false</LinksUpToDate>
  <CharactersWithSpaces>192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2026-03-19T08:19:00Z</dcterms:created>
  <dc:creator>KWZB</dc:creator>
  <cp:lastModifiedBy>mmm</cp:lastModifiedBy>
  <cp:lastPrinted>2020-04-03T00:20:00Z</cp:lastPrinted>
  <dcterms:modified xsi:type="dcterms:W3CDTF">2026-06-22T03:15:25Z</dcterms:modified>
  <dc:title>竞争性谈判文件规范</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5DC9A229ED73491397AA036BD0359147_13</vt:lpwstr>
  </property>
  <property fmtid="{D5CDD505-2E9C-101B-9397-08002B2CF9AE}" pid="4" name="KSOTemplateDocerSaveRecord">
    <vt:lpwstr>eyJoZGlkIjoiNzFjY2M1MzE1YTRhOThmN2VmNjgwYjk4NWMwM2ViMWEiLCJ1c2VySWQiOiIzNDI3NzExOTAifQ==</vt:lpwstr>
  </property>
</Properties>
</file>