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17DC80">
      <w:pPr>
        <w:pStyle w:val="11"/>
        <w:spacing w:line="600" w:lineRule="auto"/>
        <w:jc w:val="center"/>
        <w:rPr>
          <w:rFonts w:hint="eastAsia" w:asciiTheme="minorEastAsia" w:hAnsiTheme="minorEastAsia" w:eastAsiaTheme="minorEastAsia" w:cstheme="minorEastAsia"/>
          <w:b/>
          <w:bCs/>
          <w:color w:val="auto"/>
          <w:sz w:val="52"/>
          <w:szCs w:val="52"/>
          <w:highlight w:val="none"/>
          <w:lang w:eastAsia="zh-CN"/>
        </w:rPr>
      </w:pPr>
    </w:p>
    <w:p w14:paraId="7D9648E3">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sz w:val="52"/>
          <w:szCs w:val="52"/>
          <w:highlight w:val="none"/>
          <w:lang w:val="en-US" w:eastAsia="zh-CN"/>
        </w:rPr>
        <w:t>昭平县木格乡花会冲八角基地产业路项目</w:t>
      </w:r>
    </w:p>
    <w:p w14:paraId="14DC9D72">
      <w:pPr>
        <w:pStyle w:val="35"/>
        <w:rPr>
          <w:rFonts w:hint="eastAsia" w:asciiTheme="minorEastAsia" w:hAnsiTheme="minorEastAsia" w:eastAsiaTheme="minorEastAsia" w:cstheme="minorEastAsia"/>
          <w:color w:val="auto"/>
          <w:highlight w:val="none"/>
        </w:rPr>
      </w:pPr>
    </w:p>
    <w:p w14:paraId="117C29F0">
      <w:pPr>
        <w:pStyle w:val="36"/>
        <w:rPr>
          <w:rFonts w:hint="eastAsia" w:asciiTheme="minorEastAsia" w:hAnsiTheme="minorEastAsia" w:eastAsiaTheme="minorEastAsia" w:cstheme="minorEastAsia"/>
          <w:color w:val="auto"/>
          <w:highlight w:val="none"/>
        </w:rPr>
      </w:pPr>
    </w:p>
    <w:p w14:paraId="2478C0EE">
      <w:pPr>
        <w:rPr>
          <w:rFonts w:hint="eastAsia" w:asciiTheme="minorEastAsia" w:hAnsiTheme="minorEastAsia" w:eastAsiaTheme="minorEastAsia" w:cstheme="minorEastAsia"/>
          <w:color w:val="auto"/>
          <w:highlight w:val="none"/>
        </w:rPr>
      </w:pPr>
    </w:p>
    <w:p w14:paraId="4D6C4DF2">
      <w:pPr>
        <w:pStyle w:val="6"/>
        <w:rPr>
          <w:rFonts w:hint="eastAsia" w:asciiTheme="minorEastAsia" w:hAnsiTheme="minorEastAsia" w:eastAsiaTheme="minorEastAsia" w:cstheme="minorEastAsia"/>
          <w:color w:val="auto"/>
          <w:highlight w:val="none"/>
        </w:rPr>
      </w:pPr>
    </w:p>
    <w:p w14:paraId="20961C4D">
      <w:pPr>
        <w:rPr>
          <w:rFonts w:hint="eastAsia" w:asciiTheme="minorEastAsia" w:hAnsiTheme="minorEastAsia" w:eastAsiaTheme="minorEastAsia" w:cstheme="minorEastAsia"/>
          <w:color w:val="auto"/>
          <w:highlight w:val="none"/>
        </w:rPr>
      </w:pPr>
    </w:p>
    <w:p w14:paraId="5F1D9422">
      <w:pPr>
        <w:pStyle w:val="6"/>
        <w:rPr>
          <w:rFonts w:hint="eastAsia" w:asciiTheme="minorEastAsia" w:hAnsiTheme="minorEastAsia" w:eastAsiaTheme="minorEastAsia" w:cstheme="minorEastAsia"/>
          <w:color w:val="auto"/>
        </w:rPr>
      </w:pPr>
    </w:p>
    <w:p w14:paraId="6D2BED07">
      <w:pPr>
        <w:pStyle w:val="35"/>
        <w:rPr>
          <w:rFonts w:hint="eastAsia" w:asciiTheme="minorEastAsia" w:hAnsiTheme="minorEastAsia" w:eastAsiaTheme="minorEastAsia" w:cstheme="minorEastAsia"/>
          <w:color w:val="auto"/>
          <w:highlight w:val="none"/>
        </w:rPr>
      </w:pPr>
    </w:p>
    <w:p w14:paraId="63B268BB">
      <w:pPr>
        <w:pStyle w:val="11"/>
        <w:spacing w:line="600" w:lineRule="auto"/>
        <w:jc w:val="center"/>
        <w:rPr>
          <w:rFonts w:hint="eastAsia" w:asciiTheme="minorEastAsia" w:hAnsiTheme="minorEastAsia" w:eastAsiaTheme="minorEastAsia" w:cstheme="minorEastAsia"/>
          <w:b/>
          <w:bCs/>
          <w:color w:val="auto"/>
          <w:sz w:val="84"/>
          <w:szCs w:val="84"/>
          <w:highlight w:val="none"/>
          <w:lang w:eastAsia="zh-CN"/>
        </w:rPr>
      </w:pPr>
      <w:r>
        <w:rPr>
          <w:rFonts w:hint="eastAsia" w:asciiTheme="minorEastAsia" w:hAnsiTheme="minorEastAsia" w:eastAsiaTheme="minorEastAsia" w:cstheme="minorEastAsia"/>
          <w:b/>
          <w:bCs/>
          <w:color w:val="auto"/>
          <w:sz w:val="84"/>
          <w:szCs w:val="84"/>
          <w:highlight w:val="none"/>
          <w:lang w:eastAsia="zh-CN"/>
        </w:rPr>
        <w:t>竞争性磋商文件</w:t>
      </w:r>
    </w:p>
    <w:p w14:paraId="62D2749F">
      <w:pPr>
        <w:pStyle w:val="11"/>
        <w:spacing w:line="600" w:lineRule="auto"/>
        <w:jc w:val="center"/>
        <w:rPr>
          <w:rFonts w:hint="eastAsia" w:asciiTheme="minorEastAsia" w:hAnsiTheme="minorEastAsia" w:eastAsiaTheme="minorEastAsia" w:cstheme="minorEastAsia"/>
          <w:b/>
          <w:bCs/>
          <w:color w:val="auto"/>
          <w:sz w:val="40"/>
          <w:szCs w:val="40"/>
          <w:highlight w:val="none"/>
        </w:rPr>
      </w:pPr>
    </w:p>
    <w:p w14:paraId="02099DFE">
      <w:pPr>
        <w:rPr>
          <w:rFonts w:hint="eastAsia" w:asciiTheme="minorEastAsia" w:hAnsiTheme="minorEastAsia" w:eastAsiaTheme="minorEastAsia" w:cstheme="minorEastAsia"/>
          <w:color w:val="auto"/>
          <w:highlight w:val="none"/>
        </w:rPr>
      </w:pPr>
    </w:p>
    <w:p w14:paraId="4B0E2825">
      <w:pPr>
        <w:spacing w:line="360" w:lineRule="auto"/>
        <w:jc w:val="center"/>
        <w:rPr>
          <w:rFonts w:hint="eastAsia" w:asciiTheme="minorEastAsia" w:hAnsiTheme="minorEastAsia" w:eastAsiaTheme="minorEastAsia" w:cstheme="minorEastAsia"/>
          <w:b/>
          <w:bCs/>
          <w:color w:val="auto"/>
          <w:sz w:val="32"/>
          <w:szCs w:val="32"/>
          <w:highlight w:val="none"/>
          <w:lang w:val="en-US" w:eastAsia="zh-CN"/>
        </w:rPr>
      </w:pPr>
      <w:r>
        <w:rPr>
          <w:rFonts w:hint="eastAsia" w:asciiTheme="minorEastAsia" w:hAnsiTheme="minorEastAsia" w:eastAsiaTheme="minorEastAsia" w:cstheme="minorEastAsia"/>
          <w:b/>
          <w:bCs/>
          <w:color w:val="auto"/>
          <w:sz w:val="32"/>
          <w:szCs w:val="32"/>
          <w:highlight w:val="none"/>
          <w:lang w:eastAsia="zh-CN"/>
        </w:rPr>
        <w:t>项目编号：HZZC2026-C2-210032-GLHY</w:t>
      </w:r>
    </w:p>
    <w:p w14:paraId="32551DDC">
      <w:pPr>
        <w:pStyle w:val="11"/>
        <w:spacing w:line="600" w:lineRule="auto"/>
        <w:rPr>
          <w:rFonts w:hint="eastAsia" w:asciiTheme="minorEastAsia" w:hAnsiTheme="minorEastAsia" w:eastAsiaTheme="minorEastAsia" w:cstheme="minorEastAsia"/>
          <w:b/>
          <w:bCs/>
          <w:color w:val="auto"/>
          <w:sz w:val="18"/>
          <w:szCs w:val="18"/>
          <w:highlight w:val="none"/>
        </w:rPr>
      </w:pPr>
    </w:p>
    <w:p w14:paraId="07F92F39">
      <w:pPr>
        <w:pStyle w:val="11"/>
        <w:spacing w:line="600" w:lineRule="auto"/>
        <w:rPr>
          <w:rFonts w:hint="eastAsia" w:asciiTheme="minorEastAsia" w:hAnsiTheme="minorEastAsia" w:eastAsiaTheme="minorEastAsia" w:cstheme="minorEastAsia"/>
          <w:b/>
          <w:bCs/>
          <w:color w:val="auto"/>
          <w:sz w:val="18"/>
          <w:szCs w:val="18"/>
          <w:highlight w:val="none"/>
        </w:rPr>
      </w:pPr>
    </w:p>
    <w:p w14:paraId="7E025B7E">
      <w:pPr>
        <w:rPr>
          <w:rFonts w:hint="eastAsia" w:asciiTheme="minorEastAsia" w:hAnsiTheme="minorEastAsia" w:eastAsiaTheme="minorEastAsia" w:cstheme="minorEastAsia"/>
          <w:b/>
          <w:bCs/>
          <w:color w:val="auto"/>
          <w:sz w:val="18"/>
          <w:szCs w:val="18"/>
          <w:highlight w:val="none"/>
        </w:rPr>
      </w:pPr>
    </w:p>
    <w:p w14:paraId="08F4BB4B">
      <w:pPr>
        <w:pStyle w:val="35"/>
        <w:rPr>
          <w:rFonts w:hint="eastAsia" w:asciiTheme="minorEastAsia" w:hAnsiTheme="minorEastAsia" w:eastAsiaTheme="minorEastAsia" w:cstheme="minorEastAsia"/>
          <w:color w:val="auto"/>
          <w:highlight w:val="none"/>
        </w:rPr>
      </w:pPr>
    </w:p>
    <w:p w14:paraId="5F973CD8">
      <w:pPr>
        <w:spacing w:line="360" w:lineRule="auto"/>
        <w:ind w:firstLine="1920" w:firstLineChars="600"/>
        <w:jc w:val="both"/>
        <w:rPr>
          <w:rFonts w:hint="eastAsia" w:asciiTheme="minorEastAsia" w:hAnsiTheme="minorEastAsia" w:eastAsiaTheme="minorEastAsia" w:cstheme="minorEastAsia"/>
          <w:b/>
          <w:bCs/>
          <w:color w:val="auto"/>
          <w:sz w:val="32"/>
          <w:szCs w:val="32"/>
          <w:highlight w:val="none"/>
          <w:lang w:eastAsia="zh-CN"/>
        </w:rPr>
      </w:pPr>
      <w:r>
        <w:rPr>
          <w:rFonts w:hint="eastAsia" w:asciiTheme="minorEastAsia" w:hAnsiTheme="minorEastAsia" w:eastAsiaTheme="minorEastAsia" w:cstheme="minorEastAsia"/>
          <w:b/>
          <w:bCs/>
          <w:color w:val="auto"/>
          <w:kern w:val="0"/>
          <w:sz w:val="32"/>
          <w:szCs w:val="32"/>
          <w:highlight w:val="none"/>
        </w:rPr>
        <w:t>采购人</w:t>
      </w:r>
      <w:r>
        <w:rPr>
          <w:rFonts w:hint="eastAsia" w:asciiTheme="minorEastAsia" w:hAnsiTheme="minorEastAsia" w:eastAsiaTheme="minorEastAsia" w:cstheme="minorEastAsia"/>
          <w:b/>
          <w:bCs/>
          <w:color w:val="auto"/>
          <w:sz w:val="32"/>
          <w:szCs w:val="32"/>
          <w:highlight w:val="none"/>
        </w:rPr>
        <w:t>：</w:t>
      </w:r>
      <w:r>
        <w:rPr>
          <w:rFonts w:hint="eastAsia" w:asciiTheme="minorEastAsia" w:hAnsiTheme="minorEastAsia" w:eastAsiaTheme="minorEastAsia" w:cstheme="minorEastAsia"/>
          <w:b/>
          <w:bCs/>
          <w:color w:val="auto"/>
          <w:sz w:val="32"/>
          <w:szCs w:val="32"/>
          <w:highlight w:val="none"/>
          <w:lang w:eastAsia="zh-CN"/>
        </w:rPr>
        <w:t>昭平县木格乡人民政府</w:t>
      </w:r>
    </w:p>
    <w:p w14:paraId="5837A4E1">
      <w:pPr>
        <w:spacing w:line="360" w:lineRule="auto"/>
        <w:jc w:val="center"/>
        <w:rPr>
          <w:rFonts w:hint="eastAsia" w:asciiTheme="minorEastAsia" w:hAnsiTheme="minorEastAsia" w:eastAsiaTheme="minorEastAsia" w:cstheme="minorEastAsia"/>
          <w:b/>
          <w:bCs/>
          <w:color w:val="auto"/>
          <w:sz w:val="32"/>
          <w:szCs w:val="32"/>
          <w:highlight w:val="none"/>
          <w:lang w:eastAsia="zh-CN"/>
        </w:rPr>
      </w:pPr>
      <w:r>
        <w:rPr>
          <w:rFonts w:hint="eastAsia" w:asciiTheme="minorEastAsia" w:hAnsiTheme="minorEastAsia" w:eastAsiaTheme="minorEastAsia" w:cstheme="minorEastAsia"/>
          <w:b/>
          <w:bCs/>
          <w:color w:val="auto"/>
          <w:kern w:val="0"/>
          <w:sz w:val="32"/>
          <w:szCs w:val="32"/>
          <w:highlight w:val="none"/>
          <w:lang w:val="en-US" w:eastAsia="zh-CN"/>
        </w:rPr>
        <w:t xml:space="preserve">  </w:t>
      </w:r>
      <w:r>
        <w:rPr>
          <w:rFonts w:hint="eastAsia" w:asciiTheme="minorEastAsia" w:hAnsiTheme="minorEastAsia" w:eastAsiaTheme="minorEastAsia" w:cstheme="minorEastAsia"/>
          <w:b/>
          <w:bCs/>
          <w:color w:val="auto"/>
          <w:kern w:val="0"/>
          <w:sz w:val="32"/>
          <w:szCs w:val="32"/>
          <w:highlight w:val="none"/>
        </w:rPr>
        <w:t>采购</w:t>
      </w:r>
      <w:r>
        <w:rPr>
          <w:rFonts w:hint="eastAsia" w:asciiTheme="minorEastAsia" w:hAnsiTheme="minorEastAsia" w:eastAsiaTheme="minorEastAsia" w:cstheme="minorEastAsia"/>
          <w:b/>
          <w:bCs/>
          <w:color w:val="auto"/>
          <w:sz w:val="32"/>
          <w:szCs w:val="32"/>
          <w:highlight w:val="none"/>
        </w:rPr>
        <w:t>代理机构：</w:t>
      </w:r>
      <w:r>
        <w:rPr>
          <w:rFonts w:hint="eastAsia" w:asciiTheme="minorEastAsia" w:hAnsiTheme="minorEastAsia" w:eastAsiaTheme="minorEastAsia" w:cstheme="minorEastAsia"/>
          <w:b/>
          <w:bCs/>
          <w:color w:val="auto"/>
          <w:sz w:val="32"/>
          <w:szCs w:val="32"/>
          <w:highlight w:val="none"/>
          <w:lang w:eastAsia="zh-CN"/>
        </w:rPr>
        <w:t>广西桂林华禹水利水电工程咨询有限公司</w:t>
      </w:r>
    </w:p>
    <w:p w14:paraId="391461D2">
      <w:pPr>
        <w:pStyle w:val="11"/>
        <w:spacing w:line="360" w:lineRule="auto"/>
        <w:ind w:firstLine="2560" w:firstLineChars="800"/>
        <w:jc w:val="both"/>
        <w:rPr>
          <w:rFonts w:hint="eastAsia" w:asciiTheme="minorEastAsia" w:hAnsiTheme="minorEastAsia" w:eastAsiaTheme="minorEastAsia" w:cstheme="minorEastAsia"/>
          <w:b/>
          <w:bCs/>
          <w:color w:val="auto"/>
          <w:sz w:val="32"/>
          <w:szCs w:val="32"/>
          <w:highlight w:val="none"/>
          <w:lang w:val="en-US"/>
        </w:rPr>
      </w:pPr>
      <w:r>
        <w:rPr>
          <w:rFonts w:hint="eastAsia" w:asciiTheme="minorEastAsia" w:hAnsiTheme="minorEastAsia" w:eastAsiaTheme="minorEastAsia" w:cstheme="minorEastAsia"/>
          <w:b/>
          <w:bCs/>
          <w:color w:val="auto"/>
          <w:sz w:val="32"/>
          <w:szCs w:val="32"/>
          <w:highlight w:val="none"/>
        </w:rPr>
        <w:t>日</w:t>
      </w:r>
      <w:r>
        <w:rPr>
          <w:rFonts w:hint="eastAsia" w:asciiTheme="minorEastAsia" w:hAnsiTheme="minorEastAsia" w:eastAsiaTheme="minorEastAsia" w:cstheme="minorEastAsia"/>
          <w:b/>
          <w:bCs/>
          <w:color w:val="auto"/>
          <w:sz w:val="32"/>
          <w:szCs w:val="32"/>
          <w:highlight w:val="none"/>
          <w:lang w:val="en-US" w:eastAsia="zh-CN"/>
        </w:rPr>
        <w:t xml:space="preserve">   </w:t>
      </w:r>
      <w:r>
        <w:rPr>
          <w:rFonts w:hint="eastAsia" w:asciiTheme="minorEastAsia" w:hAnsiTheme="minorEastAsia" w:eastAsiaTheme="minorEastAsia" w:cstheme="minorEastAsia"/>
          <w:b/>
          <w:bCs/>
          <w:color w:val="auto"/>
          <w:sz w:val="32"/>
          <w:szCs w:val="32"/>
          <w:highlight w:val="none"/>
        </w:rPr>
        <w:t>期：</w:t>
      </w:r>
      <w:r>
        <w:rPr>
          <w:rFonts w:hint="eastAsia" w:asciiTheme="minorEastAsia" w:hAnsiTheme="minorEastAsia" w:eastAsiaTheme="minorEastAsia" w:cstheme="minorEastAsia"/>
          <w:b/>
          <w:bCs/>
          <w:color w:val="auto"/>
          <w:sz w:val="32"/>
          <w:szCs w:val="32"/>
          <w:highlight w:val="none"/>
          <w:lang w:eastAsia="zh-CN"/>
        </w:rPr>
        <w:t>202</w:t>
      </w:r>
      <w:r>
        <w:rPr>
          <w:rFonts w:hint="eastAsia" w:asciiTheme="minorEastAsia" w:hAnsiTheme="minorEastAsia" w:eastAsiaTheme="minorEastAsia" w:cstheme="minorEastAsia"/>
          <w:b/>
          <w:bCs/>
          <w:color w:val="auto"/>
          <w:sz w:val="32"/>
          <w:szCs w:val="32"/>
          <w:highlight w:val="none"/>
          <w:lang w:val="en-US" w:eastAsia="zh-CN"/>
        </w:rPr>
        <w:t>6</w:t>
      </w:r>
      <w:r>
        <w:rPr>
          <w:rFonts w:hint="eastAsia" w:asciiTheme="minorEastAsia" w:hAnsiTheme="minorEastAsia" w:eastAsiaTheme="minorEastAsia" w:cstheme="minorEastAsia"/>
          <w:b/>
          <w:bCs/>
          <w:color w:val="auto"/>
          <w:sz w:val="32"/>
          <w:szCs w:val="32"/>
          <w:highlight w:val="none"/>
          <w:lang w:eastAsia="zh-CN"/>
        </w:rPr>
        <w:t>年</w:t>
      </w:r>
      <w:r>
        <w:rPr>
          <w:rFonts w:hint="eastAsia" w:asciiTheme="minorEastAsia" w:hAnsiTheme="minorEastAsia" w:eastAsiaTheme="minorEastAsia" w:cstheme="minorEastAsia"/>
          <w:b/>
          <w:bCs/>
          <w:color w:val="auto"/>
          <w:sz w:val="32"/>
          <w:szCs w:val="32"/>
          <w:highlight w:val="none"/>
          <w:lang w:val="en-US" w:eastAsia="zh-CN"/>
        </w:rPr>
        <w:t>05</w:t>
      </w:r>
      <w:r>
        <w:rPr>
          <w:rFonts w:hint="eastAsia" w:asciiTheme="minorEastAsia" w:hAnsiTheme="minorEastAsia" w:eastAsiaTheme="minorEastAsia" w:cstheme="minorEastAsia"/>
          <w:b/>
          <w:bCs/>
          <w:color w:val="auto"/>
          <w:sz w:val="32"/>
          <w:szCs w:val="32"/>
          <w:highlight w:val="none"/>
          <w:lang w:eastAsia="zh-CN"/>
        </w:rPr>
        <w:t>月</w:t>
      </w:r>
    </w:p>
    <w:p w14:paraId="069BF7DE">
      <w:pPr>
        <w:pStyle w:val="11"/>
        <w:spacing w:line="600" w:lineRule="auto"/>
        <w:jc w:val="center"/>
        <w:rPr>
          <w:rFonts w:hint="eastAsia" w:asciiTheme="minorEastAsia" w:hAnsiTheme="minorEastAsia" w:eastAsiaTheme="minorEastAsia" w:cstheme="minorEastAsia"/>
          <w:b/>
          <w:color w:val="auto"/>
          <w:sz w:val="44"/>
          <w:szCs w:val="44"/>
          <w:highlight w:val="none"/>
        </w:rPr>
        <w:sectPr>
          <w:headerReference r:id="rId5" w:type="first"/>
          <w:headerReference r:id="rId3" w:type="default"/>
          <w:footerReference r:id="rId6" w:type="default"/>
          <w:headerReference r:id="rId4" w:type="even"/>
          <w:footerReference r:id="rId7" w:type="even"/>
          <w:pgSz w:w="11907" w:h="16840"/>
          <w:pgMar w:top="1247" w:right="1000" w:bottom="1247" w:left="1247" w:header="851" w:footer="892" w:gutter="0"/>
          <w:pgNumType w:fmt="decimal"/>
          <w:cols w:space="720" w:num="1"/>
          <w:titlePg/>
          <w:docGrid w:type="linesAndChars" w:linePitch="312" w:charSpace="0"/>
        </w:sectPr>
      </w:pPr>
    </w:p>
    <w:p w14:paraId="0B30FB3A">
      <w:pPr>
        <w:pStyle w:val="11"/>
        <w:spacing w:line="600" w:lineRule="auto"/>
        <w:jc w:val="center"/>
        <w:rPr>
          <w:rFonts w:hint="eastAsia" w:asciiTheme="minorEastAsia" w:hAnsiTheme="minorEastAsia" w:eastAsiaTheme="minorEastAsia" w:cstheme="minorEastAsia"/>
          <w:b/>
          <w:color w:val="auto"/>
          <w:sz w:val="32"/>
          <w:szCs w:val="32"/>
          <w:highlight w:val="none"/>
        </w:rPr>
      </w:pPr>
    </w:p>
    <w:p w14:paraId="3BA27871">
      <w:pPr>
        <w:pStyle w:val="11"/>
        <w:spacing w:line="600" w:lineRule="auto"/>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目 录</w:t>
      </w:r>
    </w:p>
    <w:p w14:paraId="299C008A">
      <w:pPr>
        <w:pStyle w:val="15"/>
        <w:tabs>
          <w:tab w:val="right" w:leader="dot" w:pos="8889"/>
          <w:tab w:val="clear" w:pos="0"/>
          <w:tab w:val="clear" w:pos="943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TOC \o "1-3" \h \z \u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bCs/>
          <w:color w:val="auto"/>
          <w:szCs w:val="24"/>
          <w:highlight w:val="none"/>
        </w:rPr>
        <w:fldChar w:fldCharType="begin"/>
      </w:r>
      <w:r>
        <w:rPr>
          <w:rFonts w:hint="eastAsia" w:asciiTheme="minorEastAsia" w:hAnsiTheme="minorEastAsia" w:eastAsiaTheme="minorEastAsia" w:cstheme="minorEastAsia"/>
          <w:bCs/>
          <w:color w:val="auto"/>
          <w:szCs w:val="24"/>
          <w:highlight w:val="none"/>
        </w:rPr>
        <w:instrText xml:space="preserve"> HYPERLINK \l _Toc14238 </w:instrText>
      </w:r>
      <w:r>
        <w:rPr>
          <w:rFonts w:hint="eastAsia" w:asciiTheme="minorEastAsia" w:hAnsiTheme="minorEastAsia" w:eastAsiaTheme="minorEastAsia" w:cstheme="minorEastAsia"/>
          <w:bCs/>
          <w:color w:val="auto"/>
          <w:szCs w:val="24"/>
          <w:highlight w:val="none"/>
        </w:rPr>
        <w:fldChar w:fldCharType="separate"/>
      </w:r>
      <w:r>
        <w:rPr>
          <w:rFonts w:hint="eastAsia" w:asciiTheme="minorEastAsia" w:hAnsiTheme="minorEastAsia" w:eastAsiaTheme="minorEastAsia" w:cstheme="minorEastAsia"/>
          <w:color w:val="auto"/>
          <w:szCs w:val="32"/>
          <w:highlight w:val="none"/>
        </w:rPr>
        <w:t>第一章 竞争性磋商公告</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_Toc14238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bCs/>
          <w:color w:val="auto"/>
          <w:szCs w:val="24"/>
          <w:highlight w:val="none"/>
        </w:rPr>
        <w:fldChar w:fldCharType="end"/>
      </w:r>
    </w:p>
    <w:p w14:paraId="1F170A79">
      <w:pPr>
        <w:pStyle w:val="15"/>
        <w:tabs>
          <w:tab w:val="right" w:leader="dot" w:pos="8889"/>
          <w:tab w:val="clear" w:pos="0"/>
          <w:tab w:val="clear" w:pos="943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szCs w:val="24"/>
          <w:highlight w:val="none"/>
        </w:rPr>
        <w:fldChar w:fldCharType="begin"/>
      </w:r>
      <w:r>
        <w:rPr>
          <w:rFonts w:hint="eastAsia" w:asciiTheme="minorEastAsia" w:hAnsiTheme="minorEastAsia" w:eastAsiaTheme="minorEastAsia" w:cstheme="minorEastAsia"/>
          <w:bCs/>
          <w:color w:val="auto"/>
          <w:szCs w:val="24"/>
          <w:highlight w:val="none"/>
        </w:rPr>
        <w:instrText xml:space="preserve"> HYPERLINK \l _Toc11438 </w:instrText>
      </w:r>
      <w:r>
        <w:rPr>
          <w:rFonts w:hint="eastAsia" w:asciiTheme="minorEastAsia" w:hAnsiTheme="minorEastAsia" w:eastAsiaTheme="minorEastAsia" w:cstheme="minorEastAsia"/>
          <w:bCs/>
          <w:color w:val="auto"/>
          <w:szCs w:val="24"/>
          <w:highlight w:val="none"/>
        </w:rPr>
        <w:fldChar w:fldCharType="separate"/>
      </w:r>
      <w:r>
        <w:rPr>
          <w:rFonts w:hint="eastAsia" w:asciiTheme="minorEastAsia" w:hAnsiTheme="minorEastAsia" w:eastAsiaTheme="minorEastAsia" w:cstheme="minorEastAsia"/>
          <w:color w:val="auto"/>
          <w:szCs w:val="28"/>
          <w:highlight w:val="none"/>
        </w:rPr>
        <w:t>第二章</w:t>
      </w:r>
      <w:r>
        <w:rPr>
          <w:rFonts w:hint="eastAsia" w:asciiTheme="minorEastAsia" w:hAnsiTheme="minorEastAsia" w:eastAsiaTheme="minorEastAsia" w:cstheme="minorEastAsia"/>
          <w:color w:val="auto"/>
          <w:szCs w:val="28"/>
          <w:highlight w:val="none"/>
          <w:lang w:val="en-US" w:eastAsia="zh-CN"/>
        </w:rPr>
        <w:t xml:space="preserve">  </w:t>
      </w:r>
      <w:r>
        <w:rPr>
          <w:rFonts w:hint="eastAsia" w:asciiTheme="minorEastAsia" w:hAnsiTheme="minorEastAsia" w:eastAsiaTheme="minorEastAsia" w:cstheme="minorEastAsia"/>
          <w:color w:val="auto"/>
          <w:szCs w:val="28"/>
          <w:highlight w:val="none"/>
          <w:lang w:eastAsia="zh-CN"/>
        </w:rPr>
        <w:t>磋商供应商</w:t>
      </w:r>
      <w:r>
        <w:rPr>
          <w:rFonts w:hint="eastAsia" w:asciiTheme="minorEastAsia" w:hAnsiTheme="minorEastAsia" w:eastAsiaTheme="minorEastAsia" w:cstheme="minorEastAsia"/>
          <w:color w:val="auto"/>
          <w:szCs w:val="28"/>
          <w:highlight w:val="none"/>
        </w:rPr>
        <w:t>须知及前附表</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_Toc11438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5</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bCs/>
          <w:color w:val="auto"/>
          <w:szCs w:val="24"/>
          <w:highlight w:val="none"/>
        </w:rPr>
        <w:fldChar w:fldCharType="end"/>
      </w:r>
    </w:p>
    <w:p w14:paraId="348D4927">
      <w:pPr>
        <w:pStyle w:val="15"/>
        <w:tabs>
          <w:tab w:val="right" w:leader="dot" w:pos="8889"/>
          <w:tab w:val="clear" w:pos="0"/>
          <w:tab w:val="clear" w:pos="943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szCs w:val="24"/>
          <w:highlight w:val="none"/>
        </w:rPr>
        <w:fldChar w:fldCharType="begin"/>
      </w:r>
      <w:r>
        <w:rPr>
          <w:rFonts w:hint="eastAsia" w:asciiTheme="minorEastAsia" w:hAnsiTheme="minorEastAsia" w:eastAsiaTheme="minorEastAsia" w:cstheme="minorEastAsia"/>
          <w:bCs/>
          <w:color w:val="auto"/>
          <w:szCs w:val="24"/>
          <w:highlight w:val="none"/>
        </w:rPr>
        <w:instrText xml:space="preserve"> HYPERLINK \l _Toc14983 </w:instrText>
      </w:r>
      <w:r>
        <w:rPr>
          <w:rFonts w:hint="eastAsia" w:asciiTheme="minorEastAsia" w:hAnsiTheme="minorEastAsia" w:eastAsiaTheme="minorEastAsia" w:cstheme="minorEastAsia"/>
          <w:bCs/>
          <w:color w:val="auto"/>
          <w:szCs w:val="24"/>
          <w:highlight w:val="none"/>
        </w:rPr>
        <w:fldChar w:fldCharType="separate"/>
      </w:r>
      <w:r>
        <w:rPr>
          <w:rFonts w:hint="eastAsia" w:asciiTheme="minorEastAsia" w:hAnsiTheme="minorEastAsia" w:eastAsiaTheme="minorEastAsia" w:cstheme="minorEastAsia"/>
          <w:color w:val="auto"/>
          <w:highlight w:val="none"/>
        </w:rPr>
        <w:t>第三章  合同条款及格式</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_Toc14983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22</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bCs/>
          <w:color w:val="auto"/>
          <w:szCs w:val="24"/>
          <w:highlight w:val="none"/>
        </w:rPr>
        <w:fldChar w:fldCharType="end"/>
      </w:r>
    </w:p>
    <w:p w14:paraId="3BBADC0B">
      <w:pPr>
        <w:pStyle w:val="15"/>
        <w:tabs>
          <w:tab w:val="right" w:leader="dot" w:pos="8889"/>
          <w:tab w:val="clear" w:pos="0"/>
          <w:tab w:val="clear" w:pos="943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szCs w:val="24"/>
          <w:highlight w:val="none"/>
        </w:rPr>
        <w:fldChar w:fldCharType="begin"/>
      </w:r>
      <w:r>
        <w:rPr>
          <w:rFonts w:hint="eastAsia" w:asciiTheme="minorEastAsia" w:hAnsiTheme="minorEastAsia" w:eastAsiaTheme="minorEastAsia" w:cstheme="minorEastAsia"/>
          <w:bCs/>
          <w:color w:val="auto"/>
          <w:szCs w:val="24"/>
          <w:highlight w:val="none"/>
        </w:rPr>
        <w:instrText xml:space="preserve"> HYPERLINK \l _Toc462 </w:instrText>
      </w:r>
      <w:r>
        <w:rPr>
          <w:rFonts w:hint="eastAsia" w:asciiTheme="minorEastAsia" w:hAnsiTheme="minorEastAsia" w:eastAsiaTheme="minorEastAsia" w:cstheme="minorEastAsia"/>
          <w:bCs/>
          <w:color w:val="auto"/>
          <w:szCs w:val="24"/>
          <w:highlight w:val="none"/>
        </w:rPr>
        <w:fldChar w:fldCharType="separate"/>
      </w:r>
      <w:r>
        <w:rPr>
          <w:rFonts w:hint="eastAsia" w:asciiTheme="minorEastAsia" w:hAnsiTheme="minorEastAsia" w:eastAsiaTheme="minorEastAsia" w:cstheme="minorEastAsia"/>
          <w:color w:val="auto"/>
          <w:highlight w:val="none"/>
          <w:lang w:val="en-US" w:eastAsia="zh-CN"/>
        </w:rPr>
        <w:t>第四章 工程量清单</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_Toc462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89</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bCs/>
          <w:color w:val="auto"/>
          <w:szCs w:val="24"/>
          <w:highlight w:val="none"/>
        </w:rPr>
        <w:fldChar w:fldCharType="end"/>
      </w:r>
    </w:p>
    <w:p w14:paraId="4C8A2467">
      <w:pPr>
        <w:pStyle w:val="15"/>
        <w:tabs>
          <w:tab w:val="right" w:leader="dot" w:pos="8889"/>
          <w:tab w:val="clear" w:pos="0"/>
          <w:tab w:val="clear" w:pos="943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szCs w:val="24"/>
          <w:highlight w:val="none"/>
        </w:rPr>
        <w:fldChar w:fldCharType="begin"/>
      </w:r>
      <w:r>
        <w:rPr>
          <w:rFonts w:hint="eastAsia" w:asciiTheme="minorEastAsia" w:hAnsiTheme="minorEastAsia" w:eastAsiaTheme="minorEastAsia" w:cstheme="minorEastAsia"/>
          <w:bCs/>
          <w:color w:val="auto"/>
          <w:szCs w:val="24"/>
          <w:highlight w:val="none"/>
        </w:rPr>
        <w:instrText xml:space="preserve"> HYPERLINK \l _Toc21503 </w:instrText>
      </w:r>
      <w:r>
        <w:rPr>
          <w:rFonts w:hint="eastAsia" w:asciiTheme="minorEastAsia" w:hAnsiTheme="minorEastAsia" w:eastAsiaTheme="minorEastAsia" w:cstheme="minorEastAsia"/>
          <w:bCs/>
          <w:color w:val="auto"/>
          <w:szCs w:val="24"/>
          <w:highlight w:val="none"/>
        </w:rPr>
        <w:fldChar w:fldCharType="separate"/>
      </w:r>
      <w:r>
        <w:rPr>
          <w:rFonts w:hint="eastAsia" w:asciiTheme="minorEastAsia" w:hAnsiTheme="minorEastAsia" w:eastAsiaTheme="minorEastAsia" w:cstheme="minorEastAsia"/>
          <w:color w:val="auto"/>
          <w:highlight w:val="none"/>
          <w:lang w:val="en-US" w:eastAsia="zh-CN"/>
        </w:rPr>
        <w:t xml:space="preserve">第五章 </w:t>
      </w:r>
      <w:r>
        <w:rPr>
          <w:rFonts w:hint="eastAsia" w:asciiTheme="minorEastAsia" w:hAnsiTheme="minorEastAsia" w:eastAsiaTheme="minorEastAsia" w:cstheme="minorEastAsia"/>
          <w:color w:val="auto"/>
          <w:highlight w:val="none"/>
        </w:rPr>
        <w:t xml:space="preserve"> 图纸</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_Toc21503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90</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bCs/>
          <w:color w:val="auto"/>
          <w:szCs w:val="24"/>
          <w:highlight w:val="none"/>
        </w:rPr>
        <w:fldChar w:fldCharType="end"/>
      </w:r>
    </w:p>
    <w:p w14:paraId="07D8C58D">
      <w:pPr>
        <w:pStyle w:val="15"/>
        <w:tabs>
          <w:tab w:val="right" w:leader="dot" w:pos="8889"/>
          <w:tab w:val="clear" w:pos="0"/>
          <w:tab w:val="clear" w:pos="943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szCs w:val="24"/>
          <w:highlight w:val="none"/>
        </w:rPr>
        <w:fldChar w:fldCharType="begin"/>
      </w:r>
      <w:r>
        <w:rPr>
          <w:rFonts w:hint="eastAsia" w:asciiTheme="minorEastAsia" w:hAnsiTheme="minorEastAsia" w:eastAsiaTheme="minorEastAsia" w:cstheme="minorEastAsia"/>
          <w:bCs/>
          <w:color w:val="auto"/>
          <w:szCs w:val="24"/>
          <w:highlight w:val="none"/>
        </w:rPr>
        <w:instrText xml:space="preserve"> HYPERLINK \l _Toc24668 </w:instrText>
      </w:r>
      <w:r>
        <w:rPr>
          <w:rFonts w:hint="eastAsia" w:asciiTheme="minorEastAsia" w:hAnsiTheme="minorEastAsia" w:eastAsiaTheme="minorEastAsia" w:cstheme="minorEastAsia"/>
          <w:bCs/>
          <w:color w:val="auto"/>
          <w:szCs w:val="24"/>
          <w:highlight w:val="none"/>
        </w:rPr>
        <w:fldChar w:fldCharType="separate"/>
      </w:r>
      <w:r>
        <w:rPr>
          <w:rFonts w:hint="eastAsia" w:asciiTheme="minorEastAsia" w:hAnsiTheme="minorEastAsia" w:eastAsiaTheme="minorEastAsia" w:cstheme="minorEastAsia"/>
          <w:color w:val="auto"/>
          <w:highlight w:val="none"/>
        </w:rPr>
        <w:t>第六章  技术标准和要求</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_Toc24668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91</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bCs/>
          <w:color w:val="auto"/>
          <w:szCs w:val="24"/>
          <w:highlight w:val="none"/>
        </w:rPr>
        <w:fldChar w:fldCharType="end"/>
      </w:r>
    </w:p>
    <w:p w14:paraId="75A460BA">
      <w:pPr>
        <w:pStyle w:val="15"/>
        <w:tabs>
          <w:tab w:val="right" w:leader="dot" w:pos="8889"/>
          <w:tab w:val="clear" w:pos="0"/>
          <w:tab w:val="clear" w:pos="943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szCs w:val="24"/>
          <w:highlight w:val="none"/>
        </w:rPr>
        <w:fldChar w:fldCharType="begin"/>
      </w:r>
      <w:r>
        <w:rPr>
          <w:rFonts w:hint="eastAsia" w:asciiTheme="minorEastAsia" w:hAnsiTheme="minorEastAsia" w:eastAsiaTheme="minorEastAsia" w:cstheme="minorEastAsia"/>
          <w:bCs/>
          <w:color w:val="auto"/>
          <w:szCs w:val="24"/>
          <w:highlight w:val="none"/>
        </w:rPr>
        <w:instrText xml:space="preserve"> HYPERLINK \l _Toc13925 </w:instrText>
      </w:r>
      <w:r>
        <w:rPr>
          <w:rFonts w:hint="eastAsia" w:asciiTheme="minorEastAsia" w:hAnsiTheme="minorEastAsia" w:eastAsiaTheme="minorEastAsia" w:cstheme="minorEastAsia"/>
          <w:bCs/>
          <w:color w:val="auto"/>
          <w:szCs w:val="24"/>
          <w:highlight w:val="none"/>
        </w:rPr>
        <w:fldChar w:fldCharType="separate"/>
      </w:r>
      <w:r>
        <w:rPr>
          <w:rFonts w:hint="eastAsia" w:asciiTheme="minorEastAsia" w:hAnsiTheme="minorEastAsia" w:eastAsiaTheme="minorEastAsia" w:cstheme="minorEastAsia"/>
          <w:color w:val="auto"/>
          <w:highlight w:val="none"/>
        </w:rPr>
        <w:t xml:space="preserve">第七章  </w:t>
      </w:r>
      <w:r>
        <w:rPr>
          <w:rFonts w:hint="eastAsia" w:asciiTheme="minorEastAsia" w:hAnsiTheme="minorEastAsia" w:eastAsiaTheme="minorEastAsia" w:cstheme="minorEastAsia"/>
          <w:color w:val="auto"/>
          <w:highlight w:val="none"/>
          <w:lang w:eastAsia="zh-CN"/>
        </w:rPr>
        <w:t>《响应文件》</w:t>
      </w:r>
      <w:r>
        <w:rPr>
          <w:rFonts w:hint="eastAsia" w:asciiTheme="minorEastAsia" w:hAnsiTheme="minorEastAsia" w:eastAsiaTheme="minorEastAsia" w:cstheme="minorEastAsia"/>
          <w:color w:val="auto"/>
          <w:highlight w:val="none"/>
        </w:rPr>
        <w:t>（格式）</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_Toc13925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92</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bCs/>
          <w:color w:val="auto"/>
          <w:szCs w:val="24"/>
          <w:highlight w:val="none"/>
        </w:rPr>
        <w:fldChar w:fldCharType="end"/>
      </w:r>
    </w:p>
    <w:p w14:paraId="79479AAA">
      <w:pPr>
        <w:pStyle w:val="15"/>
        <w:tabs>
          <w:tab w:val="right" w:leader="dot" w:pos="8889"/>
          <w:tab w:val="clear" w:pos="0"/>
          <w:tab w:val="clear" w:pos="943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szCs w:val="24"/>
          <w:highlight w:val="none"/>
        </w:rPr>
        <w:fldChar w:fldCharType="begin"/>
      </w:r>
      <w:r>
        <w:rPr>
          <w:rFonts w:hint="eastAsia" w:asciiTheme="minorEastAsia" w:hAnsiTheme="minorEastAsia" w:eastAsiaTheme="minorEastAsia" w:cstheme="minorEastAsia"/>
          <w:bCs/>
          <w:color w:val="auto"/>
          <w:szCs w:val="24"/>
          <w:highlight w:val="none"/>
        </w:rPr>
        <w:instrText xml:space="preserve"> HYPERLINK \l _Toc2615 </w:instrText>
      </w:r>
      <w:r>
        <w:rPr>
          <w:rFonts w:hint="eastAsia" w:asciiTheme="minorEastAsia" w:hAnsiTheme="minorEastAsia" w:eastAsiaTheme="minorEastAsia" w:cstheme="minorEastAsia"/>
          <w:bCs/>
          <w:color w:val="auto"/>
          <w:szCs w:val="24"/>
          <w:highlight w:val="none"/>
        </w:rPr>
        <w:fldChar w:fldCharType="separate"/>
      </w:r>
      <w:r>
        <w:rPr>
          <w:rFonts w:hint="eastAsia" w:asciiTheme="minorEastAsia" w:hAnsiTheme="minorEastAsia" w:eastAsiaTheme="minorEastAsia" w:cstheme="minorEastAsia"/>
          <w:color w:val="auto"/>
          <w:szCs w:val="28"/>
          <w:highlight w:val="none"/>
        </w:rPr>
        <w:t>第八章  评标办法</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_Toc2615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117</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bCs/>
          <w:color w:val="auto"/>
          <w:szCs w:val="24"/>
          <w:highlight w:val="none"/>
        </w:rPr>
        <w:fldChar w:fldCharType="end"/>
      </w:r>
    </w:p>
    <w:p w14:paraId="3067D864">
      <w:pPr>
        <w:pStyle w:val="11"/>
        <w:tabs>
          <w:tab w:val="right" w:leader="dot" w:pos="9407"/>
        </w:tabs>
        <w:spacing w:line="440" w:lineRule="exact"/>
        <w:jc w:val="center"/>
        <w:outlineLvl w:val="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Cs/>
          <w:color w:val="auto"/>
          <w:szCs w:val="24"/>
          <w:highlight w:val="none"/>
        </w:rPr>
        <w:fldChar w:fldCharType="end"/>
      </w:r>
    </w:p>
    <w:p w14:paraId="1B31C7D7">
      <w:pPr>
        <w:pStyle w:val="11"/>
        <w:tabs>
          <w:tab w:val="left" w:pos="3780"/>
        </w:tabs>
        <w:spacing w:line="276" w:lineRule="auto"/>
        <w:outlineLvl w:val="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ab/>
      </w:r>
    </w:p>
    <w:p w14:paraId="16EFF240">
      <w:pPr>
        <w:pStyle w:val="11"/>
        <w:numPr>
          <w:ilvl w:val="0"/>
          <w:numId w:val="1"/>
        </w:numPr>
        <w:spacing w:line="276" w:lineRule="auto"/>
        <w:jc w:val="center"/>
        <w:outlineLvl w:val="0"/>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color w:val="auto"/>
          <w:highlight w:val="none"/>
          <w:lang w:val="en-US" w:eastAsia="zh-CN"/>
        </w:rPr>
        <w:br w:type="page"/>
      </w:r>
      <w:bookmarkStart w:id="0" w:name="_Toc14238"/>
      <w:r>
        <w:rPr>
          <w:rFonts w:hint="eastAsia" w:asciiTheme="minorEastAsia" w:hAnsiTheme="minorEastAsia" w:eastAsiaTheme="minorEastAsia" w:cstheme="minorEastAsia"/>
          <w:b/>
          <w:color w:val="auto"/>
          <w:sz w:val="32"/>
          <w:szCs w:val="32"/>
          <w:highlight w:val="none"/>
        </w:rPr>
        <w:t>竞争性磋商公告</w:t>
      </w:r>
      <w:bookmarkEnd w:id="0"/>
    </w:p>
    <w:p w14:paraId="7A393098">
      <w:pPr>
        <w:spacing w:line="400" w:lineRule="exact"/>
        <w:jc w:val="center"/>
        <w:rPr>
          <w:rFonts w:hint="eastAsia" w:asciiTheme="minorEastAsia" w:hAnsiTheme="minorEastAsia" w:eastAsiaTheme="minorEastAsia" w:cstheme="minorEastAsia"/>
          <w:b/>
          <w:color w:val="auto"/>
          <w:sz w:val="28"/>
          <w:szCs w:val="28"/>
          <w:highlight w:val="none"/>
          <w:lang w:eastAsia="zh-CN"/>
        </w:rPr>
      </w:pPr>
      <w:r>
        <w:rPr>
          <w:rFonts w:hint="eastAsia" w:asciiTheme="minorEastAsia" w:hAnsiTheme="minorEastAsia" w:eastAsiaTheme="minorEastAsia" w:cstheme="minorEastAsia"/>
          <w:b/>
          <w:bCs/>
          <w:color w:val="auto"/>
          <w:sz w:val="28"/>
          <w:szCs w:val="28"/>
          <w:highlight w:val="none"/>
          <w:lang w:eastAsia="zh-CN"/>
        </w:rPr>
        <w:t>广西桂林华禹水利水电工程咨询有限公司</w:t>
      </w:r>
      <w:r>
        <w:rPr>
          <w:rFonts w:hint="eastAsia" w:asciiTheme="minorEastAsia" w:hAnsiTheme="minorEastAsia" w:eastAsiaTheme="minorEastAsia" w:cstheme="minorEastAsia"/>
          <w:b/>
          <w:bCs/>
          <w:color w:val="auto"/>
          <w:sz w:val="28"/>
          <w:szCs w:val="28"/>
          <w:highlight w:val="none"/>
        </w:rPr>
        <w:t>关于</w:t>
      </w:r>
      <w:r>
        <w:rPr>
          <w:rFonts w:hint="eastAsia" w:asciiTheme="minorEastAsia" w:hAnsiTheme="minorEastAsia" w:eastAsiaTheme="minorEastAsia" w:cstheme="minorEastAsia"/>
          <w:b/>
          <w:bCs/>
          <w:color w:val="auto"/>
          <w:sz w:val="28"/>
          <w:szCs w:val="28"/>
          <w:highlight w:val="none"/>
          <w:lang w:eastAsia="zh-CN"/>
        </w:rPr>
        <w:t>昭平县木格乡花会冲八角基地产业路项目</w:t>
      </w:r>
      <w:r>
        <w:rPr>
          <w:rFonts w:hint="eastAsia" w:asciiTheme="minorEastAsia" w:hAnsiTheme="minorEastAsia" w:eastAsiaTheme="minorEastAsia" w:cstheme="minorEastAsia"/>
          <w:b/>
          <w:bCs/>
          <w:color w:val="auto"/>
          <w:sz w:val="28"/>
          <w:szCs w:val="28"/>
          <w:highlight w:val="none"/>
        </w:rPr>
        <w:t>竞争性磋商公告</w:t>
      </w:r>
      <w:r>
        <w:rPr>
          <w:rFonts w:hint="eastAsia" w:asciiTheme="minorEastAsia" w:hAnsiTheme="minorEastAsia" w:eastAsiaTheme="minorEastAsia" w:cstheme="minorEastAsia"/>
          <w:b/>
          <w:bCs/>
          <w:color w:val="auto"/>
          <w:sz w:val="28"/>
          <w:szCs w:val="28"/>
          <w:highlight w:val="none"/>
          <w:lang w:eastAsia="zh-CN"/>
        </w:rPr>
        <w:t>（</w:t>
      </w:r>
      <w:r>
        <w:rPr>
          <w:rFonts w:hint="eastAsia" w:asciiTheme="minorEastAsia" w:hAnsiTheme="minorEastAsia" w:eastAsiaTheme="minorEastAsia" w:cstheme="minorEastAsia"/>
          <w:b/>
          <w:bCs/>
          <w:color w:val="auto"/>
          <w:sz w:val="28"/>
          <w:szCs w:val="28"/>
          <w:highlight w:val="none"/>
          <w:lang w:val="en-US" w:eastAsia="zh-CN"/>
        </w:rPr>
        <w:t>远程异地评标</w:t>
      </w:r>
      <w:r>
        <w:rPr>
          <w:rFonts w:hint="eastAsia" w:asciiTheme="minorEastAsia" w:hAnsiTheme="minorEastAsia" w:eastAsiaTheme="minorEastAsia" w:cstheme="minorEastAsia"/>
          <w:b/>
          <w:bCs/>
          <w:color w:val="auto"/>
          <w:sz w:val="28"/>
          <w:szCs w:val="28"/>
          <w:highlight w:val="none"/>
          <w:lang w:eastAsia="zh-CN"/>
        </w:rPr>
        <w:t>）</w:t>
      </w:r>
    </w:p>
    <w:p w14:paraId="60BC9B0B">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项目概况</w:t>
      </w:r>
      <w:r>
        <w:rPr>
          <w:rFonts w:hint="eastAsia" w:asciiTheme="minorEastAsia" w:hAnsiTheme="minorEastAsia" w:eastAsiaTheme="minorEastAsia" w:cstheme="minorEastAsia"/>
          <w:color w:val="auto"/>
          <w:sz w:val="24"/>
          <w:szCs w:val="24"/>
          <w:highlight w:val="none"/>
          <w:lang w:eastAsia="zh-CN"/>
        </w:rPr>
        <w:t>：</w:t>
      </w:r>
    </w:p>
    <w:p w14:paraId="60A77373">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lang w:eastAsia="zh-CN"/>
        </w:rPr>
        <w:t xml:space="preserve"> 昭平县木格乡花会冲八角基地产业路项目</w:t>
      </w:r>
      <w:r>
        <w:rPr>
          <w:rFonts w:hint="eastAsia" w:asciiTheme="minorEastAsia" w:hAnsiTheme="minorEastAsia" w:eastAsiaTheme="minorEastAsia" w:cstheme="minorEastAsia"/>
          <w:color w:val="auto"/>
          <w:sz w:val="24"/>
          <w:szCs w:val="24"/>
          <w:highlight w:val="none"/>
        </w:rPr>
        <w:t>采购项目的潜在供应商应在</w:t>
      </w:r>
      <w:r>
        <w:rPr>
          <w:rFonts w:hint="eastAsia" w:asciiTheme="minorEastAsia" w:hAnsiTheme="minorEastAsia" w:eastAsiaTheme="minorEastAsia" w:cstheme="minorEastAsia"/>
          <w:color w:val="auto"/>
          <w:sz w:val="24"/>
          <w:szCs w:val="24"/>
          <w:highlight w:val="none"/>
          <w:u w:val="single"/>
          <w:lang w:val="en-US" w:eastAsia="zh-CN"/>
        </w:rPr>
        <w:t>广西政府采购云平台（https://www.gcy.zfcg.gxzf.gov.cn/）</w:t>
      </w:r>
      <w:r>
        <w:rPr>
          <w:rFonts w:hint="eastAsia" w:asciiTheme="minorEastAsia" w:hAnsiTheme="minorEastAsia" w:eastAsiaTheme="minorEastAsia" w:cstheme="minorEastAsia"/>
          <w:color w:val="auto"/>
          <w:sz w:val="24"/>
          <w:szCs w:val="24"/>
          <w:highlight w:val="none"/>
        </w:rPr>
        <w:t>获取</w:t>
      </w:r>
      <w:r>
        <w:rPr>
          <w:rFonts w:hint="eastAsia" w:asciiTheme="minorEastAsia" w:hAnsiTheme="minorEastAsia" w:eastAsiaTheme="minorEastAsia" w:cstheme="minorEastAsia"/>
          <w:color w:val="auto"/>
          <w:sz w:val="24"/>
          <w:szCs w:val="24"/>
          <w:highlight w:val="none"/>
          <w:lang w:val="en-US" w:eastAsia="zh-CN"/>
        </w:rPr>
        <w:t>竞争性磋商</w:t>
      </w:r>
      <w:r>
        <w:rPr>
          <w:rFonts w:hint="eastAsia" w:asciiTheme="minorEastAsia" w:hAnsiTheme="minorEastAsia" w:eastAsiaTheme="minorEastAsia" w:cstheme="minorEastAsia"/>
          <w:color w:val="auto"/>
          <w:sz w:val="24"/>
          <w:szCs w:val="24"/>
          <w:highlight w:val="none"/>
        </w:rPr>
        <w:t>文件，并于</w:t>
      </w:r>
      <w:r>
        <w:rPr>
          <w:rFonts w:hint="eastAsia" w:asciiTheme="minorEastAsia" w:hAnsiTheme="minorEastAsia" w:eastAsiaTheme="minorEastAsia" w:cstheme="minorEastAsia"/>
          <w:color w:val="auto"/>
          <w:sz w:val="24"/>
          <w:szCs w:val="24"/>
          <w:highlight w:val="none"/>
          <w:u w:val="single"/>
          <w:lang w:val="en-US" w:eastAsia="zh-CN"/>
        </w:rPr>
        <w:t>2026年06月05日09时00分</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rPr>
        <w:t>（北京时间）前提交响应文件</w:t>
      </w:r>
      <w:r>
        <w:rPr>
          <w:rFonts w:hint="eastAsia" w:asciiTheme="minorEastAsia" w:hAnsiTheme="minorEastAsia" w:eastAsiaTheme="minorEastAsia" w:cstheme="minorEastAsia"/>
          <w:color w:val="auto"/>
          <w:sz w:val="24"/>
          <w:szCs w:val="24"/>
          <w:highlight w:val="none"/>
        </w:rPr>
        <w:t>。</w:t>
      </w:r>
    </w:p>
    <w:p w14:paraId="2EC823A1">
      <w:pPr>
        <w:pStyle w:val="3"/>
        <w:pageBreakBefore w:val="0"/>
        <w:widowControl w:val="0"/>
        <w:tabs>
          <w:tab w:val="left" w:pos="6188"/>
        </w:tabs>
        <w:kinsoku/>
        <w:wordWrap/>
        <w:overflowPunct/>
        <w:topLinePunct w:val="0"/>
        <w:autoSpaceDE/>
        <w:autoSpaceDN/>
        <w:bidi w:val="0"/>
        <w:adjustRightInd/>
        <w:snapToGrid/>
        <w:spacing w:before="0" w:after="0" w:line="380" w:lineRule="atLeast"/>
        <w:jc w:val="left"/>
        <w:textAlignment w:val="auto"/>
        <w:rPr>
          <w:rFonts w:hint="eastAsia" w:asciiTheme="minorEastAsia" w:hAnsiTheme="minorEastAsia" w:eastAsiaTheme="minorEastAsia" w:cstheme="minorEastAsia"/>
          <w:b/>
          <w:bCs w:val="0"/>
          <w:color w:val="auto"/>
          <w:sz w:val="24"/>
          <w:szCs w:val="24"/>
          <w:highlight w:val="none"/>
          <w:lang w:eastAsia="zh-CN"/>
        </w:rPr>
      </w:pPr>
      <w:bookmarkStart w:id="1" w:name="_Toc35393629"/>
      <w:bookmarkStart w:id="2" w:name="_Toc28359089"/>
      <w:bookmarkStart w:id="3" w:name="_Toc35393798"/>
      <w:bookmarkStart w:id="4" w:name="_Toc16084"/>
      <w:bookmarkStart w:id="5" w:name="_Toc28359012"/>
      <w:r>
        <w:rPr>
          <w:rFonts w:hint="eastAsia" w:asciiTheme="minorEastAsia" w:hAnsiTheme="minorEastAsia" w:eastAsiaTheme="minorEastAsia" w:cstheme="minorEastAsia"/>
          <w:b/>
          <w:bCs w:val="0"/>
          <w:color w:val="auto"/>
          <w:sz w:val="24"/>
          <w:szCs w:val="24"/>
          <w:highlight w:val="none"/>
        </w:rPr>
        <w:t>一、项目基本情况</w:t>
      </w:r>
      <w:bookmarkEnd w:id="1"/>
      <w:bookmarkEnd w:id="2"/>
      <w:bookmarkEnd w:id="3"/>
      <w:bookmarkEnd w:id="4"/>
      <w:bookmarkEnd w:id="5"/>
      <w:r>
        <w:rPr>
          <w:rFonts w:hint="eastAsia" w:asciiTheme="minorEastAsia" w:hAnsiTheme="minorEastAsia" w:eastAsiaTheme="minorEastAsia" w:cstheme="minorEastAsia"/>
          <w:b/>
          <w:bCs w:val="0"/>
          <w:color w:val="auto"/>
          <w:sz w:val="24"/>
          <w:szCs w:val="24"/>
          <w:highlight w:val="none"/>
          <w:lang w:eastAsia="zh-CN"/>
        </w:rPr>
        <w:tab/>
      </w:r>
    </w:p>
    <w:p w14:paraId="72783F29">
      <w:pPr>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rPr>
        <w:t>项目编号</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HZZC2026-C2-210032-GLHY</w:t>
      </w:r>
      <w:r>
        <w:rPr>
          <w:rFonts w:hint="eastAsia" w:asciiTheme="minorEastAsia" w:hAnsiTheme="minorEastAsia" w:eastAsiaTheme="minorEastAsia" w:cstheme="minorEastAsia"/>
          <w:color w:val="auto"/>
          <w:sz w:val="24"/>
          <w:szCs w:val="24"/>
          <w:highlight w:val="none"/>
          <w:lang w:val="en-US" w:eastAsia="zh-CN"/>
        </w:rPr>
        <w:t xml:space="preserve">  </w:t>
      </w:r>
    </w:p>
    <w:p w14:paraId="1238BCD9">
      <w:pPr>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rPr>
        <w:t>项目名称</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昭平县木格乡花会冲八角基地产业路项目</w:t>
      </w:r>
    </w:p>
    <w:p w14:paraId="3DE5A4CF">
      <w:pPr>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rPr>
        <w:t>采购方式</w:t>
      </w:r>
      <w:r>
        <w:rPr>
          <w:rFonts w:hint="eastAsia" w:asciiTheme="minorEastAsia" w:hAnsiTheme="minorEastAsia" w:eastAsiaTheme="minorEastAsia" w:cstheme="minorEastAsia"/>
          <w:color w:val="auto"/>
          <w:sz w:val="24"/>
          <w:szCs w:val="24"/>
          <w:highlight w:val="none"/>
        </w:rPr>
        <w:t>：竞争性磋商</w:t>
      </w:r>
      <w:r>
        <w:rPr>
          <w:rFonts w:hint="eastAsia" w:asciiTheme="minorEastAsia" w:hAnsiTheme="minorEastAsia" w:eastAsiaTheme="minorEastAsia" w:cstheme="minorEastAsia"/>
          <w:color w:val="auto"/>
          <w:sz w:val="24"/>
          <w:szCs w:val="24"/>
          <w:highlight w:val="none"/>
          <w:lang w:val="en-US" w:eastAsia="zh-CN"/>
        </w:rPr>
        <w:t xml:space="preserve">  </w:t>
      </w:r>
    </w:p>
    <w:p w14:paraId="50D5CF18">
      <w:pPr>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rPr>
        <w:t>预算金额</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人民币陆拾捌万零陆佰叁拾元玖角整（￥680630.90元）</w:t>
      </w:r>
    </w:p>
    <w:p w14:paraId="19C97D29">
      <w:pPr>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b w:val="0"/>
          <w:bCs w:val="0"/>
          <w:color w:val="auto"/>
          <w:sz w:val="24"/>
          <w:szCs w:val="24"/>
          <w:highlight w:val="none"/>
          <w:lang w:val="en-US"/>
        </w:rPr>
      </w:pPr>
      <w:r>
        <w:rPr>
          <w:rFonts w:hint="eastAsia" w:asciiTheme="minorEastAsia" w:hAnsiTheme="minorEastAsia" w:eastAsiaTheme="minorEastAsia" w:cstheme="minorEastAsia"/>
          <w:b/>
          <w:bCs/>
          <w:color w:val="auto"/>
          <w:sz w:val="24"/>
          <w:szCs w:val="24"/>
          <w:highlight w:val="none"/>
          <w:u w:val="none"/>
        </w:rPr>
        <w:t>最高限价</w:t>
      </w:r>
      <w:r>
        <w:rPr>
          <w:rFonts w:hint="eastAsia" w:asciiTheme="minorEastAsia" w:hAnsiTheme="minorEastAsia" w:eastAsiaTheme="minorEastAsia" w:cstheme="minorEastAsia"/>
          <w:b w:val="0"/>
          <w:bCs w:val="0"/>
          <w:color w:val="auto"/>
          <w:sz w:val="24"/>
          <w:szCs w:val="24"/>
          <w:highlight w:val="none"/>
          <w:u w:val="none"/>
        </w:rPr>
        <w:t>：</w:t>
      </w:r>
      <w:r>
        <w:rPr>
          <w:rFonts w:hint="eastAsia" w:asciiTheme="minorEastAsia" w:hAnsiTheme="minorEastAsia" w:eastAsiaTheme="minorEastAsia" w:cstheme="minorEastAsia"/>
          <w:color w:val="auto"/>
          <w:sz w:val="24"/>
          <w:szCs w:val="24"/>
          <w:highlight w:val="none"/>
          <w:lang w:val="en-US" w:eastAsia="zh-CN"/>
        </w:rPr>
        <w:t>人民币陆拾捌万零陆佰叁拾元玖角整（￥680630.90元）</w:t>
      </w:r>
    </w:p>
    <w:p w14:paraId="40EF6356">
      <w:pPr>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rPr>
        <w:t>项目基本概况介绍：</w:t>
      </w:r>
      <w:r>
        <w:rPr>
          <w:rFonts w:hint="eastAsia" w:asciiTheme="minorEastAsia" w:hAnsiTheme="minorEastAsia" w:eastAsiaTheme="minorEastAsia" w:cstheme="minorEastAsia"/>
          <w:b w:val="0"/>
          <w:bCs w:val="0"/>
          <w:color w:val="auto"/>
          <w:sz w:val="24"/>
          <w:szCs w:val="24"/>
          <w:highlight w:val="none"/>
          <w:lang w:val="en-US" w:eastAsia="zh-CN"/>
        </w:rPr>
        <w:t>昭平县木格乡花会冲八角基地产业路项目，主要包括新建产业路道路长2000米，路面宽3.0米厚度0.18米等内容；具体内容以经财政投资评审的《工程量清单》为准，其施工技术标准详见《施工图设计》。</w:t>
      </w:r>
    </w:p>
    <w:p w14:paraId="29ABF0E1">
      <w:pPr>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b/>
          <w:bCs/>
          <w:color w:val="auto"/>
          <w:sz w:val="24"/>
          <w:szCs w:val="24"/>
          <w:highlight w:val="none"/>
        </w:rPr>
        <w:t>合同履行期限：</w:t>
      </w:r>
      <w:r>
        <w:rPr>
          <w:rFonts w:hint="eastAsia" w:asciiTheme="minorEastAsia" w:hAnsiTheme="minorEastAsia" w:eastAsiaTheme="minorEastAsia" w:cstheme="minorEastAsia"/>
          <w:color w:val="auto"/>
          <w:sz w:val="24"/>
          <w:szCs w:val="24"/>
          <w:highlight w:val="none"/>
          <w:lang w:val="en-US" w:eastAsia="zh-CN"/>
        </w:rPr>
        <w:t>具体以开工令为准，工期为90日历天。</w:t>
      </w:r>
    </w:p>
    <w:p w14:paraId="4CECDB00">
      <w:pPr>
        <w:pStyle w:val="3"/>
        <w:pageBreakBefore w:val="0"/>
        <w:widowControl w:val="0"/>
        <w:kinsoku/>
        <w:wordWrap/>
        <w:overflowPunct/>
        <w:topLinePunct w:val="0"/>
        <w:autoSpaceDE/>
        <w:autoSpaceDN/>
        <w:bidi w:val="0"/>
        <w:adjustRightInd/>
        <w:snapToGrid/>
        <w:spacing w:before="0" w:after="0" w:line="400" w:lineRule="exact"/>
        <w:jc w:val="left"/>
        <w:textAlignment w:val="auto"/>
        <w:rPr>
          <w:rFonts w:hint="eastAsia" w:asciiTheme="minorEastAsia" w:hAnsiTheme="minorEastAsia" w:eastAsiaTheme="minorEastAsia" w:cstheme="minorEastAsia"/>
          <w:b/>
          <w:bCs w:val="0"/>
          <w:color w:val="auto"/>
          <w:sz w:val="24"/>
          <w:szCs w:val="24"/>
          <w:highlight w:val="none"/>
        </w:rPr>
      </w:pPr>
      <w:bookmarkStart w:id="6" w:name="_Toc35393630"/>
      <w:bookmarkStart w:id="7" w:name="_Toc28359013"/>
      <w:bookmarkStart w:id="8" w:name="_Toc28359090"/>
      <w:bookmarkStart w:id="9" w:name="_Toc24254"/>
      <w:bookmarkStart w:id="10" w:name="_Toc35393799"/>
      <w:r>
        <w:rPr>
          <w:rFonts w:hint="eastAsia" w:asciiTheme="minorEastAsia" w:hAnsiTheme="minorEastAsia" w:eastAsiaTheme="minorEastAsia" w:cstheme="minorEastAsia"/>
          <w:b/>
          <w:bCs w:val="0"/>
          <w:color w:val="auto"/>
          <w:sz w:val="24"/>
          <w:szCs w:val="24"/>
          <w:highlight w:val="none"/>
        </w:rPr>
        <w:t>二、申请人的资格要求：</w:t>
      </w:r>
      <w:bookmarkEnd w:id="6"/>
      <w:bookmarkEnd w:id="7"/>
      <w:bookmarkEnd w:id="8"/>
      <w:bookmarkEnd w:id="9"/>
      <w:bookmarkEnd w:id="10"/>
    </w:p>
    <w:p w14:paraId="12A4FE55">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1.满足《中华人民共和国政府采购法》第二十二条规定；</w:t>
      </w:r>
    </w:p>
    <w:p w14:paraId="393CCC90">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bookmarkStart w:id="11" w:name="_Toc28359014"/>
      <w:bookmarkStart w:id="12" w:name="_Toc28359091"/>
      <w:r>
        <w:rPr>
          <w:rFonts w:hint="eastAsia" w:asciiTheme="minorEastAsia" w:hAnsiTheme="minorEastAsia" w:eastAsiaTheme="minorEastAsia" w:cstheme="minorEastAsia"/>
          <w:color w:val="auto"/>
          <w:sz w:val="24"/>
          <w:szCs w:val="24"/>
          <w:highlight w:val="none"/>
        </w:rPr>
        <w:t>2.落实政府采购政策需满足的资格要求：</w:t>
      </w:r>
    </w:p>
    <w:p w14:paraId="70B95D48">
      <w:pPr>
        <w:pStyle w:val="6"/>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☑专门面向中小企业采购的项目（供应商应为中小微企业、监狱企业、残疾人福利性单位）</w:t>
      </w:r>
    </w:p>
    <w:p w14:paraId="7D544EF2">
      <w:pPr>
        <w:pStyle w:val="6"/>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□非专门面向中小企业采购的项目</w:t>
      </w:r>
    </w:p>
    <w:p w14:paraId="21E75BBD">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3.本项目的特定资格要求：</w:t>
      </w:r>
    </w:p>
    <w:p w14:paraId="3EA46A88">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（1）磋商人具有公路工程施工总承包叁级以上（含叁级）资质，持有有效的省级及以上建设行政主管部门颁发的《安全生产许可证》，并在人员、设备、资金等方面具备相应的施工能力的供应商；</w:t>
      </w:r>
    </w:p>
    <w:p w14:paraId="4E142892">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拟投入的项目经理须具备公路工程类专业注册建造师二级以上（含二级）执业资格和具备有效的安全生产考核合格证书（B类）【提供项目经理注册建造师执业资格证书和安全生产考核合格证书（B类）的扫描件】。</w:t>
      </w:r>
    </w:p>
    <w:p w14:paraId="11AF5DCE">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bCs/>
          <w:color w:val="auto"/>
          <w:sz w:val="24"/>
          <w:szCs w:val="24"/>
          <w:highlight w:val="none"/>
        </w:rPr>
        <w:t>对在“信用中国”网站(www.creditchina.gov.cn)</w:t>
      </w:r>
      <w:r>
        <w:rPr>
          <w:rFonts w:hint="eastAsia" w:asciiTheme="minorEastAsia" w:hAnsiTheme="minorEastAsia" w:eastAsiaTheme="minorEastAsia" w:cstheme="minorEastAsia"/>
          <w:bCs/>
          <w:color w:val="auto"/>
          <w:sz w:val="24"/>
          <w:szCs w:val="24"/>
          <w:highlight w:val="none"/>
          <w:lang w:val="en-US" w:eastAsia="zh-CN"/>
        </w:rPr>
        <w:t>，</w:t>
      </w:r>
      <w:r>
        <w:rPr>
          <w:rFonts w:hint="eastAsia" w:asciiTheme="minorEastAsia" w:hAnsiTheme="minorEastAsia" w:eastAsiaTheme="minorEastAsia" w:cstheme="minorEastAsia"/>
          <w:bCs/>
          <w:color w:val="auto"/>
          <w:sz w:val="24"/>
          <w:szCs w:val="24"/>
          <w:highlight w:val="none"/>
        </w:rPr>
        <w:t>中国政府采购网(www.ccgp.gov.cn)等渠道列入失信被执行人、重大税收违法案件当事人名单、政府采购严重违法失信行为记录名单的</w:t>
      </w:r>
      <w:r>
        <w:rPr>
          <w:rFonts w:hint="eastAsia" w:asciiTheme="minorEastAsia" w:hAnsiTheme="minorEastAsia" w:eastAsiaTheme="minorEastAsia" w:cstheme="minorEastAsia"/>
          <w:bCs/>
          <w:color w:val="auto"/>
          <w:sz w:val="24"/>
          <w:szCs w:val="24"/>
          <w:highlight w:val="none"/>
          <w:lang w:eastAsia="zh-CN"/>
        </w:rPr>
        <w:t>磋商人</w:t>
      </w:r>
      <w:r>
        <w:rPr>
          <w:rFonts w:hint="eastAsia" w:asciiTheme="minorEastAsia" w:hAnsiTheme="minorEastAsia" w:eastAsiaTheme="minorEastAsia" w:cstheme="minorEastAsia"/>
          <w:bCs/>
          <w:color w:val="auto"/>
          <w:sz w:val="24"/>
          <w:szCs w:val="24"/>
          <w:highlight w:val="none"/>
        </w:rPr>
        <w:t>，不得参与政府采购活动</w:t>
      </w:r>
      <w:r>
        <w:rPr>
          <w:rFonts w:hint="eastAsia" w:asciiTheme="minorEastAsia" w:hAnsiTheme="minorEastAsia" w:eastAsiaTheme="minorEastAsia" w:cstheme="minorEastAsia"/>
          <w:color w:val="auto"/>
          <w:sz w:val="24"/>
          <w:szCs w:val="24"/>
          <w:highlight w:val="none"/>
        </w:rPr>
        <w:t>（以评标过程中查询结果为准）；</w:t>
      </w:r>
    </w:p>
    <w:p w14:paraId="72B350BD">
      <w:pPr>
        <w:pStyle w:val="15"/>
        <w:pageBreakBefore w:val="0"/>
        <w:kinsoku/>
        <w:wordWrap/>
        <w:overflowPunct/>
        <w:topLinePunct w:val="0"/>
        <w:autoSpaceDE/>
        <w:autoSpaceDN/>
        <w:bidi w:val="0"/>
        <w:snapToGrid/>
        <w:spacing w:line="40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）本项目不接受联合体磋商。</w:t>
      </w:r>
    </w:p>
    <w:p w14:paraId="3C232210">
      <w:pPr>
        <w:pStyle w:val="3"/>
        <w:pageBreakBefore w:val="0"/>
        <w:widowControl w:val="0"/>
        <w:kinsoku/>
        <w:wordWrap/>
        <w:overflowPunct/>
        <w:topLinePunct w:val="0"/>
        <w:autoSpaceDE/>
        <w:autoSpaceDN/>
        <w:bidi w:val="0"/>
        <w:adjustRightInd/>
        <w:snapToGrid/>
        <w:spacing w:before="0" w:after="0" w:line="400" w:lineRule="exact"/>
        <w:jc w:val="left"/>
        <w:textAlignment w:val="auto"/>
        <w:rPr>
          <w:rFonts w:hint="eastAsia" w:asciiTheme="minorEastAsia" w:hAnsiTheme="minorEastAsia" w:eastAsiaTheme="minorEastAsia" w:cstheme="minorEastAsia"/>
          <w:b/>
          <w:bCs w:val="0"/>
          <w:color w:val="auto"/>
          <w:sz w:val="24"/>
          <w:szCs w:val="24"/>
          <w:highlight w:val="none"/>
        </w:rPr>
      </w:pPr>
      <w:bookmarkStart w:id="13" w:name="_Toc35393800"/>
      <w:bookmarkStart w:id="14" w:name="_Toc35393631"/>
      <w:bookmarkStart w:id="15" w:name="_Toc5006"/>
      <w:r>
        <w:rPr>
          <w:rFonts w:hint="eastAsia" w:asciiTheme="minorEastAsia" w:hAnsiTheme="minorEastAsia" w:eastAsiaTheme="minorEastAsia" w:cstheme="minorEastAsia"/>
          <w:b/>
          <w:bCs w:val="0"/>
          <w:color w:val="auto"/>
          <w:sz w:val="24"/>
          <w:szCs w:val="24"/>
          <w:highlight w:val="none"/>
        </w:rPr>
        <w:t>三、获取采购文件</w:t>
      </w:r>
      <w:bookmarkEnd w:id="11"/>
      <w:bookmarkEnd w:id="12"/>
      <w:bookmarkEnd w:id="13"/>
      <w:bookmarkEnd w:id="14"/>
      <w:bookmarkEnd w:id="15"/>
    </w:p>
    <w:p w14:paraId="48985F9D">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val="en-US" w:eastAsia="zh-CN"/>
        </w:rPr>
        <w:t>时间：</w:t>
      </w:r>
      <w:r>
        <w:rPr>
          <w:rFonts w:hint="eastAsia" w:asciiTheme="minorEastAsia" w:hAnsiTheme="minorEastAsia" w:eastAsiaTheme="minorEastAsia" w:cstheme="minorEastAsia"/>
          <w:b w:val="0"/>
          <w:bCs/>
          <w:color w:val="auto"/>
          <w:sz w:val="24"/>
          <w:szCs w:val="24"/>
          <w:highlight w:val="none"/>
          <w:lang w:val="en-US" w:eastAsia="zh-CN"/>
        </w:rPr>
        <w:t>2026年05月21日公告发布之时至2026年05月28日17时30分（北京时间）；</w:t>
      </w:r>
    </w:p>
    <w:p w14:paraId="72CF11BE">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地点：</w:t>
      </w:r>
      <w:r>
        <w:rPr>
          <w:rFonts w:hint="eastAsia" w:asciiTheme="minorEastAsia" w:hAnsiTheme="minorEastAsia" w:eastAsiaTheme="minorEastAsia" w:cstheme="minorEastAsia"/>
          <w:bCs/>
          <w:color w:val="auto"/>
          <w:sz w:val="24"/>
          <w:szCs w:val="24"/>
          <w:highlight w:val="none"/>
          <w:lang w:val="en-US" w:eastAsia="zh-CN"/>
        </w:rPr>
        <w:t>自行</w:t>
      </w:r>
      <w:r>
        <w:rPr>
          <w:rFonts w:hint="eastAsia" w:asciiTheme="minorEastAsia" w:hAnsiTheme="minorEastAsia" w:eastAsiaTheme="minorEastAsia" w:cstheme="minorEastAsia"/>
          <w:bCs/>
          <w:color w:val="auto"/>
          <w:sz w:val="24"/>
          <w:szCs w:val="24"/>
          <w:highlight w:val="none"/>
        </w:rPr>
        <w:t>登录</w:t>
      </w:r>
      <w:r>
        <w:rPr>
          <w:rFonts w:hint="eastAsia" w:asciiTheme="minorEastAsia" w:hAnsiTheme="minorEastAsia" w:eastAsiaTheme="minorEastAsia" w:cstheme="minorEastAsia"/>
          <w:bCs/>
          <w:color w:val="auto"/>
          <w:sz w:val="24"/>
          <w:szCs w:val="24"/>
          <w:highlight w:val="none"/>
          <w:lang w:eastAsia="zh-CN"/>
        </w:rPr>
        <w:t>广西政府采购云平台（https://www.gcy.zfcg.gxzf.gov.cn/）</w:t>
      </w:r>
      <w:r>
        <w:rPr>
          <w:rFonts w:hint="eastAsia" w:asciiTheme="minorEastAsia" w:hAnsiTheme="minorEastAsia" w:eastAsiaTheme="minorEastAsia" w:cstheme="minorEastAsia"/>
          <w:bCs/>
          <w:color w:val="auto"/>
          <w:sz w:val="24"/>
          <w:szCs w:val="24"/>
          <w:highlight w:val="none"/>
        </w:rPr>
        <w:t>在线获取</w:t>
      </w:r>
      <w:r>
        <w:rPr>
          <w:rFonts w:hint="eastAsia" w:asciiTheme="minorEastAsia" w:hAnsiTheme="minorEastAsia" w:eastAsiaTheme="minorEastAsia" w:cstheme="minorEastAsia"/>
          <w:bCs/>
          <w:color w:val="auto"/>
          <w:sz w:val="24"/>
          <w:szCs w:val="24"/>
          <w:highlight w:val="none"/>
          <w:lang w:val="en-US" w:eastAsia="zh-CN"/>
        </w:rPr>
        <w:t>竞争性磋商</w:t>
      </w:r>
      <w:r>
        <w:rPr>
          <w:rFonts w:hint="eastAsia" w:asciiTheme="minorEastAsia" w:hAnsiTheme="minorEastAsia" w:eastAsiaTheme="minorEastAsia" w:cstheme="minorEastAsia"/>
          <w:bCs/>
          <w:color w:val="auto"/>
          <w:sz w:val="24"/>
          <w:szCs w:val="24"/>
          <w:highlight w:val="none"/>
        </w:rPr>
        <w:t>文件（操作路径：登录“</w:t>
      </w:r>
      <w:r>
        <w:rPr>
          <w:rFonts w:hint="eastAsia" w:asciiTheme="minorEastAsia" w:hAnsiTheme="minorEastAsia" w:eastAsiaTheme="minorEastAsia" w:cstheme="minorEastAsia"/>
          <w:bCs/>
          <w:color w:val="auto"/>
          <w:sz w:val="24"/>
          <w:szCs w:val="24"/>
          <w:highlight w:val="none"/>
          <w:lang w:eastAsia="zh-CN"/>
        </w:rPr>
        <w:t>广西政采云</w:t>
      </w:r>
      <w:r>
        <w:rPr>
          <w:rFonts w:hint="eastAsia" w:asciiTheme="minorEastAsia" w:hAnsiTheme="minorEastAsia" w:eastAsiaTheme="minorEastAsia" w:cstheme="minorEastAsia"/>
          <w:bCs/>
          <w:color w:val="auto"/>
          <w:sz w:val="24"/>
          <w:szCs w:val="24"/>
          <w:highlight w:val="none"/>
        </w:rPr>
        <w:t>”平台-项目采购-获取采购文件-找到本项目-点击“申请获取采购文件”）。尚未注册的供应商可在</w:t>
      </w:r>
      <w:r>
        <w:rPr>
          <w:rFonts w:hint="eastAsia" w:asciiTheme="minorEastAsia" w:hAnsiTheme="minorEastAsia" w:eastAsiaTheme="minorEastAsia" w:cstheme="minorEastAsia"/>
          <w:bCs/>
          <w:color w:val="auto"/>
          <w:sz w:val="24"/>
          <w:szCs w:val="24"/>
          <w:highlight w:val="none"/>
          <w:lang w:eastAsia="zh-CN"/>
        </w:rPr>
        <w:t>广西政采云</w:t>
      </w:r>
      <w:r>
        <w:rPr>
          <w:rFonts w:hint="eastAsia" w:asciiTheme="minorEastAsia" w:hAnsiTheme="minorEastAsia" w:eastAsiaTheme="minorEastAsia" w:cstheme="minorEastAsia"/>
          <w:bCs/>
          <w:color w:val="auto"/>
          <w:sz w:val="24"/>
          <w:szCs w:val="24"/>
          <w:highlight w:val="none"/>
        </w:rPr>
        <w:t>平台完成注册后在线获取</w:t>
      </w:r>
      <w:r>
        <w:rPr>
          <w:rFonts w:hint="eastAsia" w:asciiTheme="minorEastAsia" w:hAnsiTheme="minorEastAsia" w:eastAsiaTheme="minorEastAsia" w:cstheme="minorEastAsia"/>
          <w:bCs/>
          <w:color w:val="auto"/>
          <w:sz w:val="24"/>
          <w:szCs w:val="24"/>
          <w:highlight w:val="none"/>
          <w:lang w:val="en-US" w:eastAsia="zh-CN"/>
        </w:rPr>
        <w:t>竞争性磋商</w:t>
      </w:r>
      <w:r>
        <w:rPr>
          <w:rFonts w:hint="eastAsia" w:asciiTheme="minorEastAsia" w:hAnsiTheme="minorEastAsia" w:eastAsiaTheme="minorEastAsia" w:cstheme="minorEastAsia"/>
          <w:bCs/>
          <w:color w:val="auto"/>
          <w:sz w:val="24"/>
          <w:szCs w:val="24"/>
          <w:highlight w:val="none"/>
        </w:rPr>
        <w:t>文件（</w:t>
      </w:r>
      <w:r>
        <w:rPr>
          <w:rFonts w:hint="eastAsia" w:asciiTheme="minorEastAsia" w:hAnsiTheme="minorEastAsia" w:eastAsiaTheme="minorEastAsia" w:cstheme="minorEastAsia"/>
          <w:bCs/>
          <w:color w:val="auto"/>
          <w:sz w:val="24"/>
          <w:szCs w:val="24"/>
          <w:highlight w:val="none"/>
          <w:lang w:eastAsia="zh-CN"/>
        </w:rPr>
        <w:t>广西政采云</w:t>
      </w:r>
      <w:r>
        <w:rPr>
          <w:rFonts w:hint="eastAsia" w:asciiTheme="minorEastAsia" w:hAnsiTheme="minorEastAsia" w:eastAsiaTheme="minorEastAsia" w:cstheme="minorEastAsia"/>
          <w:bCs/>
          <w:color w:val="auto"/>
          <w:sz w:val="24"/>
          <w:szCs w:val="24"/>
          <w:highlight w:val="none"/>
        </w:rPr>
        <w:t>平台-商家入驻-注册）</w:t>
      </w:r>
      <w:r>
        <w:rPr>
          <w:rFonts w:hint="eastAsia" w:asciiTheme="minorEastAsia" w:hAnsiTheme="minorEastAsia" w:eastAsiaTheme="minorEastAsia" w:cstheme="minorEastAsia"/>
          <w:bCs/>
          <w:color w:val="auto"/>
          <w:sz w:val="24"/>
          <w:szCs w:val="24"/>
          <w:highlight w:val="none"/>
          <w:lang w:val="en-US" w:eastAsia="zh-CN"/>
        </w:rPr>
        <w:t>；</w:t>
      </w:r>
    </w:p>
    <w:p w14:paraId="16C65404">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方式：</w:t>
      </w:r>
      <w:r>
        <w:rPr>
          <w:rFonts w:hint="eastAsia" w:asciiTheme="minorEastAsia" w:hAnsiTheme="minorEastAsia" w:eastAsiaTheme="minorEastAsia" w:cstheme="minorEastAsia"/>
          <w:bCs/>
          <w:color w:val="auto"/>
          <w:sz w:val="24"/>
          <w:szCs w:val="24"/>
          <w:highlight w:val="none"/>
          <w:lang w:val="en-US" w:eastAsia="zh-CN"/>
        </w:rPr>
        <w:t>网上在线报名获取。</w:t>
      </w:r>
    </w:p>
    <w:p w14:paraId="759CD76A">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val="en-US" w:eastAsia="zh-CN"/>
        </w:rPr>
        <w:t>本项目采用资格后审，已获取竞争性磋商文件的供应商不等于符合本项目资格要求。电子响应文件制作需要基于“广西政采云”平台获取的竞争性磋商文件编制。</w:t>
      </w:r>
    </w:p>
    <w:p w14:paraId="76AB58C3">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售价：</w:t>
      </w:r>
      <w:r>
        <w:rPr>
          <w:rFonts w:hint="eastAsia" w:asciiTheme="minorEastAsia" w:hAnsiTheme="minorEastAsia" w:eastAsiaTheme="minorEastAsia" w:cstheme="minorEastAsia"/>
          <w:bCs/>
          <w:color w:val="auto"/>
          <w:sz w:val="24"/>
          <w:szCs w:val="24"/>
          <w:highlight w:val="none"/>
          <w:lang w:val="en-US" w:eastAsia="zh-CN"/>
        </w:rPr>
        <w:t>0</w:t>
      </w:r>
      <w:r>
        <w:rPr>
          <w:rFonts w:hint="eastAsia" w:asciiTheme="minorEastAsia" w:hAnsiTheme="minorEastAsia" w:eastAsiaTheme="minorEastAsia" w:cstheme="minorEastAsia"/>
          <w:bCs/>
          <w:color w:val="auto"/>
          <w:sz w:val="24"/>
          <w:szCs w:val="24"/>
          <w:highlight w:val="none"/>
        </w:rPr>
        <w:t>元</w:t>
      </w:r>
      <w:r>
        <w:rPr>
          <w:rFonts w:hint="eastAsia" w:asciiTheme="minorEastAsia" w:hAnsiTheme="minorEastAsia" w:eastAsiaTheme="minorEastAsia" w:cstheme="minorEastAsia"/>
          <w:bCs/>
          <w:color w:val="auto"/>
          <w:sz w:val="24"/>
          <w:szCs w:val="24"/>
          <w:highlight w:val="none"/>
          <w:lang w:eastAsia="zh-CN"/>
        </w:rPr>
        <w:t>。</w:t>
      </w:r>
    </w:p>
    <w:p w14:paraId="20FD132A">
      <w:pPr>
        <w:pStyle w:val="3"/>
        <w:pageBreakBefore w:val="0"/>
        <w:widowControl w:val="0"/>
        <w:kinsoku/>
        <w:wordWrap/>
        <w:overflowPunct/>
        <w:topLinePunct w:val="0"/>
        <w:autoSpaceDE/>
        <w:autoSpaceDN/>
        <w:bidi w:val="0"/>
        <w:adjustRightInd/>
        <w:snapToGrid/>
        <w:spacing w:before="0" w:after="0" w:line="400" w:lineRule="exact"/>
        <w:jc w:val="left"/>
        <w:textAlignment w:val="auto"/>
        <w:rPr>
          <w:rFonts w:hint="eastAsia" w:asciiTheme="minorEastAsia" w:hAnsiTheme="minorEastAsia" w:eastAsiaTheme="minorEastAsia" w:cstheme="minorEastAsia"/>
          <w:b/>
          <w:bCs w:val="0"/>
          <w:color w:val="auto"/>
          <w:sz w:val="24"/>
          <w:szCs w:val="24"/>
          <w:highlight w:val="none"/>
        </w:rPr>
      </w:pPr>
      <w:bookmarkStart w:id="16" w:name="_Toc28359092"/>
      <w:bookmarkStart w:id="17" w:name="_Toc35393801"/>
      <w:bookmarkStart w:id="18" w:name="_Toc35393632"/>
      <w:bookmarkStart w:id="19" w:name="_Toc28359015"/>
      <w:bookmarkStart w:id="20" w:name="_Toc22501"/>
      <w:r>
        <w:rPr>
          <w:rFonts w:hint="eastAsia" w:asciiTheme="minorEastAsia" w:hAnsiTheme="minorEastAsia" w:eastAsiaTheme="minorEastAsia" w:cstheme="minorEastAsia"/>
          <w:b/>
          <w:bCs w:val="0"/>
          <w:color w:val="auto"/>
          <w:sz w:val="24"/>
          <w:szCs w:val="24"/>
          <w:highlight w:val="none"/>
        </w:rPr>
        <w:t>四、响应文件提交</w:t>
      </w:r>
      <w:bookmarkEnd w:id="16"/>
      <w:bookmarkEnd w:id="17"/>
      <w:bookmarkEnd w:id="18"/>
      <w:bookmarkEnd w:id="19"/>
      <w:bookmarkEnd w:id="20"/>
    </w:p>
    <w:p w14:paraId="0F6096B1">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截止时间：</w:t>
      </w:r>
      <w:r>
        <w:rPr>
          <w:rFonts w:hint="eastAsia" w:asciiTheme="minorEastAsia" w:hAnsiTheme="minorEastAsia" w:eastAsiaTheme="minorEastAsia" w:cstheme="minorEastAsia"/>
          <w:color w:val="auto"/>
          <w:sz w:val="24"/>
          <w:szCs w:val="24"/>
          <w:highlight w:val="none"/>
          <w:u w:val="single"/>
          <w:lang w:val="en-US" w:eastAsia="zh-CN"/>
        </w:rPr>
        <w:t>2026年06月05日09时00分</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rPr>
        <w:t>（北京时间）</w:t>
      </w:r>
      <w:r>
        <w:rPr>
          <w:rFonts w:hint="eastAsia" w:asciiTheme="minorEastAsia" w:hAnsiTheme="minorEastAsia" w:eastAsiaTheme="minorEastAsia" w:cstheme="minorEastAsia"/>
          <w:bCs/>
          <w:color w:val="auto"/>
          <w:sz w:val="24"/>
          <w:szCs w:val="24"/>
          <w:highlight w:val="none"/>
          <w:lang w:eastAsia="zh-CN"/>
        </w:rPr>
        <w:t>；</w:t>
      </w:r>
    </w:p>
    <w:p w14:paraId="797E5A76">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地点：本项目为贺州市电子化项目，通过广西政府采购云平台（https://www.gcy.zfcg.gxzf.gov.cn/）客户端实行在线电子投标</w:t>
      </w:r>
      <w:r>
        <w:rPr>
          <w:rFonts w:hint="eastAsia" w:asciiTheme="minorEastAsia" w:hAnsiTheme="minorEastAsia" w:eastAsiaTheme="minorEastAsia" w:cstheme="minorEastAsia"/>
          <w:color w:val="auto"/>
          <w:sz w:val="24"/>
          <w:szCs w:val="24"/>
          <w:highlight w:val="none"/>
          <w:lang w:eastAsia="zh-CN"/>
        </w:rPr>
        <w:t>。</w:t>
      </w:r>
    </w:p>
    <w:p w14:paraId="004139A3">
      <w:pPr>
        <w:pStyle w:val="3"/>
        <w:pageBreakBefore w:val="0"/>
        <w:widowControl w:val="0"/>
        <w:kinsoku/>
        <w:wordWrap/>
        <w:overflowPunct/>
        <w:topLinePunct w:val="0"/>
        <w:autoSpaceDE/>
        <w:autoSpaceDN/>
        <w:bidi w:val="0"/>
        <w:adjustRightInd/>
        <w:snapToGrid/>
        <w:spacing w:before="0" w:after="0" w:line="400" w:lineRule="exact"/>
        <w:jc w:val="both"/>
        <w:textAlignment w:val="auto"/>
        <w:rPr>
          <w:rFonts w:hint="eastAsia" w:asciiTheme="minorEastAsia" w:hAnsiTheme="minorEastAsia" w:eastAsiaTheme="minorEastAsia" w:cstheme="minorEastAsia"/>
          <w:b/>
          <w:bCs w:val="0"/>
          <w:color w:val="auto"/>
          <w:sz w:val="24"/>
          <w:szCs w:val="24"/>
          <w:highlight w:val="none"/>
          <w:lang w:val="en-US" w:eastAsia="zh-CN"/>
        </w:rPr>
      </w:pPr>
      <w:bookmarkStart w:id="21" w:name="_Toc28359093"/>
      <w:bookmarkStart w:id="22" w:name="_Toc16697"/>
      <w:bookmarkStart w:id="23" w:name="_Toc28359016"/>
      <w:bookmarkStart w:id="24" w:name="_Toc35393802"/>
      <w:bookmarkStart w:id="25" w:name="_Toc35393633"/>
      <w:r>
        <w:rPr>
          <w:rFonts w:hint="eastAsia" w:asciiTheme="minorEastAsia" w:hAnsiTheme="minorEastAsia" w:eastAsiaTheme="minorEastAsia" w:cstheme="minorEastAsia"/>
          <w:b/>
          <w:bCs w:val="0"/>
          <w:color w:val="auto"/>
          <w:sz w:val="24"/>
          <w:szCs w:val="24"/>
          <w:highlight w:val="none"/>
          <w:lang w:val="en-US" w:eastAsia="zh-CN"/>
        </w:rPr>
        <w:t>五、开启</w:t>
      </w:r>
      <w:bookmarkEnd w:id="21"/>
      <w:bookmarkEnd w:id="22"/>
      <w:bookmarkEnd w:id="23"/>
      <w:bookmarkEnd w:id="24"/>
      <w:bookmarkEnd w:id="25"/>
    </w:p>
    <w:p w14:paraId="5B8F8DE6">
      <w:pPr>
        <w:pStyle w:val="3"/>
        <w:pageBreakBefore w:val="0"/>
        <w:widowControl w:val="0"/>
        <w:kinsoku/>
        <w:wordWrap/>
        <w:overflowPunct/>
        <w:topLinePunct w:val="0"/>
        <w:autoSpaceDE/>
        <w:autoSpaceDN/>
        <w:bidi w:val="0"/>
        <w:adjustRightInd/>
        <w:snapToGrid/>
        <w:spacing w:before="0" w:after="0" w:line="400" w:lineRule="exact"/>
        <w:ind w:firstLine="480" w:firstLineChars="200"/>
        <w:jc w:val="left"/>
        <w:textAlignment w:val="auto"/>
        <w:rPr>
          <w:rFonts w:hint="eastAsia" w:asciiTheme="minorEastAsia" w:hAnsiTheme="minorEastAsia" w:eastAsiaTheme="minorEastAsia" w:cstheme="minorEastAsia"/>
          <w:b w:val="0"/>
          <w:bCs/>
          <w:color w:val="auto"/>
          <w:sz w:val="24"/>
          <w:szCs w:val="24"/>
          <w:highlight w:val="none"/>
          <w:lang w:eastAsia="zh-CN"/>
        </w:rPr>
      </w:pPr>
      <w:bookmarkStart w:id="26" w:name="_Toc1573"/>
      <w:r>
        <w:rPr>
          <w:rFonts w:hint="eastAsia" w:asciiTheme="minorEastAsia" w:hAnsiTheme="minorEastAsia" w:eastAsiaTheme="minorEastAsia" w:cstheme="minorEastAsia"/>
          <w:b w:val="0"/>
          <w:bCs/>
          <w:color w:val="auto"/>
          <w:sz w:val="24"/>
          <w:szCs w:val="24"/>
          <w:highlight w:val="none"/>
        </w:rPr>
        <w:t>时间：</w:t>
      </w:r>
      <w:r>
        <w:rPr>
          <w:rFonts w:hint="eastAsia" w:asciiTheme="minorEastAsia" w:hAnsiTheme="minorEastAsia" w:eastAsiaTheme="minorEastAsia" w:cstheme="minorEastAsia"/>
          <w:b w:val="0"/>
          <w:bCs/>
          <w:color w:val="auto"/>
          <w:sz w:val="24"/>
          <w:szCs w:val="24"/>
          <w:highlight w:val="none"/>
          <w:u w:val="single"/>
          <w:lang w:val="en-US" w:eastAsia="zh-CN"/>
        </w:rPr>
        <w:t xml:space="preserve">2026年06月05日09时00分 </w:t>
      </w:r>
      <w:r>
        <w:rPr>
          <w:rFonts w:hint="eastAsia" w:asciiTheme="minorEastAsia" w:hAnsiTheme="minorEastAsia" w:eastAsiaTheme="minorEastAsia" w:cstheme="minorEastAsia"/>
          <w:b w:val="0"/>
          <w:bCs/>
          <w:color w:val="auto"/>
          <w:sz w:val="24"/>
          <w:szCs w:val="24"/>
          <w:highlight w:val="none"/>
        </w:rPr>
        <w:t>（北京时间）</w:t>
      </w:r>
      <w:bookmarkEnd w:id="26"/>
    </w:p>
    <w:p w14:paraId="766E206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firstLine="480" w:firstLineChars="20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rPr>
        <w:t>地点：贺州市政务服务中心东侧附属楼政采</w:t>
      </w:r>
      <w:r>
        <w:rPr>
          <w:rFonts w:hint="eastAsia" w:asciiTheme="minorEastAsia" w:hAnsiTheme="minorEastAsia" w:eastAsiaTheme="minorEastAsia" w:cstheme="minorEastAsia"/>
          <w:b w:val="0"/>
          <w:bCs/>
          <w:color w:val="auto"/>
          <w:sz w:val="24"/>
          <w:szCs w:val="24"/>
          <w:highlight w:val="none"/>
          <w:lang w:val="en-US" w:eastAsia="zh-CN"/>
        </w:rPr>
        <w:t>开标</w:t>
      </w:r>
      <w:r>
        <w:rPr>
          <w:rFonts w:hint="eastAsia" w:asciiTheme="minorEastAsia" w:hAnsiTheme="minorEastAsia" w:eastAsiaTheme="minorEastAsia" w:cstheme="minorEastAsia"/>
          <w:b w:val="0"/>
          <w:bCs/>
          <w:color w:val="auto"/>
          <w:sz w:val="24"/>
          <w:szCs w:val="24"/>
          <w:highlight w:val="none"/>
        </w:rPr>
        <w:t>室</w:t>
      </w:r>
      <w:r>
        <w:rPr>
          <w:rFonts w:hint="eastAsia" w:asciiTheme="minorEastAsia" w:hAnsiTheme="minorEastAsia" w:eastAsiaTheme="minorEastAsia" w:cstheme="minorEastAsia"/>
          <w:b w:val="0"/>
          <w:bCs/>
          <w:color w:val="auto"/>
          <w:sz w:val="24"/>
          <w:szCs w:val="24"/>
          <w:highlight w:val="none"/>
          <w:lang w:val="en-US" w:eastAsia="zh-CN"/>
        </w:rPr>
        <w:t>三</w:t>
      </w:r>
      <w:r>
        <w:rPr>
          <w:rFonts w:hint="eastAsia" w:ascii="宋体" w:hAnsi="宋体" w:cs="宋体"/>
          <w:bCs/>
          <w:color w:val="auto"/>
          <w:sz w:val="24"/>
          <w:szCs w:val="24"/>
        </w:rPr>
        <w:t>。</w:t>
      </w:r>
    </w:p>
    <w:p w14:paraId="780EC533">
      <w:pPr>
        <w:pStyle w:val="3"/>
        <w:pageBreakBefore w:val="0"/>
        <w:widowControl w:val="0"/>
        <w:kinsoku/>
        <w:wordWrap/>
        <w:overflowPunct/>
        <w:topLinePunct w:val="0"/>
        <w:autoSpaceDE/>
        <w:autoSpaceDN/>
        <w:bidi w:val="0"/>
        <w:adjustRightInd/>
        <w:snapToGrid/>
        <w:spacing w:before="0" w:after="0" w:line="400" w:lineRule="exact"/>
        <w:jc w:val="left"/>
        <w:textAlignment w:val="auto"/>
        <w:rPr>
          <w:rFonts w:hint="eastAsia" w:asciiTheme="minorEastAsia" w:hAnsiTheme="minorEastAsia" w:eastAsiaTheme="minorEastAsia" w:cstheme="minorEastAsia"/>
          <w:b/>
          <w:bCs w:val="0"/>
          <w:color w:val="auto"/>
          <w:sz w:val="24"/>
          <w:szCs w:val="24"/>
          <w:highlight w:val="none"/>
        </w:rPr>
      </w:pPr>
      <w:bookmarkStart w:id="27" w:name="_Toc28359017"/>
      <w:bookmarkStart w:id="28" w:name="_Toc35393634"/>
      <w:bookmarkStart w:id="29" w:name="_Toc28359094"/>
      <w:bookmarkStart w:id="30" w:name="_Toc35393803"/>
      <w:bookmarkStart w:id="31" w:name="_Toc2266"/>
      <w:r>
        <w:rPr>
          <w:rFonts w:hint="eastAsia" w:asciiTheme="minorEastAsia" w:hAnsiTheme="minorEastAsia" w:eastAsiaTheme="minorEastAsia" w:cstheme="minorEastAsia"/>
          <w:b/>
          <w:bCs w:val="0"/>
          <w:color w:val="auto"/>
          <w:sz w:val="24"/>
          <w:szCs w:val="24"/>
          <w:highlight w:val="none"/>
        </w:rPr>
        <w:t>六、公告期限</w:t>
      </w:r>
      <w:bookmarkEnd w:id="27"/>
      <w:bookmarkEnd w:id="28"/>
      <w:bookmarkEnd w:id="29"/>
      <w:bookmarkEnd w:id="30"/>
      <w:bookmarkEnd w:id="31"/>
    </w:p>
    <w:p w14:paraId="76ECFD04">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自本公告发布之日起</w:t>
      </w: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个工作日。</w:t>
      </w:r>
    </w:p>
    <w:p w14:paraId="74D74DA0">
      <w:pPr>
        <w:pStyle w:val="3"/>
        <w:pageBreakBefore w:val="0"/>
        <w:widowControl w:val="0"/>
        <w:numPr>
          <w:ilvl w:val="0"/>
          <w:numId w:val="2"/>
        </w:numPr>
        <w:kinsoku/>
        <w:wordWrap/>
        <w:overflowPunct/>
        <w:topLinePunct w:val="0"/>
        <w:autoSpaceDE/>
        <w:autoSpaceDN/>
        <w:bidi w:val="0"/>
        <w:adjustRightInd/>
        <w:snapToGrid/>
        <w:spacing w:before="0" w:after="0" w:line="400" w:lineRule="exact"/>
        <w:jc w:val="left"/>
        <w:textAlignment w:val="auto"/>
        <w:rPr>
          <w:rFonts w:hint="eastAsia" w:asciiTheme="minorEastAsia" w:hAnsiTheme="minorEastAsia" w:eastAsiaTheme="minorEastAsia" w:cstheme="minorEastAsia"/>
          <w:b/>
          <w:bCs w:val="0"/>
          <w:color w:val="auto"/>
          <w:sz w:val="24"/>
          <w:szCs w:val="24"/>
          <w:highlight w:val="none"/>
        </w:rPr>
      </w:pPr>
      <w:bookmarkStart w:id="32" w:name="_Toc35393635"/>
      <w:bookmarkStart w:id="33" w:name="_Toc35393804"/>
      <w:bookmarkStart w:id="34" w:name="_Toc20414"/>
      <w:r>
        <w:rPr>
          <w:rFonts w:hint="eastAsia" w:asciiTheme="minorEastAsia" w:hAnsiTheme="minorEastAsia" w:eastAsiaTheme="minorEastAsia" w:cstheme="minorEastAsia"/>
          <w:b/>
          <w:bCs w:val="0"/>
          <w:color w:val="auto"/>
          <w:sz w:val="24"/>
          <w:szCs w:val="24"/>
          <w:highlight w:val="none"/>
        </w:rPr>
        <w:t>其他补充事宜</w:t>
      </w:r>
      <w:bookmarkEnd w:id="32"/>
      <w:bookmarkEnd w:id="33"/>
      <w:bookmarkEnd w:id="34"/>
    </w:p>
    <w:p w14:paraId="0FCD9FBA">
      <w:pPr>
        <w:pageBreakBefore w:val="0"/>
        <w:kinsoku/>
        <w:wordWrap/>
        <w:overflowPunct/>
        <w:topLinePunct w:val="0"/>
        <w:autoSpaceDE/>
        <w:autoSpaceDN/>
        <w:bidi w:val="0"/>
        <w:snapToGrid/>
        <w:spacing w:line="400" w:lineRule="exact"/>
        <w:ind w:firstLine="480" w:firstLineChars="200"/>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7.1 《政府采购促进中小企业发展管理办法》（财库[2020]46号）、《关于政府采购支持监狱企业发展有关问题的通知（财库[2014]68号）》、《关于促进残疾人就业采购政策的通知（财库[2017]141号）》文件指导精神：对小型和微型企业（监狱企业（提供由省级以上监狱管理局、戒毒管理局（含新疆生产建设兵团）出具的属于监狱企业的证明文件）、残疾人福利性单位均视为小型和微型企业）的价格给予20%的扣除。</w:t>
      </w:r>
      <w:r>
        <w:rPr>
          <w:rFonts w:hint="eastAsia" w:asciiTheme="minorEastAsia" w:hAnsiTheme="minorEastAsia" w:eastAsiaTheme="minorEastAsia" w:cstheme="minorEastAsia"/>
          <w:b/>
          <w:bCs w:val="0"/>
          <w:color w:val="auto"/>
          <w:kern w:val="2"/>
          <w:sz w:val="24"/>
          <w:szCs w:val="24"/>
          <w:highlight w:val="none"/>
          <w:lang w:val="en-US" w:eastAsia="zh-CN" w:bidi="ar-SA"/>
        </w:rPr>
        <w:t>本项目为专门面向“中小企业”的项目，不再执行价格评审优惠的扶持政策。</w:t>
      </w:r>
    </w:p>
    <w:p w14:paraId="214E0F3E">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7.2磋商保证金（人民币）：</w:t>
      </w:r>
      <w:r>
        <w:rPr>
          <w:rFonts w:hint="eastAsia" w:asciiTheme="minorEastAsia" w:hAnsiTheme="minorEastAsia" w:eastAsiaTheme="minorEastAsia" w:cstheme="minorEastAsia"/>
          <w:b w:val="0"/>
          <w:bCs/>
          <w:color w:val="auto"/>
          <w:kern w:val="2"/>
          <w:sz w:val="24"/>
          <w:szCs w:val="24"/>
          <w:highlight w:val="none"/>
          <w:u w:val="single"/>
          <w:lang w:val="en-US" w:eastAsia="zh-CN" w:bidi="ar-SA"/>
        </w:rPr>
        <w:t>本项目无须缴纳磋商保证金</w:t>
      </w:r>
      <w:r>
        <w:rPr>
          <w:rFonts w:hint="eastAsia" w:asciiTheme="minorEastAsia" w:hAnsiTheme="minorEastAsia" w:eastAsiaTheme="minorEastAsia" w:cstheme="minorEastAsia"/>
          <w:b w:val="0"/>
          <w:bCs/>
          <w:color w:val="auto"/>
          <w:kern w:val="2"/>
          <w:sz w:val="24"/>
          <w:szCs w:val="24"/>
          <w:highlight w:val="none"/>
          <w:lang w:val="en-US" w:eastAsia="zh-CN" w:bidi="ar-SA"/>
        </w:rPr>
        <w:t>。</w:t>
      </w:r>
      <w:r>
        <w:rPr>
          <w:rFonts w:hint="eastAsia" w:asciiTheme="minorEastAsia" w:hAnsiTheme="minorEastAsia" w:eastAsiaTheme="minorEastAsia" w:cstheme="minorEastAsia"/>
          <w:b w:val="0"/>
          <w:bCs/>
          <w:color w:val="auto"/>
          <w:kern w:val="2"/>
          <w:sz w:val="24"/>
          <w:szCs w:val="24"/>
          <w:highlight w:val="none"/>
          <w:lang w:val="en-US" w:eastAsia="zh-CN" w:bidi="ar-SA"/>
        </w:rPr>
        <w:tab/>
      </w:r>
    </w:p>
    <w:p w14:paraId="3CADDB39">
      <w:pPr>
        <w:pageBreakBefore w:val="0"/>
        <w:kinsoku/>
        <w:wordWrap/>
        <w:overflowPunct/>
        <w:topLinePunct w:val="0"/>
        <w:autoSpaceDE/>
        <w:autoSpaceDN/>
        <w:bidi w:val="0"/>
        <w:snapToGrid/>
        <w:spacing w:line="400" w:lineRule="exact"/>
        <w:ind w:firstLine="480" w:firstLineChars="200"/>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竞标人应将磋商保证金以支票、汇票、本票、转账、电汇或者金融机构出具的保函、保险等非现金形式提交至以下账户，并于响应文件提交截止时间前到账，到账时间以银行确认的到账时间为准(注：若以支票、汇票、本票方式提交的，交款人必须是竞标人；若以转账、电汇方式提交的，必须从竞标人银行账户转出；若以现金方式交纳或者没有足额交纳的视为无效投标。办理磋商保证金手续时，需在交纳凭据上注明项目名称或项目编号。对风险较低、规模较小的采购项目，受疫情影响的中小微企业（在提供真实可信证明材料的前提下），停止收取投标保证金和履约保证金。</w:t>
      </w:r>
    </w:p>
    <w:p w14:paraId="7CB89C32">
      <w:pPr>
        <w:pageBreakBefore w:val="0"/>
        <w:kinsoku/>
        <w:wordWrap/>
        <w:overflowPunct/>
        <w:topLinePunct w:val="0"/>
        <w:autoSpaceDE/>
        <w:autoSpaceDN/>
        <w:bidi w:val="0"/>
        <w:snapToGrid/>
        <w:spacing w:line="400" w:lineRule="exact"/>
        <w:ind w:firstLine="480" w:firstLineChars="200"/>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7.3评标办法和评标标准：综合评分法。</w:t>
      </w:r>
    </w:p>
    <w:p w14:paraId="15DA1000">
      <w:pPr>
        <w:pageBreakBefore w:val="0"/>
        <w:kinsoku/>
        <w:wordWrap/>
        <w:overflowPunct/>
        <w:topLinePunct w:val="0"/>
        <w:autoSpaceDE/>
        <w:autoSpaceDN/>
        <w:bidi w:val="0"/>
        <w:snapToGrid/>
        <w:spacing w:line="400" w:lineRule="exact"/>
        <w:ind w:firstLine="480" w:firstLineChars="200"/>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7.4发布公告的媒介：</w:t>
      </w:r>
    </w:p>
    <w:p w14:paraId="44DFDE95">
      <w:pPr>
        <w:pageBreakBefore w:val="0"/>
        <w:kinsoku/>
        <w:wordWrap/>
        <w:overflowPunct/>
        <w:topLinePunct w:val="0"/>
        <w:autoSpaceDE/>
        <w:autoSpaceDN/>
        <w:bidi w:val="0"/>
        <w:snapToGrid/>
        <w:spacing w:line="400" w:lineRule="exact"/>
        <w:ind w:firstLine="480" w:firstLineChars="200"/>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本次公告同时在中国政府采购网、广西壮族自治区政府采购网、全国公共资源交易平台（广西贺州）发布。</w:t>
      </w:r>
    </w:p>
    <w:p w14:paraId="0D61B780">
      <w:pPr>
        <w:pageBreakBefore w:val="0"/>
        <w:kinsoku/>
        <w:wordWrap/>
        <w:overflowPunct/>
        <w:topLinePunct w:val="0"/>
        <w:autoSpaceDE/>
        <w:autoSpaceDN/>
        <w:bidi w:val="0"/>
        <w:snapToGrid/>
        <w:spacing w:line="400" w:lineRule="exact"/>
        <w:ind w:firstLine="480" w:firstLineChars="200"/>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7.5监督部门：</w:t>
      </w:r>
    </w:p>
    <w:p w14:paraId="47D4424B">
      <w:pPr>
        <w:pageBreakBefore w:val="0"/>
        <w:kinsoku/>
        <w:wordWrap/>
        <w:overflowPunct/>
        <w:topLinePunct w:val="0"/>
        <w:autoSpaceDE/>
        <w:autoSpaceDN/>
        <w:bidi w:val="0"/>
        <w:snapToGrid/>
        <w:spacing w:line="400" w:lineRule="exact"/>
        <w:ind w:firstLine="960" w:firstLineChars="400"/>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 xml:space="preserve">昭平县政府采购服务中心，联系电话：0774-6689708 </w:t>
      </w:r>
    </w:p>
    <w:p w14:paraId="26C4CC36">
      <w:pPr>
        <w:pageBreakBefore w:val="0"/>
        <w:kinsoku/>
        <w:wordWrap/>
        <w:overflowPunct/>
        <w:topLinePunct w:val="0"/>
        <w:autoSpaceDE/>
        <w:autoSpaceDN/>
        <w:bidi w:val="0"/>
        <w:snapToGrid/>
        <w:spacing w:line="400" w:lineRule="exact"/>
        <w:ind w:firstLine="480" w:firstLineChars="200"/>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 xml:space="preserve">7.6若对项目采购电子交易系统操作有疑问，可登录“广西政府采购云平台”（https://www.gcy.zfcg.gxzf.gov.cn/），点击右侧咨询小采，获取采小蜜智能服务管家帮助，或拨打广西政府采购云平台服务热线95763获取热线服务帮助。 </w:t>
      </w:r>
    </w:p>
    <w:p w14:paraId="17DF6A74">
      <w:pPr>
        <w:pStyle w:val="15"/>
        <w:ind w:firstLine="480" w:firstLineChars="200"/>
        <w:rPr>
          <w:rFonts w:hint="eastAsia"/>
          <w:color w:val="auto"/>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bidi="ar-SA"/>
        </w:rPr>
        <w:t>7.7评标说明注意事项：本项目采用远程异地评标，评标主会场地址：贺州市公共资源交易中心（贺州市太白西路161号（交易大厅：贺州市政务服务中心东侧附属楼），详见现场评标室安排。评标副会场地址：梧州市公共资源交易中心（广西壮族自治区梧州市长洲区三龙大道红岭大厦9楼政采类（第二评标室）），详见现场电子评标室安排。</w:t>
      </w:r>
    </w:p>
    <w:p w14:paraId="6F5C31F2">
      <w:pPr>
        <w:pStyle w:val="3"/>
        <w:pageBreakBefore w:val="0"/>
        <w:widowControl w:val="0"/>
        <w:kinsoku/>
        <w:wordWrap/>
        <w:overflowPunct/>
        <w:topLinePunct w:val="0"/>
        <w:autoSpaceDE/>
        <w:autoSpaceDN/>
        <w:bidi w:val="0"/>
        <w:adjustRightInd/>
        <w:snapToGrid/>
        <w:spacing w:before="0" w:after="0" w:line="400" w:lineRule="exact"/>
        <w:jc w:val="left"/>
        <w:textAlignment w:val="auto"/>
        <w:rPr>
          <w:rFonts w:hint="eastAsia" w:asciiTheme="minorEastAsia" w:hAnsiTheme="minorEastAsia" w:eastAsiaTheme="minorEastAsia" w:cstheme="minorEastAsia"/>
          <w:b/>
          <w:bCs w:val="0"/>
          <w:color w:val="auto"/>
          <w:sz w:val="24"/>
          <w:szCs w:val="24"/>
          <w:highlight w:val="none"/>
        </w:rPr>
      </w:pPr>
      <w:bookmarkStart w:id="35" w:name="_Toc28359018"/>
      <w:bookmarkStart w:id="36" w:name="_Toc35393636"/>
      <w:bookmarkStart w:id="37" w:name="_Toc957"/>
      <w:bookmarkStart w:id="38" w:name="_Toc28359095"/>
      <w:bookmarkStart w:id="39" w:name="_Toc35393805"/>
      <w:r>
        <w:rPr>
          <w:rFonts w:hint="eastAsia" w:asciiTheme="minorEastAsia" w:hAnsiTheme="minorEastAsia" w:eastAsiaTheme="minorEastAsia" w:cstheme="minorEastAsia"/>
          <w:b/>
          <w:bCs w:val="0"/>
          <w:color w:val="auto"/>
          <w:sz w:val="24"/>
          <w:szCs w:val="24"/>
          <w:highlight w:val="none"/>
        </w:rPr>
        <w:t>八、凡对本次采购提出询问，请按以下方式联系。</w:t>
      </w:r>
      <w:bookmarkEnd w:id="35"/>
      <w:bookmarkEnd w:id="36"/>
      <w:bookmarkEnd w:id="37"/>
      <w:bookmarkEnd w:id="38"/>
      <w:bookmarkEnd w:id="39"/>
    </w:p>
    <w:p w14:paraId="0B992AED">
      <w:pPr>
        <w:pageBreakBefore w:val="0"/>
        <w:widowControl w:val="0"/>
        <w:kinsoku/>
        <w:wordWrap/>
        <w:overflowPunct/>
        <w:topLinePunct w:val="0"/>
        <w:autoSpaceDE/>
        <w:autoSpaceDN/>
        <w:bidi w:val="0"/>
        <w:adjustRightInd/>
        <w:snapToGrid/>
        <w:spacing w:line="400" w:lineRule="exact"/>
        <w:ind w:firstLine="720" w:firstLineChars="300"/>
        <w:textAlignment w:val="auto"/>
        <w:rPr>
          <w:rFonts w:hint="eastAsia" w:asciiTheme="minorEastAsia" w:hAnsiTheme="minorEastAsia" w:eastAsiaTheme="minorEastAsia" w:cstheme="minorEastAsia"/>
          <w:color w:val="auto"/>
          <w:sz w:val="24"/>
          <w:szCs w:val="24"/>
          <w:highlight w:val="none"/>
        </w:rPr>
      </w:pPr>
      <w:bookmarkStart w:id="40" w:name="_Toc35393637"/>
      <w:bookmarkStart w:id="41" w:name="_Toc35393806"/>
      <w:bookmarkStart w:id="42" w:name="_Toc28359096"/>
      <w:bookmarkStart w:id="43" w:name="_Toc28359019"/>
      <w:r>
        <w:rPr>
          <w:rFonts w:hint="eastAsia" w:asciiTheme="minorEastAsia" w:hAnsiTheme="minorEastAsia" w:eastAsiaTheme="minorEastAsia" w:cstheme="minorEastAsia"/>
          <w:color w:val="auto"/>
          <w:sz w:val="24"/>
          <w:szCs w:val="24"/>
          <w:highlight w:val="none"/>
        </w:rPr>
        <w:t>1.采购人信息</w:t>
      </w:r>
      <w:bookmarkEnd w:id="40"/>
      <w:bookmarkEnd w:id="41"/>
      <w:bookmarkEnd w:id="42"/>
      <w:bookmarkEnd w:id="43"/>
    </w:p>
    <w:p w14:paraId="58F402C7">
      <w:pPr>
        <w:pageBreakBefore w:val="0"/>
        <w:widowControl w:val="0"/>
        <w:kinsoku/>
        <w:wordWrap/>
        <w:overflowPunct/>
        <w:topLinePunct w:val="0"/>
        <w:autoSpaceDE/>
        <w:autoSpaceDN/>
        <w:bidi w:val="0"/>
        <w:adjustRightInd/>
        <w:snapToGrid/>
        <w:spacing w:line="400" w:lineRule="exact"/>
        <w:ind w:firstLine="720" w:firstLineChars="3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 xml:space="preserve">名    </w:t>
      </w:r>
      <w:r>
        <w:rPr>
          <w:rFonts w:hint="eastAsia" w:asciiTheme="minorEastAsia" w:hAnsiTheme="minorEastAsia" w:eastAsiaTheme="minorEastAsia" w:cstheme="minorEastAsia"/>
          <w:color w:val="auto"/>
          <w:sz w:val="24"/>
          <w:szCs w:val="24"/>
          <w:highlight w:val="none"/>
          <w:lang w:eastAsia="zh-CN"/>
        </w:rPr>
        <w:t>称：昭平县木格乡人民政府</w:t>
      </w:r>
    </w:p>
    <w:p w14:paraId="39196497">
      <w:pPr>
        <w:pageBreakBefore w:val="0"/>
        <w:widowControl w:val="0"/>
        <w:kinsoku/>
        <w:wordWrap/>
        <w:overflowPunct/>
        <w:topLinePunct w:val="0"/>
        <w:autoSpaceDE/>
        <w:autoSpaceDN/>
        <w:bidi w:val="0"/>
        <w:adjustRightInd/>
        <w:snapToGrid/>
        <w:spacing w:line="400" w:lineRule="exact"/>
        <w:ind w:firstLine="720" w:firstLineChars="3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地    址：</w:t>
      </w:r>
      <w:r>
        <w:rPr>
          <w:rFonts w:hint="eastAsia" w:asciiTheme="minorEastAsia" w:hAnsiTheme="minorEastAsia" w:eastAsiaTheme="minorEastAsia" w:cstheme="minorEastAsia"/>
          <w:color w:val="auto"/>
          <w:sz w:val="24"/>
          <w:szCs w:val="24"/>
          <w:highlight w:val="none"/>
          <w:lang w:val="en-US" w:eastAsia="zh-CN"/>
        </w:rPr>
        <w:t>贺州市昭平县</w:t>
      </w:r>
      <w:r>
        <w:rPr>
          <w:rFonts w:hint="eastAsia" w:asciiTheme="minorEastAsia" w:hAnsiTheme="minorEastAsia" w:eastAsiaTheme="minorEastAsia" w:cstheme="minorEastAsia"/>
          <w:color w:val="auto"/>
          <w:sz w:val="24"/>
          <w:szCs w:val="24"/>
          <w:highlight w:val="none"/>
          <w:lang w:eastAsia="zh-CN"/>
        </w:rPr>
        <w:t>木格乡</w:t>
      </w:r>
      <w:r>
        <w:rPr>
          <w:rFonts w:hint="eastAsia" w:asciiTheme="minorEastAsia" w:hAnsiTheme="minorEastAsia" w:eastAsiaTheme="minorEastAsia" w:cstheme="minorEastAsia"/>
          <w:color w:val="auto"/>
          <w:sz w:val="24"/>
          <w:szCs w:val="24"/>
          <w:highlight w:val="none"/>
          <w:lang w:val="en-US" w:eastAsia="zh-CN"/>
        </w:rPr>
        <w:t>木格街1号</w:t>
      </w:r>
      <w:r>
        <w:rPr>
          <w:rFonts w:hint="eastAsia" w:asciiTheme="minorEastAsia" w:hAnsiTheme="minorEastAsia" w:eastAsiaTheme="minorEastAsia" w:cstheme="minorEastAsia"/>
          <w:color w:val="auto"/>
          <w:sz w:val="24"/>
          <w:szCs w:val="24"/>
          <w:highlight w:val="none"/>
          <w:lang w:eastAsia="zh-CN"/>
        </w:rPr>
        <w:t xml:space="preserve"> </w:t>
      </w:r>
    </w:p>
    <w:p w14:paraId="11C53B0F">
      <w:pPr>
        <w:pageBreakBefore w:val="0"/>
        <w:widowControl w:val="0"/>
        <w:kinsoku/>
        <w:wordWrap/>
        <w:overflowPunct/>
        <w:topLinePunct w:val="0"/>
        <w:autoSpaceDE/>
        <w:autoSpaceDN/>
        <w:bidi w:val="0"/>
        <w:adjustRightInd/>
        <w:snapToGrid/>
        <w:spacing w:line="400" w:lineRule="exact"/>
        <w:ind w:firstLine="720" w:firstLineChars="3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联系方式：</w:t>
      </w:r>
      <w:r>
        <w:rPr>
          <w:rFonts w:hint="eastAsia" w:asciiTheme="minorEastAsia" w:hAnsiTheme="minorEastAsia" w:eastAsiaTheme="minorEastAsia" w:cstheme="minorEastAsia"/>
          <w:color w:val="auto"/>
          <w:sz w:val="24"/>
          <w:szCs w:val="24"/>
          <w:highlight w:val="none"/>
          <w:lang w:val="en-US" w:eastAsia="zh-CN"/>
        </w:rPr>
        <w:t xml:space="preserve">陈超宇 0774-6902290      </w:t>
      </w:r>
    </w:p>
    <w:p w14:paraId="4BFAA6AB">
      <w:pPr>
        <w:pageBreakBefore w:val="0"/>
        <w:widowControl w:val="0"/>
        <w:kinsoku/>
        <w:wordWrap/>
        <w:overflowPunct/>
        <w:topLinePunct w:val="0"/>
        <w:autoSpaceDE/>
        <w:autoSpaceDN/>
        <w:bidi w:val="0"/>
        <w:adjustRightInd/>
        <w:snapToGrid/>
        <w:spacing w:line="400" w:lineRule="exact"/>
        <w:ind w:firstLine="720" w:firstLineChars="300"/>
        <w:textAlignment w:val="auto"/>
        <w:rPr>
          <w:rFonts w:hint="eastAsia" w:asciiTheme="minorEastAsia" w:hAnsiTheme="minorEastAsia" w:eastAsiaTheme="minorEastAsia" w:cstheme="minorEastAsia"/>
          <w:color w:val="auto"/>
          <w:sz w:val="24"/>
          <w:szCs w:val="24"/>
          <w:highlight w:val="none"/>
        </w:rPr>
      </w:pPr>
      <w:bookmarkStart w:id="44" w:name="_Toc28359020"/>
      <w:bookmarkStart w:id="45" w:name="_Toc28359097"/>
      <w:bookmarkStart w:id="46" w:name="_Toc35393807"/>
      <w:bookmarkStart w:id="47" w:name="_Toc35393638"/>
      <w:r>
        <w:rPr>
          <w:rFonts w:hint="eastAsia" w:asciiTheme="minorEastAsia" w:hAnsiTheme="minorEastAsia" w:eastAsiaTheme="minorEastAsia" w:cstheme="minorEastAsia"/>
          <w:color w:val="auto"/>
          <w:sz w:val="24"/>
          <w:szCs w:val="24"/>
          <w:highlight w:val="none"/>
        </w:rPr>
        <w:t>2.采购代理机构信息</w:t>
      </w:r>
      <w:bookmarkEnd w:id="44"/>
      <w:bookmarkEnd w:id="45"/>
      <w:bookmarkEnd w:id="46"/>
      <w:bookmarkEnd w:id="47"/>
    </w:p>
    <w:p w14:paraId="30E03A66">
      <w:pPr>
        <w:pageBreakBefore w:val="0"/>
        <w:widowControl w:val="0"/>
        <w:kinsoku/>
        <w:wordWrap/>
        <w:overflowPunct/>
        <w:topLinePunct w:val="0"/>
        <w:autoSpaceDE/>
        <w:autoSpaceDN/>
        <w:bidi w:val="0"/>
        <w:adjustRightInd/>
        <w:snapToGrid/>
        <w:spacing w:line="400" w:lineRule="exact"/>
        <w:ind w:firstLine="720" w:firstLineChars="3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名    称：</w:t>
      </w:r>
      <w:r>
        <w:rPr>
          <w:rFonts w:hint="eastAsia" w:asciiTheme="minorEastAsia" w:hAnsiTheme="minorEastAsia" w:eastAsiaTheme="minorEastAsia" w:cstheme="minorEastAsia"/>
          <w:color w:val="auto"/>
          <w:sz w:val="24"/>
          <w:szCs w:val="24"/>
          <w:highlight w:val="none"/>
          <w:lang w:eastAsia="zh-CN"/>
        </w:rPr>
        <w:t>广西桂林华禹水利水电工程咨询有限公司</w:t>
      </w:r>
    </w:p>
    <w:p w14:paraId="063E5306">
      <w:pPr>
        <w:pageBreakBefore w:val="0"/>
        <w:widowControl w:val="0"/>
        <w:kinsoku/>
        <w:wordWrap/>
        <w:overflowPunct/>
        <w:topLinePunct w:val="0"/>
        <w:autoSpaceDE/>
        <w:autoSpaceDN/>
        <w:bidi w:val="0"/>
        <w:adjustRightInd/>
        <w:snapToGrid/>
        <w:spacing w:line="400" w:lineRule="exact"/>
        <w:ind w:firstLine="720" w:firstLineChars="3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地　　址：</w:t>
      </w:r>
      <w:r>
        <w:rPr>
          <w:rFonts w:hint="eastAsia" w:asciiTheme="minorEastAsia" w:hAnsiTheme="minorEastAsia" w:eastAsiaTheme="minorEastAsia" w:cstheme="minorEastAsia"/>
          <w:color w:val="auto"/>
          <w:sz w:val="24"/>
          <w:szCs w:val="24"/>
          <w:highlight w:val="none"/>
          <w:lang w:eastAsia="zh-CN"/>
        </w:rPr>
        <w:t>贺州市</w:t>
      </w:r>
      <w:r>
        <w:rPr>
          <w:rFonts w:hint="eastAsia" w:asciiTheme="minorEastAsia" w:hAnsiTheme="minorEastAsia" w:eastAsiaTheme="minorEastAsia" w:cstheme="minorEastAsia"/>
          <w:color w:val="auto"/>
          <w:sz w:val="24"/>
          <w:szCs w:val="24"/>
          <w:highlight w:val="none"/>
          <w:lang w:val="en-US" w:eastAsia="zh-CN"/>
        </w:rPr>
        <w:t>昭平县向阳街70号</w:t>
      </w:r>
    </w:p>
    <w:p w14:paraId="7897FA65">
      <w:pPr>
        <w:pageBreakBefore w:val="0"/>
        <w:widowControl w:val="0"/>
        <w:kinsoku/>
        <w:wordWrap/>
        <w:overflowPunct/>
        <w:topLinePunct w:val="0"/>
        <w:autoSpaceDE/>
        <w:autoSpaceDN/>
        <w:bidi w:val="0"/>
        <w:adjustRightInd/>
        <w:snapToGrid/>
        <w:spacing w:line="400" w:lineRule="exact"/>
        <w:ind w:firstLine="720" w:firstLineChars="3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联系方式：</w:t>
      </w:r>
      <w:r>
        <w:rPr>
          <w:rFonts w:hint="eastAsia" w:asciiTheme="minorEastAsia" w:hAnsiTheme="minorEastAsia" w:eastAsiaTheme="minorEastAsia" w:cstheme="minorEastAsia"/>
          <w:color w:val="auto"/>
          <w:sz w:val="24"/>
          <w:szCs w:val="24"/>
          <w:highlight w:val="none"/>
          <w:lang w:eastAsia="zh-CN"/>
        </w:rPr>
        <w:t>0774-</w:t>
      </w:r>
      <w:bookmarkStart w:id="48" w:name="_Toc28359098"/>
      <w:bookmarkStart w:id="49" w:name="_Toc35393808"/>
      <w:bookmarkStart w:id="50" w:name="_Toc35393639"/>
      <w:bookmarkStart w:id="51" w:name="_Toc28359021"/>
      <w:r>
        <w:rPr>
          <w:rFonts w:hint="eastAsia" w:asciiTheme="minorEastAsia" w:hAnsiTheme="minorEastAsia" w:eastAsiaTheme="minorEastAsia" w:cstheme="minorEastAsia"/>
          <w:color w:val="auto"/>
          <w:sz w:val="24"/>
          <w:szCs w:val="24"/>
          <w:highlight w:val="none"/>
          <w:lang w:val="en-US" w:eastAsia="zh-CN"/>
        </w:rPr>
        <w:t>6695352</w:t>
      </w:r>
    </w:p>
    <w:p w14:paraId="7F648BDC">
      <w:pPr>
        <w:pageBreakBefore w:val="0"/>
        <w:widowControl w:val="0"/>
        <w:kinsoku/>
        <w:wordWrap/>
        <w:overflowPunct/>
        <w:topLinePunct w:val="0"/>
        <w:autoSpaceDE/>
        <w:autoSpaceDN/>
        <w:bidi w:val="0"/>
        <w:adjustRightInd/>
        <w:snapToGrid/>
        <w:spacing w:line="400" w:lineRule="exact"/>
        <w:ind w:firstLine="720"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3.项目联系方式</w:t>
      </w:r>
      <w:bookmarkEnd w:id="48"/>
      <w:bookmarkEnd w:id="49"/>
      <w:bookmarkEnd w:id="50"/>
      <w:bookmarkEnd w:id="51"/>
    </w:p>
    <w:p w14:paraId="58B96923">
      <w:pPr>
        <w:pageBreakBefore w:val="0"/>
        <w:widowControl w:val="0"/>
        <w:kinsoku/>
        <w:wordWrap/>
        <w:overflowPunct/>
        <w:topLinePunct w:val="0"/>
        <w:autoSpaceDE/>
        <w:autoSpaceDN/>
        <w:bidi w:val="0"/>
        <w:adjustRightInd/>
        <w:snapToGrid/>
        <w:spacing w:line="400" w:lineRule="exact"/>
        <w:ind w:firstLine="720" w:firstLineChars="3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项目联系人：</w:t>
      </w:r>
      <w:r>
        <w:rPr>
          <w:rFonts w:hint="eastAsia" w:asciiTheme="minorEastAsia" w:hAnsiTheme="minorEastAsia" w:eastAsiaTheme="minorEastAsia" w:cstheme="minorEastAsia"/>
          <w:color w:val="auto"/>
          <w:sz w:val="24"/>
          <w:szCs w:val="24"/>
          <w:highlight w:val="none"/>
          <w:lang w:val="en-US" w:eastAsia="zh-CN"/>
        </w:rPr>
        <w:t>李世斌  13768145297</w:t>
      </w:r>
    </w:p>
    <w:p w14:paraId="1B177754">
      <w:pPr>
        <w:pageBreakBefore w:val="0"/>
        <w:widowControl w:val="0"/>
        <w:kinsoku/>
        <w:wordWrap/>
        <w:overflowPunct/>
        <w:topLinePunct w:val="0"/>
        <w:autoSpaceDE/>
        <w:autoSpaceDN/>
        <w:bidi w:val="0"/>
        <w:adjustRightInd/>
        <w:snapToGrid/>
        <w:spacing w:line="380" w:lineRule="atLeast"/>
        <w:jc w:val="both"/>
        <w:textAlignment w:val="auto"/>
        <w:rPr>
          <w:rFonts w:hint="eastAsia" w:asciiTheme="minorEastAsia" w:hAnsiTheme="minorEastAsia" w:eastAsiaTheme="minorEastAsia" w:cstheme="minorEastAsia"/>
          <w:color w:val="auto"/>
          <w:sz w:val="24"/>
          <w:szCs w:val="24"/>
          <w:highlight w:val="none"/>
          <w:lang w:val="en-US" w:eastAsia="zh-CN"/>
        </w:rPr>
      </w:pPr>
    </w:p>
    <w:p w14:paraId="11DE9569">
      <w:pPr>
        <w:pageBreakBefore w:val="0"/>
        <w:widowControl w:val="0"/>
        <w:kinsoku/>
        <w:wordWrap/>
        <w:overflowPunct/>
        <w:topLinePunct w:val="0"/>
        <w:autoSpaceDE/>
        <w:autoSpaceDN/>
        <w:bidi w:val="0"/>
        <w:adjustRightInd/>
        <w:snapToGrid/>
        <w:spacing w:line="380" w:lineRule="atLeast"/>
        <w:jc w:val="both"/>
        <w:textAlignment w:val="auto"/>
        <w:rPr>
          <w:rFonts w:hint="eastAsia" w:asciiTheme="minorEastAsia" w:hAnsiTheme="minorEastAsia" w:eastAsiaTheme="minorEastAsia" w:cstheme="minorEastAsia"/>
          <w:color w:val="auto"/>
          <w:sz w:val="24"/>
          <w:szCs w:val="24"/>
          <w:highlight w:val="none"/>
          <w:lang w:val="en-US" w:eastAsia="zh-CN"/>
        </w:rPr>
      </w:pPr>
    </w:p>
    <w:p w14:paraId="23A69EF7">
      <w:pPr>
        <w:pageBreakBefore w:val="0"/>
        <w:widowControl w:val="0"/>
        <w:kinsoku/>
        <w:wordWrap/>
        <w:overflowPunct/>
        <w:topLinePunct w:val="0"/>
        <w:autoSpaceDE/>
        <w:autoSpaceDN/>
        <w:bidi w:val="0"/>
        <w:adjustRightInd/>
        <w:snapToGrid/>
        <w:spacing w:line="380" w:lineRule="atLeast"/>
        <w:ind w:firstLine="720" w:firstLineChars="300"/>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zh-TW" w:eastAsia="zh-CN"/>
        </w:rPr>
        <w:t xml:space="preserve">     </w:t>
      </w:r>
    </w:p>
    <w:p w14:paraId="5C84600C">
      <w:pPr>
        <w:spacing w:line="360" w:lineRule="auto"/>
        <w:ind w:firstLine="720" w:firstLineChars="300"/>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采购代理机构：</w:t>
      </w:r>
      <w:r>
        <w:rPr>
          <w:rFonts w:hint="eastAsia" w:asciiTheme="minorEastAsia" w:hAnsiTheme="minorEastAsia" w:eastAsiaTheme="minorEastAsia" w:cstheme="minorEastAsia"/>
          <w:color w:val="auto"/>
          <w:sz w:val="24"/>
          <w:szCs w:val="24"/>
          <w:highlight w:val="none"/>
          <w:lang w:eastAsia="zh-CN"/>
        </w:rPr>
        <w:t>广西桂林华禹水利水电工程咨询有限公司</w:t>
      </w:r>
      <w:r>
        <w:rPr>
          <w:rFonts w:hint="eastAsia" w:asciiTheme="minorEastAsia" w:hAnsiTheme="minorEastAsia" w:eastAsiaTheme="minorEastAsia" w:cstheme="minorEastAsia"/>
          <w:color w:val="auto"/>
          <w:sz w:val="24"/>
          <w:szCs w:val="24"/>
          <w:highlight w:val="none"/>
        </w:rPr>
        <w:t xml:space="preserve">  </w:t>
      </w:r>
    </w:p>
    <w:p w14:paraId="40881C4B">
      <w:pPr>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 </w:t>
      </w:r>
    </w:p>
    <w:p w14:paraId="7588CF62">
      <w:pPr>
        <w:jc w:val="right"/>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202</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05</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21日</w:t>
      </w:r>
    </w:p>
    <w:p w14:paraId="1CF08BF0"/>
    <w:p w14:paraId="0E1ACB3E">
      <w:pPr>
        <w:pStyle w:val="11"/>
        <w:spacing w:line="276" w:lineRule="auto"/>
        <w:jc w:val="center"/>
        <w:outlineLvl w:val="0"/>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br w:type="page"/>
      </w:r>
    </w:p>
    <w:p w14:paraId="439DCD4F">
      <w:pPr>
        <w:pStyle w:val="11"/>
        <w:numPr>
          <w:ilvl w:val="0"/>
          <w:numId w:val="1"/>
        </w:numPr>
        <w:spacing w:line="276" w:lineRule="auto"/>
        <w:ind w:left="0" w:leftChars="0" w:firstLine="0" w:firstLineChars="0"/>
        <w:jc w:val="center"/>
        <w:outlineLvl w:val="0"/>
        <w:rPr>
          <w:rFonts w:hint="eastAsia" w:asciiTheme="minorEastAsia" w:hAnsiTheme="minorEastAsia" w:eastAsiaTheme="minorEastAsia" w:cstheme="minorEastAsia"/>
          <w:b/>
          <w:color w:val="auto"/>
          <w:sz w:val="28"/>
          <w:szCs w:val="28"/>
          <w:highlight w:val="none"/>
        </w:rPr>
      </w:pPr>
      <w:bookmarkStart w:id="52" w:name="_Toc11438"/>
      <w:r>
        <w:rPr>
          <w:rFonts w:hint="eastAsia" w:asciiTheme="minorEastAsia" w:hAnsiTheme="minorEastAsia" w:eastAsiaTheme="minorEastAsia" w:cstheme="minorEastAsia"/>
          <w:b/>
          <w:color w:val="auto"/>
          <w:sz w:val="28"/>
          <w:szCs w:val="28"/>
          <w:highlight w:val="none"/>
          <w:lang w:val="en-US" w:eastAsia="zh-CN"/>
        </w:rPr>
        <w:t xml:space="preserve"> </w:t>
      </w:r>
      <w:r>
        <w:rPr>
          <w:rFonts w:hint="eastAsia" w:asciiTheme="minorEastAsia" w:hAnsiTheme="minorEastAsia" w:eastAsiaTheme="minorEastAsia" w:cstheme="minorEastAsia"/>
          <w:b/>
          <w:color w:val="auto"/>
          <w:sz w:val="28"/>
          <w:szCs w:val="28"/>
          <w:highlight w:val="none"/>
          <w:lang w:eastAsia="zh-CN"/>
        </w:rPr>
        <w:t>磋商供应商</w:t>
      </w:r>
      <w:r>
        <w:rPr>
          <w:rFonts w:hint="eastAsia" w:asciiTheme="minorEastAsia" w:hAnsiTheme="minorEastAsia" w:eastAsiaTheme="minorEastAsia" w:cstheme="minorEastAsia"/>
          <w:b/>
          <w:color w:val="auto"/>
          <w:sz w:val="28"/>
          <w:szCs w:val="28"/>
          <w:highlight w:val="none"/>
        </w:rPr>
        <w:t>须知及前附表</w:t>
      </w:r>
      <w:bookmarkEnd w:id="52"/>
    </w:p>
    <w:p w14:paraId="3633FA37">
      <w:pPr>
        <w:pStyle w:val="12"/>
        <w:numPr>
          <w:ilvl w:val="0"/>
          <w:numId w:val="1"/>
        </w:numPr>
        <w:ind w:left="0" w:leftChars="0" w:firstLine="0" w:firstLineChars="0"/>
        <w:rPr>
          <w:rFonts w:hint="eastAsia"/>
        </w:rPr>
      </w:pPr>
    </w:p>
    <w:tbl>
      <w:tblPr>
        <w:tblStyle w:val="19"/>
        <w:tblW w:w="9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965"/>
        <w:gridCol w:w="7133"/>
      </w:tblGrid>
      <w:tr w14:paraId="468B0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6" w:type="dxa"/>
            <w:noWrap w:val="0"/>
            <w:tcMar>
              <w:top w:w="0" w:type="dxa"/>
              <w:left w:w="57" w:type="dxa"/>
              <w:bottom w:w="0" w:type="dxa"/>
              <w:right w:w="57" w:type="dxa"/>
            </w:tcMar>
            <w:vAlign w:val="center"/>
          </w:tcPr>
          <w:p w14:paraId="41EDDD8D">
            <w:pPr>
              <w:spacing w:line="400" w:lineRule="exact"/>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序号</w:t>
            </w:r>
          </w:p>
        </w:tc>
        <w:tc>
          <w:tcPr>
            <w:tcW w:w="1965" w:type="dxa"/>
            <w:noWrap w:val="0"/>
            <w:tcMar>
              <w:top w:w="0" w:type="dxa"/>
              <w:left w:w="57" w:type="dxa"/>
              <w:bottom w:w="0" w:type="dxa"/>
              <w:right w:w="57" w:type="dxa"/>
            </w:tcMar>
            <w:vAlign w:val="center"/>
          </w:tcPr>
          <w:p w14:paraId="6F8D33F2">
            <w:pPr>
              <w:spacing w:line="400" w:lineRule="exact"/>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color w:val="auto"/>
                <w:sz w:val="24"/>
                <w:szCs w:val="24"/>
                <w:highlight w:val="none"/>
              </w:rPr>
              <w:t>名称</w:t>
            </w:r>
          </w:p>
        </w:tc>
        <w:tc>
          <w:tcPr>
            <w:tcW w:w="7133" w:type="dxa"/>
            <w:noWrap w:val="0"/>
            <w:tcMar>
              <w:top w:w="0" w:type="dxa"/>
              <w:left w:w="57" w:type="dxa"/>
              <w:bottom w:w="0" w:type="dxa"/>
              <w:right w:w="57" w:type="dxa"/>
            </w:tcMar>
            <w:vAlign w:val="center"/>
          </w:tcPr>
          <w:p w14:paraId="13FAFC79">
            <w:pPr>
              <w:spacing w:line="400" w:lineRule="exact"/>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内     容</w:t>
            </w:r>
          </w:p>
        </w:tc>
      </w:tr>
      <w:tr w14:paraId="585DE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tcMar>
              <w:top w:w="0" w:type="dxa"/>
              <w:left w:w="57" w:type="dxa"/>
              <w:bottom w:w="0" w:type="dxa"/>
              <w:right w:w="57" w:type="dxa"/>
            </w:tcMar>
            <w:vAlign w:val="center"/>
          </w:tcPr>
          <w:p w14:paraId="3A6B6344">
            <w:pPr>
              <w:tabs>
                <w:tab w:val="left" w:pos="1680"/>
              </w:tabs>
              <w:spacing w:line="400" w:lineRule="exact"/>
              <w:ind w:right="-192"/>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1965" w:type="dxa"/>
            <w:noWrap w:val="0"/>
            <w:tcMar>
              <w:top w:w="0" w:type="dxa"/>
              <w:left w:w="57" w:type="dxa"/>
              <w:bottom w:w="0" w:type="dxa"/>
              <w:right w:w="57" w:type="dxa"/>
            </w:tcMar>
            <w:vAlign w:val="center"/>
          </w:tcPr>
          <w:p w14:paraId="67108098">
            <w:pPr>
              <w:tabs>
                <w:tab w:val="left" w:pos="1680"/>
              </w:tabs>
              <w:spacing w:line="400" w:lineRule="exact"/>
              <w:ind w:right="-192"/>
              <w:jc w:val="center"/>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rPr>
              <w:t>项目名称</w:t>
            </w:r>
            <w:r>
              <w:rPr>
                <w:rFonts w:hint="eastAsia" w:asciiTheme="minorEastAsia" w:hAnsiTheme="minorEastAsia" w:eastAsiaTheme="minorEastAsia" w:cstheme="minorEastAsia"/>
                <w:b/>
                <w:bCs/>
                <w:color w:val="auto"/>
                <w:sz w:val="24"/>
                <w:szCs w:val="24"/>
                <w:highlight w:val="none"/>
                <w:lang w:eastAsia="zh-CN"/>
              </w:rPr>
              <w:t>及</w:t>
            </w:r>
          </w:p>
          <w:p w14:paraId="617D69DB">
            <w:pPr>
              <w:tabs>
                <w:tab w:val="left" w:pos="1680"/>
              </w:tabs>
              <w:spacing w:line="400" w:lineRule="exact"/>
              <w:ind w:right="-192"/>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eastAsia="zh-CN"/>
              </w:rPr>
              <w:t>项目编号</w:t>
            </w:r>
          </w:p>
        </w:tc>
        <w:tc>
          <w:tcPr>
            <w:tcW w:w="7133" w:type="dxa"/>
            <w:noWrap w:val="0"/>
            <w:vAlign w:val="center"/>
          </w:tcPr>
          <w:p w14:paraId="134E66C6">
            <w:pPr>
              <w:tabs>
                <w:tab w:val="left" w:pos="1680"/>
              </w:tabs>
              <w:spacing w:line="400" w:lineRule="exact"/>
              <w:ind w:right="69" w:rightChars="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rPr>
              <w:t>项目名称</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eastAsia="zh-CN"/>
              </w:rPr>
              <w:t>昭平县木格乡花会冲八角基地产业路项目</w:t>
            </w:r>
          </w:p>
          <w:p w14:paraId="1029E2AE">
            <w:pPr>
              <w:tabs>
                <w:tab w:val="left" w:pos="1680"/>
              </w:tabs>
              <w:spacing w:line="400" w:lineRule="exact"/>
              <w:ind w:right="-192"/>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项目编号</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HZZC2026-C2-210032-GLHY</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 xml:space="preserve">  </w:t>
            </w:r>
          </w:p>
        </w:tc>
      </w:tr>
      <w:tr w14:paraId="1829C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706" w:type="dxa"/>
            <w:noWrap w:val="0"/>
            <w:tcMar>
              <w:top w:w="0" w:type="dxa"/>
              <w:left w:w="57" w:type="dxa"/>
              <w:bottom w:w="0" w:type="dxa"/>
              <w:right w:w="57" w:type="dxa"/>
            </w:tcMar>
            <w:vAlign w:val="center"/>
          </w:tcPr>
          <w:p w14:paraId="4CD41C53">
            <w:pPr>
              <w:tabs>
                <w:tab w:val="left" w:pos="1680"/>
              </w:tabs>
              <w:spacing w:line="400" w:lineRule="exact"/>
              <w:ind w:right="-192"/>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w:t>
            </w:r>
          </w:p>
        </w:tc>
        <w:tc>
          <w:tcPr>
            <w:tcW w:w="1965" w:type="dxa"/>
            <w:noWrap w:val="0"/>
            <w:tcMar>
              <w:top w:w="0" w:type="dxa"/>
              <w:left w:w="57" w:type="dxa"/>
              <w:bottom w:w="0" w:type="dxa"/>
              <w:right w:w="57" w:type="dxa"/>
            </w:tcMar>
            <w:vAlign w:val="center"/>
          </w:tcPr>
          <w:p w14:paraId="43190860">
            <w:pPr>
              <w:tabs>
                <w:tab w:val="left" w:pos="1680"/>
              </w:tabs>
              <w:spacing w:line="400" w:lineRule="exact"/>
              <w:ind w:right="-192"/>
              <w:jc w:val="center"/>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项目基本概况</w:t>
            </w:r>
          </w:p>
          <w:p w14:paraId="3B3DF100">
            <w:pPr>
              <w:tabs>
                <w:tab w:val="left" w:pos="1680"/>
              </w:tabs>
              <w:spacing w:line="400" w:lineRule="exact"/>
              <w:ind w:right="-192"/>
              <w:jc w:val="center"/>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介绍</w:t>
            </w:r>
          </w:p>
        </w:tc>
        <w:tc>
          <w:tcPr>
            <w:tcW w:w="7133" w:type="dxa"/>
            <w:noWrap w:val="0"/>
            <w:vAlign w:val="center"/>
          </w:tcPr>
          <w:p w14:paraId="2BDF622E">
            <w:pPr>
              <w:numPr>
                <w:ilvl w:val="0"/>
                <w:numId w:val="0"/>
              </w:numPr>
              <w:tabs>
                <w:tab w:val="left" w:pos="1680"/>
              </w:tabs>
              <w:spacing w:line="400" w:lineRule="exact"/>
              <w:ind w:right="-74" w:rightChars="0"/>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主要建设内容为：昭平县木格乡花会冲八角基地产业路项目，本项目主要建设内容为新建产业路道路长2000米，路面宽3.0米厚度0.18米等内容；具体内容以经财政投资评审的《工程量清单》为准，其施工技术标准详见《施工图设计》</w:t>
            </w:r>
          </w:p>
        </w:tc>
      </w:tr>
      <w:tr w14:paraId="55BA4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tcMar>
              <w:top w:w="0" w:type="dxa"/>
              <w:left w:w="57" w:type="dxa"/>
              <w:bottom w:w="0" w:type="dxa"/>
              <w:right w:w="57" w:type="dxa"/>
            </w:tcMar>
            <w:vAlign w:val="center"/>
          </w:tcPr>
          <w:p w14:paraId="2D104E43">
            <w:pPr>
              <w:tabs>
                <w:tab w:val="left" w:pos="1680"/>
              </w:tabs>
              <w:spacing w:line="400" w:lineRule="exact"/>
              <w:ind w:right="-192"/>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p>
        </w:tc>
        <w:tc>
          <w:tcPr>
            <w:tcW w:w="1965" w:type="dxa"/>
            <w:noWrap w:val="0"/>
            <w:tcMar>
              <w:top w:w="0" w:type="dxa"/>
              <w:left w:w="57" w:type="dxa"/>
              <w:bottom w:w="0" w:type="dxa"/>
              <w:right w:w="57" w:type="dxa"/>
            </w:tcMar>
            <w:vAlign w:val="center"/>
          </w:tcPr>
          <w:p w14:paraId="5AD23E26">
            <w:pPr>
              <w:tabs>
                <w:tab w:val="left" w:pos="1680"/>
              </w:tabs>
              <w:spacing w:line="400" w:lineRule="exact"/>
              <w:ind w:right="-192"/>
              <w:jc w:val="center"/>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资金来源</w:t>
            </w:r>
          </w:p>
        </w:tc>
        <w:tc>
          <w:tcPr>
            <w:tcW w:w="7133" w:type="dxa"/>
            <w:noWrap w:val="0"/>
            <w:vAlign w:val="center"/>
          </w:tcPr>
          <w:p w14:paraId="7CF73A71">
            <w:pPr>
              <w:tabs>
                <w:tab w:val="left" w:pos="1680"/>
              </w:tabs>
              <w:spacing w:line="400" w:lineRule="exact"/>
              <w:ind w:right="-74" w:rightChars="0"/>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财政资金</w:t>
            </w:r>
          </w:p>
        </w:tc>
      </w:tr>
      <w:tr w14:paraId="40CC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tcMar>
              <w:top w:w="0" w:type="dxa"/>
              <w:left w:w="57" w:type="dxa"/>
              <w:bottom w:w="0" w:type="dxa"/>
              <w:right w:w="57" w:type="dxa"/>
            </w:tcMar>
            <w:vAlign w:val="center"/>
          </w:tcPr>
          <w:p w14:paraId="446B305B">
            <w:pPr>
              <w:tabs>
                <w:tab w:val="left" w:pos="1680"/>
              </w:tabs>
              <w:spacing w:line="400" w:lineRule="exact"/>
              <w:ind w:right="-192"/>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p>
        </w:tc>
        <w:tc>
          <w:tcPr>
            <w:tcW w:w="1965" w:type="dxa"/>
            <w:noWrap w:val="0"/>
            <w:tcMar>
              <w:top w:w="0" w:type="dxa"/>
              <w:left w:w="57" w:type="dxa"/>
              <w:bottom w:w="0" w:type="dxa"/>
              <w:right w:w="57" w:type="dxa"/>
            </w:tcMar>
            <w:vAlign w:val="center"/>
          </w:tcPr>
          <w:p w14:paraId="67F3FC1D">
            <w:pPr>
              <w:tabs>
                <w:tab w:val="left" w:pos="1680"/>
              </w:tabs>
              <w:spacing w:line="400" w:lineRule="exact"/>
              <w:ind w:right="-192"/>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rPr>
              <w:t>工期要求</w:t>
            </w:r>
          </w:p>
        </w:tc>
        <w:tc>
          <w:tcPr>
            <w:tcW w:w="7133" w:type="dxa"/>
            <w:noWrap w:val="0"/>
            <w:tcMar>
              <w:top w:w="0" w:type="dxa"/>
              <w:left w:w="57" w:type="dxa"/>
              <w:bottom w:w="0" w:type="dxa"/>
              <w:right w:w="57" w:type="dxa"/>
            </w:tcMar>
            <w:vAlign w:val="center"/>
          </w:tcPr>
          <w:p w14:paraId="2BFB6966">
            <w:pPr>
              <w:tabs>
                <w:tab w:val="left" w:pos="1680"/>
              </w:tabs>
              <w:spacing w:line="400" w:lineRule="exact"/>
              <w:ind w:right="-192"/>
              <w:jc w:val="both"/>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具体以开工令为准，工期为90日历天</w:t>
            </w:r>
          </w:p>
        </w:tc>
      </w:tr>
      <w:tr w14:paraId="2F307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tcMar>
              <w:top w:w="0" w:type="dxa"/>
              <w:left w:w="57" w:type="dxa"/>
              <w:bottom w:w="0" w:type="dxa"/>
              <w:right w:w="57" w:type="dxa"/>
            </w:tcMar>
            <w:vAlign w:val="center"/>
          </w:tcPr>
          <w:p w14:paraId="7A8BB4F8">
            <w:pPr>
              <w:tabs>
                <w:tab w:val="left" w:pos="1680"/>
              </w:tabs>
              <w:spacing w:line="400" w:lineRule="exact"/>
              <w:ind w:right="-192"/>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p>
        </w:tc>
        <w:tc>
          <w:tcPr>
            <w:tcW w:w="1965" w:type="dxa"/>
            <w:noWrap w:val="0"/>
            <w:tcMar>
              <w:top w:w="0" w:type="dxa"/>
              <w:left w:w="57" w:type="dxa"/>
              <w:bottom w:w="0" w:type="dxa"/>
              <w:right w:w="57" w:type="dxa"/>
            </w:tcMar>
            <w:vAlign w:val="center"/>
          </w:tcPr>
          <w:p w14:paraId="77590D2E">
            <w:pPr>
              <w:tabs>
                <w:tab w:val="left" w:pos="1680"/>
              </w:tabs>
              <w:spacing w:line="400" w:lineRule="exact"/>
              <w:ind w:right="-192"/>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rPr>
              <w:t>质量要求</w:t>
            </w:r>
          </w:p>
        </w:tc>
        <w:tc>
          <w:tcPr>
            <w:tcW w:w="7133" w:type="dxa"/>
            <w:noWrap w:val="0"/>
            <w:tcMar>
              <w:top w:w="0" w:type="dxa"/>
              <w:left w:w="57" w:type="dxa"/>
              <w:bottom w:w="0" w:type="dxa"/>
              <w:right w:w="57" w:type="dxa"/>
            </w:tcMar>
            <w:vAlign w:val="center"/>
          </w:tcPr>
          <w:p w14:paraId="1E167388">
            <w:pPr>
              <w:tabs>
                <w:tab w:val="left" w:pos="1680"/>
              </w:tabs>
              <w:spacing w:line="400" w:lineRule="exact"/>
              <w:ind w:right="-192"/>
              <w:jc w:val="both"/>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达到现行国家竣工验收规范合格标准。</w:t>
            </w:r>
          </w:p>
        </w:tc>
      </w:tr>
      <w:tr w14:paraId="37DDF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tcMar>
              <w:top w:w="0" w:type="dxa"/>
              <w:left w:w="57" w:type="dxa"/>
              <w:bottom w:w="0" w:type="dxa"/>
              <w:right w:w="57" w:type="dxa"/>
            </w:tcMar>
            <w:vAlign w:val="center"/>
          </w:tcPr>
          <w:p w14:paraId="723BAD42">
            <w:pPr>
              <w:spacing w:line="400" w:lineRule="exact"/>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6</w:t>
            </w:r>
          </w:p>
        </w:tc>
        <w:tc>
          <w:tcPr>
            <w:tcW w:w="1965" w:type="dxa"/>
            <w:noWrap w:val="0"/>
            <w:tcMar>
              <w:top w:w="0" w:type="dxa"/>
              <w:left w:w="57" w:type="dxa"/>
              <w:bottom w:w="0" w:type="dxa"/>
              <w:right w:w="57" w:type="dxa"/>
            </w:tcMar>
            <w:vAlign w:val="center"/>
          </w:tcPr>
          <w:p w14:paraId="229CCB69">
            <w:pPr>
              <w:spacing w:line="400" w:lineRule="exact"/>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磋商供应商</w:t>
            </w:r>
            <w:r>
              <w:rPr>
                <w:rFonts w:hint="eastAsia" w:asciiTheme="minorEastAsia" w:hAnsiTheme="minorEastAsia" w:eastAsiaTheme="minorEastAsia" w:cstheme="minorEastAsia"/>
                <w:b/>
                <w:bCs/>
                <w:color w:val="auto"/>
                <w:sz w:val="24"/>
                <w:szCs w:val="24"/>
                <w:highlight w:val="none"/>
              </w:rPr>
              <w:t>资格要求</w:t>
            </w:r>
          </w:p>
          <w:p w14:paraId="6106E300">
            <w:pPr>
              <w:spacing w:line="400" w:lineRule="exact"/>
              <w:jc w:val="center"/>
              <w:rPr>
                <w:rFonts w:hint="eastAsia" w:asciiTheme="minorEastAsia" w:hAnsiTheme="minorEastAsia" w:eastAsiaTheme="minorEastAsia" w:cstheme="minorEastAsia"/>
                <w:color w:val="auto"/>
                <w:sz w:val="24"/>
                <w:szCs w:val="24"/>
                <w:highlight w:val="none"/>
              </w:rPr>
            </w:pPr>
          </w:p>
        </w:tc>
        <w:tc>
          <w:tcPr>
            <w:tcW w:w="7133" w:type="dxa"/>
            <w:noWrap w:val="0"/>
            <w:tcMar>
              <w:top w:w="0" w:type="dxa"/>
              <w:left w:w="57" w:type="dxa"/>
              <w:bottom w:w="0" w:type="dxa"/>
              <w:right w:w="57" w:type="dxa"/>
            </w:tcMar>
            <w:vAlign w:val="center"/>
          </w:tcPr>
          <w:p w14:paraId="031DE2F1">
            <w:pPr>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1.满足《中华人民共和国政府采购法》第二十二条规定；</w:t>
            </w:r>
          </w:p>
          <w:p w14:paraId="76AF758A">
            <w:pPr>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2.落实政府采购政策需满足的资格要求：</w:t>
            </w:r>
          </w:p>
          <w:p w14:paraId="1C6C3221">
            <w:pPr>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☑专门面向中小企业采购的项目（供应商应为中小微企业、监狱企业、残疾人福利性单位）</w:t>
            </w:r>
          </w:p>
          <w:p w14:paraId="3CF89DA1">
            <w:pPr>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□非专门面向中小企业采购的项目</w:t>
            </w:r>
          </w:p>
          <w:p w14:paraId="19A1687C">
            <w:pPr>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3.本项目的特定资格要求：</w:t>
            </w:r>
          </w:p>
          <w:p w14:paraId="37CFA59D">
            <w:pPr>
              <w:pageBreakBefore w:val="0"/>
              <w:widowControl/>
              <w:kinsoku/>
              <w:wordWrap/>
              <w:overflowPunct/>
              <w:topLinePunct w:val="0"/>
              <w:autoSpaceDE/>
              <w:autoSpaceDN/>
              <w:bidi w:val="0"/>
              <w:snapToGrid/>
              <w:spacing w:line="400" w:lineRule="exact"/>
              <w:jc w:val="left"/>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（1）具有公路工程施工总承包叁级以上（含叁级）资质，持有有效的省级及以上建设行政主管部门颁发的《安全生产许可证》，并在人员、设备、资金等方面具备相应的施工能力的供应商；</w:t>
            </w:r>
          </w:p>
          <w:p w14:paraId="605C894D">
            <w:pPr>
              <w:pageBreakBefore w:val="0"/>
              <w:widowControl/>
              <w:kinsoku/>
              <w:wordWrap/>
              <w:overflowPunct/>
              <w:topLinePunct w:val="0"/>
              <w:autoSpaceDE/>
              <w:autoSpaceDN/>
              <w:bidi w:val="0"/>
              <w:snapToGrid/>
              <w:spacing w:line="400" w:lineRule="exact"/>
              <w:jc w:val="left"/>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（2）</w:t>
            </w:r>
            <w:r>
              <w:rPr>
                <w:rFonts w:hint="eastAsia" w:asciiTheme="minorEastAsia" w:hAnsiTheme="minorEastAsia" w:eastAsiaTheme="minorEastAsia" w:cstheme="minorEastAsia"/>
                <w:color w:val="auto"/>
                <w:sz w:val="24"/>
                <w:szCs w:val="24"/>
                <w:highlight w:val="none"/>
                <w:lang w:val="en-US" w:eastAsia="zh-CN"/>
              </w:rPr>
              <w:t>拟投入的项目经理须具备公路工程类专业注册建造师二级以上（含二级）执业资格和具备有效的《安全生产考核合格证书（B类）》【提供项目经理注册建造师执业资格证书和安全生产考核合格证书（B类）的扫描件】。</w:t>
            </w:r>
          </w:p>
          <w:p w14:paraId="405A6BE9">
            <w:pPr>
              <w:pageBreakBefore w:val="0"/>
              <w:widowControl/>
              <w:kinsoku/>
              <w:wordWrap/>
              <w:overflowPunct/>
              <w:topLinePunct w:val="0"/>
              <w:autoSpaceDE/>
              <w:autoSpaceDN/>
              <w:bidi w:val="0"/>
              <w:snapToGrid/>
              <w:spacing w:line="400" w:lineRule="exact"/>
              <w:jc w:val="left"/>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3）对在“信用中国”网站(www.creditchina.gov.cn)，中国政府采购网(www.ccgp.gov.cn)等渠道列入失信被执行人、重大税收违法案件当事人名单、政府采购严重违法失信行为记录名单的磋商人，不得参与政府采购活动（以评标过程中查询结果为准）；</w:t>
            </w:r>
          </w:p>
          <w:p w14:paraId="5CAEF1D6">
            <w:pPr>
              <w:pageBreakBefore w:val="0"/>
              <w:widowControl/>
              <w:kinsoku/>
              <w:wordWrap/>
              <w:overflowPunct/>
              <w:topLinePunct w:val="0"/>
              <w:autoSpaceDE/>
              <w:autoSpaceDN/>
              <w:bidi w:val="0"/>
              <w:snapToGrid/>
              <w:spacing w:line="4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SA"/>
              </w:rPr>
              <w:t>（4）本项目不接受联合体磋商。</w:t>
            </w:r>
          </w:p>
        </w:tc>
      </w:tr>
      <w:tr w14:paraId="43AF2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tcMar>
              <w:top w:w="0" w:type="dxa"/>
              <w:left w:w="57" w:type="dxa"/>
              <w:bottom w:w="0" w:type="dxa"/>
              <w:right w:w="57" w:type="dxa"/>
            </w:tcMar>
            <w:vAlign w:val="center"/>
          </w:tcPr>
          <w:p w14:paraId="70D52A48">
            <w:pPr>
              <w:spacing w:line="400" w:lineRule="exact"/>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7</w:t>
            </w:r>
          </w:p>
        </w:tc>
        <w:tc>
          <w:tcPr>
            <w:tcW w:w="1965" w:type="dxa"/>
            <w:noWrap w:val="0"/>
            <w:tcMar>
              <w:top w:w="0" w:type="dxa"/>
              <w:left w:w="57" w:type="dxa"/>
              <w:bottom w:w="0" w:type="dxa"/>
              <w:right w:w="57" w:type="dxa"/>
            </w:tcMar>
            <w:vAlign w:val="center"/>
          </w:tcPr>
          <w:p w14:paraId="1004D43E">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增值税计税方法</w:t>
            </w:r>
          </w:p>
        </w:tc>
        <w:tc>
          <w:tcPr>
            <w:tcW w:w="7133" w:type="dxa"/>
            <w:noWrap w:val="0"/>
            <w:tcMar>
              <w:top w:w="0" w:type="dxa"/>
              <w:left w:w="57" w:type="dxa"/>
              <w:bottom w:w="0" w:type="dxa"/>
              <w:right w:w="57" w:type="dxa"/>
            </w:tcMar>
            <w:vAlign w:val="center"/>
          </w:tcPr>
          <w:p w14:paraId="096613A3">
            <w:pPr>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 一般计税法。</w:t>
            </w:r>
          </w:p>
        </w:tc>
      </w:tr>
      <w:tr w14:paraId="66825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tcMar>
              <w:top w:w="0" w:type="dxa"/>
              <w:left w:w="57" w:type="dxa"/>
              <w:bottom w:w="0" w:type="dxa"/>
              <w:right w:w="57" w:type="dxa"/>
            </w:tcMar>
            <w:vAlign w:val="center"/>
          </w:tcPr>
          <w:p w14:paraId="405FDE9B">
            <w:pPr>
              <w:spacing w:line="400" w:lineRule="exact"/>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8</w:t>
            </w:r>
          </w:p>
        </w:tc>
        <w:tc>
          <w:tcPr>
            <w:tcW w:w="1965" w:type="dxa"/>
            <w:noWrap w:val="0"/>
            <w:tcMar>
              <w:top w:w="0" w:type="dxa"/>
              <w:left w:w="57" w:type="dxa"/>
              <w:bottom w:w="0" w:type="dxa"/>
              <w:right w:w="57" w:type="dxa"/>
            </w:tcMar>
            <w:vAlign w:val="center"/>
          </w:tcPr>
          <w:p w14:paraId="1C1456CB">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磋商有效期</w:t>
            </w:r>
          </w:p>
        </w:tc>
        <w:tc>
          <w:tcPr>
            <w:tcW w:w="7133" w:type="dxa"/>
            <w:noWrap w:val="0"/>
            <w:tcMar>
              <w:top w:w="0" w:type="dxa"/>
              <w:left w:w="57" w:type="dxa"/>
              <w:bottom w:w="0" w:type="dxa"/>
              <w:right w:w="57" w:type="dxa"/>
            </w:tcMar>
            <w:vAlign w:val="center"/>
          </w:tcPr>
          <w:p w14:paraId="0BAD7EE4">
            <w:pPr>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磋商截止日期后45天</w:t>
            </w:r>
            <w:r>
              <w:rPr>
                <w:rFonts w:hint="eastAsia" w:asciiTheme="minorEastAsia" w:hAnsiTheme="minorEastAsia" w:eastAsiaTheme="minorEastAsia" w:cstheme="minorEastAsia"/>
                <w:color w:val="auto"/>
                <w:sz w:val="24"/>
                <w:szCs w:val="24"/>
                <w:highlight w:val="none"/>
              </w:rPr>
              <w:t>。</w:t>
            </w:r>
          </w:p>
        </w:tc>
      </w:tr>
      <w:tr w14:paraId="4DBCE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0" w:hRule="atLeast"/>
          <w:jc w:val="center"/>
        </w:trPr>
        <w:tc>
          <w:tcPr>
            <w:tcW w:w="706" w:type="dxa"/>
            <w:noWrap w:val="0"/>
            <w:tcMar>
              <w:top w:w="0" w:type="dxa"/>
              <w:left w:w="57" w:type="dxa"/>
              <w:bottom w:w="0" w:type="dxa"/>
              <w:right w:w="57" w:type="dxa"/>
            </w:tcMar>
            <w:vAlign w:val="center"/>
          </w:tcPr>
          <w:p w14:paraId="54C5C0C1">
            <w:pPr>
              <w:spacing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w:t>
            </w:r>
          </w:p>
        </w:tc>
        <w:tc>
          <w:tcPr>
            <w:tcW w:w="1965" w:type="dxa"/>
            <w:noWrap w:val="0"/>
            <w:tcMar>
              <w:top w:w="0" w:type="dxa"/>
              <w:left w:w="57" w:type="dxa"/>
              <w:bottom w:w="0" w:type="dxa"/>
              <w:right w:w="57" w:type="dxa"/>
            </w:tcMar>
            <w:vAlign w:val="center"/>
          </w:tcPr>
          <w:p w14:paraId="0DB04031">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响应文件电子版要求</w:t>
            </w:r>
          </w:p>
        </w:tc>
        <w:tc>
          <w:tcPr>
            <w:tcW w:w="7133" w:type="dxa"/>
            <w:noWrap w:val="0"/>
            <w:tcMar>
              <w:top w:w="0" w:type="dxa"/>
              <w:left w:w="57" w:type="dxa"/>
              <w:bottom w:w="0" w:type="dxa"/>
              <w:right w:w="57" w:type="dxa"/>
            </w:tcMar>
            <w:vAlign w:val="center"/>
          </w:tcPr>
          <w:p w14:paraId="4F65AF05">
            <w:pPr>
              <w:keepNext w:val="0"/>
              <w:keepLines w:val="0"/>
              <w:pageBreakBefore w:val="0"/>
              <w:widowControl w:val="0"/>
              <w:numPr>
                <w:ilvl w:val="0"/>
                <w:numId w:val="3"/>
              </w:numPr>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响应文件电子版要求：</w:t>
            </w:r>
            <w:r>
              <w:rPr>
                <w:rFonts w:hint="eastAsia" w:asciiTheme="minorEastAsia" w:hAnsiTheme="minorEastAsia" w:eastAsiaTheme="minorEastAsia" w:cstheme="minorEastAsia"/>
                <w:color w:val="auto"/>
                <w:sz w:val="24"/>
                <w:szCs w:val="24"/>
                <w:highlight w:val="none"/>
              </w:rPr>
              <w:t>按照</w:t>
            </w:r>
            <w:r>
              <w:rPr>
                <w:rFonts w:hint="eastAsia" w:asciiTheme="minorEastAsia" w:hAnsiTheme="minorEastAsia" w:eastAsiaTheme="minorEastAsia" w:cstheme="minorEastAsia"/>
                <w:color w:val="auto"/>
                <w:sz w:val="24"/>
                <w:szCs w:val="24"/>
                <w:highlight w:val="none"/>
                <w:lang w:val="en-US" w:eastAsia="zh-CN"/>
              </w:rPr>
              <w:t>竞争性磋商</w:t>
            </w:r>
            <w:r>
              <w:rPr>
                <w:rFonts w:hint="eastAsia" w:asciiTheme="minorEastAsia" w:hAnsiTheme="minorEastAsia" w:eastAsiaTheme="minorEastAsia" w:cstheme="minorEastAsia"/>
                <w:color w:val="auto"/>
                <w:sz w:val="24"/>
                <w:szCs w:val="24"/>
                <w:highlight w:val="none"/>
              </w:rPr>
              <w:t>文件第</w:t>
            </w:r>
            <w:r>
              <w:rPr>
                <w:rFonts w:hint="eastAsia" w:asciiTheme="minorEastAsia" w:hAnsiTheme="minorEastAsia" w:eastAsiaTheme="minorEastAsia" w:cstheme="minorEastAsia"/>
                <w:color w:val="auto"/>
                <w:sz w:val="24"/>
                <w:szCs w:val="24"/>
                <w:highlight w:val="none"/>
                <w:lang w:val="en-US" w:eastAsia="zh-CN"/>
              </w:rPr>
              <w:t>七</w:t>
            </w:r>
            <w:r>
              <w:rPr>
                <w:rFonts w:hint="eastAsia" w:asciiTheme="minorEastAsia" w:hAnsiTheme="minorEastAsia" w:eastAsiaTheme="minorEastAsia" w:cstheme="minorEastAsia"/>
                <w:color w:val="auto"/>
                <w:sz w:val="24"/>
                <w:szCs w:val="24"/>
                <w:highlight w:val="none"/>
              </w:rPr>
              <w:t>章</w:t>
            </w:r>
            <w:r>
              <w:rPr>
                <w:rFonts w:hint="eastAsia" w:asciiTheme="minorEastAsia" w:hAnsiTheme="minorEastAsia" w:eastAsiaTheme="minorEastAsia" w:cstheme="minorEastAsia"/>
                <w:color w:val="auto"/>
                <w:sz w:val="24"/>
                <w:szCs w:val="24"/>
                <w:highlight w:val="none"/>
                <w:lang w:val="en-US" w:eastAsia="zh-CN"/>
              </w:rPr>
              <w:t>响应文件</w:t>
            </w:r>
            <w:r>
              <w:rPr>
                <w:rFonts w:hint="eastAsia" w:asciiTheme="minorEastAsia" w:hAnsiTheme="minorEastAsia" w:eastAsiaTheme="minorEastAsia" w:cstheme="minorEastAsia"/>
                <w:color w:val="auto"/>
                <w:sz w:val="24"/>
                <w:szCs w:val="24"/>
                <w:highlight w:val="none"/>
              </w:rPr>
              <w:t>格式</w:t>
            </w:r>
            <w:r>
              <w:rPr>
                <w:rFonts w:hint="eastAsia" w:asciiTheme="minorEastAsia" w:hAnsiTheme="minorEastAsia" w:eastAsiaTheme="minorEastAsia" w:cstheme="minorEastAsia"/>
                <w:color w:val="auto"/>
                <w:sz w:val="24"/>
                <w:szCs w:val="24"/>
                <w:highlight w:val="none"/>
                <w:lang w:val="en-US" w:eastAsia="zh-CN"/>
              </w:rPr>
              <w:t>进行编写，按</w:t>
            </w:r>
            <w:r>
              <w:rPr>
                <w:rFonts w:hint="eastAsia" w:asciiTheme="minorEastAsia" w:hAnsiTheme="minorEastAsia" w:eastAsiaTheme="minorEastAsia" w:cstheme="minorEastAsia"/>
                <w:color w:val="auto"/>
                <w:sz w:val="24"/>
                <w:szCs w:val="24"/>
                <w:highlight w:val="none"/>
              </w:rPr>
              <w:t>要求在规定位置进行签署、盖章</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第</w:t>
            </w:r>
            <w:r>
              <w:rPr>
                <w:rFonts w:hint="eastAsia" w:asciiTheme="minorEastAsia" w:hAnsiTheme="minorEastAsia" w:eastAsiaTheme="minorEastAsia" w:cstheme="minorEastAsia"/>
                <w:color w:val="auto"/>
                <w:sz w:val="24"/>
                <w:szCs w:val="24"/>
                <w:highlight w:val="none"/>
                <w:lang w:val="en-US" w:eastAsia="zh-CN"/>
              </w:rPr>
              <w:t>七</w:t>
            </w:r>
            <w:r>
              <w:rPr>
                <w:rFonts w:hint="eastAsia" w:asciiTheme="minorEastAsia" w:hAnsiTheme="minorEastAsia" w:eastAsiaTheme="minorEastAsia" w:cstheme="minorEastAsia"/>
                <w:color w:val="auto"/>
                <w:sz w:val="24"/>
                <w:szCs w:val="24"/>
                <w:highlight w:val="none"/>
              </w:rPr>
              <w:t>章</w:t>
            </w:r>
            <w:r>
              <w:rPr>
                <w:rFonts w:hint="eastAsia" w:asciiTheme="minorEastAsia" w:hAnsiTheme="minorEastAsia" w:eastAsiaTheme="minorEastAsia" w:cstheme="minorEastAsia"/>
                <w:color w:val="auto"/>
                <w:sz w:val="24"/>
                <w:szCs w:val="24"/>
                <w:highlight w:val="none"/>
                <w:lang w:val="en-US" w:eastAsia="zh-CN"/>
              </w:rPr>
              <w:t>未附格式的，由供应商自行拟定。</w:t>
            </w:r>
          </w:p>
          <w:p w14:paraId="6B082BD9">
            <w:pPr>
              <w:keepNext w:val="0"/>
              <w:keepLines w:val="0"/>
              <w:pageBreakBefore w:val="0"/>
              <w:widowControl w:val="0"/>
              <w:numPr>
                <w:ilvl w:val="0"/>
                <w:numId w:val="3"/>
              </w:numPr>
              <w:kinsoku/>
              <w:wordWrap/>
              <w:overflowPunct/>
              <w:topLinePunct w:val="0"/>
              <w:autoSpaceDE/>
              <w:autoSpaceDN/>
              <w:bidi w:val="0"/>
              <w:adjustRightInd/>
              <w:snapToGrid/>
              <w:spacing w:line="340" w:lineRule="exact"/>
              <w:ind w:left="0" w:leftChars="0" w:firstLine="0" w:firstLineChars="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响应文件电子版密封方式：电子响应文件通过平台有效 CA 加密后在“广西政采云”平台投送。</w:t>
            </w:r>
          </w:p>
          <w:p w14:paraId="61FC4672">
            <w:pPr>
              <w:keepNext w:val="0"/>
              <w:keepLines w:val="0"/>
              <w:pageBreakBefore w:val="0"/>
              <w:widowControl w:val="0"/>
              <w:numPr>
                <w:ilvl w:val="0"/>
                <w:numId w:val="3"/>
              </w:numPr>
              <w:kinsoku/>
              <w:wordWrap/>
              <w:overflowPunct/>
              <w:topLinePunct w:val="0"/>
              <w:autoSpaceDE/>
              <w:autoSpaceDN/>
              <w:bidi w:val="0"/>
              <w:adjustRightInd/>
              <w:snapToGrid/>
              <w:spacing w:line="340" w:lineRule="exact"/>
              <w:ind w:left="0" w:leftChars="0" w:firstLine="0" w:firstLineChars="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u w:val="single"/>
                <w:lang w:val="en-US" w:eastAsia="zh-CN"/>
              </w:rPr>
              <w:t>上传</w:t>
            </w:r>
            <w:r>
              <w:rPr>
                <w:rFonts w:hint="eastAsia" w:asciiTheme="minorEastAsia" w:hAnsiTheme="minorEastAsia" w:eastAsiaTheme="minorEastAsia" w:cstheme="minorEastAsia"/>
                <w:b/>
                <w:color w:val="auto"/>
                <w:sz w:val="24"/>
                <w:szCs w:val="24"/>
                <w:highlight w:val="none"/>
                <w:u w:val="single"/>
              </w:rPr>
              <w:t>电子版</w:t>
            </w:r>
            <w:r>
              <w:rPr>
                <w:rFonts w:hint="eastAsia" w:asciiTheme="minorEastAsia" w:hAnsiTheme="minorEastAsia" w:eastAsiaTheme="minorEastAsia" w:cstheme="minorEastAsia"/>
                <w:b/>
                <w:color w:val="auto"/>
                <w:sz w:val="24"/>
                <w:szCs w:val="24"/>
                <w:highlight w:val="none"/>
                <w:u w:val="single"/>
                <w:lang w:val="en-US" w:eastAsia="zh-CN"/>
              </w:rPr>
              <w:t>响应</w:t>
            </w:r>
            <w:r>
              <w:rPr>
                <w:rFonts w:hint="eastAsia" w:asciiTheme="minorEastAsia" w:hAnsiTheme="minorEastAsia" w:eastAsiaTheme="minorEastAsia" w:cstheme="minorEastAsia"/>
                <w:b/>
                <w:color w:val="auto"/>
                <w:sz w:val="24"/>
                <w:szCs w:val="24"/>
                <w:highlight w:val="none"/>
                <w:u w:val="single"/>
              </w:rPr>
              <w:t>文件方式</w:t>
            </w:r>
            <w:r>
              <w:rPr>
                <w:rFonts w:hint="eastAsia" w:asciiTheme="minorEastAsia" w:hAnsiTheme="minorEastAsia" w:eastAsiaTheme="minorEastAsia" w:cstheme="minorEastAsia"/>
                <w:b/>
                <w:color w:val="auto"/>
                <w:sz w:val="24"/>
                <w:szCs w:val="24"/>
                <w:highlight w:val="none"/>
                <w:u w:val="single"/>
                <w:lang w:val="en-US" w:eastAsia="zh-CN"/>
              </w:rPr>
              <w:t>详</w:t>
            </w:r>
            <w:r>
              <w:rPr>
                <w:rFonts w:hint="eastAsia" w:asciiTheme="minorEastAsia" w:hAnsiTheme="minorEastAsia" w:eastAsiaTheme="minorEastAsia" w:cstheme="minorEastAsia"/>
                <w:b/>
                <w:color w:val="auto"/>
                <w:sz w:val="24"/>
                <w:szCs w:val="24"/>
                <w:highlight w:val="none"/>
                <w:u w:val="single"/>
              </w:rPr>
              <w:t>见</w:t>
            </w:r>
            <w:r>
              <w:rPr>
                <w:rFonts w:hint="eastAsia" w:asciiTheme="minorEastAsia" w:hAnsiTheme="minorEastAsia" w:eastAsiaTheme="minorEastAsia" w:cstheme="minorEastAsia"/>
                <w:b/>
                <w:color w:val="auto"/>
                <w:sz w:val="24"/>
                <w:szCs w:val="24"/>
                <w:highlight w:val="none"/>
                <w:u w:val="single"/>
                <w:lang w:eastAsia="zh-CN"/>
              </w:rPr>
              <w:t>磋商公告</w:t>
            </w:r>
            <w:r>
              <w:rPr>
                <w:rFonts w:hint="eastAsia" w:asciiTheme="minorEastAsia" w:hAnsiTheme="minorEastAsia" w:eastAsiaTheme="minorEastAsia" w:cstheme="minorEastAsia"/>
                <w:b/>
                <w:color w:val="auto"/>
                <w:sz w:val="24"/>
                <w:szCs w:val="24"/>
                <w:highlight w:val="none"/>
                <w:u w:val="single"/>
              </w:rPr>
              <w:t>附件</w:t>
            </w:r>
            <w:r>
              <w:rPr>
                <w:rFonts w:hint="eastAsia" w:asciiTheme="minorEastAsia" w:hAnsiTheme="minorEastAsia" w:eastAsiaTheme="minorEastAsia" w:cstheme="minorEastAsia"/>
                <w:b/>
                <w:color w:val="auto"/>
                <w:sz w:val="24"/>
                <w:szCs w:val="24"/>
                <w:highlight w:val="none"/>
                <w:u w:val="single"/>
                <w:lang w:eastAsia="zh-CN"/>
              </w:rPr>
              <w:t>。</w:t>
            </w:r>
          </w:p>
        </w:tc>
      </w:tr>
      <w:tr w14:paraId="44D3B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tcMar>
              <w:top w:w="0" w:type="dxa"/>
              <w:left w:w="57" w:type="dxa"/>
              <w:bottom w:w="0" w:type="dxa"/>
              <w:right w:w="57" w:type="dxa"/>
            </w:tcMar>
            <w:vAlign w:val="center"/>
          </w:tcPr>
          <w:p w14:paraId="7A7140AB">
            <w:pPr>
              <w:spacing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w:t>
            </w:r>
          </w:p>
        </w:tc>
        <w:tc>
          <w:tcPr>
            <w:tcW w:w="1965" w:type="dxa"/>
            <w:noWrap w:val="0"/>
            <w:tcMar>
              <w:top w:w="0" w:type="dxa"/>
              <w:left w:w="57" w:type="dxa"/>
              <w:bottom w:w="0" w:type="dxa"/>
              <w:right w:w="57" w:type="dxa"/>
            </w:tcMar>
            <w:vAlign w:val="center"/>
          </w:tcPr>
          <w:p w14:paraId="0C98E25D">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磋商保证金</w:t>
            </w:r>
          </w:p>
        </w:tc>
        <w:tc>
          <w:tcPr>
            <w:tcW w:w="7133" w:type="dxa"/>
            <w:noWrap w:val="0"/>
            <w:tcMar>
              <w:top w:w="0" w:type="dxa"/>
              <w:left w:w="57" w:type="dxa"/>
              <w:bottom w:w="0" w:type="dxa"/>
              <w:right w:w="57" w:type="dxa"/>
            </w:tcMar>
            <w:vAlign w:val="top"/>
          </w:tcPr>
          <w:p w14:paraId="68422DCC">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磋商保证金（人民币）：</w:t>
            </w:r>
            <w:r>
              <w:rPr>
                <w:rFonts w:hint="eastAsia" w:asciiTheme="minorEastAsia" w:hAnsiTheme="minorEastAsia" w:eastAsiaTheme="minorEastAsia" w:cstheme="minorEastAsia"/>
                <w:b w:val="0"/>
                <w:bCs/>
                <w:color w:val="auto"/>
                <w:kern w:val="2"/>
                <w:sz w:val="24"/>
                <w:szCs w:val="24"/>
                <w:highlight w:val="none"/>
                <w:u w:val="single"/>
                <w:lang w:val="en-US" w:eastAsia="zh-CN" w:bidi="ar-SA"/>
              </w:rPr>
              <w:t>本项目无须缴纳磋商保证金</w:t>
            </w:r>
            <w:r>
              <w:rPr>
                <w:rFonts w:hint="eastAsia" w:asciiTheme="minorEastAsia" w:hAnsiTheme="minorEastAsia" w:eastAsiaTheme="minorEastAsia" w:cstheme="minorEastAsia"/>
                <w:b w:val="0"/>
                <w:bCs/>
                <w:color w:val="auto"/>
                <w:kern w:val="2"/>
                <w:sz w:val="24"/>
                <w:szCs w:val="24"/>
                <w:highlight w:val="none"/>
                <w:lang w:val="en-US" w:eastAsia="zh-CN" w:bidi="ar-SA"/>
              </w:rPr>
              <w:t>。</w:t>
            </w:r>
            <w:r>
              <w:rPr>
                <w:rFonts w:hint="eastAsia" w:asciiTheme="minorEastAsia" w:hAnsiTheme="minorEastAsia" w:eastAsiaTheme="minorEastAsia" w:cstheme="minorEastAsia"/>
                <w:b w:val="0"/>
                <w:bCs/>
                <w:color w:val="auto"/>
                <w:kern w:val="2"/>
                <w:sz w:val="24"/>
                <w:szCs w:val="24"/>
                <w:highlight w:val="none"/>
                <w:lang w:val="en-US" w:eastAsia="zh-CN" w:bidi="ar-SA"/>
              </w:rPr>
              <w:tab/>
            </w:r>
          </w:p>
          <w:p w14:paraId="0B206879">
            <w:pPr>
              <w:pageBreakBefore w:val="0"/>
              <w:kinsoku/>
              <w:wordWrap/>
              <w:overflowPunct/>
              <w:topLinePunct w:val="0"/>
              <w:autoSpaceDE/>
              <w:autoSpaceDN/>
              <w:bidi w:val="0"/>
              <w:snapToGrid/>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color w:val="auto"/>
                <w:kern w:val="2"/>
                <w:sz w:val="24"/>
                <w:szCs w:val="24"/>
                <w:highlight w:val="none"/>
                <w:lang w:val="en-US" w:eastAsia="zh-CN" w:bidi="ar-SA"/>
              </w:rPr>
              <w:t>竞标人应将磋商保证金以支票、汇票、本票、转账、电汇或者金融机构出具的保函、保险等非现金形式提交至以下账户，并于响应文件提交截止时间前到账，到账时间以银行确认的到账时间为准(注：若以支票、汇票、本票方式提交的，交款人必须是竞标人；若以转账、电汇方式提交的，必须从竞标人银行账户转出；若以现金方式交纳或者没有足额交纳的视为无效投标。办理磋商保证金手续时，需在交纳凭据上注明项目名称或项目编号。对风险较低、规模较小的采购项目，受疫情影响的中小微企业（在提供真实可信证明材料的前提下），停止收取投标保证金和履约保证金。</w:t>
            </w:r>
          </w:p>
        </w:tc>
      </w:tr>
      <w:tr w14:paraId="6D6D3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Merge w:val="restart"/>
            <w:noWrap w:val="0"/>
            <w:tcMar>
              <w:top w:w="0" w:type="dxa"/>
              <w:left w:w="57" w:type="dxa"/>
              <w:bottom w:w="0" w:type="dxa"/>
              <w:right w:w="57" w:type="dxa"/>
            </w:tcMar>
            <w:vAlign w:val="center"/>
          </w:tcPr>
          <w:p w14:paraId="5119309B">
            <w:pPr>
              <w:spacing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w:t>
            </w:r>
          </w:p>
        </w:tc>
        <w:tc>
          <w:tcPr>
            <w:tcW w:w="1965" w:type="dxa"/>
            <w:vMerge w:val="restart"/>
            <w:noWrap w:val="0"/>
            <w:tcMar>
              <w:top w:w="0" w:type="dxa"/>
              <w:left w:w="57" w:type="dxa"/>
              <w:bottom w:w="0" w:type="dxa"/>
              <w:right w:w="57" w:type="dxa"/>
            </w:tcMar>
            <w:vAlign w:val="center"/>
          </w:tcPr>
          <w:p w14:paraId="481ADE00">
            <w:pPr>
              <w:spacing w:line="400" w:lineRule="exact"/>
              <w:jc w:val="center"/>
              <w:rPr>
                <w:rFonts w:hint="eastAsia" w:asciiTheme="minorEastAsia" w:hAnsiTheme="minorEastAsia" w:eastAsiaTheme="minorEastAsia" w:cstheme="minorEastAsia"/>
                <w:b/>
                <w:bCs/>
                <w:color w:val="auto"/>
                <w:sz w:val="24"/>
                <w:szCs w:val="24"/>
                <w:highlight w:val="none"/>
                <w:lang w:val="en-US" w:eastAsia="zh-CN"/>
              </w:rPr>
            </w:pPr>
          </w:p>
          <w:p w14:paraId="452C26BB">
            <w:pPr>
              <w:spacing w:line="400" w:lineRule="exact"/>
              <w:jc w:val="center"/>
              <w:rPr>
                <w:rFonts w:hint="eastAsia" w:asciiTheme="minorEastAsia" w:hAnsiTheme="minorEastAsia" w:eastAsiaTheme="minorEastAsia" w:cstheme="minorEastAsia"/>
                <w:b/>
                <w:bCs/>
                <w:color w:val="auto"/>
                <w:sz w:val="24"/>
                <w:szCs w:val="24"/>
                <w:highlight w:val="none"/>
                <w:lang w:val="en-US" w:eastAsia="zh-CN"/>
              </w:rPr>
            </w:pPr>
          </w:p>
          <w:p w14:paraId="1BB40715">
            <w:pPr>
              <w:spacing w:line="400" w:lineRule="exact"/>
              <w:jc w:val="center"/>
              <w:rPr>
                <w:rFonts w:hint="eastAsia" w:asciiTheme="minorEastAsia" w:hAnsiTheme="minorEastAsia" w:eastAsiaTheme="minorEastAsia" w:cstheme="minorEastAsia"/>
                <w:b/>
                <w:bCs/>
                <w:color w:val="auto"/>
                <w:sz w:val="24"/>
                <w:szCs w:val="24"/>
                <w:highlight w:val="none"/>
                <w:lang w:val="en-US" w:eastAsia="zh-CN"/>
              </w:rPr>
            </w:pPr>
          </w:p>
          <w:p w14:paraId="2BA6FE5D">
            <w:pPr>
              <w:spacing w:line="400" w:lineRule="exact"/>
              <w:jc w:val="center"/>
              <w:rPr>
                <w:rFonts w:hint="eastAsia" w:asciiTheme="minorEastAsia" w:hAnsiTheme="minorEastAsia" w:eastAsiaTheme="minorEastAsia" w:cstheme="minorEastAsia"/>
                <w:b/>
                <w:bCs/>
                <w:color w:val="auto"/>
                <w:sz w:val="24"/>
                <w:szCs w:val="24"/>
                <w:highlight w:val="none"/>
                <w:lang w:val="en-US" w:eastAsia="zh-CN"/>
              </w:rPr>
            </w:pPr>
          </w:p>
          <w:p w14:paraId="57382D1B">
            <w:pPr>
              <w:spacing w:line="400" w:lineRule="exact"/>
              <w:jc w:val="center"/>
              <w:rPr>
                <w:rFonts w:hint="eastAsia" w:asciiTheme="minorEastAsia" w:hAnsiTheme="minorEastAsia" w:eastAsiaTheme="minorEastAsia" w:cstheme="minorEastAsia"/>
                <w:b/>
                <w:bCs/>
                <w:color w:val="auto"/>
                <w:sz w:val="24"/>
                <w:szCs w:val="24"/>
                <w:highlight w:val="none"/>
                <w:lang w:val="en-US" w:eastAsia="zh-CN"/>
              </w:rPr>
            </w:pPr>
          </w:p>
          <w:p w14:paraId="77A0AD83">
            <w:pPr>
              <w:spacing w:line="400" w:lineRule="exact"/>
              <w:jc w:val="center"/>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响应文件的构成（分为资格证明文件、报价文件、商务技术文件三部分组成）</w:t>
            </w:r>
          </w:p>
        </w:tc>
        <w:tc>
          <w:tcPr>
            <w:tcW w:w="7133" w:type="dxa"/>
            <w:noWrap w:val="0"/>
            <w:tcMar>
              <w:top w:w="0" w:type="dxa"/>
              <w:left w:w="57" w:type="dxa"/>
              <w:bottom w:w="0" w:type="dxa"/>
              <w:right w:w="57" w:type="dxa"/>
            </w:tcMar>
            <w:vAlign w:val="top"/>
          </w:tcPr>
          <w:p w14:paraId="4F60F4F4">
            <w:pPr>
              <w:pStyle w:val="11"/>
              <w:spacing w:line="390" w:lineRule="exact"/>
              <w:ind w:firstLine="480" w:firstLineChars="200"/>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资格</w:t>
            </w:r>
            <w:r>
              <w:rPr>
                <w:rFonts w:hint="eastAsia" w:asciiTheme="minorEastAsia" w:hAnsiTheme="minorEastAsia" w:eastAsiaTheme="minorEastAsia" w:cstheme="minorEastAsia"/>
                <w:bCs/>
                <w:color w:val="auto"/>
                <w:sz w:val="24"/>
                <w:szCs w:val="24"/>
                <w:highlight w:val="none"/>
                <w:lang w:val="en-US" w:eastAsia="zh-CN"/>
              </w:rPr>
              <w:t>证明文件：</w:t>
            </w:r>
          </w:p>
          <w:p w14:paraId="285FC7D2">
            <w:pPr>
              <w:pStyle w:val="12"/>
              <w:ind w:left="0" w:leftChars="0" w:firstLine="0" w:firstLineChars="0"/>
              <w:rPr>
                <w:rFonts w:hint="default"/>
                <w:lang w:val="en-US" w:eastAsia="zh-CN"/>
              </w:rPr>
            </w:pPr>
            <w:r>
              <w:rPr>
                <w:rFonts w:hint="eastAsia" w:asciiTheme="minorEastAsia" w:hAnsiTheme="minorEastAsia" w:eastAsiaTheme="minorEastAsia" w:cstheme="minorEastAsia"/>
                <w:bCs/>
                <w:color w:val="auto"/>
                <w:sz w:val="24"/>
                <w:szCs w:val="24"/>
                <w:highlight w:val="none"/>
                <w:lang w:val="en-US" w:eastAsia="zh-CN"/>
              </w:rPr>
              <w:t xml:space="preserve">    </w:t>
            </w:r>
            <w:r>
              <w:rPr>
                <w:rFonts w:hint="eastAsia" w:asciiTheme="minorEastAsia" w:hAnsiTheme="minorEastAsia" w:eastAsiaTheme="minorEastAsia" w:cstheme="minorEastAsia"/>
                <w:bCs/>
                <w:color w:val="auto"/>
                <w:kern w:val="2"/>
                <w:sz w:val="24"/>
                <w:szCs w:val="24"/>
                <w:highlight w:val="none"/>
                <w:lang w:val="en-US" w:eastAsia="zh-CN" w:bidi="ar-SA"/>
              </w:rPr>
              <w:t>（1）有效的法人营业执照副本扫描件；</w:t>
            </w:r>
          </w:p>
          <w:p w14:paraId="729A393A">
            <w:pPr>
              <w:pStyle w:val="11"/>
              <w:spacing w:line="390" w:lineRule="exact"/>
              <w:ind w:firstLine="480" w:firstLineChars="200"/>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t>（2）政府采购供应商信用承诺函；</w:t>
            </w:r>
          </w:p>
          <w:p w14:paraId="08E9D590">
            <w:pPr>
              <w:pStyle w:val="11"/>
              <w:spacing w:line="390" w:lineRule="exact"/>
              <w:ind w:firstLine="480" w:firstLineChars="200"/>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t>（3）有效的资质证书副本扫描件；</w:t>
            </w:r>
          </w:p>
          <w:p w14:paraId="6652D8C0">
            <w:pPr>
              <w:widowControl w:val="0"/>
              <w:spacing w:line="390" w:lineRule="exact"/>
              <w:ind w:firstLine="480" w:firstLineChars="200"/>
              <w:jc w:val="both"/>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t>（4）有效的安全生产许可证副本扫描件；</w:t>
            </w:r>
          </w:p>
          <w:p w14:paraId="6810DA3F">
            <w:pPr>
              <w:pageBreakBefore w:val="0"/>
              <w:widowControl/>
              <w:kinsoku/>
              <w:wordWrap/>
              <w:overflowPunct/>
              <w:topLinePunct w:val="0"/>
              <w:autoSpaceDE/>
              <w:autoSpaceDN/>
              <w:bidi w:val="0"/>
              <w:snapToGrid/>
              <w:spacing w:line="400" w:lineRule="exact"/>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Cs/>
                <w:color w:val="auto"/>
                <w:kern w:val="2"/>
                <w:sz w:val="24"/>
                <w:szCs w:val="24"/>
                <w:highlight w:val="none"/>
                <w:lang w:val="en-US" w:eastAsia="zh-CN" w:bidi="ar-SA"/>
              </w:rPr>
              <w:t>（5）</w:t>
            </w:r>
            <w:r>
              <w:rPr>
                <w:rFonts w:hint="eastAsia" w:asciiTheme="minorEastAsia" w:hAnsiTheme="minorEastAsia" w:eastAsiaTheme="minorEastAsia" w:cstheme="minorEastAsia"/>
                <w:bCs/>
                <w:color w:val="auto"/>
                <w:kern w:val="2"/>
                <w:sz w:val="24"/>
                <w:szCs w:val="24"/>
                <w:highlight w:val="none"/>
                <w:lang w:val="en-US" w:eastAsia="zh-CN" w:bidi="ar-SA"/>
              </w:rPr>
              <w:fldChar w:fldCharType="begin"/>
            </w:r>
            <w:r>
              <w:rPr>
                <w:rFonts w:hint="eastAsia" w:asciiTheme="minorEastAsia" w:hAnsiTheme="minorEastAsia" w:eastAsiaTheme="minorEastAsia" w:cstheme="minorEastAsia"/>
                <w:bCs/>
                <w:color w:val="auto"/>
                <w:kern w:val="2"/>
                <w:sz w:val="24"/>
                <w:szCs w:val="24"/>
                <w:highlight w:val="none"/>
                <w:lang w:val="en-US" w:eastAsia="zh-CN" w:bidi="ar-SA"/>
              </w:rPr>
              <w:instrText xml:space="preserve"> HYPERLINK "http://www.gxcic.net/HTMLFile/2013-02/shownews_167314.html" \t "http://ggzyjy.gxhz.gov.cn/page__gp_portal/_blank" </w:instrText>
            </w:r>
            <w:r>
              <w:rPr>
                <w:rFonts w:hint="eastAsia" w:asciiTheme="minorEastAsia" w:hAnsiTheme="minorEastAsia" w:eastAsiaTheme="minorEastAsia" w:cstheme="minorEastAsia"/>
                <w:bCs/>
                <w:color w:val="auto"/>
                <w:kern w:val="2"/>
                <w:sz w:val="24"/>
                <w:szCs w:val="24"/>
                <w:highlight w:val="none"/>
                <w:lang w:val="en-US" w:eastAsia="zh-CN" w:bidi="ar-SA"/>
              </w:rPr>
              <w:fldChar w:fldCharType="separate"/>
            </w:r>
            <w:r>
              <w:rPr>
                <w:rFonts w:hint="eastAsia" w:asciiTheme="minorEastAsia" w:hAnsiTheme="minorEastAsia" w:eastAsiaTheme="minorEastAsia" w:cstheme="minorEastAsia"/>
                <w:bCs/>
                <w:color w:val="auto"/>
                <w:kern w:val="2"/>
                <w:sz w:val="24"/>
                <w:szCs w:val="24"/>
                <w:highlight w:val="none"/>
                <w:lang w:val="en-US" w:eastAsia="zh-CN" w:bidi="ar-SA"/>
              </w:rPr>
              <w:t>拟派往本项目项目经理</w:t>
            </w:r>
            <w:r>
              <w:rPr>
                <w:rFonts w:hint="eastAsia" w:asciiTheme="minorEastAsia" w:hAnsiTheme="minorEastAsia" w:eastAsiaTheme="minorEastAsia" w:cstheme="minorEastAsia"/>
                <w:bCs/>
                <w:color w:val="auto"/>
                <w:kern w:val="2"/>
                <w:sz w:val="24"/>
                <w:szCs w:val="24"/>
                <w:highlight w:val="none"/>
                <w:lang w:val="en-US" w:eastAsia="zh-CN" w:bidi="ar-SA"/>
              </w:rPr>
              <w:fldChar w:fldCharType="end"/>
            </w:r>
            <w:r>
              <w:rPr>
                <w:rFonts w:hint="eastAsia" w:asciiTheme="minorEastAsia" w:hAnsiTheme="minorEastAsia" w:eastAsiaTheme="minorEastAsia" w:cstheme="minorEastAsia"/>
                <w:color w:val="auto"/>
                <w:sz w:val="24"/>
                <w:szCs w:val="24"/>
                <w:highlight w:val="none"/>
                <w:lang w:val="en-US" w:eastAsia="zh-CN"/>
              </w:rPr>
              <w:t>具备公路工程类专业注册建造师二级以上（含二级）执业资格和具备有效的具备《安全生产考核合格证书（B类）》【提供项目经理注册建造师执业资格证书和安全生产考核合格证书（B类）的扫描件】。</w:t>
            </w:r>
          </w:p>
          <w:p w14:paraId="04DBD636">
            <w:pPr>
              <w:pageBreakBefore w:val="0"/>
              <w:widowControl/>
              <w:kinsoku/>
              <w:wordWrap/>
              <w:overflowPunct/>
              <w:topLinePunct w:val="0"/>
              <w:autoSpaceDE/>
              <w:autoSpaceDN/>
              <w:bidi w:val="0"/>
              <w:snapToGrid/>
              <w:spacing w:line="400" w:lineRule="exact"/>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Cs/>
                <w:color w:val="auto"/>
                <w:kern w:val="2"/>
                <w:sz w:val="24"/>
                <w:szCs w:val="24"/>
                <w:highlight w:val="none"/>
                <w:lang w:val="en-US" w:eastAsia="zh-CN" w:bidi="ar-SA"/>
              </w:rPr>
              <w:t>（6）法定代表人身份证明书及授权委托书（委托代理时必须提供，同时加盖单位电子公章）</w:t>
            </w:r>
          </w:p>
          <w:p w14:paraId="403ED4E0">
            <w:pPr>
              <w:pStyle w:val="11"/>
              <w:spacing w:line="390" w:lineRule="exact"/>
              <w:ind w:firstLine="480" w:firstLineChars="200"/>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t>（7）本项目属于专门面向中小企业采购的项目，中小企业声明函（或监狱企业的证明文件或残疾人福利性单位声明函）必须提供；</w:t>
            </w:r>
          </w:p>
          <w:p w14:paraId="320B6A26">
            <w:pPr>
              <w:pStyle w:val="11"/>
              <w:spacing w:line="390" w:lineRule="exact"/>
              <w:ind w:firstLine="482" w:firstLineChars="200"/>
              <w:rPr>
                <w:rFonts w:hint="eastAsia" w:asciiTheme="minorEastAsia" w:hAnsiTheme="minorEastAsia" w:eastAsiaTheme="minorEastAsia" w:cstheme="minorEastAsia"/>
                <w:b/>
                <w:color w:val="auto"/>
                <w:sz w:val="24"/>
                <w:szCs w:val="24"/>
                <w:highlight w:val="none"/>
                <w:u w:val="none"/>
              </w:rPr>
            </w:pPr>
            <w:r>
              <w:rPr>
                <w:rFonts w:hint="eastAsia" w:asciiTheme="minorEastAsia" w:hAnsiTheme="minorEastAsia" w:eastAsiaTheme="minorEastAsia" w:cstheme="minorEastAsia"/>
                <w:b/>
                <w:bCs/>
                <w:color w:val="auto"/>
                <w:sz w:val="24"/>
                <w:szCs w:val="24"/>
                <w:highlight w:val="none"/>
              </w:rPr>
              <w:t>注：</w:t>
            </w:r>
            <w:r>
              <w:rPr>
                <w:rFonts w:hint="eastAsia" w:asciiTheme="minorEastAsia" w:hAnsiTheme="minorEastAsia" w:eastAsiaTheme="minorEastAsia" w:cstheme="minorEastAsia"/>
                <w:b/>
                <w:bCs/>
                <w:color w:val="auto"/>
                <w:sz w:val="24"/>
                <w:szCs w:val="24"/>
                <w:highlight w:val="none"/>
                <w:u w:val="single"/>
                <w:lang w:val="en-US" w:eastAsia="zh-CN"/>
              </w:rPr>
              <w:t>1.</w:t>
            </w:r>
            <w:r>
              <w:rPr>
                <w:rFonts w:hint="eastAsia" w:asciiTheme="minorEastAsia" w:hAnsiTheme="minorEastAsia" w:eastAsiaTheme="minorEastAsia" w:cstheme="minorEastAsia"/>
                <w:b/>
                <w:color w:val="auto"/>
                <w:sz w:val="24"/>
                <w:szCs w:val="24"/>
                <w:highlight w:val="none"/>
                <w:u w:val="single"/>
              </w:rPr>
              <w:t>上述材料缺少任何一项或任何一项无效均会被视为资格审查不合格，作无效磋商处理</w:t>
            </w:r>
            <w:r>
              <w:rPr>
                <w:rFonts w:hint="eastAsia" w:asciiTheme="minorEastAsia" w:hAnsiTheme="minorEastAsia" w:eastAsiaTheme="minorEastAsia" w:cstheme="minorEastAsia"/>
                <w:b/>
                <w:color w:val="auto"/>
                <w:sz w:val="24"/>
                <w:szCs w:val="24"/>
                <w:highlight w:val="none"/>
                <w:u w:val="none"/>
              </w:rPr>
              <w:t>。</w:t>
            </w:r>
          </w:p>
          <w:p w14:paraId="3EB07E1F">
            <w:pPr>
              <w:pStyle w:val="11"/>
              <w:spacing w:line="390" w:lineRule="exact"/>
              <w:ind w:firstLine="482" w:firstLineChars="200"/>
              <w:rPr>
                <w:rFonts w:hint="eastAsia" w:asciiTheme="minorEastAsia" w:hAnsiTheme="minorEastAsia" w:eastAsiaTheme="minorEastAsia" w:cstheme="minorEastAsia"/>
                <w:b/>
                <w:bCs w:val="0"/>
                <w:color w:val="auto"/>
                <w:kern w:val="2"/>
                <w:sz w:val="24"/>
                <w:szCs w:val="24"/>
                <w:highlight w:val="none"/>
                <w:lang w:val="en-US" w:eastAsia="zh-CN" w:bidi="ar-SA"/>
              </w:rPr>
            </w:pPr>
            <w:r>
              <w:rPr>
                <w:rFonts w:hint="eastAsia" w:asciiTheme="minorEastAsia" w:hAnsiTheme="minorEastAsia" w:eastAsiaTheme="minorEastAsia" w:cstheme="minorEastAsia"/>
                <w:b/>
                <w:color w:val="auto"/>
                <w:sz w:val="24"/>
                <w:highlight w:val="none"/>
                <w:u w:val="single"/>
                <w:lang w:val="en-US" w:eastAsia="zh-CN"/>
              </w:rPr>
              <w:t>2.以上材料属于复印件的扫描件的，必须加盖供应商电子公章，否则响应文件按无效响应处理。</w:t>
            </w:r>
          </w:p>
        </w:tc>
      </w:tr>
      <w:tr w14:paraId="66418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Merge w:val="continue"/>
            <w:noWrap w:val="0"/>
            <w:tcMar>
              <w:top w:w="0" w:type="dxa"/>
              <w:left w:w="57" w:type="dxa"/>
              <w:bottom w:w="0" w:type="dxa"/>
              <w:right w:w="57" w:type="dxa"/>
            </w:tcMar>
            <w:vAlign w:val="center"/>
          </w:tcPr>
          <w:p w14:paraId="216B05E7">
            <w:pPr>
              <w:spacing w:line="4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1965" w:type="dxa"/>
            <w:vMerge w:val="continue"/>
            <w:noWrap w:val="0"/>
            <w:tcMar>
              <w:top w:w="0" w:type="dxa"/>
              <w:left w:w="57" w:type="dxa"/>
              <w:bottom w:w="0" w:type="dxa"/>
              <w:right w:w="57" w:type="dxa"/>
            </w:tcMar>
            <w:vAlign w:val="center"/>
          </w:tcPr>
          <w:p w14:paraId="6D8195DE">
            <w:pPr>
              <w:spacing w:line="400" w:lineRule="exact"/>
              <w:jc w:val="center"/>
              <w:rPr>
                <w:rFonts w:hint="eastAsia" w:asciiTheme="minorEastAsia" w:hAnsiTheme="minorEastAsia" w:eastAsiaTheme="minorEastAsia" w:cstheme="minorEastAsia"/>
                <w:b/>
                <w:bCs/>
                <w:color w:val="auto"/>
                <w:sz w:val="24"/>
                <w:szCs w:val="24"/>
                <w:highlight w:val="none"/>
                <w:lang w:val="en-US" w:eastAsia="zh-CN"/>
              </w:rPr>
            </w:pPr>
          </w:p>
        </w:tc>
        <w:tc>
          <w:tcPr>
            <w:tcW w:w="7133" w:type="dxa"/>
            <w:noWrap w:val="0"/>
            <w:tcMar>
              <w:top w:w="0" w:type="dxa"/>
              <w:left w:w="57" w:type="dxa"/>
              <w:bottom w:w="0" w:type="dxa"/>
              <w:right w:w="57" w:type="dxa"/>
            </w:tcMar>
            <w:vAlign w:val="top"/>
          </w:tcPr>
          <w:p w14:paraId="606B4F7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t>报价文件</w:t>
            </w:r>
          </w:p>
          <w:p w14:paraId="040B6C8C">
            <w:pPr>
              <w:pStyle w:val="35"/>
              <w:ind w:firstLine="480" w:firstLineChars="200"/>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t>（1）磋商函及磋商函附录</w:t>
            </w:r>
          </w:p>
          <w:p w14:paraId="189D8DDF">
            <w:pPr>
              <w:pStyle w:val="35"/>
              <w:ind w:firstLine="480" w:firstLineChars="200"/>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t>（2）竞标人基本情况表</w:t>
            </w:r>
          </w:p>
          <w:p w14:paraId="5AAA0055">
            <w:pPr>
              <w:pStyle w:val="35"/>
              <w:ind w:firstLine="480" w:firstLineChars="200"/>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t>（3）已标价工程量清单</w:t>
            </w:r>
          </w:p>
          <w:p w14:paraId="52EBE1CB">
            <w:pPr>
              <w:pStyle w:val="35"/>
              <w:ind w:firstLine="482" w:firstLineChars="20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b/>
                <w:color w:val="auto"/>
                <w:sz w:val="24"/>
                <w:highlight w:val="none"/>
                <w:u w:val="single"/>
                <w:lang w:val="en-US" w:eastAsia="zh-CN"/>
              </w:rPr>
              <w:t>注：以上材料属于复印件的扫描件的，必须加盖供应商电子公章，否则响应文件按无效响应处理。</w:t>
            </w:r>
          </w:p>
        </w:tc>
      </w:tr>
      <w:tr w14:paraId="7B7E7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9" w:hRule="atLeast"/>
          <w:jc w:val="center"/>
        </w:trPr>
        <w:tc>
          <w:tcPr>
            <w:tcW w:w="706" w:type="dxa"/>
            <w:vMerge w:val="continue"/>
            <w:noWrap w:val="0"/>
            <w:tcMar>
              <w:top w:w="0" w:type="dxa"/>
              <w:left w:w="57" w:type="dxa"/>
              <w:bottom w:w="0" w:type="dxa"/>
              <w:right w:w="57" w:type="dxa"/>
            </w:tcMar>
            <w:vAlign w:val="center"/>
          </w:tcPr>
          <w:p w14:paraId="3DCFA9A6">
            <w:pPr>
              <w:spacing w:line="4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1965" w:type="dxa"/>
            <w:vMerge w:val="continue"/>
            <w:noWrap w:val="0"/>
            <w:tcMar>
              <w:top w:w="0" w:type="dxa"/>
              <w:left w:w="57" w:type="dxa"/>
              <w:bottom w:w="0" w:type="dxa"/>
              <w:right w:w="57" w:type="dxa"/>
            </w:tcMar>
            <w:vAlign w:val="center"/>
          </w:tcPr>
          <w:p w14:paraId="52C62CD2">
            <w:pPr>
              <w:spacing w:line="400" w:lineRule="exact"/>
              <w:jc w:val="center"/>
              <w:rPr>
                <w:rFonts w:hint="eastAsia" w:asciiTheme="minorEastAsia" w:hAnsiTheme="minorEastAsia" w:eastAsiaTheme="minorEastAsia" w:cstheme="minorEastAsia"/>
                <w:b/>
                <w:bCs/>
                <w:color w:val="auto"/>
                <w:sz w:val="24"/>
                <w:szCs w:val="24"/>
                <w:highlight w:val="none"/>
                <w:lang w:val="en-US" w:eastAsia="zh-CN"/>
              </w:rPr>
            </w:pPr>
          </w:p>
        </w:tc>
        <w:tc>
          <w:tcPr>
            <w:tcW w:w="7133" w:type="dxa"/>
            <w:noWrap w:val="0"/>
            <w:tcMar>
              <w:top w:w="0" w:type="dxa"/>
              <w:left w:w="57" w:type="dxa"/>
              <w:bottom w:w="0" w:type="dxa"/>
              <w:right w:w="57" w:type="dxa"/>
            </w:tcMar>
            <w:vAlign w:val="top"/>
          </w:tcPr>
          <w:p w14:paraId="4DEF91F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t>商务技术文件</w:t>
            </w:r>
          </w:p>
          <w:p w14:paraId="0CAE06AA">
            <w:pPr>
              <w:pStyle w:val="11"/>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1</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主要管理人员表</w:t>
            </w:r>
          </w:p>
          <w:p w14:paraId="3BD33FC6">
            <w:pPr>
              <w:pStyle w:val="11"/>
              <w:spacing w:line="39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2</w:t>
            </w:r>
            <w:r>
              <w:rPr>
                <w:rFonts w:hint="eastAsia" w:asciiTheme="minorEastAsia" w:hAnsiTheme="minorEastAsia" w:eastAsiaTheme="minorEastAsia" w:cstheme="minorEastAsia"/>
                <w:bCs/>
                <w:color w:val="auto"/>
                <w:sz w:val="24"/>
                <w:szCs w:val="24"/>
                <w:highlight w:val="none"/>
              </w:rPr>
              <w:t>)建设工程项目管理承诺书</w:t>
            </w:r>
          </w:p>
          <w:p w14:paraId="23F16257">
            <w:pPr>
              <w:pStyle w:val="11"/>
              <w:spacing w:line="39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3</w:t>
            </w:r>
            <w:r>
              <w:rPr>
                <w:rFonts w:hint="eastAsia" w:asciiTheme="minorEastAsia" w:hAnsiTheme="minorEastAsia" w:eastAsiaTheme="minorEastAsia" w:cstheme="minorEastAsia"/>
                <w:bCs/>
                <w:color w:val="auto"/>
                <w:sz w:val="24"/>
                <w:szCs w:val="24"/>
                <w:highlight w:val="none"/>
              </w:rPr>
              <w:t>)施工组织设计</w:t>
            </w:r>
          </w:p>
          <w:p w14:paraId="38600A49">
            <w:pPr>
              <w:pStyle w:val="11"/>
              <w:spacing w:line="390" w:lineRule="exact"/>
              <w:ind w:firstLine="480" w:firstLineChars="200"/>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4</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业绩</w:t>
            </w:r>
            <w:r>
              <w:rPr>
                <w:rFonts w:hint="eastAsia" w:asciiTheme="minorEastAsia" w:hAnsiTheme="minorEastAsia" w:eastAsiaTheme="minorEastAsia" w:cstheme="minorEastAsia"/>
                <w:bCs/>
                <w:color w:val="auto"/>
                <w:sz w:val="24"/>
                <w:szCs w:val="24"/>
                <w:highlight w:val="none"/>
              </w:rPr>
              <w:t>（如有，请提供）</w:t>
            </w:r>
          </w:p>
          <w:p w14:paraId="6A579F21">
            <w:pPr>
              <w:pStyle w:val="11"/>
              <w:spacing w:line="39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5</w:t>
            </w:r>
            <w:r>
              <w:rPr>
                <w:rFonts w:hint="eastAsia" w:asciiTheme="minorEastAsia" w:hAnsiTheme="minorEastAsia" w:eastAsiaTheme="minorEastAsia" w:cstheme="minorEastAsia"/>
                <w:bCs/>
                <w:color w:val="auto"/>
                <w:sz w:val="24"/>
                <w:szCs w:val="24"/>
                <w:highlight w:val="none"/>
              </w:rPr>
              <w:t>)供应商可结合本项目的评标办法视自身情况自行提交相关证明材料。（如有，请提供）</w:t>
            </w:r>
          </w:p>
          <w:p w14:paraId="02DA0BB4">
            <w:pPr>
              <w:pStyle w:val="35"/>
              <w:ind w:firstLine="482" w:firstLineChars="20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b/>
                <w:color w:val="auto"/>
                <w:sz w:val="24"/>
                <w:highlight w:val="none"/>
                <w:u w:val="single"/>
                <w:lang w:val="en-US" w:eastAsia="zh-CN"/>
              </w:rPr>
              <w:t>注：以上材料属于复印件的扫描件的，必须加盖供应商电子公章，否则响应文件按无效响应处理。</w:t>
            </w:r>
          </w:p>
        </w:tc>
      </w:tr>
      <w:tr w14:paraId="503A8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tcMar>
              <w:top w:w="0" w:type="dxa"/>
              <w:left w:w="57" w:type="dxa"/>
              <w:bottom w:w="0" w:type="dxa"/>
              <w:right w:w="57" w:type="dxa"/>
            </w:tcMar>
            <w:vAlign w:val="center"/>
          </w:tcPr>
          <w:p w14:paraId="72EF2B47">
            <w:pPr>
              <w:spacing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w:t>
            </w:r>
          </w:p>
        </w:tc>
        <w:tc>
          <w:tcPr>
            <w:tcW w:w="1965" w:type="dxa"/>
            <w:noWrap w:val="0"/>
            <w:tcMar>
              <w:top w:w="0" w:type="dxa"/>
              <w:left w:w="57" w:type="dxa"/>
              <w:bottom w:w="0" w:type="dxa"/>
              <w:right w:w="57" w:type="dxa"/>
            </w:tcMar>
            <w:vAlign w:val="center"/>
          </w:tcPr>
          <w:p w14:paraId="6E2D7A45">
            <w:pPr>
              <w:spacing w:line="400" w:lineRule="exact"/>
              <w:ind w:firstLine="241" w:firstLineChars="100"/>
              <w:jc w:val="center"/>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《响应文件》的递交</w:t>
            </w:r>
          </w:p>
        </w:tc>
        <w:tc>
          <w:tcPr>
            <w:tcW w:w="7133" w:type="dxa"/>
            <w:noWrap w:val="0"/>
            <w:tcMar>
              <w:top w:w="0" w:type="dxa"/>
              <w:left w:w="57" w:type="dxa"/>
              <w:bottom w:w="0" w:type="dxa"/>
              <w:right w:w="57" w:type="dxa"/>
            </w:tcMar>
            <w:vAlign w:val="top"/>
          </w:tcPr>
          <w:p w14:paraId="3AAE9DA0">
            <w:pPr>
              <w:spacing w:line="400" w:lineRule="exac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递交</w:t>
            </w:r>
            <w:r>
              <w:rPr>
                <w:rFonts w:hint="eastAsia" w:asciiTheme="minorEastAsia" w:hAnsiTheme="minorEastAsia" w:eastAsiaTheme="minorEastAsia" w:cstheme="minorEastAsia"/>
                <w:color w:val="auto"/>
                <w:sz w:val="24"/>
                <w:szCs w:val="24"/>
                <w:highlight w:val="none"/>
                <w:lang w:eastAsia="zh-CN"/>
              </w:rPr>
              <w:t>地点：</w:t>
            </w:r>
            <w:r>
              <w:rPr>
                <w:rFonts w:hint="eastAsia" w:asciiTheme="minorEastAsia" w:hAnsiTheme="minorEastAsia" w:eastAsiaTheme="minorEastAsia" w:cstheme="minorEastAsia"/>
                <w:color w:val="auto"/>
                <w:sz w:val="24"/>
                <w:szCs w:val="24"/>
                <w:highlight w:val="none"/>
              </w:rPr>
              <w:t>本项目为贺州市电子化项目，通过“</w:t>
            </w:r>
            <w:r>
              <w:rPr>
                <w:rFonts w:hint="eastAsia" w:asciiTheme="minorEastAsia" w:hAnsiTheme="minorEastAsia" w:eastAsiaTheme="minorEastAsia" w:cstheme="minorEastAsia"/>
                <w:color w:val="auto"/>
                <w:sz w:val="24"/>
                <w:szCs w:val="24"/>
                <w:highlight w:val="none"/>
                <w:lang w:eastAsia="zh-CN"/>
              </w:rPr>
              <w:t>广西政采云</w:t>
            </w:r>
            <w:r>
              <w:rPr>
                <w:rFonts w:hint="eastAsia" w:asciiTheme="minorEastAsia" w:hAnsiTheme="minorEastAsia" w:eastAsiaTheme="minorEastAsia" w:cstheme="minorEastAsia"/>
                <w:color w:val="auto"/>
                <w:sz w:val="24"/>
                <w:szCs w:val="24"/>
                <w:highlight w:val="none"/>
              </w:rPr>
              <w:t>”平台实行在线电子投标，供应商应先安装“</w:t>
            </w:r>
            <w:r>
              <w:rPr>
                <w:rFonts w:hint="eastAsia" w:asciiTheme="minorEastAsia" w:hAnsiTheme="minorEastAsia" w:eastAsiaTheme="minorEastAsia" w:cstheme="minorEastAsia"/>
                <w:color w:val="auto"/>
                <w:sz w:val="24"/>
                <w:szCs w:val="24"/>
                <w:highlight w:val="none"/>
                <w:lang w:eastAsia="zh-CN"/>
              </w:rPr>
              <w:t>广西政采云</w:t>
            </w:r>
            <w:r>
              <w:rPr>
                <w:rFonts w:hint="eastAsia" w:asciiTheme="minorEastAsia" w:hAnsiTheme="minorEastAsia" w:eastAsiaTheme="minorEastAsia" w:cstheme="minorEastAsia"/>
                <w:color w:val="auto"/>
                <w:sz w:val="24"/>
                <w:szCs w:val="24"/>
                <w:highlight w:val="none"/>
              </w:rPr>
              <w:t>电子交易客户端”（请自行前往“</w:t>
            </w:r>
            <w:r>
              <w:rPr>
                <w:rFonts w:hint="eastAsia" w:asciiTheme="minorEastAsia" w:hAnsiTheme="minorEastAsia" w:eastAsiaTheme="minorEastAsia" w:cstheme="minorEastAsia"/>
                <w:color w:val="auto"/>
                <w:sz w:val="24"/>
                <w:szCs w:val="24"/>
                <w:highlight w:val="none"/>
                <w:lang w:eastAsia="zh-CN"/>
              </w:rPr>
              <w:t>广西政采云</w:t>
            </w:r>
            <w:r>
              <w:rPr>
                <w:rFonts w:hint="eastAsia" w:asciiTheme="minorEastAsia" w:hAnsiTheme="minorEastAsia" w:eastAsiaTheme="minorEastAsia" w:cstheme="minorEastAsia"/>
                <w:color w:val="auto"/>
                <w:sz w:val="24"/>
                <w:szCs w:val="24"/>
                <w:highlight w:val="none"/>
              </w:rPr>
              <w:t>”平台进行下载），并按照本项目招标文件和“</w:t>
            </w:r>
            <w:r>
              <w:rPr>
                <w:rFonts w:hint="eastAsia" w:asciiTheme="minorEastAsia" w:hAnsiTheme="minorEastAsia" w:eastAsiaTheme="minorEastAsia" w:cstheme="minorEastAsia"/>
                <w:color w:val="auto"/>
                <w:sz w:val="24"/>
                <w:szCs w:val="24"/>
                <w:highlight w:val="none"/>
                <w:lang w:eastAsia="zh-CN"/>
              </w:rPr>
              <w:t>广西政采云</w:t>
            </w:r>
            <w:r>
              <w:rPr>
                <w:rFonts w:hint="eastAsia" w:asciiTheme="minorEastAsia" w:hAnsiTheme="minorEastAsia" w:eastAsiaTheme="minorEastAsia" w:cstheme="minorEastAsia"/>
                <w:color w:val="auto"/>
                <w:sz w:val="24"/>
                <w:szCs w:val="24"/>
                <w:highlight w:val="none"/>
              </w:rPr>
              <w:t>”平台的要求编制、加密后在投标截止时间前通过网络上传至“</w:t>
            </w:r>
            <w:r>
              <w:rPr>
                <w:rFonts w:hint="eastAsia" w:asciiTheme="minorEastAsia" w:hAnsiTheme="minorEastAsia" w:eastAsiaTheme="minorEastAsia" w:cstheme="minorEastAsia"/>
                <w:color w:val="auto"/>
                <w:sz w:val="24"/>
                <w:szCs w:val="24"/>
                <w:highlight w:val="none"/>
                <w:lang w:eastAsia="zh-CN"/>
              </w:rPr>
              <w:t>广西政采云</w:t>
            </w:r>
            <w:r>
              <w:rPr>
                <w:rFonts w:hint="eastAsia" w:asciiTheme="minorEastAsia" w:hAnsiTheme="minorEastAsia" w:eastAsiaTheme="minorEastAsia" w:cstheme="minorEastAsia"/>
                <w:color w:val="auto"/>
                <w:sz w:val="24"/>
                <w:szCs w:val="24"/>
                <w:highlight w:val="none"/>
              </w:rPr>
              <w:t>”平台，</w:t>
            </w:r>
            <w:r>
              <w:rPr>
                <w:rFonts w:hint="eastAsia" w:asciiTheme="minorEastAsia" w:hAnsiTheme="minorEastAsia" w:eastAsiaTheme="minorEastAsia" w:cstheme="minorEastAsia"/>
                <w:b/>
                <w:bCs/>
                <w:color w:val="auto"/>
                <w:sz w:val="24"/>
                <w:szCs w:val="24"/>
                <w:highlight w:val="none"/>
              </w:rPr>
              <w:t>供应商在“</w:t>
            </w:r>
            <w:r>
              <w:rPr>
                <w:rFonts w:hint="eastAsia" w:asciiTheme="minorEastAsia" w:hAnsiTheme="minorEastAsia" w:eastAsiaTheme="minorEastAsia" w:cstheme="minorEastAsia"/>
                <w:b/>
                <w:bCs/>
                <w:color w:val="auto"/>
                <w:sz w:val="24"/>
                <w:szCs w:val="24"/>
                <w:highlight w:val="none"/>
                <w:lang w:eastAsia="zh-CN"/>
              </w:rPr>
              <w:t>广西政采云</w:t>
            </w:r>
            <w:r>
              <w:rPr>
                <w:rFonts w:hint="eastAsia" w:asciiTheme="minorEastAsia" w:hAnsiTheme="minorEastAsia" w:eastAsiaTheme="minorEastAsia" w:cstheme="minorEastAsia"/>
                <w:b/>
                <w:bCs/>
                <w:color w:val="auto"/>
                <w:sz w:val="24"/>
                <w:szCs w:val="24"/>
                <w:highlight w:val="none"/>
              </w:rPr>
              <w:t>”平台提交电子版响应文件时，请填写参加远程开标活动经办人联系方式，如在操作过程中遇到问题或需技术支持，请致电</w:t>
            </w:r>
            <w:r>
              <w:rPr>
                <w:rFonts w:hint="eastAsia" w:asciiTheme="minorEastAsia" w:hAnsiTheme="minorEastAsia" w:eastAsiaTheme="minorEastAsia" w:cstheme="minorEastAsia"/>
                <w:b/>
                <w:bCs/>
                <w:color w:val="auto"/>
                <w:sz w:val="24"/>
                <w:szCs w:val="24"/>
                <w:highlight w:val="none"/>
                <w:lang w:eastAsia="zh-CN"/>
              </w:rPr>
              <w:t>广西政采云</w:t>
            </w:r>
            <w:r>
              <w:rPr>
                <w:rFonts w:hint="eastAsia" w:asciiTheme="minorEastAsia" w:hAnsiTheme="minorEastAsia" w:eastAsiaTheme="minorEastAsia" w:cstheme="minorEastAsia"/>
                <w:b/>
                <w:bCs/>
                <w:color w:val="auto"/>
                <w:sz w:val="24"/>
                <w:szCs w:val="24"/>
                <w:highlight w:val="none"/>
              </w:rPr>
              <w:t>客服热线：</w:t>
            </w:r>
            <w:r>
              <w:rPr>
                <w:rFonts w:hint="eastAsia" w:asciiTheme="minorEastAsia" w:hAnsiTheme="minorEastAsia" w:eastAsiaTheme="minorEastAsia" w:cstheme="minorEastAsia"/>
                <w:b/>
                <w:bCs/>
                <w:color w:val="auto"/>
                <w:sz w:val="24"/>
                <w:szCs w:val="24"/>
                <w:highlight w:val="none"/>
                <w:lang w:eastAsia="zh-CN"/>
              </w:rPr>
              <w:t>95763</w:t>
            </w:r>
            <w:r>
              <w:rPr>
                <w:rFonts w:hint="eastAsia" w:asciiTheme="minorEastAsia" w:hAnsiTheme="minorEastAsia" w:eastAsiaTheme="minorEastAsia" w:cstheme="minorEastAsia"/>
                <w:color w:val="auto"/>
                <w:sz w:val="24"/>
                <w:szCs w:val="24"/>
                <w:highlight w:val="none"/>
                <w:lang w:eastAsia="zh-CN"/>
              </w:rPr>
              <w:t>。</w:t>
            </w:r>
          </w:p>
          <w:p w14:paraId="441CA4AE">
            <w:pPr>
              <w:spacing w:line="400" w:lineRule="exac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递交截止时间：</w:t>
            </w:r>
            <w:r>
              <w:rPr>
                <w:rFonts w:hint="eastAsia" w:asciiTheme="minorEastAsia" w:hAnsiTheme="minorEastAsia" w:eastAsiaTheme="minorEastAsia" w:cstheme="minorEastAsia"/>
                <w:b w:val="0"/>
                <w:bCs/>
                <w:color w:val="auto"/>
                <w:sz w:val="24"/>
                <w:szCs w:val="24"/>
                <w:highlight w:val="none"/>
                <w:u w:val="none"/>
                <w:lang w:val="en-US" w:eastAsia="zh-CN"/>
              </w:rPr>
              <w:t xml:space="preserve">2026年06月05日09时00分 </w:t>
            </w:r>
          </w:p>
        </w:tc>
      </w:tr>
      <w:tr w14:paraId="04571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tcMar>
              <w:top w:w="0" w:type="dxa"/>
              <w:left w:w="57" w:type="dxa"/>
              <w:bottom w:w="0" w:type="dxa"/>
              <w:right w:w="57" w:type="dxa"/>
            </w:tcMar>
            <w:vAlign w:val="center"/>
          </w:tcPr>
          <w:p w14:paraId="2D50F6DC">
            <w:pPr>
              <w:spacing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13</w:t>
            </w:r>
          </w:p>
        </w:tc>
        <w:tc>
          <w:tcPr>
            <w:tcW w:w="1965" w:type="dxa"/>
            <w:noWrap w:val="0"/>
            <w:tcMar>
              <w:top w:w="0" w:type="dxa"/>
              <w:left w:w="57" w:type="dxa"/>
              <w:bottom w:w="0" w:type="dxa"/>
              <w:right w:w="57" w:type="dxa"/>
            </w:tcMar>
            <w:vAlign w:val="center"/>
          </w:tcPr>
          <w:p w14:paraId="1ACB7239">
            <w:pPr>
              <w:spacing w:line="400" w:lineRule="exact"/>
              <w:jc w:val="center"/>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开标时间</w:t>
            </w:r>
          </w:p>
        </w:tc>
        <w:tc>
          <w:tcPr>
            <w:tcW w:w="7133" w:type="dxa"/>
            <w:noWrap w:val="0"/>
            <w:tcMar>
              <w:top w:w="0" w:type="dxa"/>
              <w:left w:w="57" w:type="dxa"/>
              <w:bottom w:w="0" w:type="dxa"/>
              <w:right w:w="57" w:type="dxa"/>
            </w:tcMar>
            <w:vAlign w:val="top"/>
          </w:tcPr>
          <w:p w14:paraId="3A4300F7">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开标时间：</w:t>
            </w:r>
            <w:r>
              <w:rPr>
                <w:rFonts w:hint="eastAsia" w:asciiTheme="minorEastAsia" w:hAnsiTheme="minorEastAsia" w:eastAsiaTheme="minorEastAsia" w:cstheme="minorEastAsia"/>
                <w:b w:val="0"/>
                <w:bCs/>
                <w:color w:val="auto"/>
                <w:sz w:val="24"/>
                <w:szCs w:val="24"/>
                <w:highlight w:val="none"/>
                <w:u w:val="none"/>
                <w:lang w:val="en-US" w:eastAsia="zh-CN"/>
              </w:rPr>
              <w:t>2026年06月05日09时00分</w:t>
            </w:r>
            <w:r>
              <w:rPr>
                <w:rFonts w:hint="eastAsia" w:asciiTheme="minorEastAsia" w:hAnsiTheme="minorEastAsia" w:eastAsiaTheme="minorEastAsia" w:cstheme="minorEastAsia"/>
                <w:color w:val="auto"/>
                <w:sz w:val="24"/>
                <w:szCs w:val="24"/>
                <w:highlight w:val="none"/>
              </w:rPr>
              <w:t>截标后</w:t>
            </w:r>
          </w:p>
          <w:p w14:paraId="63723E3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firstLine="480" w:firstLineChars="20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开标地点：“</w:t>
            </w:r>
            <w:r>
              <w:rPr>
                <w:rFonts w:hint="eastAsia" w:asciiTheme="minorEastAsia" w:hAnsiTheme="minorEastAsia" w:eastAsiaTheme="minorEastAsia" w:cstheme="minorEastAsia"/>
                <w:color w:val="auto"/>
                <w:sz w:val="24"/>
                <w:szCs w:val="24"/>
                <w:highlight w:val="none"/>
                <w:lang w:eastAsia="zh-CN"/>
              </w:rPr>
              <w:t>广西政采云</w:t>
            </w:r>
            <w:r>
              <w:rPr>
                <w:rFonts w:hint="eastAsia" w:asciiTheme="minorEastAsia" w:hAnsiTheme="minorEastAsia" w:eastAsiaTheme="minorEastAsia" w:cstheme="minorEastAsia"/>
                <w:color w:val="auto"/>
                <w:sz w:val="24"/>
                <w:szCs w:val="24"/>
                <w:highlight w:val="none"/>
              </w:rPr>
              <w:t>”平台电子开标大厅开标</w:t>
            </w:r>
            <w:r>
              <w:rPr>
                <w:rFonts w:hint="eastAsia" w:asciiTheme="minorEastAsia" w:hAnsiTheme="minorEastAsia" w:eastAsiaTheme="minorEastAsia" w:cstheme="minorEastAsia"/>
                <w:color w:val="auto"/>
                <w:sz w:val="24"/>
                <w:szCs w:val="24"/>
                <w:highlight w:val="none"/>
                <w:lang w:eastAsia="zh-CN"/>
              </w:rPr>
              <w:t>。</w:t>
            </w:r>
          </w:p>
          <w:p w14:paraId="28A5745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本项目不要求竞标供应商到达开标现场，但供应商应派法定代表人或委托代理人准时在线出席电子开评标会议，随时关注开评标进度，如在开评标过程中有电子询标，应在规定的时间内对电子询标函进行澄清回复。）</w:t>
            </w:r>
          </w:p>
        </w:tc>
      </w:tr>
      <w:tr w14:paraId="1B804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tcMar>
              <w:top w:w="0" w:type="dxa"/>
              <w:left w:w="57" w:type="dxa"/>
              <w:bottom w:w="0" w:type="dxa"/>
              <w:right w:w="57" w:type="dxa"/>
            </w:tcMar>
            <w:vAlign w:val="center"/>
          </w:tcPr>
          <w:p w14:paraId="46376D21">
            <w:pPr>
              <w:spacing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14</w:t>
            </w:r>
          </w:p>
        </w:tc>
        <w:tc>
          <w:tcPr>
            <w:tcW w:w="1965" w:type="dxa"/>
            <w:noWrap w:val="0"/>
            <w:tcMar>
              <w:top w:w="0" w:type="dxa"/>
              <w:left w:w="57" w:type="dxa"/>
              <w:bottom w:w="0" w:type="dxa"/>
              <w:right w:w="57" w:type="dxa"/>
            </w:tcMar>
            <w:vAlign w:val="center"/>
          </w:tcPr>
          <w:p w14:paraId="1F4652EA">
            <w:pPr>
              <w:spacing w:line="400" w:lineRule="exact"/>
              <w:jc w:val="center"/>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开标程序</w:t>
            </w:r>
          </w:p>
        </w:tc>
        <w:tc>
          <w:tcPr>
            <w:tcW w:w="7133" w:type="dxa"/>
            <w:noWrap w:val="0"/>
            <w:tcMar>
              <w:top w:w="0" w:type="dxa"/>
              <w:left w:w="57" w:type="dxa"/>
              <w:bottom w:w="0" w:type="dxa"/>
              <w:right w:w="57" w:type="dxa"/>
            </w:tcMar>
            <w:vAlign w:val="top"/>
          </w:tcPr>
          <w:p w14:paraId="5BEAC8E0">
            <w:pPr>
              <w:numPr>
                <w:ilvl w:val="0"/>
                <w:numId w:val="4"/>
              </w:numPr>
              <w:spacing w:line="39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签收、</w:t>
            </w:r>
            <w:r>
              <w:rPr>
                <w:rFonts w:hint="eastAsia" w:asciiTheme="minorEastAsia" w:hAnsiTheme="minorEastAsia" w:eastAsiaTheme="minorEastAsia" w:cstheme="minorEastAsia"/>
                <w:color w:val="auto"/>
                <w:sz w:val="24"/>
                <w:szCs w:val="24"/>
                <w:highlight w:val="none"/>
                <w:lang w:eastAsia="zh-CN"/>
              </w:rPr>
              <w:t>解密电子投标文件。</w:t>
            </w:r>
            <w:r>
              <w:rPr>
                <w:rFonts w:hint="eastAsia" w:asciiTheme="minorEastAsia" w:hAnsiTheme="minorEastAsia" w:eastAsiaTheme="minorEastAsia" w:cstheme="minorEastAsia"/>
                <w:color w:val="auto"/>
                <w:sz w:val="24"/>
                <w:szCs w:val="24"/>
                <w:highlight w:val="none"/>
                <w:lang w:val="en-US" w:eastAsia="zh-CN"/>
              </w:rPr>
              <w:t>采购代理机构将在“供应商须知前附表”规定的时间通过电子交易平台组织响应文件开启， 采购机构依托电子交易平台发起【开始解密】指令，供应商的法定代表人或其委托代理人须携带加密时所用的 CA 锁按平台提示和采购文件的规定登录到“广西政采云”平台电子开标大厅签到并在发起解密指令之时起 30分钟内完成对电子响应文件在线解密。发起解密指令之时起 5 分钟内供应商还未进行解密的，代理机构要通知供应商，供应商没预留联系方式或预留联系方式无效，导致代理机构无法联系到投标人在发起解密指令之时起 30分钟内完成对电子响应文件在线解密的，均视为无效投标。</w:t>
            </w:r>
          </w:p>
          <w:p w14:paraId="7472006B">
            <w:pPr>
              <w:numPr>
                <w:ilvl w:val="0"/>
                <w:numId w:val="0"/>
              </w:numPr>
              <w:spacing w:line="390" w:lineRule="exact"/>
              <w:ind w:firstLine="240" w:firstLineChars="1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（解密异常情况处理：详见本章 15.3 电子交易活动的中止。） </w:t>
            </w:r>
          </w:p>
          <w:p w14:paraId="5DCE8405">
            <w:pPr>
              <w:spacing w:line="39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如供应商成功解密响应文件，但未在“广西政采云”电子开标大厅参加磋商的，视同认可磋商过程和结果，由此产生的后果由供应商自行负责。参与磋商的供应商不足3 家的，不得磋商。</w:t>
            </w:r>
          </w:p>
          <w:p w14:paraId="5430A7C2">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（2）</w:t>
            </w:r>
            <w:r>
              <w:rPr>
                <w:rFonts w:hint="eastAsia" w:asciiTheme="minorEastAsia" w:hAnsiTheme="minorEastAsia" w:eastAsiaTheme="minorEastAsia" w:cstheme="minorEastAsia"/>
                <w:color w:val="auto"/>
                <w:sz w:val="24"/>
                <w:szCs w:val="24"/>
                <w:highlight w:val="none"/>
                <w:lang w:val="en-US" w:eastAsia="zh-CN"/>
              </w:rPr>
              <w:t>初步评审。</w:t>
            </w:r>
            <w:r>
              <w:rPr>
                <w:rFonts w:hint="eastAsia" w:asciiTheme="minorEastAsia" w:hAnsiTheme="minorEastAsia" w:eastAsiaTheme="minorEastAsia" w:cstheme="minorEastAsia"/>
                <w:color w:val="auto"/>
                <w:sz w:val="24"/>
                <w:szCs w:val="24"/>
                <w:highlight w:val="none"/>
                <w:lang w:eastAsia="zh-CN"/>
              </w:rPr>
              <w:t>投标文件解密结束</w:t>
            </w:r>
            <w:r>
              <w:rPr>
                <w:rFonts w:hint="eastAsia" w:asciiTheme="minorEastAsia" w:hAnsiTheme="minorEastAsia" w:eastAsiaTheme="minorEastAsia" w:cstheme="minorEastAsia"/>
                <w:color w:val="auto"/>
                <w:sz w:val="24"/>
                <w:szCs w:val="24"/>
                <w:highlight w:val="none"/>
                <w:lang w:val="en-US" w:eastAsia="zh-CN"/>
              </w:rPr>
              <w:t>后</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磋商小组依据法律法规和磋商文件的规定，对竞标人进行线上初步评审（资格性审查、符合性审查）。</w:t>
            </w:r>
          </w:p>
          <w:p w14:paraId="6F16BA28">
            <w:pPr>
              <w:numPr>
                <w:ilvl w:val="0"/>
                <w:numId w:val="0"/>
              </w:numPr>
              <w:spacing w:line="39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电子在线询标（开启第二轮报价）。①采购代理机构将按照提交首次响应文件的顺序在线上通知，通知磋商时，若某供应商不在通知现场时，该供应商排序到最后磋商，按照签到的顺序由其下一位供应商先参与磋商。②</w:t>
            </w:r>
            <w:r>
              <w:rPr>
                <w:rFonts w:hint="eastAsia" w:asciiTheme="minorEastAsia" w:hAnsiTheme="minorEastAsia" w:eastAsiaTheme="minorEastAsia" w:cstheme="minorEastAsia"/>
                <w:color w:val="auto"/>
                <w:sz w:val="24"/>
                <w:szCs w:val="24"/>
                <w:highlight w:val="none"/>
                <w:lang w:eastAsia="zh-CN"/>
              </w:rPr>
              <w:t>各投标供应商</w:t>
            </w:r>
            <w:r>
              <w:rPr>
                <w:rFonts w:hint="eastAsia" w:asciiTheme="minorEastAsia" w:hAnsiTheme="minorEastAsia" w:eastAsiaTheme="minorEastAsia" w:cstheme="minorEastAsia"/>
                <w:color w:val="auto"/>
                <w:sz w:val="24"/>
                <w:szCs w:val="24"/>
                <w:highlight w:val="none"/>
                <w:lang w:val="en-US" w:eastAsia="zh-CN"/>
              </w:rPr>
              <w:t>在规定地点、时间提交二次报价或询标回复。</w:t>
            </w:r>
          </w:p>
          <w:p w14:paraId="7FAE66CE">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eastAsia="zh-CN"/>
              </w:rPr>
              <w:t>）电子唱标。各投标供应商报价、</w:t>
            </w:r>
            <w:r>
              <w:rPr>
                <w:rFonts w:hint="eastAsia" w:asciiTheme="minorEastAsia" w:hAnsiTheme="minorEastAsia" w:eastAsiaTheme="minorEastAsia" w:cstheme="minorEastAsia"/>
                <w:color w:val="auto"/>
                <w:sz w:val="24"/>
                <w:szCs w:val="24"/>
                <w:highlight w:val="none"/>
                <w:lang w:val="en-US" w:eastAsia="zh-CN"/>
              </w:rPr>
              <w:t>工期等</w:t>
            </w:r>
            <w:r>
              <w:rPr>
                <w:rFonts w:hint="eastAsia" w:asciiTheme="minorEastAsia" w:hAnsiTheme="minorEastAsia" w:eastAsiaTheme="minorEastAsia" w:cstheme="minorEastAsia"/>
                <w:color w:val="auto"/>
                <w:sz w:val="24"/>
                <w:szCs w:val="24"/>
                <w:highlight w:val="none"/>
                <w:lang w:eastAsia="zh-CN"/>
              </w:rPr>
              <w:t>均在“广西政采云”平台远程不见面开标大厅展示；</w:t>
            </w:r>
          </w:p>
          <w:p w14:paraId="58CA5FA5">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eastAsia="zh-CN"/>
              </w:rPr>
              <w:t>）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56F9F5F4">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
                <w:bCs/>
                <w:color w:val="auto"/>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eastAsia="zh-CN"/>
              </w:rPr>
              <w:t>）开标结束。</w:t>
            </w:r>
          </w:p>
          <w:p w14:paraId="0F5453AD">
            <w:pPr>
              <w:pStyle w:val="35"/>
              <w:ind w:firstLine="482"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b/>
                <w:bCs/>
                <w:color w:val="auto"/>
                <w:highlight w:val="none"/>
                <w:lang w:eastAsia="zh-CN"/>
              </w:rPr>
              <w:t>特别说明：如遇“广西政采云”平台电子化开标或评审程序调整的，按调整后执行。</w:t>
            </w:r>
          </w:p>
        </w:tc>
      </w:tr>
      <w:tr w14:paraId="4DEF0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tcMar>
              <w:top w:w="0" w:type="dxa"/>
              <w:left w:w="57" w:type="dxa"/>
              <w:bottom w:w="0" w:type="dxa"/>
              <w:right w:w="57" w:type="dxa"/>
            </w:tcMar>
            <w:vAlign w:val="center"/>
          </w:tcPr>
          <w:p w14:paraId="7EA5409F">
            <w:pPr>
              <w:spacing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w:t>
            </w:r>
          </w:p>
        </w:tc>
        <w:tc>
          <w:tcPr>
            <w:tcW w:w="1965" w:type="dxa"/>
            <w:noWrap w:val="0"/>
            <w:tcMar>
              <w:top w:w="0" w:type="dxa"/>
              <w:left w:w="57" w:type="dxa"/>
              <w:bottom w:w="0" w:type="dxa"/>
              <w:right w:w="57" w:type="dxa"/>
            </w:tcMar>
            <w:vAlign w:val="center"/>
          </w:tcPr>
          <w:p w14:paraId="30A67D4B">
            <w:pPr>
              <w:widowControl/>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磋商小组的组成</w:t>
            </w:r>
          </w:p>
        </w:tc>
        <w:tc>
          <w:tcPr>
            <w:tcW w:w="7133" w:type="dxa"/>
            <w:noWrap w:val="0"/>
            <w:tcMar>
              <w:top w:w="0" w:type="dxa"/>
              <w:left w:w="57" w:type="dxa"/>
              <w:bottom w:w="0" w:type="dxa"/>
              <w:right w:w="57" w:type="dxa"/>
            </w:tcMar>
            <w:vAlign w:val="top"/>
          </w:tcPr>
          <w:p w14:paraId="2CE9A8B0">
            <w:pPr>
              <w:keepNext w:val="0"/>
              <w:keepLines w:val="0"/>
              <w:pageBreakBefore w:val="0"/>
              <w:kinsoku/>
              <w:wordWrap/>
              <w:overflowPunct/>
              <w:topLinePunct w:val="0"/>
              <w:autoSpaceDE/>
              <w:autoSpaceDN/>
              <w:bidi w:val="0"/>
              <w:adjustRightInd/>
              <w:snapToGrid/>
              <w:spacing w:line="34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磋商小组</w:t>
            </w:r>
            <w:r>
              <w:rPr>
                <w:rFonts w:hint="eastAsia" w:asciiTheme="minorEastAsia" w:hAnsiTheme="minorEastAsia" w:eastAsiaTheme="minorEastAsia" w:cstheme="minorEastAsia"/>
                <w:b/>
                <w:bCs/>
                <w:color w:val="auto"/>
                <w:sz w:val="24"/>
                <w:szCs w:val="24"/>
                <w:highlight w:val="none"/>
              </w:rPr>
              <w:t>构成：</w:t>
            </w:r>
            <w:r>
              <w:rPr>
                <w:rFonts w:hint="eastAsia" w:asciiTheme="minorEastAsia" w:hAnsiTheme="minorEastAsia" w:eastAsiaTheme="minorEastAsia" w:cstheme="minorEastAsia"/>
                <w:color w:val="auto"/>
                <w:sz w:val="24"/>
                <w:szCs w:val="24"/>
                <w:highlight w:val="none"/>
              </w:rPr>
              <w:t>3人，其中采购人代表1人，专家2人。</w:t>
            </w:r>
          </w:p>
          <w:p w14:paraId="052BFBEE">
            <w:pPr>
              <w:keepNext w:val="0"/>
              <w:keepLines w:val="0"/>
              <w:pageBreakBefore w:val="0"/>
              <w:widowControl/>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评标专家确定方式：</w:t>
            </w:r>
            <w:r>
              <w:rPr>
                <w:rFonts w:hint="eastAsia" w:asciiTheme="minorEastAsia" w:hAnsiTheme="minorEastAsia" w:eastAsiaTheme="minorEastAsia" w:cstheme="minorEastAsia"/>
                <w:color w:val="auto"/>
                <w:sz w:val="24"/>
                <w:szCs w:val="24"/>
                <w:highlight w:val="none"/>
                <w:lang w:val="en-US" w:eastAsia="zh-CN"/>
              </w:rPr>
              <w:t>开标前由采购代理机构在广西政采云平台广西评审专家库随机抽取确定。</w:t>
            </w:r>
          </w:p>
        </w:tc>
      </w:tr>
      <w:tr w14:paraId="505CC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6" w:type="dxa"/>
            <w:noWrap w:val="0"/>
            <w:tcMar>
              <w:top w:w="0" w:type="dxa"/>
              <w:left w:w="57" w:type="dxa"/>
              <w:bottom w:w="0" w:type="dxa"/>
              <w:right w:w="57" w:type="dxa"/>
            </w:tcMar>
            <w:vAlign w:val="center"/>
          </w:tcPr>
          <w:p w14:paraId="07FD1B9C">
            <w:pPr>
              <w:spacing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16</w:t>
            </w:r>
          </w:p>
        </w:tc>
        <w:tc>
          <w:tcPr>
            <w:tcW w:w="1965" w:type="dxa"/>
            <w:noWrap w:val="0"/>
            <w:tcMar>
              <w:top w:w="0" w:type="dxa"/>
              <w:left w:w="57" w:type="dxa"/>
              <w:bottom w:w="0" w:type="dxa"/>
              <w:right w:w="57" w:type="dxa"/>
            </w:tcMar>
            <w:vAlign w:val="center"/>
          </w:tcPr>
          <w:p w14:paraId="1C1187B7">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color w:val="auto"/>
                <w:sz w:val="24"/>
                <w:szCs w:val="24"/>
                <w:highlight w:val="none"/>
              </w:rPr>
              <w:t>评标办法</w:t>
            </w:r>
          </w:p>
        </w:tc>
        <w:tc>
          <w:tcPr>
            <w:tcW w:w="7133" w:type="dxa"/>
            <w:noWrap w:val="0"/>
            <w:tcMar>
              <w:top w:w="0" w:type="dxa"/>
              <w:left w:w="57" w:type="dxa"/>
              <w:bottom w:w="0" w:type="dxa"/>
              <w:right w:w="57" w:type="dxa"/>
            </w:tcMar>
            <w:vAlign w:val="center"/>
          </w:tcPr>
          <w:p w14:paraId="19543742">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综合评分法</w:t>
            </w:r>
          </w:p>
        </w:tc>
      </w:tr>
      <w:tr w14:paraId="40792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tcMar>
              <w:top w:w="0" w:type="dxa"/>
              <w:left w:w="57" w:type="dxa"/>
              <w:bottom w:w="0" w:type="dxa"/>
              <w:right w:w="57" w:type="dxa"/>
            </w:tcMar>
            <w:vAlign w:val="center"/>
          </w:tcPr>
          <w:p w14:paraId="3FE9A1A2">
            <w:pPr>
              <w:spacing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17</w:t>
            </w:r>
          </w:p>
        </w:tc>
        <w:tc>
          <w:tcPr>
            <w:tcW w:w="1965" w:type="dxa"/>
            <w:noWrap w:val="0"/>
            <w:tcMar>
              <w:top w:w="0" w:type="dxa"/>
              <w:left w:w="57" w:type="dxa"/>
              <w:bottom w:w="0" w:type="dxa"/>
              <w:right w:w="57" w:type="dxa"/>
            </w:tcMar>
            <w:vAlign w:val="center"/>
          </w:tcPr>
          <w:p w14:paraId="66B3225B">
            <w:pPr>
              <w:spacing w:line="400" w:lineRule="exact"/>
              <w:jc w:val="center"/>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是否授权磋商小组确定</w:t>
            </w:r>
            <w:r>
              <w:rPr>
                <w:rFonts w:hint="eastAsia" w:asciiTheme="minorEastAsia" w:hAnsiTheme="minorEastAsia" w:eastAsiaTheme="minorEastAsia" w:cstheme="minorEastAsia"/>
                <w:b/>
                <w:bCs w:val="0"/>
                <w:color w:val="auto"/>
                <w:sz w:val="24"/>
                <w:szCs w:val="24"/>
                <w:highlight w:val="none"/>
                <w:lang w:eastAsia="zh-CN"/>
              </w:rPr>
              <w:t>成交</w:t>
            </w:r>
            <w:r>
              <w:rPr>
                <w:rFonts w:hint="eastAsia" w:asciiTheme="minorEastAsia" w:hAnsiTheme="minorEastAsia" w:eastAsiaTheme="minorEastAsia" w:cstheme="minorEastAsia"/>
                <w:b/>
                <w:bCs w:val="0"/>
                <w:color w:val="auto"/>
                <w:sz w:val="24"/>
                <w:szCs w:val="24"/>
                <w:highlight w:val="none"/>
              </w:rPr>
              <w:t>人</w:t>
            </w:r>
          </w:p>
        </w:tc>
        <w:tc>
          <w:tcPr>
            <w:tcW w:w="7133" w:type="dxa"/>
            <w:noWrap w:val="0"/>
            <w:tcMar>
              <w:top w:w="0" w:type="dxa"/>
              <w:left w:w="57" w:type="dxa"/>
              <w:bottom w:w="0" w:type="dxa"/>
              <w:right w:w="57" w:type="dxa"/>
            </w:tcMar>
            <w:vAlign w:val="center"/>
          </w:tcPr>
          <w:p w14:paraId="79D531BC">
            <w:pPr>
              <w:widowControl/>
              <w:spacing w:line="400" w:lineRule="exact"/>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rPr>
              <w:t>是</w:t>
            </w:r>
            <w:r>
              <w:rPr>
                <w:rFonts w:hint="eastAsia" w:asciiTheme="minorEastAsia" w:hAnsiTheme="minorEastAsia" w:eastAsiaTheme="minorEastAsia" w:cstheme="minorEastAsia"/>
                <w:bCs/>
                <w:color w:val="auto"/>
                <w:sz w:val="24"/>
                <w:szCs w:val="24"/>
                <w:highlight w:val="none"/>
                <w:lang w:eastAsia="zh-CN"/>
              </w:rPr>
              <w:t>。</w:t>
            </w:r>
          </w:p>
        </w:tc>
      </w:tr>
      <w:tr w14:paraId="34AE2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tcMar>
              <w:top w:w="0" w:type="dxa"/>
              <w:left w:w="57" w:type="dxa"/>
              <w:bottom w:w="0" w:type="dxa"/>
              <w:right w:w="57" w:type="dxa"/>
            </w:tcMar>
            <w:vAlign w:val="center"/>
          </w:tcPr>
          <w:p w14:paraId="54CC1AE4">
            <w:pPr>
              <w:spacing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18</w:t>
            </w:r>
          </w:p>
        </w:tc>
        <w:tc>
          <w:tcPr>
            <w:tcW w:w="1965" w:type="dxa"/>
            <w:noWrap w:val="0"/>
            <w:tcMar>
              <w:top w:w="0" w:type="dxa"/>
              <w:left w:w="57" w:type="dxa"/>
              <w:bottom w:w="0" w:type="dxa"/>
              <w:right w:w="57" w:type="dxa"/>
            </w:tcMar>
            <w:vAlign w:val="center"/>
          </w:tcPr>
          <w:p w14:paraId="077FF05C">
            <w:pPr>
              <w:spacing w:line="400" w:lineRule="exact"/>
              <w:jc w:val="center"/>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color w:val="auto"/>
                <w:sz w:val="24"/>
                <w:szCs w:val="24"/>
                <w:highlight w:val="none"/>
              </w:rPr>
              <w:t>履约保证金</w:t>
            </w:r>
          </w:p>
        </w:tc>
        <w:tc>
          <w:tcPr>
            <w:tcW w:w="7133" w:type="dxa"/>
            <w:noWrap w:val="0"/>
            <w:tcMar>
              <w:top w:w="0" w:type="dxa"/>
              <w:left w:w="57" w:type="dxa"/>
              <w:bottom w:w="0" w:type="dxa"/>
              <w:right w:w="57" w:type="dxa"/>
            </w:tcMar>
            <w:vAlign w:val="top"/>
          </w:tcPr>
          <w:p w14:paraId="7DD8D10F">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本项目不做要求。</w:t>
            </w:r>
          </w:p>
        </w:tc>
      </w:tr>
      <w:tr w14:paraId="4187E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tcMar>
              <w:top w:w="0" w:type="dxa"/>
              <w:left w:w="57" w:type="dxa"/>
              <w:bottom w:w="0" w:type="dxa"/>
              <w:right w:w="57" w:type="dxa"/>
            </w:tcMar>
            <w:vAlign w:val="center"/>
          </w:tcPr>
          <w:p w14:paraId="68C684D7">
            <w:pPr>
              <w:spacing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19</w:t>
            </w:r>
          </w:p>
        </w:tc>
        <w:tc>
          <w:tcPr>
            <w:tcW w:w="1965" w:type="dxa"/>
            <w:noWrap w:val="0"/>
            <w:tcMar>
              <w:top w:w="0" w:type="dxa"/>
              <w:left w:w="57" w:type="dxa"/>
              <w:bottom w:w="0" w:type="dxa"/>
              <w:right w:w="57" w:type="dxa"/>
            </w:tcMar>
            <w:vAlign w:val="center"/>
          </w:tcPr>
          <w:p w14:paraId="40786394">
            <w:pPr>
              <w:spacing w:line="400" w:lineRule="exact"/>
              <w:jc w:val="center"/>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农民工工资保障金</w:t>
            </w:r>
          </w:p>
        </w:tc>
        <w:tc>
          <w:tcPr>
            <w:tcW w:w="7133" w:type="dxa"/>
            <w:noWrap w:val="0"/>
            <w:tcMar>
              <w:top w:w="0" w:type="dxa"/>
              <w:left w:w="57" w:type="dxa"/>
              <w:bottom w:w="0" w:type="dxa"/>
              <w:right w:w="57" w:type="dxa"/>
            </w:tcMar>
            <w:vAlign w:val="top"/>
          </w:tcPr>
          <w:p w14:paraId="39634642">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按合同条款执行。</w:t>
            </w:r>
          </w:p>
        </w:tc>
      </w:tr>
      <w:tr w14:paraId="3E968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706" w:type="dxa"/>
            <w:noWrap w:val="0"/>
            <w:tcMar>
              <w:top w:w="0" w:type="dxa"/>
              <w:left w:w="57" w:type="dxa"/>
              <w:bottom w:w="0" w:type="dxa"/>
              <w:right w:w="57" w:type="dxa"/>
            </w:tcMar>
            <w:vAlign w:val="center"/>
          </w:tcPr>
          <w:p w14:paraId="5D4EFAF9">
            <w:pPr>
              <w:spacing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w:t>
            </w:r>
          </w:p>
        </w:tc>
        <w:tc>
          <w:tcPr>
            <w:tcW w:w="1965" w:type="dxa"/>
            <w:noWrap w:val="0"/>
            <w:tcMar>
              <w:top w:w="0" w:type="dxa"/>
              <w:left w:w="57" w:type="dxa"/>
              <w:bottom w:w="0" w:type="dxa"/>
              <w:right w:w="57" w:type="dxa"/>
            </w:tcMar>
            <w:vAlign w:val="center"/>
          </w:tcPr>
          <w:p w14:paraId="45A04622">
            <w:pPr>
              <w:spacing w:line="400" w:lineRule="exact"/>
              <w:jc w:val="center"/>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上限控制价</w:t>
            </w:r>
          </w:p>
        </w:tc>
        <w:tc>
          <w:tcPr>
            <w:tcW w:w="7133" w:type="dxa"/>
            <w:noWrap w:val="0"/>
            <w:tcMar>
              <w:top w:w="0" w:type="dxa"/>
              <w:left w:w="57" w:type="dxa"/>
              <w:bottom w:w="0" w:type="dxa"/>
              <w:right w:w="57" w:type="dxa"/>
            </w:tcMar>
            <w:vAlign w:val="center"/>
          </w:tcPr>
          <w:p w14:paraId="5171BB72">
            <w:pPr>
              <w:widowControl/>
              <w:spacing w:line="240" w:lineRule="auto"/>
              <w:ind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u w:val="single"/>
                <w:lang w:val="en-US" w:eastAsia="zh-CN"/>
              </w:rPr>
              <w:t>人民币陆拾捌万零陆佰叁拾元玖角整（￥680630.90元）</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磋商供应商</w:t>
            </w:r>
            <w:r>
              <w:rPr>
                <w:rFonts w:hint="eastAsia" w:asciiTheme="minorEastAsia" w:hAnsiTheme="minorEastAsia" w:eastAsiaTheme="minorEastAsia" w:cstheme="minorEastAsia"/>
                <w:color w:val="auto"/>
                <w:sz w:val="24"/>
                <w:szCs w:val="24"/>
                <w:highlight w:val="none"/>
              </w:rPr>
              <w:t>报价高于公布的控制价的，其</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（磋商）作否决磋商处理。</w:t>
            </w:r>
          </w:p>
        </w:tc>
      </w:tr>
      <w:tr w14:paraId="5C721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tcMar>
              <w:top w:w="0" w:type="dxa"/>
              <w:left w:w="57" w:type="dxa"/>
              <w:bottom w:w="0" w:type="dxa"/>
              <w:right w:w="57" w:type="dxa"/>
            </w:tcMar>
            <w:vAlign w:val="center"/>
          </w:tcPr>
          <w:p w14:paraId="58537209">
            <w:pPr>
              <w:spacing w:line="36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w:t>
            </w:r>
          </w:p>
        </w:tc>
        <w:tc>
          <w:tcPr>
            <w:tcW w:w="1965" w:type="dxa"/>
            <w:noWrap w:val="0"/>
            <w:tcMar>
              <w:top w:w="0" w:type="dxa"/>
              <w:left w:w="57" w:type="dxa"/>
              <w:bottom w:w="0" w:type="dxa"/>
              <w:right w:w="57" w:type="dxa"/>
            </w:tcMar>
            <w:vAlign w:val="center"/>
          </w:tcPr>
          <w:p w14:paraId="2135E777">
            <w:pPr>
              <w:spacing w:line="360" w:lineRule="exact"/>
              <w:jc w:val="center"/>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代理</w:t>
            </w:r>
            <w:r>
              <w:rPr>
                <w:rFonts w:hint="eastAsia" w:asciiTheme="minorEastAsia" w:hAnsiTheme="minorEastAsia" w:eastAsiaTheme="minorEastAsia" w:cstheme="minorEastAsia"/>
                <w:b/>
                <w:bCs w:val="0"/>
                <w:color w:val="auto"/>
                <w:sz w:val="24"/>
                <w:szCs w:val="24"/>
                <w:highlight w:val="none"/>
                <w:lang w:eastAsia="zh-CN"/>
              </w:rPr>
              <w:t>服务</w:t>
            </w:r>
            <w:r>
              <w:rPr>
                <w:rFonts w:hint="eastAsia" w:asciiTheme="minorEastAsia" w:hAnsiTheme="minorEastAsia" w:eastAsiaTheme="minorEastAsia" w:cstheme="minorEastAsia"/>
                <w:b/>
                <w:bCs w:val="0"/>
                <w:color w:val="auto"/>
                <w:sz w:val="24"/>
                <w:szCs w:val="24"/>
                <w:highlight w:val="none"/>
              </w:rPr>
              <w:t>费</w:t>
            </w:r>
          </w:p>
        </w:tc>
        <w:tc>
          <w:tcPr>
            <w:tcW w:w="7133" w:type="dxa"/>
            <w:noWrap w:val="0"/>
            <w:tcMar>
              <w:top w:w="0" w:type="dxa"/>
              <w:left w:w="57" w:type="dxa"/>
              <w:bottom w:w="0" w:type="dxa"/>
              <w:right w:w="57" w:type="dxa"/>
            </w:tcMar>
            <w:vAlign w:val="center"/>
          </w:tcPr>
          <w:p w14:paraId="4E2D15AE">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招标代理费：招标代理费金额</w:t>
            </w:r>
            <w:r>
              <w:rPr>
                <w:rFonts w:hint="eastAsia" w:asciiTheme="minorEastAsia" w:hAnsiTheme="minorEastAsia" w:eastAsiaTheme="minorEastAsia" w:cstheme="minorEastAsia"/>
                <w:color w:val="auto"/>
                <w:sz w:val="24"/>
                <w:szCs w:val="24"/>
                <w:highlight w:val="none"/>
                <w:lang w:val="en-US" w:eastAsia="zh-CN"/>
              </w:rPr>
              <w:t>参照</w:t>
            </w:r>
            <w:r>
              <w:rPr>
                <w:rFonts w:hint="eastAsia" w:asciiTheme="minorEastAsia" w:hAnsiTheme="minorEastAsia" w:eastAsiaTheme="minorEastAsia" w:cstheme="minorEastAsia"/>
                <w:color w:val="auto"/>
                <w:sz w:val="24"/>
                <w:szCs w:val="24"/>
                <w:highlight w:val="none"/>
                <w:lang w:eastAsia="zh-CN"/>
              </w:rPr>
              <w:t>国家计委计价格【2002】1980号文规定的“招标代理服务收费标准”执行。由成交人在领取成交通知书时，一次性向招标代理机构支付。</w:t>
            </w:r>
          </w:p>
        </w:tc>
      </w:tr>
      <w:tr w14:paraId="220D2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tcMar>
              <w:top w:w="0" w:type="dxa"/>
              <w:left w:w="57" w:type="dxa"/>
              <w:bottom w:w="0" w:type="dxa"/>
              <w:right w:w="57" w:type="dxa"/>
            </w:tcMar>
            <w:vAlign w:val="center"/>
          </w:tcPr>
          <w:p w14:paraId="0E60F560">
            <w:pPr>
              <w:spacing w:line="36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22</w:t>
            </w:r>
          </w:p>
        </w:tc>
        <w:tc>
          <w:tcPr>
            <w:tcW w:w="1965" w:type="dxa"/>
            <w:noWrap w:val="0"/>
            <w:tcMar>
              <w:top w:w="0" w:type="dxa"/>
              <w:left w:w="57" w:type="dxa"/>
              <w:bottom w:w="0" w:type="dxa"/>
              <w:right w:w="57" w:type="dxa"/>
            </w:tcMar>
            <w:vAlign w:val="center"/>
          </w:tcPr>
          <w:p w14:paraId="63C70098">
            <w:pPr>
              <w:spacing w:line="360" w:lineRule="exact"/>
              <w:jc w:val="center"/>
              <w:rPr>
                <w:rFonts w:hint="eastAsia" w:asciiTheme="minorEastAsia" w:hAnsiTheme="minorEastAsia" w:eastAsiaTheme="minorEastAsia" w:cstheme="minorEastAsia"/>
                <w:b/>
                <w:bCs w:val="0"/>
                <w:color w:val="auto"/>
                <w:sz w:val="24"/>
                <w:szCs w:val="24"/>
                <w:highlight w:val="none"/>
                <w:lang w:val="en-US" w:eastAsia="zh-CN"/>
              </w:rPr>
            </w:pPr>
          </w:p>
          <w:p w14:paraId="29845147">
            <w:pPr>
              <w:spacing w:line="360" w:lineRule="exact"/>
              <w:jc w:val="center"/>
              <w:rPr>
                <w:rFonts w:hint="eastAsia" w:asciiTheme="minorEastAsia" w:hAnsiTheme="minorEastAsia" w:eastAsiaTheme="minorEastAsia" w:cstheme="minorEastAsia"/>
                <w:b/>
                <w:bCs w:val="0"/>
                <w:color w:val="auto"/>
                <w:sz w:val="24"/>
                <w:szCs w:val="24"/>
                <w:highlight w:val="none"/>
                <w:lang w:val="en-US" w:eastAsia="zh-CN"/>
              </w:rPr>
            </w:pPr>
          </w:p>
          <w:p w14:paraId="3A9E0A2B">
            <w:pPr>
              <w:spacing w:line="360" w:lineRule="exact"/>
              <w:jc w:val="center"/>
              <w:rPr>
                <w:rFonts w:hint="eastAsia" w:asciiTheme="minorEastAsia" w:hAnsiTheme="minorEastAsia" w:eastAsiaTheme="minorEastAsia" w:cstheme="minorEastAsia"/>
                <w:b/>
                <w:bCs w:val="0"/>
                <w:color w:val="auto"/>
                <w:sz w:val="24"/>
                <w:szCs w:val="24"/>
                <w:highlight w:val="none"/>
                <w:lang w:val="en-US" w:eastAsia="zh-CN"/>
              </w:rPr>
            </w:pPr>
          </w:p>
          <w:p w14:paraId="5A49608C">
            <w:pPr>
              <w:spacing w:line="360" w:lineRule="exact"/>
              <w:jc w:val="center"/>
              <w:rPr>
                <w:rFonts w:hint="eastAsia" w:asciiTheme="minorEastAsia" w:hAnsiTheme="minorEastAsia" w:eastAsiaTheme="minorEastAsia" w:cstheme="minorEastAsia"/>
                <w:b/>
                <w:bCs w:val="0"/>
                <w:color w:val="auto"/>
                <w:sz w:val="24"/>
                <w:szCs w:val="24"/>
                <w:highlight w:val="none"/>
                <w:lang w:val="en-US" w:eastAsia="zh-CN"/>
              </w:rPr>
            </w:pPr>
          </w:p>
          <w:p w14:paraId="0F4940F9">
            <w:pPr>
              <w:spacing w:line="360" w:lineRule="exact"/>
              <w:jc w:val="center"/>
              <w:rPr>
                <w:rFonts w:hint="eastAsia" w:asciiTheme="minorEastAsia" w:hAnsiTheme="minorEastAsia" w:eastAsiaTheme="minorEastAsia" w:cstheme="minorEastAsia"/>
                <w:b/>
                <w:bCs w:val="0"/>
                <w:color w:val="auto"/>
                <w:sz w:val="24"/>
                <w:szCs w:val="24"/>
                <w:highlight w:val="none"/>
                <w:lang w:val="en-US" w:eastAsia="zh-CN"/>
              </w:rPr>
            </w:pPr>
          </w:p>
          <w:p w14:paraId="30F4E8EC">
            <w:pPr>
              <w:spacing w:line="360" w:lineRule="exact"/>
              <w:jc w:val="center"/>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特别说明</w:t>
            </w:r>
          </w:p>
        </w:tc>
        <w:tc>
          <w:tcPr>
            <w:tcW w:w="7133" w:type="dxa"/>
            <w:noWrap w:val="0"/>
            <w:tcMar>
              <w:top w:w="0" w:type="dxa"/>
              <w:left w:w="57" w:type="dxa"/>
              <w:bottom w:w="0" w:type="dxa"/>
              <w:right w:w="57" w:type="dxa"/>
            </w:tcMar>
            <w:vAlign w:val="center"/>
          </w:tcPr>
          <w:p w14:paraId="7F8A4676">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0BC03429">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BEBE997">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4D6712E7">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4.自然人竞标的，磋商文件规定盖公章处由自然人摁手指指印。</w:t>
            </w:r>
          </w:p>
          <w:p w14:paraId="494DE21E">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5.本磋商文件所称的“以上”“以下”“以内”“届满”，包括本数；所称的“不满”“超过”“以外”，不包括本数。</w:t>
            </w:r>
          </w:p>
        </w:tc>
      </w:tr>
    </w:tbl>
    <w:p w14:paraId="3A3E9945">
      <w:pPr>
        <w:spacing w:line="40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4"/>
          <w:szCs w:val="24"/>
          <w:highlight w:val="none"/>
        </w:rPr>
        <w:br w:type="page"/>
      </w:r>
      <w:r>
        <w:rPr>
          <w:rFonts w:hint="eastAsia" w:asciiTheme="minorEastAsia" w:hAnsiTheme="minorEastAsia" w:eastAsiaTheme="minorEastAsia" w:cstheme="minorEastAsia"/>
          <w:b/>
          <w:color w:val="auto"/>
          <w:sz w:val="28"/>
          <w:szCs w:val="28"/>
          <w:highlight w:val="none"/>
          <w:lang w:eastAsia="zh-CN"/>
        </w:rPr>
        <w:t>磋商供应商</w:t>
      </w:r>
      <w:r>
        <w:rPr>
          <w:rFonts w:hint="eastAsia" w:asciiTheme="minorEastAsia" w:hAnsiTheme="minorEastAsia" w:eastAsiaTheme="minorEastAsia" w:cstheme="minorEastAsia"/>
          <w:b/>
          <w:color w:val="auto"/>
          <w:sz w:val="28"/>
          <w:szCs w:val="28"/>
          <w:highlight w:val="none"/>
        </w:rPr>
        <w:t>须知</w:t>
      </w:r>
      <w:bookmarkStart w:id="53" w:name="_Toc459103898"/>
    </w:p>
    <w:p w14:paraId="57A593BE">
      <w:pPr>
        <w:pStyle w:val="3"/>
        <w:spacing w:before="0" w:after="0" w:line="390" w:lineRule="exact"/>
        <w:rPr>
          <w:rFonts w:hint="eastAsia" w:asciiTheme="minorEastAsia" w:hAnsiTheme="minorEastAsia" w:eastAsiaTheme="minorEastAsia" w:cstheme="minorEastAsia"/>
          <w:color w:val="auto"/>
          <w:sz w:val="21"/>
          <w:szCs w:val="21"/>
          <w:highlight w:val="none"/>
        </w:rPr>
      </w:pPr>
      <w:bookmarkStart w:id="54" w:name="_Toc1599"/>
      <w:r>
        <w:rPr>
          <w:rFonts w:hint="eastAsia" w:asciiTheme="minorEastAsia" w:hAnsiTheme="minorEastAsia" w:eastAsiaTheme="minorEastAsia" w:cstheme="minorEastAsia"/>
          <w:color w:val="auto"/>
          <w:sz w:val="21"/>
          <w:szCs w:val="21"/>
          <w:highlight w:val="none"/>
        </w:rPr>
        <w:t>一、总则</w:t>
      </w:r>
      <w:bookmarkEnd w:id="53"/>
      <w:bookmarkEnd w:id="54"/>
    </w:p>
    <w:p w14:paraId="5A2AC1C4">
      <w:pPr>
        <w:spacing w:line="390" w:lineRule="exact"/>
        <w:ind w:left="1862" w:right="-192" w:hanging="2127" w:hangingChars="883"/>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rPr>
        <w:t>1、项目名称：</w:t>
      </w:r>
      <w:r>
        <w:rPr>
          <w:rFonts w:hint="eastAsia" w:asciiTheme="minorEastAsia" w:hAnsiTheme="minorEastAsia" w:eastAsiaTheme="minorEastAsia" w:cstheme="minorEastAsia"/>
          <w:b w:val="0"/>
          <w:bCs w:val="0"/>
          <w:color w:val="auto"/>
          <w:sz w:val="24"/>
          <w:szCs w:val="24"/>
          <w:highlight w:val="none"/>
          <w:lang w:eastAsia="zh-CN"/>
        </w:rPr>
        <w:t>昭平县木格乡花会冲八角基地产业路项目</w:t>
      </w:r>
    </w:p>
    <w:p w14:paraId="1E245D49">
      <w:pPr>
        <w:spacing w:line="390" w:lineRule="exact"/>
        <w:ind w:firstLine="361" w:firstLineChars="15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rPr>
        <w:t>项目编号：</w:t>
      </w:r>
      <w:r>
        <w:rPr>
          <w:rFonts w:hint="eastAsia" w:asciiTheme="minorEastAsia" w:hAnsiTheme="minorEastAsia" w:eastAsiaTheme="minorEastAsia" w:cstheme="minorEastAsia"/>
          <w:b w:val="0"/>
          <w:bCs w:val="0"/>
          <w:color w:val="auto"/>
          <w:sz w:val="24"/>
          <w:szCs w:val="24"/>
          <w:highlight w:val="none"/>
          <w:lang w:eastAsia="zh-CN"/>
        </w:rPr>
        <w:t>HZZC2026-C2-210032-GLHY</w:t>
      </w:r>
    </w:p>
    <w:p w14:paraId="7D14A30C">
      <w:pPr>
        <w:spacing w:line="39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2、</w:t>
      </w:r>
      <w:r>
        <w:rPr>
          <w:rFonts w:hint="eastAsia" w:asciiTheme="minorEastAsia" w:hAnsiTheme="minorEastAsia" w:eastAsiaTheme="minorEastAsia" w:cstheme="minorEastAsia"/>
          <w:b/>
          <w:bCs/>
          <w:color w:val="auto"/>
          <w:sz w:val="24"/>
          <w:szCs w:val="24"/>
          <w:highlight w:val="none"/>
          <w:lang w:eastAsia="zh-CN"/>
        </w:rPr>
        <w:t>磋商供应商</w:t>
      </w:r>
      <w:r>
        <w:rPr>
          <w:rFonts w:hint="eastAsia" w:asciiTheme="minorEastAsia" w:hAnsiTheme="minorEastAsia" w:eastAsiaTheme="minorEastAsia" w:cstheme="minorEastAsia"/>
          <w:b/>
          <w:bCs/>
          <w:color w:val="auto"/>
          <w:sz w:val="24"/>
          <w:szCs w:val="24"/>
          <w:highlight w:val="none"/>
        </w:rPr>
        <w:t>资质要求：</w:t>
      </w:r>
    </w:p>
    <w:p w14:paraId="2F04A5E6">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2.1资质要求：</w:t>
      </w:r>
    </w:p>
    <w:p w14:paraId="4A6A4F14">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满足《中华人民共和国政府采购法》第二十二条规定；</w:t>
      </w:r>
    </w:p>
    <w:p w14:paraId="42B270AC">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落实政府采购政策需满足的资格要求：</w:t>
      </w:r>
      <w:r>
        <w:rPr>
          <w:rFonts w:hint="eastAsia" w:asciiTheme="minorEastAsia" w:hAnsiTheme="minorEastAsia" w:eastAsiaTheme="minorEastAsia" w:cstheme="minorEastAsia"/>
          <w:color w:val="auto"/>
          <w:sz w:val="24"/>
          <w:szCs w:val="24"/>
          <w:highlight w:val="none"/>
          <w:lang w:val="en-US" w:eastAsia="zh-CN"/>
        </w:rPr>
        <w:t>专门面向中小企业采购的项目（供应商应为中小微企业、监狱企业、残疾人福利性单位）</w:t>
      </w:r>
      <w:r>
        <w:rPr>
          <w:rFonts w:hint="eastAsia" w:asciiTheme="minorEastAsia" w:hAnsiTheme="minorEastAsia" w:eastAsiaTheme="minorEastAsia" w:cstheme="minorEastAsia"/>
          <w:color w:val="auto"/>
          <w:sz w:val="24"/>
          <w:szCs w:val="24"/>
          <w:highlight w:val="none"/>
          <w:lang w:eastAsia="zh-CN"/>
        </w:rPr>
        <w:t>；</w:t>
      </w:r>
    </w:p>
    <w:p w14:paraId="048EB92C">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2.1.</w:t>
      </w:r>
      <w:r>
        <w:rPr>
          <w:rFonts w:hint="eastAsia" w:asciiTheme="minorEastAsia" w:hAnsiTheme="minorEastAsia" w:eastAsiaTheme="minorEastAsia" w:cstheme="minorEastAsia"/>
          <w:color w:val="auto"/>
          <w:sz w:val="24"/>
          <w:szCs w:val="24"/>
          <w:highlight w:val="none"/>
        </w:rPr>
        <w:t>3本项目的特定资格要求：</w:t>
      </w:r>
    </w:p>
    <w:p w14:paraId="4219743B">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（1）磋商人具备公路工程施工总承包叁级以上（含叁级）资质，持有有效的省级及以上建设行政主管部门颁发的《安全生产许可证》，并在人员、设备、资金等方面具备相应的施工能力的供应商；</w:t>
      </w:r>
    </w:p>
    <w:p w14:paraId="70DCF762">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拟投入的项目经理须具备公路工程类专业注册建造师二级以上（含二级）执业资格和具备有效的《安全生产考核合格证书（B类）》【提供项目经理注册建造师执业资格证书和安全生产考核合格证书（B类）的扫描件】。</w:t>
      </w:r>
    </w:p>
    <w:p w14:paraId="5AD830E1">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对在“信用中国”网站(www.creditchina.gov.cn)</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中国政府采购网(www.ccgp.gov.cn)等渠道列入失信被执行人、重大税收违法案件当事人名单、政府采购严重违法失信行为记录名单的</w:t>
      </w:r>
      <w:r>
        <w:rPr>
          <w:rFonts w:hint="eastAsia" w:asciiTheme="minorEastAsia" w:hAnsiTheme="minorEastAsia" w:eastAsiaTheme="minorEastAsia" w:cstheme="minorEastAsia"/>
          <w:color w:val="auto"/>
          <w:sz w:val="24"/>
          <w:szCs w:val="24"/>
          <w:highlight w:val="none"/>
          <w:lang w:eastAsia="zh-CN"/>
        </w:rPr>
        <w:t>磋商人</w:t>
      </w:r>
      <w:r>
        <w:rPr>
          <w:rFonts w:hint="eastAsia" w:asciiTheme="minorEastAsia" w:hAnsiTheme="minorEastAsia" w:eastAsiaTheme="minorEastAsia" w:cstheme="minorEastAsia"/>
          <w:color w:val="auto"/>
          <w:sz w:val="24"/>
          <w:szCs w:val="24"/>
          <w:highlight w:val="none"/>
        </w:rPr>
        <w:t>，不得参与政府采购活动（以评标过程中查询结果为准）；</w:t>
      </w:r>
    </w:p>
    <w:p w14:paraId="18EDE12D">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）本项目不接受联合体磋商</w:t>
      </w:r>
      <w:r>
        <w:rPr>
          <w:rFonts w:hint="eastAsia" w:asciiTheme="minorEastAsia" w:hAnsiTheme="minorEastAsia" w:eastAsiaTheme="minorEastAsia" w:cstheme="minorEastAsia"/>
          <w:color w:val="auto"/>
          <w:sz w:val="24"/>
          <w:szCs w:val="24"/>
          <w:highlight w:val="none"/>
          <w:lang w:val="en-US" w:eastAsia="zh-CN"/>
        </w:rPr>
        <w:t>。</w:t>
      </w:r>
    </w:p>
    <w:p w14:paraId="4E76F3D0">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2.2符合</w:t>
      </w:r>
      <w:r>
        <w:rPr>
          <w:rFonts w:hint="eastAsia" w:asciiTheme="minorEastAsia" w:hAnsiTheme="minorEastAsia" w:eastAsiaTheme="minorEastAsia" w:cstheme="minorEastAsia"/>
          <w:color w:val="auto"/>
          <w:sz w:val="24"/>
          <w:szCs w:val="24"/>
          <w:highlight w:val="none"/>
          <w:lang w:eastAsia="zh-CN"/>
        </w:rPr>
        <w:t>磋商供应商</w:t>
      </w:r>
      <w:r>
        <w:rPr>
          <w:rFonts w:hint="eastAsia" w:asciiTheme="minorEastAsia" w:hAnsiTheme="minorEastAsia" w:eastAsiaTheme="minorEastAsia" w:cstheme="minorEastAsia"/>
          <w:color w:val="auto"/>
          <w:sz w:val="24"/>
          <w:szCs w:val="24"/>
          <w:highlight w:val="none"/>
        </w:rPr>
        <w:t>资格的</w:t>
      </w:r>
      <w:r>
        <w:rPr>
          <w:rFonts w:hint="eastAsia" w:asciiTheme="minorEastAsia" w:hAnsiTheme="minorEastAsia" w:eastAsiaTheme="minorEastAsia" w:cstheme="minorEastAsia"/>
          <w:color w:val="auto"/>
          <w:sz w:val="24"/>
          <w:szCs w:val="24"/>
          <w:highlight w:val="none"/>
          <w:lang w:eastAsia="zh-CN"/>
        </w:rPr>
        <w:t>磋商供应商</w:t>
      </w:r>
      <w:r>
        <w:rPr>
          <w:rFonts w:hint="eastAsia" w:asciiTheme="minorEastAsia" w:hAnsiTheme="minorEastAsia" w:eastAsiaTheme="minorEastAsia" w:cstheme="minorEastAsia"/>
          <w:color w:val="auto"/>
          <w:sz w:val="24"/>
          <w:szCs w:val="24"/>
          <w:highlight w:val="none"/>
        </w:rPr>
        <w:t>应承担磋商及履约中应承担的全部责任与义务。</w:t>
      </w:r>
    </w:p>
    <w:p w14:paraId="5C96D61B">
      <w:pPr>
        <w:spacing w:line="39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3、磋商费用</w:t>
      </w:r>
    </w:p>
    <w:p w14:paraId="6022534B">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w:t>
      </w:r>
      <w:r>
        <w:rPr>
          <w:rFonts w:hint="eastAsia" w:asciiTheme="minorEastAsia" w:hAnsiTheme="minorEastAsia" w:eastAsiaTheme="minorEastAsia" w:cstheme="minorEastAsia"/>
          <w:color w:val="auto"/>
          <w:sz w:val="24"/>
          <w:szCs w:val="24"/>
          <w:highlight w:val="none"/>
          <w:lang w:eastAsia="zh-CN"/>
        </w:rPr>
        <w:t>磋商供应商</w:t>
      </w:r>
      <w:r>
        <w:rPr>
          <w:rFonts w:hint="eastAsia" w:asciiTheme="minorEastAsia" w:hAnsiTheme="minorEastAsia" w:eastAsiaTheme="minorEastAsia" w:cstheme="minorEastAsia"/>
          <w:color w:val="auto"/>
          <w:sz w:val="24"/>
          <w:szCs w:val="24"/>
          <w:highlight w:val="none"/>
        </w:rPr>
        <w:t>应自行承担所有与本次磋商有关的全部费用。</w:t>
      </w:r>
    </w:p>
    <w:p w14:paraId="17907A3D">
      <w:pPr>
        <w:pStyle w:val="3"/>
        <w:spacing w:before="0" w:after="0" w:line="390" w:lineRule="exact"/>
        <w:rPr>
          <w:rFonts w:hint="eastAsia" w:asciiTheme="minorEastAsia" w:hAnsiTheme="minorEastAsia" w:eastAsiaTheme="minorEastAsia" w:cstheme="minorEastAsia"/>
          <w:color w:val="auto"/>
          <w:sz w:val="24"/>
          <w:szCs w:val="24"/>
          <w:highlight w:val="none"/>
        </w:rPr>
      </w:pPr>
      <w:bookmarkStart w:id="55" w:name="_Toc459103899"/>
    </w:p>
    <w:p w14:paraId="1B48F419">
      <w:pPr>
        <w:pStyle w:val="3"/>
        <w:spacing w:before="0" w:after="0" w:line="390" w:lineRule="exact"/>
        <w:rPr>
          <w:rFonts w:hint="eastAsia" w:asciiTheme="minorEastAsia" w:hAnsiTheme="minorEastAsia" w:eastAsiaTheme="minorEastAsia" w:cstheme="minorEastAsia"/>
          <w:color w:val="auto"/>
          <w:sz w:val="24"/>
          <w:szCs w:val="24"/>
          <w:highlight w:val="none"/>
          <w:lang w:eastAsia="zh-CN"/>
        </w:rPr>
      </w:pPr>
      <w:bookmarkStart w:id="56" w:name="_Toc21203"/>
      <w:r>
        <w:rPr>
          <w:rFonts w:hint="eastAsia" w:asciiTheme="minorEastAsia" w:hAnsiTheme="minorEastAsia" w:eastAsiaTheme="minorEastAsia" w:cstheme="minorEastAsia"/>
          <w:color w:val="auto"/>
          <w:sz w:val="24"/>
          <w:szCs w:val="24"/>
          <w:highlight w:val="none"/>
        </w:rPr>
        <w:t>二、</w:t>
      </w:r>
      <w:bookmarkEnd w:id="55"/>
      <w:r>
        <w:rPr>
          <w:rFonts w:hint="eastAsia" w:asciiTheme="minorEastAsia" w:hAnsiTheme="minorEastAsia" w:eastAsiaTheme="minorEastAsia" w:cstheme="minorEastAsia"/>
          <w:color w:val="auto"/>
          <w:sz w:val="24"/>
          <w:szCs w:val="24"/>
          <w:highlight w:val="none"/>
          <w:lang w:eastAsia="zh-CN"/>
        </w:rPr>
        <w:t>《竞争性磋商文件》</w:t>
      </w:r>
      <w:bookmarkEnd w:id="56"/>
    </w:p>
    <w:p w14:paraId="19995EA3">
      <w:pPr>
        <w:spacing w:line="39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4、</w:t>
      </w:r>
      <w:r>
        <w:rPr>
          <w:rFonts w:hint="eastAsia" w:asciiTheme="minorEastAsia" w:hAnsiTheme="minorEastAsia" w:eastAsiaTheme="minorEastAsia" w:cstheme="minorEastAsia"/>
          <w:b/>
          <w:bCs/>
          <w:color w:val="auto"/>
          <w:sz w:val="24"/>
          <w:szCs w:val="24"/>
          <w:highlight w:val="none"/>
          <w:lang w:eastAsia="zh-CN"/>
        </w:rPr>
        <w:t>《竞争性磋商文件》</w:t>
      </w:r>
      <w:r>
        <w:rPr>
          <w:rFonts w:hint="eastAsia" w:asciiTheme="minorEastAsia" w:hAnsiTheme="minorEastAsia" w:eastAsiaTheme="minorEastAsia" w:cstheme="minorEastAsia"/>
          <w:b/>
          <w:bCs/>
          <w:color w:val="auto"/>
          <w:sz w:val="24"/>
          <w:szCs w:val="24"/>
          <w:highlight w:val="none"/>
        </w:rPr>
        <w:t>的构成</w:t>
      </w:r>
    </w:p>
    <w:p w14:paraId="378B78F5">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4.1磋商文件包括：</w:t>
      </w:r>
    </w:p>
    <w:p w14:paraId="48A53C73">
      <w:pPr>
        <w:pStyle w:val="11"/>
        <w:spacing w:line="39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（1）竞争性磋商公告</w:t>
      </w:r>
    </w:p>
    <w:p w14:paraId="4FBF2C9F">
      <w:pPr>
        <w:pStyle w:val="11"/>
        <w:spacing w:line="39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w:t>
      </w:r>
      <w:r>
        <w:rPr>
          <w:rFonts w:hint="eastAsia" w:asciiTheme="minorEastAsia" w:hAnsiTheme="minorEastAsia" w:eastAsiaTheme="minorEastAsia" w:cstheme="minorEastAsia"/>
          <w:bCs/>
          <w:color w:val="auto"/>
          <w:sz w:val="24"/>
          <w:szCs w:val="24"/>
          <w:highlight w:val="none"/>
          <w:lang w:eastAsia="zh-CN"/>
        </w:rPr>
        <w:t>磋商供应商</w:t>
      </w:r>
      <w:r>
        <w:rPr>
          <w:rFonts w:hint="eastAsia" w:asciiTheme="minorEastAsia" w:hAnsiTheme="minorEastAsia" w:eastAsiaTheme="minorEastAsia" w:cstheme="minorEastAsia"/>
          <w:bCs/>
          <w:color w:val="auto"/>
          <w:sz w:val="24"/>
          <w:szCs w:val="24"/>
          <w:highlight w:val="none"/>
        </w:rPr>
        <w:t>须知及前附表</w:t>
      </w:r>
    </w:p>
    <w:p w14:paraId="0FA5FE6C">
      <w:pPr>
        <w:pStyle w:val="11"/>
        <w:spacing w:line="39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（3）合同条款及格式</w:t>
      </w:r>
    </w:p>
    <w:p w14:paraId="2AE0DF4C">
      <w:pPr>
        <w:pStyle w:val="11"/>
        <w:spacing w:line="39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w:t>
      </w:r>
      <w:r>
        <w:rPr>
          <w:rFonts w:hint="eastAsia" w:asciiTheme="minorEastAsia" w:hAnsiTheme="minorEastAsia" w:eastAsiaTheme="minorEastAsia" w:cstheme="minorEastAsia"/>
          <w:color w:val="auto"/>
          <w:sz w:val="24"/>
          <w:szCs w:val="24"/>
          <w:highlight w:val="none"/>
        </w:rPr>
        <w:t>工程量清单</w:t>
      </w:r>
    </w:p>
    <w:p w14:paraId="77A9AFA7">
      <w:pPr>
        <w:pStyle w:val="11"/>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（5）图纸</w:t>
      </w:r>
    </w:p>
    <w:p w14:paraId="07B59004">
      <w:pPr>
        <w:pStyle w:val="11"/>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r>
        <w:rPr>
          <w:rFonts w:hint="eastAsia" w:asciiTheme="minorEastAsia" w:hAnsiTheme="minorEastAsia" w:eastAsiaTheme="minorEastAsia" w:cstheme="minorEastAsia"/>
          <w:bCs/>
          <w:color w:val="auto"/>
          <w:sz w:val="24"/>
          <w:szCs w:val="24"/>
          <w:highlight w:val="none"/>
        </w:rPr>
        <w:t>技术标准和要求</w:t>
      </w:r>
    </w:p>
    <w:p w14:paraId="69B050C1">
      <w:pPr>
        <w:pStyle w:val="11"/>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格式</w:t>
      </w:r>
    </w:p>
    <w:p w14:paraId="256BF93C">
      <w:pPr>
        <w:pStyle w:val="11"/>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（8）评标办法</w:t>
      </w:r>
    </w:p>
    <w:p w14:paraId="28722E18">
      <w:pPr>
        <w:spacing w:line="39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5、</w:t>
      </w:r>
      <w:r>
        <w:rPr>
          <w:rFonts w:hint="eastAsia" w:asciiTheme="minorEastAsia" w:hAnsiTheme="minorEastAsia" w:eastAsiaTheme="minorEastAsia" w:cstheme="minorEastAsia"/>
          <w:b/>
          <w:bCs/>
          <w:color w:val="auto"/>
          <w:sz w:val="24"/>
          <w:szCs w:val="24"/>
          <w:highlight w:val="none"/>
          <w:lang w:eastAsia="zh-CN"/>
        </w:rPr>
        <w:t>《竞争性磋商文件》</w:t>
      </w:r>
      <w:r>
        <w:rPr>
          <w:rFonts w:hint="eastAsia" w:asciiTheme="minorEastAsia" w:hAnsiTheme="minorEastAsia" w:eastAsiaTheme="minorEastAsia" w:cstheme="minorEastAsia"/>
          <w:b/>
          <w:bCs/>
          <w:color w:val="auto"/>
          <w:sz w:val="24"/>
          <w:szCs w:val="24"/>
          <w:highlight w:val="none"/>
        </w:rPr>
        <w:t>的澄清和修改</w:t>
      </w:r>
    </w:p>
    <w:p w14:paraId="1EDD0EE2">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5.1任何要求澄清</w:t>
      </w:r>
      <w:r>
        <w:rPr>
          <w:rFonts w:hint="eastAsia" w:asciiTheme="minorEastAsia" w:hAnsiTheme="minorEastAsia" w:eastAsiaTheme="minorEastAsia" w:cstheme="minorEastAsia"/>
          <w:color w:val="auto"/>
          <w:sz w:val="24"/>
          <w:szCs w:val="24"/>
          <w:highlight w:val="none"/>
          <w:lang w:eastAsia="zh-CN"/>
        </w:rPr>
        <w:t>《竞争性磋商文件》</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eastAsia="zh-CN"/>
        </w:rPr>
        <w:t>磋商供应商</w:t>
      </w:r>
      <w:r>
        <w:rPr>
          <w:rFonts w:hint="eastAsia" w:asciiTheme="minorEastAsia" w:hAnsiTheme="minorEastAsia" w:eastAsiaTheme="minorEastAsia" w:cstheme="minorEastAsia"/>
          <w:color w:val="auto"/>
          <w:sz w:val="24"/>
          <w:szCs w:val="24"/>
          <w:highlight w:val="none"/>
        </w:rPr>
        <w:t>，均应在磋商截止日期的</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天前以传真、电报等书面形式通知采购代理机构，同时认定其他澄清方式为无效。采购代理机构将以书面形式予以答复。</w:t>
      </w:r>
    </w:p>
    <w:p w14:paraId="3CA9D9A1">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5.2在磋商截止日期前的任何时候，无论出于何种原因，采购代理机构可主动地或在解答</w:t>
      </w:r>
      <w:r>
        <w:rPr>
          <w:rFonts w:hint="eastAsia" w:asciiTheme="minorEastAsia" w:hAnsiTheme="minorEastAsia" w:eastAsiaTheme="minorEastAsia" w:cstheme="minorEastAsia"/>
          <w:color w:val="auto"/>
          <w:sz w:val="24"/>
          <w:szCs w:val="24"/>
          <w:highlight w:val="none"/>
          <w:lang w:eastAsia="zh-CN"/>
        </w:rPr>
        <w:t>磋商供应商</w:t>
      </w:r>
      <w:r>
        <w:rPr>
          <w:rFonts w:hint="eastAsia" w:asciiTheme="minorEastAsia" w:hAnsiTheme="minorEastAsia" w:eastAsiaTheme="minorEastAsia" w:cstheme="minorEastAsia"/>
          <w:color w:val="auto"/>
          <w:sz w:val="24"/>
          <w:szCs w:val="24"/>
          <w:highlight w:val="none"/>
        </w:rPr>
        <w:t>提出的澄清问题时对</w:t>
      </w:r>
      <w:r>
        <w:rPr>
          <w:rFonts w:hint="eastAsia" w:asciiTheme="minorEastAsia" w:hAnsiTheme="minorEastAsia" w:eastAsiaTheme="minorEastAsia" w:cstheme="minorEastAsia"/>
          <w:color w:val="auto"/>
          <w:sz w:val="24"/>
          <w:szCs w:val="24"/>
          <w:highlight w:val="none"/>
          <w:lang w:eastAsia="zh-CN"/>
        </w:rPr>
        <w:t>《竞争性磋商文件》</w:t>
      </w:r>
      <w:r>
        <w:rPr>
          <w:rFonts w:hint="eastAsia" w:asciiTheme="minorEastAsia" w:hAnsiTheme="minorEastAsia" w:eastAsiaTheme="minorEastAsia" w:cstheme="minorEastAsia"/>
          <w:color w:val="auto"/>
          <w:sz w:val="24"/>
          <w:szCs w:val="24"/>
          <w:highlight w:val="none"/>
        </w:rPr>
        <w:t>进行澄清或修改。该澄清或修改的内容为</w:t>
      </w:r>
      <w:r>
        <w:rPr>
          <w:rFonts w:hint="eastAsia" w:asciiTheme="minorEastAsia" w:hAnsiTheme="minorEastAsia" w:eastAsiaTheme="minorEastAsia" w:cstheme="minorEastAsia"/>
          <w:color w:val="auto"/>
          <w:sz w:val="24"/>
          <w:szCs w:val="24"/>
          <w:highlight w:val="none"/>
          <w:lang w:eastAsia="zh-CN"/>
        </w:rPr>
        <w:t>《竞争性磋商文件》</w:t>
      </w:r>
      <w:r>
        <w:rPr>
          <w:rFonts w:hint="eastAsia" w:asciiTheme="minorEastAsia" w:hAnsiTheme="minorEastAsia" w:eastAsiaTheme="minorEastAsia" w:cstheme="minorEastAsia"/>
          <w:color w:val="auto"/>
          <w:sz w:val="24"/>
          <w:szCs w:val="24"/>
          <w:highlight w:val="none"/>
        </w:rPr>
        <w:t>的组成部分。</w:t>
      </w:r>
    </w:p>
    <w:p w14:paraId="7F2C3B6E">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5.3</w:t>
      </w:r>
      <w:r>
        <w:rPr>
          <w:rFonts w:hint="eastAsia" w:asciiTheme="minorEastAsia" w:hAnsiTheme="minorEastAsia" w:eastAsiaTheme="minorEastAsia" w:cstheme="minorEastAsia"/>
          <w:color w:val="auto"/>
          <w:sz w:val="24"/>
          <w:szCs w:val="24"/>
          <w:highlight w:val="none"/>
          <w:lang w:eastAsia="zh-CN"/>
        </w:rPr>
        <w:t>《竞争性磋商文件》</w:t>
      </w:r>
      <w:r>
        <w:rPr>
          <w:rFonts w:hint="eastAsia" w:asciiTheme="minorEastAsia" w:hAnsiTheme="minorEastAsia" w:eastAsiaTheme="minorEastAsia" w:cstheme="minorEastAsia"/>
          <w:color w:val="auto"/>
          <w:sz w:val="24"/>
          <w:szCs w:val="24"/>
          <w:highlight w:val="none"/>
        </w:rPr>
        <w:t>的澄清或修改将在发布竞争性磋商公告的同一媒介发布。</w:t>
      </w:r>
      <w:r>
        <w:rPr>
          <w:rFonts w:hint="eastAsia" w:asciiTheme="minorEastAsia" w:hAnsiTheme="minorEastAsia" w:eastAsiaTheme="minorEastAsia" w:cstheme="minorEastAsia"/>
          <w:color w:val="auto"/>
          <w:sz w:val="24"/>
          <w:szCs w:val="24"/>
          <w:highlight w:val="none"/>
          <w:lang w:eastAsia="zh-CN"/>
        </w:rPr>
        <w:t>磋商供应商</w:t>
      </w:r>
      <w:r>
        <w:rPr>
          <w:rFonts w:hint="eastAsia" w:asciiTheme="minorEastAsia" w:hAnsiTheme="minorEastAsia" w:eastAsiaTheme="minorEastAsia" w:cstheme="minorEastAsia"/>
          <w:color w:val="auto"/>
          <w:sz w:val="24"/>
          <w:szCs w:val="24"/>
          <w:highlight w:val="none"/>
        </w:rPr>
        <w:t>未及时关注</w:t>
      </w:r>
      <w:r>
        <w:rPr>
          <w:rFonts w:hint="eastAsia" w:asciiTheme="minorEastAsia" w:hAnsiTheme="minorEastAsia" w:eastAsiaTheme="minorEastAsia" w:cstheme="minorEastAsia"/>
          <w:color w:val="auto"/>
          <w:sz w:val="24"/>
          <w:szCs w:val="24"/>
          <w:highlight w:val="none"/>
          <w:lang w:eastAsia="zh-CN"/>
        </w:rPr>
        <w:t>采购</w:t>
      </w:r>
      <w:r>
        <w:rPr>
          <w:rFonts w:hint="eastAsia" w:asciiTheme="minorEastAsia" w:hAnsiTheme="minorEastAsia" w:eastAsiaTheme="minorEastAsia" w:cstheme="minorEastAsia"/>
          <w:color w:val="auto"/>
          <w:sz w:val="24"/>
          <w:szCs w:val="24"/>
          <w:highlight w:val="none"/>
        </w:rPr>
        <w:t>人在网站上发布的澄清文件造成的损失，由</w:t>
      </w:r>
      <w:r>
        <w:rPr>
          <w:rFonts w:hint="eastAsia" w:asciiTheme="minorEastAsia" w:hAnsiTheme="minorEastAsia" w:eastAsiaTheme="minorEastAsia" w:cstheme="minorEastAsia"/>
          <w:color w:val="auto"/>
          <w:sz w:val="24"/>
          <w:szCs w:val="24"/>
          <w:highlight w:val="none"/>
          <w:lang w:eastAsia="zh-CN"/>
        </w:rPr>
        <w:t>磋商供应商</w:t>
      </w:r>
      <w:r>
        <w:rPr>
          <w:rFonts w:hint="eastAsia" w:asciiTheme="minorEastAsia" w:hAnsiTheme="minorEastAsia" w:eastAsiaTheme="minorEastAsia" w:cstheme="minorEastAsia"/>
          <w:color w:val="auto"/>
          <w:sz w:val="24"/>
          <w:szCs w:val="24"/>
          <w:highlight w:val="none"/>
        </w:rPr>
        <w:t>自行负责。</w:t>
      </w:r>
    </w:p>
    <w:p w14:paraId="3B1001E7">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5.4采购代理机构可视情况延长磋商截止日期，并将此澄清或修改发布竞争性磋商公告的同一媒介发布。</w:t>
      </w:r>
    </w:p>
    <w:p w14:paraId="2B1066F5">
      <w:pPr>
        <w:spacing w:line="390" w:lineRule="exact"/>
        <w:rPr>
          <w:rFonts w:hint="eastAsia" w:asciiTheme="minorEastAsia" w:hAnsiTheme="minorEastAsia" w:eastAsiaTheme="minorEastAsia" w:cstheme="minorEastAsia"/>
          <w:color w:val="auto"/>
          <w:sz w:val="24"/>
          <w:szCs w:val="24"/>
          <w:highlight w:val="none"/>
        </w:rPr>
      </w:pPr>
    </w:p>
    <w:p w14:paraId="31024923">
      <w:pPr>
        <w:pStyle w:val="3"/>
        <w:spacing w:before="0" w:after="0" w:line="39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bookmarkStart w:id="57" w:name="_Toc7663"/>
      <w:bookmarkStart w:id="58" w:name="_Toc459103900"/>
      <w:r>
        <w:rPr>
          <w:rFonts w:hint="eastAsia" w:asciiTheme="minorEastAsia" w:hAnsiTheme="minorEastAsia" w:eastAsiaTheme="minorEastAsia" w:cstheme="minorEastAsia"/>
          <w:color w:val="auto"/>
          <w:sz w:val="24"/>
          <w:szCs w:val="24"/>
          <w:highlight w:val="none"/>
        </w:rPr>
        <w:t>三、磋商报价说明</w:t>
      </w:r>
      <w:bookmarkEnd w:id="57"/>
      <w:bookmarkEnd w:id="58"/>
    </w:p>
    <w:p w14:paraId="01179ABC">
      <w:pPr>
        <w:pStyle w:val="11"/>
        <w:spacing w:line="390" w:lineRule="exact"/>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rPr>
        <w:t>6、磋商</w:t>
      </w:r>
      <w:r>
        <w:rPr>
          <w:rFonts w:hint="eastAsia" w:asciiTheme="minorEastAsia" w:hAnsiTheme="minorEastAsia" w:eastAsiaTheme="minorEastAsia" w:cstheme="minorEastAsia"/>
          <w:b/>
          <w:color w:val="auto"/>
          <w:sz w:val="24"/>
          <w:szCs w:val="24"/>
          <w:highlight w:val="none"/>
          <w:lang w:val="en-US" w:eastAsia="zh-CN"/>
        </w:rPr>
        <w:t>报价</w:t>
      </w:r>
    </w:p>
    <w:p w14:paraId="32BE63F2">
      <w:pPr>
        <w:pStyle w:val="11"/>
        <w:spacing w:line="390" w:lineRule="exact"/>
        <w:ind w:firstLine="480" w:firstLineChars="200"/>
        <w:rPr>
          <w:rFonts w:hint="eastAsia" w:asciiTheme="minorEastAsia" w:hAnsiTheme="minorEastAsia" w:eastAsiaTheme="minorEastAsia" w:cstheme="minorEastAsia"/>
          <w:bCs/>
          <w:color w:val="auto"/>
          <w:sz w:val="24"/>
          <w:szCs w:val="24"/>
          <w:highlight w:val="none"/>
          <w:u w:val="single"/>
          <w:lang w:eastAsia="zh-CN"/>
        </w:rPr>
      </w:pPr>
      <w:r>
        <w:rPr>
          <w:rFonts w:hint="eastAsia" w:asciiTheme="minorEastAsia" w:hAnsiTheme="minorEastAsia" w:eastAsiaTheme="minorEastAsia" w:cstheme="minorEastAsia"/>
          <w:bCs/>
          <w:color w:val="auto"/>
          <w:sz w:val="24"/>
          <w:szCs w:val="24"/>
          <w:highlight w:val="none"/>
        </w:rPr>
        <w:t>6.1磋商报价：本项目磋商报价不允许超过采购上限控制价</w:t>
      </w:r>
      <w:r>
        <w:rPr>
          <w:rFonts w:hint="eastAsia" w:asciiTheme="minorEastAsia" w:hAnsiTheme="minorEastAsia" w:eastAsiaTheme="minorEastAsia" w:cstheme="minorEastAsia"/>
          <w:bCs/>
          <w:color w:val="auto"/>
          <w:sz w:val="24"/>
          <w:szCs w:val="24"/>
          <w:highlight w:val="none"/>
          <w:u w:val="single"/>
          <w:lang w:val="en-US" w:eastAsia="zh-CN"/>
        </w:rPr>
        <w:t>人民币陆拾捌万零陆佰叁拾元玖角整（￥680630.90元）</w:t>
      </w:r>
      <w:r>
        <w:rPr>
          <w:rFonts w:hint="eastAsia" w:asciiTheme="minorEastAsia" w:hAnsiTheme="minorEastAsia" w:eastAsiaTheme="minorEastAsia" w:cstheme="minorEastAsia"/>
          <w:bCs/>
          <w:color w:val="auto"/>
          <w:sz w:val="24"/>
          <w:szCs w:val="24"/>
          <w:highlight w:val="none"/>
          <w:u w:val="single"/>
          <w:lang w:eastAsia="zh-CN"/>
        </w:rPr>
        <w:t>。</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54A6A62D">
      <w:pPr>
        <w:pStyle w:val="11"/>
        <w:spacing w:line="39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6.1.1具有标价的工程量清单中所报的单价和合价，以及报价汇总表中的价格应包括施工设备、劳务、管理、材料、安装、维护、保险、利润、税金、政策性文件规定及合同包含的所有风险、责任等各项应有费用。</w:t>
      </w:r>
    </w:p>
    <w:p w14:paraId="302EB6C5">
      <w:pPr>
        <w:pStyle w:val="11"/>
        <w:tabs>
          <w:tab w:val="left" w:pos="284"/>
        </w:tabs>
        <w:spacing w:line="390" w:lineRule="exact"/>
        <w:ind w:firstLine="480"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6.2 </w:t>
      </w:r>
      <w:r>
        <w:rPr>
          <w:rFonts w:hint="eastAsia" w:asciiTheme="minorEastAsia" w:hAnsiTheme="minorEastAsia" w:eastAsiaTheme="minorEastAsia" w:cstheme="minorEastAsia"/>
          <w:color w:val="auto"/>
          <w:sz w:val="24"/>
          <w:szCs w:val="24"/>
          <w:highlight w:val="none"/>
        </w:rPr>
        <w:t>承包方式：</w:t>
      </w:r>
      <w:r>
        <w:rPr>
          <w:rFonts w:hint="eastAsia" w:asciiTheme="minorEastAsia" w:hAnsiTheme="minorEastAsia" w:eastAsiaTheme="minorEastAsia" w:cstheme="minorEastAsia"/>
          <w:bCs/>
          <w:color w:val="auto"/>
          <w:sz w:val="24"/>
          <w:szCs w:val="24"/>
          <w:highlight w:val="none"/>
        </w:rPr>
        <w:t>　</w:t>
      </w:r>
      <w:r>
        <w:rPr>
          <w:rFonts w:hint="eastAsia" w:asciiTheme="minorEastAsia" w:hAnsiTheme="minorEastAsia" w:eastAsiaTheme="minorEastAsia" w:cstheme="minorEastAsia"/>
          <w:b/>
          <w:color w:val="auto"/>
          <w:sz w:val="24"/>
          <w:szCs w:val="24"/>
          <w:highlight w:val="none"/>
        </w:rPr>
        <w:t xml:space="preserve"> </w:t>
      </w:r>
    </w:p>
    <w:p w14:paraId="28388C50">
      <w:pPr>
        <w:spacing w:line="3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6.2.1 </w:t>
      </w:r>
      <w:r>
        <w:rPr>
          <w:rFonts w:hint="eastAsia" w:asciiTheme="minorEastAsia" w:hAnsiTheme="minorEastAsia" w:eastAsiaTheme="minorEastAsia" w:cstheme="minorEastAsia"/>
          <w:color w:val="auto"/>
          <w:sz w:val="24"/>
          <w:szCs w:val="24"/>
          <w:highlight w:val="none"/>
        </w:rPr>
        <w:t>本合同价款采用固定综合单价方式。</w:t>
      </w:r>
    </w:p>
    <w:p w14:paraId="57077ED4">
      <w:pPr>
        <w:spacing w:line="3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6.2.2 </w:t>
      </w:r>
      <w:r>
        <w:rPr>
          <w:rFonts w:hint="eastAsia" w:asciiTheme="minorEastAsia" w:hAnsiTheme="minorEastAsia" w:eastAsiaTheme="minorEastAsia" w:cstheme="minorEastAsia"/>
          <w:color w:val="auto"/>
          <w:sz w:val="24"/>
          <w:szCs w:val="24"/>
          <w:highlight w:val="none"/>
          <w:lang w:eastAsia="zh-CN"/>
        </w:rPr>
        <w:t>磋商供应商</w:t>
      </w:r>
      <w:r>
        <w:rPr>
          <w:rFonts w:hint="eastAsia" w:asciiTheme="minorEastAsia" w:hAnsiTheme="minorEastAsia" w:eastAsiaTheme="minorEastAsia" w:cstheme="minorEastAsia"/>
          <w:color w:val="auto"/>
          <w:sz w:val="24"/>
          <w:szCs w:val="24"/>
          <w:highlight w:val="none"/>
        </w:rPr>
        <w:t>应按照采购人提供的工程量清单进行报价并对自己所填写的项目编码、项目名称、计量单位、工程数量负责。</w:t>
      </w:r>
      <w:r>
        <w:rPr>
          <w:rFonts w:hint="eastAsia" w:asciiTheme="minorEastAsia" w:hAnsiTheme="minorEastAsia" w:eastAsiaTheme="minorEastAsia" w:cstheme="minorEastAsia"/>
          <w:b w:val="0"/>
          <w:bCs/>
          <w:color w:val="auto"/>
          <w:sz w:val="24"/>
          <w:szCs w:val="24"/>
          <w:highlight w:val="none"/>
        </w:rPr>
        <w:t>评标时，如项目编码与项目名称不一致，以项目编码为准；如项目编码与计量单位、工程数量无法对应</w:t>
      </w:r>
      <w:r>
        <w:rPr>
          <w:rFonts w:hint="eastAsia" w:asciiTheme="minorEastAsia" w:hAnsiTheme="minorEastAsia" w:eastAsiaTheme="minorEastAsia" w:cstheme="minorEastAsia"/>
          <w:b w:val="0"/>
          <w:bCs/>
          <w:color w:val="auto"/>
          <w:sz w:val="24"/>
          <w:szCs w:val="24"/>
          <w:highlight w:val="none"/>
          <w:lang w:eastAsia="zh-CN"/>
        </w:rPr>
        <w:t>的</w:t>
      </w:r>
      <w:r>
        <w:rPr>
          <w:rFonts w:hint="eastAsia" w:asciiTheme="minorEastAsia" w:hAnsiTheme="minorEastAsia" w:eastAsiaTheme="minorEastAsia" w:cstheme="minorEastAsia"/>
          <w:b w:val="0"/>
          <w:bCs/>
          <w:color w:val="auto"/>
          <w:sz w:val="24"/>
          <w:szCs w:val="24"/>
          <w:highlight w:val="none"/>
        </w:rPr>
        <w:t>，该清单项目作废，该清单项目的费用视为包含在其它清单项目中；如作废的清单项目达到3项及以上或作废的清单项目造价累计超过单位工程磋商报价的2%（含2%），视为不响应竞争性</w:t>
      </w:r>
      <w:r>
        <w:rPr>
          <w:rFonts w:hint="eastAsia" w:asciiTheme="minorEastAsia" w:hAnsiTheme="minorEastAsia" w:eastAsiaTheme="minorEastAsia" w:cstheme="minorEastAsia"/>
          <w:b w:val="0"/>
          <w:bCs/>
          <w:color w:val="auto"/>
          <w:sz w:val="24"/>
          <w:szCs w:val="24"/>
          <w:highlight w:val="none"/>
          <w:lang w:eastAsia="zh-CN"/>
        </w:rPr>
        <w:t>磋商</w:t>
      </w:r>
      <w:r>
        <w:rPr>
          <w:rFonts w:hint="eastAsia" w:asciiTheme="minorEastAsia" w:hAnsiTheme="minorEastAsia" w:eastAsiaTheme="minorEastAsia" w:cstheme="minorEastAsia"/>
          <w:b w:val="0"/>
          <w:bCs/>
          <w:color w:val="auto"/>
          <w:sz w:val="24"/>
          <w:szCs w:val="24"/>
          <w:highlight w:val="none"/>
        </w:rPr>
        <w:t>文件实质性内容，作废标处理。</w:t>
      </w:r>
    </w:p>
    <w:p w14:paraId="72CBA87C">
      <w:pPr>
        <w:pStyle w:val="11"/>
        <w:spacing w:line="39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6.3 磋商货币：</w:t>
      </w:r>
      <w:r>
        <w:rPr>
          <w:rFonts w:hint="eastAsia" w:asciiTheme="minorEastAsia" w:hAnsiTheme="minorEastAsia" w:eastAsiaTheme="minorEastAsia" w:cstheme="minorEastAsia"/>
          <w:bCs/>
          <w:color w:val="auto"/>
          <w:sz w:val="24"/>
          <w:szCs w:val="24"/>
          <w:highlight w:val="none"/>
          <w:lang w:eastAsia="zh-CN"/>
        </w:rPr>
        <w:t>《响应文件》</w:t>
      </w:r>
      <w:r>
        <w:rPr>
          <w:rFonts w:hint="eastAsia" w:asciiTheme="minorEastAsia" w:hAnsiTheme="minorEastAsia" w:eastAsiaTheme="minorEastAsia" w:cstheme="minorEastAsia"/>
          <w:bCs/>
          <w:color w:val="auto"/>
          <w:sz w:val="24"/>
          <w:szCs w:val="24"/>
          <w:highlight w:val="none"/>
        </w:rPr>
        <w:t>报价中的单价和合价全部采用人民币表示。</w:t>
      </w:r>
    </w:p>
    <w:p w14:paraId="1E38E4BF">
      <w:pPr>
        <w:spacing w:line="390" w:lineRule="exact"/>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 xml:space="preserve">  </w:t>
      </w:r>
    </w:p>
    <w:p w14:paraId="565E5F3D">
      <w:pPr>
        <w:pStyle w:val="3"/>
        <w:spacing w:before="0" w:after="0" w:line="39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color w:val="auto"/>
          <w:sz w:val="24"/>
          <w:szCs w:val="24"/>
          <w:highlight w:val="none"/>
        </w:rPr>
        <w:t xml:space="preserve">  </w:t>
      </w:r>
      <w:bookmarkStart w:id="59" w:name="_Toc459103901"/>
      <w:bookmarkStart w:id="60" w:name="_Toc13310"/>
      <w:r>
        <w:rPr>
          <w:rFonts w:hint="eastAsia" w:asciiTheme="minorEastAsia" w:hAnsiTheme="minorEastAsia" w:eastAsiaTheme="minorEastAsia" w:cstheme="minorEastAsia"/>
          <w:color w:val="auto"/>
          <w:sz w:val="24"/>
          <w:szCs w:val="24"/>
          <w:highlight w:val="none"/>
        </w:rPr>
        <w:t>四、</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的编制格式</w:t>
      </w:r>
      <w:bookmarkEnd w:id="59"/>
      <w:bookmarkEnd w:id="60"/>
    </w:p>
    <w:p w14:paraId="183F7AC2">
      <w:pPr>
        <w:pStyle w:val="11"/>
        <w:spacing w:line="39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7、</w:t>
      </w:r>
      <w:r>
        <w:rPr>
          <w:rFonts w:hint="eastAsia" w:asciiTheme="minorEastAsia" w:hAnsiTheme="minorEastAsia" w:eastAsiaTheme="minorEastAsia" w:cstheme="minorEastAsia"/>
          <w:b/>
          <w:color w:val="auto"/>
          <w:sz w:val="24"/>
          <w:szCs w:val="24"/>
          <w:highlight w:val="none"/>
          <w:lang w:eastAsia="zh-CN"/>
        </w:rPr>
        <w:t>《响应文件》</w:t>
      </w:r>
      <w:r>
        <w:rPr>
          <w:rFonts w:hint="eastAsia" w:asciiTheme="minorEastAsia" w:hAnsiTheme="minorEastAsia" w:eastAsiaTheme="minorEastAsia" w:cstheme="minorEastAsia"/>
          <w:b/>
          <w:color w:val="auto"/>
          <w:sz w:val="24"/>
          <w:szCs w:val="24"/>
          <w:highlight w:val="none"/>
        </w:rPr>
        <w:t>的语言</w:t>
      </w:r>
    </w:p>
    <w:p w14:paraId="13377A3F">
      <w:pPr>
        <w:pStyle w:val="11"/>
        <w:spacing w:line="39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eastAsia="zh-CN"/>
        </w:rPr>
        <w:t>《响应文件》</w:t>
      </w:r>
      <w:r>
        <w:rPr>
          <w:rFonts w:hint="eastAsia" w:asciiTheme="minorEastAsia" w:hAnsiTheme="minorEastAsia" w:eastAsiaTheme="minorEastAsia" w:cstheme="minorEastAsia"/>
          <w:bCs/>
          <w:color w:val="auto"/>
          <w:sz w:val="24"/>
          <w:szCs w:val="24"/>
          <w:highlight w:val="none"/>
        </w:rPr>
        <w:t>及</w:t>
      </w:r>
      <w:r>
        <w:rPr>
          <w:rFonts w:hint="eastAsia" w:asciiTheme="minorEastAsia" w:hAnsiTheme="minorEastAsia" w:eastAsiaTheme="minorEastAsia" w:cstheme="minorEastAsia"/>
          <w:bCs/>
          <w:color w:val="auto"/>
          <w:sz w:val="24"/>
          <w:szCs w:val="24"/>
          <w:highlight w:val="none"/>
          <w:lang w:eastAsia="zh-CN"/>
        </w:rPr>
        <w:t>磋商供应商</w:t>
      </w:r>
      <w:r>
        <w:rPr>
          <w:rFonts w:hint="eastAsia" w:asciiTheme="minorEastAsia" w:hAnsiTheme="minorEastAsia" w:eastAsiaTheme="minorEastAsia" w:cstheme="minorEastAsia"/>
          <w:bCs/>
          <w:color w:val="auto"/>
          <w:sz w:val="24"/>
          <w:szCs w:val="24"/>
          <w:highlight w:val="none"/>
        </w:rPr>
        <w:t>与采购人之间与磋商有关的来往通知、函件和文件均应使用中文。</w:t>
      </w:r>
    </w:p>
    <w:p w14:paraId="714BA9A2">
      <w:pPr>
        <w:pStyle w:val="11"/>
        <w:spacing w:line="39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8、</w:t>
      </w:r>
      <w:r>
        <w:rPr>
          <w:rFonts w:hint="eastAsia" w:asciiTheme="minorEastAsia" w:hAnsiTheme="minorEastAsia" w:eastAsiaTheme="minorEastAsia" w:cstheme="minorEastAsia"/>
          <w:b/>
          <w:color w:val="auto"/>
          <w:sz w:val="24"/>
          <w:szCs w:val="24"/>
          <w:highlight w:val="none"/>
          <w:lang w:eastAsia="zh-CN"/>
        </w:rPr>
        <w:t>《响应文件》</w:t>
      </w:r>
      <w:r>
        <w:rPr>
          <w:rFonts w:hint="eastAsia" w:asciiTheme="minorEastAsia" w:hAnsiTheme="minorEastAsia" w:eastAsiaTheme="minorEastAsia" w:cstheme="minorEastAsia"/>
          <w:b/>
          <w:color w:val="auto"/>
          <w:sz w:val="24"/>
          <w:szCs w:val="24"/>
          <w:highlight w:val="none"/>
        </w:rPr>
        <w:t>的组成</w:t>
      </w:r>
    </w:p>
    <w:p w14:paraId="4C5ECFE6">
      <w:pPr>
        <w:pStyle w:val="11"/>
        <w:tabs>
          <w:tab w:val="left" w:pos="426"/>
        </w:tabs>
        <w:spacing w:line="39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8.1</w:t>
      </w:r>
      <w:r>
        <w:rPr>
          <w:rFonts w:hint="eastAsia" w:asciiTheme="minorEastAsia" w:hAnsiTheme="minorEastAsia" w:eastAsiaTheme="minorEastAsia" w:cstheme="minorEastAsia"/>
          <w:bCs/>
          <w:color w:val="auto"/>
          <w:sz w:val="24"/>
          <w:szCs w:val="24"/>
          <w:highlight w:val="none"/>
          <w:lang w:eastAsia="zh-CN"/>
        </w:rPr>
        <w:t>《响应文件》</w:t>
      </w:r>
      <w:r>
        <w:rPr>
          <w:rFonts w:hint="eastAsia" w:asciiTheme="minorEastAsia" w:hAnsiTheme="minorEastAsia" w:eastAsiaTheme="minorEastAsia" w:cstheme="minorEastAsia"/>
          <w:bCs/>
          <w:color w:val="auto"/>
          <w:sz w:val="24"/>
          <w:szCs w:val="24"/>
          <w:highlight w:val="none"/>
        </w:rPr>
        <w:t>应包括下列内容：</w:t>
      </w:r>
    </w:p>
    <w:p w14:paraId="73F2EF8C">
      <w:pPr>
        <w:pStyle w:val="11"/>
        <w:spacing w:line="390" w:lineRule="exact"/>
        <w:ind w:firstLine="480" w:firstLineChars="200"/>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8.1.1</w:t>
      </w:r>
      <w:r>
        <w:rPr>
          <w:rFonts w:hint="eastAsia" w:asciiTheme="minorEastAsia" w:hAnsiTheme="minorEastAsia" w:eastAsiaTheme="minorEastAsia" w:cstheme="minorEastAsia"/>
          <w:bCs/>
          <w:color w:val="auto"/>
          <w:sz w:val="24"/>
          <w:szCs w:val="24"/>
          <w:highlight w:val="none"/>
        </w:rPr>
        <w:t>资格</w:t>
      </w:r>
      <w:r>
        <w:rPr>
          <w:rFonts w:hint="eastAsia" w:asciiTheme="minorEastAsia" w:hAnsiTheme="minorEastAsia" w:eastAsiaTheme="minorEastAsia" w:cstheme="minorEastAsia"/>
          <w:bCs/>
          <w:color w:val="auto"/>
          <w:sz w:val="24"/>
          <w:szCs w:val="24"/>
          <w:highlight w:val="none"/>
          <w:lang w:val="en-US" w:eastAsia="zh-CN"/>
        </w:rPr>
        <w:t>证明文件：</w:t>
      </w:r>
    </w:p>
    <w:p w14:paraId="5CD78A66">
      <w:pPr>
        <w:pStyle w:val="12"/>
        <w:ind w:left="0" w:leftChars="0" w:firstLine="0" w:firstLineChars="0"/>
        <w:jc w:val="left"/>
        <w:rPr>
          <w:rFonts w:hint="default"/>
          <w:lang w:val="en-US" w:eastAsia="zh-CN"/>
        </w:rPr>
      </w:pPr>
      <w:r>
        <w:rPr>
          <w:rFonts w:hint="eastAsia" w:asciiTheme="minorEastAsia" w:hAnsiTheme="minorEastAsia" w:eastAsiaTheme="minorEastAsia" w:cstheme="minorEastAsia"/>
          <w:bCs/>
          <w:color w:val="auto"/>
          <w:sz w:val="24"/>
          <w:szCs w:val="24"/>
          <w:highlight w:val="none"/>
          <w:lang w:val="en-US" w:eastAsia="zh-CN"/>
        </w:rPr>
        <w:t xml:space="preserve">    </w:t>
      </w:r>
      <w:r>
        <w:rPr>
          <w:rFonts w:hint="eastAsia" w:asciiTheme="minorEastAsia" w:hAnsiTheme="minorEastAsia" w:eastAsiaTheme="minorEastAsia" w:cstheme="minorEastAsia"/>
          <w:bCs/>
          <w:color w:val="auto"/>
          <w:kern w:val="2"/>
          <w:sz w:val="24"/>
          <w:szCs w:val="24"/>
          <w:highlight w:val="none"/>
          <w:lang w:val="en-US" w:eastAsia="zh-CN" w:bidi="ar-SA"/>
        </w:rPr>
        <w:t>（1）有效的法人营业执照副本扫描件；</w:t>
      </w:r>
    </w:p>
    <w:p w14:paraId="47ECCE2A">
      <w:pPr>
        <w:pStyle w:val="11"/>
        <w:spacing w:line="39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（2）政府采购供应商信用承诺函；</w:t>
      </w:r>
    </w:p>
    <w:p w14:paraId="23ACF093">
      <w:pPr>
        <w:pStyle w:val="11"/>
        <w:spacing w:line="39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（3）有效的企业资质证书副本扫描件；</w:t>
      </w:r>
    </w:p>
    <w:p w14:paraId="3B1FAF66">
      <w:pPr>
        <w:pStyle w:val="11"/>
        <w:spacing w:line="39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（4）有效的企业安全生产许可证扫描件；</w:t>
      </w:r>
    </w:p>
    <w:p w14:paraId="47390F5E">
      <w:pPr>
        <w:pStyle w:val="11"/>
        <w:spacing w:line="39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Cs/>
          <w:color w:val="auto"/>
          <w:kern w:val="2"/>
          <w:sz w:val="24"/>
          <w:szCs w:val="24"/>
          <w:highlight w:val="none"/>
          <w:lang w:val="en-US" w:eastAsia="zh-CN" w:bidi="ar-SA"/>
        </w:rPr>
        <w:t>（5）</w:t>
      </w:r>
      <w:r>
        <w:rPr>
          <w:rFonts w:hint="eastAsia" w:asciiTheme="minorEastAsia" w:hAnsiTheme="minorEastAsia" w:eastAsiaTheme="minorEastAsia" w:cstheme="minorEastAsia"/>
          <w:bCs/>
          <w:color w:val="auto"/>
          <w:kern w:val="2"/>
          <w:sz w:val="24"/>
          <w:szCs w:val="24"/>
          <w:highlight w:val="none"/>
          <w:lang w:val="en-US" w:eastAsia="zh-CN" w:bidi="ar-SA"/>
        </w:rPr>
        <w:fldChar w:fldCharType="begin"/>
      </w:r>
      <w:r>
        <w:rPr>
          <w:rFonts w:hint="eastAsia" w:asciiTheme="minorEastAsia" w:hAnsiTheme="minorEastAsia" w:eastAsiaTheme="minorEastAsia" w:cstheme="minorEastAsia"/>
          <w:bCs/>
          <w:color w:val="auto"/>
          <w:kern w:val="2"/>
          <w:sz w:val="24"/>
          <w:szCs w:val="24"/>
          <w:highlight w:val="none"/>
          <w:lang w:val="en-US" w:eastAsia="zh-CN" w:bidi="ar-SA"/>
        </w:rPr>
        <w:instrText xml:space="preserve"> HYPERLINK "http://www.gxcic.net/HTMLFile/2013-02/shownews_167314.html" \t "http://ggzyjy.gxhz.gov.cn/page__gp_portal/_blank" </w:instrText>
      </w:r>
      <w:r>
        <w:rPr>
          <w:rFonts w:hint="eastAsia" w:asciiTheme="minorEastAsia" w:hAnsiTheme="minorEastAsia" w:eastAsiaTheme="minorEastAsia" w:cstheme="minorEastAsia"/>
          <w:bCs/>
          <w:color w:val="auto"/>
          <w:kern w:val="2"/>
          <w:sz w:val="24"/>
          <w:szCs w:val="24"/>
          <w:highlight w:val="none"/>
          <w:lang w:val="en-US" w:eastAsia="zh-CN" w:bidi="ar-SA"/>
        </w:rPr>
        <w:fldChar w:fldCharType="separate"/>
      </w:r>
      <w:r>
        <w:rPr>
          <w:rFonts w:hint="eastAsia" w:asciiTheme="minorEastAsia" w:hAnsiTheme="minorEastAsia" w:eastAsiaTheme="minorEastAsia" w:cstheme="minorEastAsia"/>
          <w:bCs/>
          <w:color w:val="auto"/>
          <w:kern w:val="2"/>
          <w:sz w:val="24"/>
          <w:szCs w:val="24"/>
          <w:highlight w:val="none"/>
          <w:lang w:val="en-US" w:eastAsia="zh-CN" w:bidi="ar-SA"/>
        </w:rPr>
        <w:t>拟派往本项目项目经理</w:t>
      </w:r>
      <w:r>
        <w:rPr>
          <w:rFonts w:hint="eastAsia" w:asciiTheme="minorEastAsia" w:hAnsiTheme="minorEastAsia" w:eastAsiaTheme="minorEastAsia" w:cstheme="minorEastAsia"/>
          <w:bCs/>
          <w:color w:val="auto"/>
          <w:kern w:val="2"/>
          <w:sz w:val="24"/>
          <w:szCs w:val="24"/>
          <w:highlight w:val="none"/>
          <w:lang w:val="en-US" w:eastAsia="zh-CN" w:bidi="ar-SA"/>
        </w:rPr>
        <w:fldChar w:fldCharType="end"/>
      </w:r>
      <w:r>
        <w:rPr>
          <w:rFonts w:hint="eastAsia" w:asciiTheme="minorEastAsia" w:hAnsiTheme="minorEastAsia" w:eastAsiaTheme="minorEastAsia" w:cstheme="minorEastAsia"/>
          <w:color w:val="auto"/>
          <w:sz w:val="24"/>
          <w:szCs w:val="24"/>
          <w:highlight w:val="none"/>
          <w:lang w:val="en-US" w:eastAsia="zh-CN"/>
        </w:rPr>
        <w:t>具备公路工程类类专业注册建造师二级以上（含二级）执业资格证书和持有有效的省级或省级以上行政主管部门颁发的《安全生产考核合格证书》【提供项目经理注册建造师执业资格证书和安全生产考核合格证书（B类）的扫描件】。</w:t>
      </w:r>
    </w:p>
    <w:p w14:paraId="77F539E4">
      <w:pPr>
        <w:pStyle w:val="12"/>
        <w:ind w:left="0" w:leftChars="0" w:firstLine="0" w:firstLineChars="0"/>
        <w:jc w:val="left"/>
        <w:rPr>
          <w:rFonts w:hint="default"/>
          <w:sz w:val="24"/>
          <w:szCs w:val="24"/>
          <w:lang w:val="en-US" w:eastAsia="zh-CN"/>
        </w:rPr>
      </w:pPr>
      <w:r>
        <w:rPr>
          <w:rFonts w:hint="eastAsia"/>
          <w:lang w:val="en-US" w:eastAsia="zh-CN"/>
        </w:rPr>
        <w:t xml:space="preserve">    </w:t>
      </w:r>
      <w:r>
        <w:rPr>
          <w:rFonts w:hint="eastAsia"/>
          <w:sz w:val="24"/>
          <w:szCs w:val="24"/>
          <w:lang w:val="en-US" w:eastAsia="zh-CN"/>
        </w:rPr>
        <w:t>（6）法定代表人身份证明书及授权委托书（委托代理时必须提供，同时加盖单位电子公章）</w:t>
      </w:r>
    </w:p>
    <w:p w14:paraId="4113C460">
      <w:pPr>
        <w:pStyle w:val="11"/>
        <w:spacing w:line="390" w:lineRule="exact"/>
        <w:ind w:firstLine="480" w:firstLineChars="200"/>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t>（7）本项目属于专门面向中小企业采购的项目，中小企业声明函（或监狱企业的证明文件或残疾人福利性单位声明函）必须提供。</w:t>
      </w:r>
    </w:p>
    <w:p w14:paraId="3C47558A">
      <w:pPr>
        <w:pStyle w:val="11"/>
        <w:spacing w:line="390" w:lineRule="exact"/>
        <w:ind w:firstLine="482" w:firstLineChars="200"/>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b/>
          <w:bCs/>
          <w:color w:val="auto"/>
          <w:sz w:val="24"/>
          <w:szCs w:val="24"/>
          <w:highlight w:val="none"/>
        </w:rPr>
        <w:t>注：</w:t>
      </w:r>
      <w:r>
        <w:rPr>
          <w:rFonts w:hint="eastAsia" w:asciiTheme="minorEastAsia" w:hAnsiTheme="minorEastAsia" w:eastAsiaTheme="minorEastAsia" w:cstheme="minorEastAsia"/>
          <w:b/>
          <w:bCs/>
          <w:color w:val="auto"/>
          <w:sz w:val="24"/>
          <w:szCs w:val="24"/>
          <w:highlight w:val="none"/>
          <w:u w:val="single"/>
          <w:lang w:val="en-US" w:eastAsia="zh-CN"/>
        </w:rPr>
        <w:t>1.</w:t>
      </w:r>
      <w:r>
        <w:rPr>
          <w:rFonts w:hint="eastAsia" w:asciiTheme="minorEastAsia" w:hAnsiTheme="minorEastAsia" w:eastAsiaTheme="minorEastAsia" w:cstheme="minorEastAsia"/>
          <w:b/>
          <w:color w:val="auto"/>
          <w:sz w:val="24"/>
          <w:szCs w:val="24"/>
          <w:highlight w:val="none"/>
          <w:u w:val="single"/>
        </w:rPr>
        <w:t>上述材料缺少任何一项或任何一项无效均会被视为资格审查不合格，作无效磋商处理</w:t>
      </w:r>
      <w:r>
        <w:rPr>
          <w:rFonts w:hint="eastAsia" w:asciiTheme="minorEastAsia" w:hAnsiTheme="minorEastAsia" w:eastAsiaTheme="minorEastAsia" w:cstheme="minorEastAsia"/>
          <w:b/>
          <w:color w:val="auto"/>
          <w:sz w:val="24"/>
          <w:szCs w:val="24"/>
          <w:highlight w:val="none"/>
          <w:u w:val="none"/>
        </w:rPr>
        <w:t>。</w:t>
      </w:r>
      <w:r>
        <w:rPr>
          <w:rFonts w:hint="eastAsia" w:asciiTheme="minorEastAsia" w:hAnsiTheme="minorEastAsia" w:eastAsiaTheme="minorEastAsia" w:cstheme="minorEastAsia"/>
          <w:b/>
          <w:color w:val="auto"/>
          <w:sz w:val="24"/>
          <w:highlight w:val="none"/>
          <w:u w:val="single"/>
          <w:lang w:val="en-US" w:eastAsia="zh-CN"/>
        </w:rPr>
        <w:t>2.以上材料属于复印件的扫描件的，必须加盖供应商电子公章，否则响应文件按无效响应处理。</w:t>
      </w:r>
    </w:p>
    <w:p w14:paraId="71CDF711">
      <w:pPr>
        <w:pStyle w:val="11"/>
        <w:spacing w:line="390" w:lineRule="exact"/>
        <w:ind w:firstLine="480" w:firstLineChars="200"/>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8.1.2报价文件</w:t>
      </w:r>
    </w:p>
    <w:p w14:paraId="2B25B60E">
      <w:pPr>
        <w:pStyle w:val="11"/>
        <w:spacing w:line="390" w:lineRule="exact"/>
        <w:ind w:firstLine="480" w:firstLineChars="200"/>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（1）磋商函及磋商函附录</w:t>
      </w:r>
    </w:p>
    <w:p w14:paraId="0C5A5223">
      <w:pPr>
        <w:pStyle w:val="11"/>
        <w:spacing w:line="390" w:lineRule="exact"/>
        <w:ind w:firstLine="480" w:firstLineChars="200"/>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（2）竞标人基本情况表</w:t>
      </w:r>
    </w:p>
    <w:p w14:paraId="45B24169">
      <w:pPr>
        <w:pStyle w:val="11"/>
        <w:spacing w:line="390" w:lineRule="exact"/>
        <w:ind w:firstLine="480" w:firstLineChars="200"/>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（3）已标价工程量清单</w:t>
      </w:r>
    </w:p>
    <w:p w14:paraId="27E2B817">
      <w:pPr>
        <w:pStyle w:val="35"/>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color w:val="auto"/>
          <w:sz w:val="24"/>
          <w:highlight w:val="none"/>
          <w:u w:val="single"/>
          <w:lang w:val="en-US" w:eastAsia="zh-CN"/>
        </w:rPr>
        <w:t>注：以上材料属于复印件的扫描件的，必须加盖供应商电子公章，否则响应文件按无效响应处理。</w:t>
      </w:r>
    </w:p>
    <w:p w14:paraId="1EBA609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t>8.1.3商务技术文件</w:t>
      </w:r>
    </w:p>
    <w:p w14:paraId="008A6F03">
      <w:pPr>
        <w:pStyle w:val="11"/>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1</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主要管理人员表</w:t>
      </w:r>
    </w:p>
    <w:p w14:paraId="55E237D8">
      <w:pPr>
        <w:pStyle w:val="11"/>
        <w:spacing w:line="39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2</w:t>
      </w:r>
      <w:r>
        <w:rPr>
          <w:rFonts w:hint="eastAsia" w:asciiTheme="minorEastAsia" w:hAnsiTheme="minorEastAsia" w:eastAsiaTheme="minorEastAsia" w:cstheme="minorEastAsia"/>
          <w:bCs/>
          <w:color w:val="auto"/>
          <w:sz w:val="24"/>
          <w:szCs w:val="24"/>
          <w:highlight w:val="none"/>
        </w:rPr>
        <w:t>)建设工程项目管理承诺书</w:t>
      </w:r>
    </w:p>
    <w:p w14:paraId="32CE685E">
      <w:pPr>
        <w:pStyle w:val="11"/>
        <w:spacing w:line="39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3</w:t>
      </w:r>
      <w:r>
        <w:rPr>
          <w:rFonts w:hint="eastAsia" w:asciiTheme="minorEastAsia" w:hAnsiTheme="minorEastAsia" w:eastAsiaTheme="minorEastAsia" w:cstheme="minorEastAsia"/>
          <w:bCs/>
          <w:color w:val="auto"/>
          <w:sz w:val="24"/>
          <w:szCs w:val="24"/>
          <w:highlight w:val="none"/>
        </w:rPr>
        <w:t>)施工组织设计</w:t>
      </w:r>
    </w:p>
    <w:p w14:paraId="295F2121">
      <w:pPr>
        <w:pStyle w:val="11"/>
        <w:spacing w:line="390" w:lineRule="exact"/>
        <w:ind w:firstLine="480" w:firstLineChars="200"/>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4</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业绩</w:t>
      </w:r>
      <w:r>
        <w:rPr>
          <w:rFonts w:hint="eastAsia" w:asciiTheme="minorEastAsia" w:hAnsiTheme="minorEastAsia" w:eastAsiaTheme="minorEastAsia" w:cstheme="minorEastAsia"/>
          <w:bCs/>
          <w:color w:val="auto"/>
          <w:sz w:val="24"/>
          <w:szCs w:val="24"/>
          <w:highlight w:val="none"/>
        </w:rPr>
        <w:t>（如有，请提供）</w:t>
      </w:r>
    </w:p>
    <w:p w14:paraId="10B7DFDD">
      <w:pPr>
        <w:pStyle w:val="11"/>
        <w:spacing w:line="39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5</w:t>
      </w:r>
      <w:r>
        <w:rPr>
          <w:rFonts w:hint="eastAsia" w:asciiTheme="minorEastAsia" w:hAnsiTheme="minorEastAsia" w:eastAsiaTheme="minorEastAsia" w:cstheme="minorEastAsia"/>
          <w:bCs/>
          <w:color w:val="auto"/>
          <w:sz w:val="24"/>
          <w:szCs w:val="24"/>
          <w:highlight w:val="none"/>
        </w:rPr>
        <w:t>)供应商可结合本项目的评标办法视自身情况自行提交相关证明材料。（如有，请提供）</w:t>
      </w:r>
    </w:p>
    <w:p w14:paraId="7F71AA6A">
      <w:pPr>
        <w:pStyle w:val="3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4"/>
          <w:highlight w:val="none"/>
          <w:u w:val="single"/>
          <w:lang w:val="en-US" w:eastAsia="zh-CN"/>
        </w:rPr>
        <w:t>注：以上材料属于复印件的扫描件的，必须加盖供应商电子公章，否则响应文件按无效响应处理。</w:t>
      </w:r>
    </w:p>
    <w:p w14:paraId="116EE775">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8.2 磋商单位应使用</w:t>
      </w:r>
      <w:r>
        <w:rPr>
          <w:rFonts w:hint="eastAsia" w:asciiTheme="minorEastAsia" w:hAnsiTheme="minorEastAsia" w:eastAsiaTheme="minorEastAsia" w:cstheme="minorEastAsia"/>
          <w:color w:val="auto"/>
          <w:sz w:val="24"/>
          <w:szCs w:val="24"/>
          <w:highlight w:val="none"/>
          <w:lang w:eastAsia="zh-CN"/>
        </w:rPr>
        <w:t>《竞争性磋商文件》</w:t>
      </w:r>
      <w:r>
        <w:rPr>
          <w:rFonts w:hint="eastAsia" w:asciiTheme="minorEastAsia" w:hAnsiTheme="minorEastAsia" w:eastAsiaTheme="minorEastAsia" w:cstheme="minorEastAsia"/>
          <w:bCs/>
          <w:color w:val="auto"/>
          <w:sz w:val="24"/>
          <w:szCs w:val="24"/>
          <w:highlight w:val="none"/>
        </w:rPr>
        <w:t>提供的格式，但表格可以按同样格式扩展，磋商保证金、履约保证金的方式按本须知有关条款的规定可以选择。</w:t>
      </w:r>
    </w:p>
    <w:p w14:paraId="6D2A21E2">
      <w:pPr>
        <w:spacing w:line="39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9、磋商货币</w:t>
      </w:r>
    </w:p>
    <w:p w14:paraId="1A9177E5">
      <w:pPr>
        <w:tabs>
          <w:tab w:val="left" w:pos="426"/>
        </w:tabs>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9.1磋商应以人民币报价。</w:t>
      </w:r>
    </w:p>
    <w:p w14:paraId="5C26F264">
      <w:pPr>
        <w:spacing w:line="39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10、磋商的有效期</w:t>
      </w:r>
    </w:p>
    <w:p w14:paraId="7CDBDC11">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10．1</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从</w:t>
      </w:r>
      <w:r>
        <w:rPr>
          <w:rFonts w:hint="eastAsia" w:asciiTheme="minorEastAsia" w:hAnsiTheme="minorEastAsia" w:eastAsiaTheme="minorEastAsia" w:cstheme="minorEastAsia"/>
          <w:color w:val="auto"/>
          <w:sz w:val="24"/>
          <w:szCs w:val="24"/>
          <w:highlight w:val="none"/>
          <w:lang w:eastAsia="zh-CN"/>
        </w:rPr>
        <w:t>磋商截止日期后45天</w:t>
      </w:r>
      <w:r>
        <w:rPr>
          <w:rFonts w:hint="eastAsia" w:asciiTheme="minorEastAsia" w:hAnsiTheme="minorEastAsia" w:eastAsiaTheme="minorEastAsia" w:cstheme="minorEastAsia"/>
          <w:color w:val="auto"/>
          <w:sz w:val="24"/>
          <w:szCs w:val="24"/>
          <w:highlight w:val="none"/>
        </w:rPr>
        <w:t>内有效。</w:t>
      </w:r>
    </w:p>
    <w:p w14:paraId="66F27D3C">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10．2在特殊情况下，采购代理机构可与</w:t>
      </w:r>
      <w:r>
        <w:rPr>
          <w:rFonts w:hint="eastAsia" w:asciiTheme="minorEastAsia" w:hAnsiTheme="minorEastAsia" w:eastAsiaTheme="minorEastAsia" w:cstheme="minorEastAsia"/>
          <w:color w:val="auto"/>
          <w:sz w:val="24"/>
          <w:szCs w:val="24"/>
          <w:highlight w:val="none"/>
          <w:lang w:eastAsia="zh-CN"/>
        </w:rPr>
        <w:t>磋商供应商</w:t>
      </w:r>
      <w:r>
        <w:rPr>
          <w:rFonts w:hint="eastAsia" w:asciiTheme="minorEastAsia" w:hAnsiTheme="minorEastAsia" w:eastAsiaTheme="minorEastAsia" w:cstheme="minorEastAsia"/>
          <w:color w:val="auto"/>
          <w:sz w:val="24"/>
          <w:szCs w:val="24"/>
          <w:highlight w:val="none"/>
        </w:rPr>
        <w:t>协商延长</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的有效期。</w:t>
      </w:r>
    </w:p>
    <w:p w14:paraId="0880B3D8">
      <w:pPr>
        <w:spacing w:line="39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11、</w:t>
      </w:r>
      <w:r>
        <w:rPr>
          <w:rFonts w:hint="eastAsia" w:asciiTheme="minorEastAsia" w:hAnsiTheme="minorEastAsia" w:eastAsiaTheme="minorEastAsia" w:cstheme="minorEastAsia"/>
          <w:b/>
          <w:bCs/>
          <w:color w:val="auto"/>
          <w:sz w:val="24"/>
          <w:szCs w:val="24"/>
          <w:highlight w:val="none"/>
          <w:lang w:eastAsia="zh-CN"/>
        </w:rPr>
        <w:t>《响应文件》</w:t>
      </w:r>
      <w:r>
        <w:rPr>
          <w:rFonts w:hint="eastAsia" w:asciiTheme="minorEastAsia" w:hAnsiTheme="minorEastAsia" w:eastAsiaTheme="minorEastAsia" w:cstheme="minorEastAsia"/>
          <w:b/>
          <w:bCs/>
          <w:color w:val="auto"/>
          <w:sz w:val="24"/>
          <w:szCs w:val="24"/>
          <w:highlight w:val="none"/>
          <w:lang w:val="en-US" w:eastAsia="zh-CN"/>
        </w:rPr>
        <w:t>电子版的编制要求</w:t>
      </w:r>
    </w:p>
    <w:p w14:paraId="0E0379C2">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w:t>
      </w:r>
      <w:r>
        <w:rPr>
          <w:rFonts w:hint="eastAsia" w:asciiTheme="minorEastAsia" w:hAnsiTheme="minorEastAsia" w:eastAsiaTheme="minorEastAsia" w:cstheme="minorEastAsia"/>
          <w:color w:val="auto"/>
          <w:sz w:val="24"/>
          <w:szCs w:val="24"/>
          <w:highlight w:val="none"/>
          <w:lang w:val="en-US" w:eastAsia="zh-CN"/>
        </w:rPr>
        <w:t>各供应商在编制响应文件时请按照磋商文件“第七章 响应文件（格式）”规定的格式进行，</w:t>
      </w:r>
      <w:r>
        <w:rPr>
          <w:rFonts w:hint="eastAsia" w:asciiTheme="minorEastAsia" w:hAnsiTheme="minorEastAsia" w:eastAsiaTheme="minorEastAsia" w:cstheme="minorEastAsia"/>
          <w:color w:val="auto"/>
          <w:sz w:val="24"/>
          <w:szCs w:val="24"/>
          <w:highlight w:val="none"/>
        </w:rPr>
        <w:t>第</w:t>
      </w:r>
      <w:r>
        <w:rPr>
          <w:rFonts w:hint="eastAsia" w:asciiTheme="minorEastAsia" w:hAnsiTheme="minorEastAsia" w:eastAsiaTheme="minorEastAsia" w:cstheme="minorEastAsia"/>
          <w:color w:val="auto"/>
          <w:sz w:val="24"/>
          <w:szCs w:val="24"/>
          <w:highlight w:val="none"/>
          <w:lang w:val="en-US" w:eastAsia="zh-CN"/>
        </w:rPr>
        <w:t>七</w:t>
      </w:r>
      <w:r>
        <w:rPr>
          <w:rFonts w:hint="eastAsia" w:asciiTheme="minorEastAsia" w:hAnsiTheme="minorEastAsia" w:eastAsiaTheme="minorEastAsia" w:cstheme="minorEastAsia"/>
          <w:color w:val="auto"/>
          <w:sz w:val="24"/>
          <w:szCs w:val="24"/>
          <w:highlight w:val="none"/>
        </w:rPr>
        <w:t>章</w:t>
      </w:r>
      <w:r>
        <w:rPr>
          <w:rFonts w:hint="eastAsia" w:asciiTheme="minorEastAsia" w:hAnsiTheme="minorEastAsia" w:eastAsiaTheme="minorEastAsia" w:cstheme="minorEastAsia"/>
          <w:color w:val="auto"/>
          <w:sz w:val="24"/>
          <w:szCs w:val="24"/>
          <w:highlight w:val="none"/>
          <w:lang w:val="en-US" w:eastAsia="zh-CN"/>
        </w:rPr>
        <w:t>未附格式的，由供应商自行拟定。混乱的编排导致响应文件被误读或磋商小组查找不到有效文件是供应商的风险。不完整、编排混乱导致响应文件被误读、漏读或者查找不到相关内容的，由此引发的后果由供应商承担</w:t>
      </w:r>
      <w:r>
        <w:rPr>
          <w:rFonts w:hint="eastAsia" w:asciiTheme="minorEastAsia" w:hAnsiTheme="minorEastAsia" w:eastAsiaTheme="minorEastAsia" w:cstheme="minorEastAsia"/>
          <w:color w:val="auto"/>
          <w:sz w:val="24"/>
          <w:szCs w:val="24"/>
          <w:highlight w:val="none"/>
        </w:rPr>
        <w:t>。</w:t>
      </w:r>
    </w:p>
    <w:p w14:paraId="00BB696E">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w:t>
      </w:r>
      <w:r>
        <w:rPr>
          <w:rFonts w:hint="eastAsia" w:asciiTheme="minorEastAsia" w:hAnsiTheme="minorEastAsia" w:eastAsiaTheme="minorEastAsia" w:cstheme="minorEastAsia"/>
          <w:color w:val="auto"/>
          <w:sz w:val="24"/>
          <w:szCs w:val="24"/>
          <w:highlight w:val="none"/>
          <w:lang w:val="en-US" w:eastAsia="zh-CN"/>
        </w:rPr>
        <w:t>本磋商只接受电子版响应文件，要求见本章前附表 “响应文件电子版要求”。</w:t>
      </w:r>
    </w:p>
    <w:p w14:paraId="3FA3FB2D">
      <w:pPr>
        <w:spacing w:line="39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11.3</w:t>
      </w:r>
      <w:r>
        <w:rPr>
          <w:rFonts w:hint="eastAsia" w:asciiTheme="minorEastAsia" w:hAnsiTheme="minorEastAsia" w:eastAsiaTheme="minorEastAsia" w:cstheme="minorEastAsia"/>
          <w:color w:val="auto"/>
          <w:sz w:val="24"/>
          <w:szCs w:val="24"/>
          <w:highlight w:val="none"/>
          <w:lang w:val="en-US" w:eastAsia="zh-CN"/>
        </w:rPr>
        <w:t>响应文件须由供应商在“第七章 响应文件（格式）”规定位置进行签署、盖章，否则其响应文件按无效响应处理。骑缝盖公章不视为在规定位置盖章</w:t>
      </w:r>
      <w:r>
        <w:rPr>
          <w:rFonts w:hint="eastAsia" w:asciiTheme="minorEastAsia" w:hAnsiTheme="minorEastAsia" w:eastAsiaTheme="minorEastAsia" w:cstheme="minorEastAsia"/>
          <w:bCs/>
          <w:color w:val="auto"/>
          <w:sz w:val="24"/>
          <w:szCs w:val="24"/>
          <w:highlight w:val="none"/>
        </w:rPr>
        <w:t>。</w:t>
      </w:r>
    </w:p>
    <w:p w14:paraId="413BEAA8">
      <w:pPr>
        <w:spacing w:line="390" w:lineRule="exact"/>
        <w:ind w:firstLine="480"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Cs/>
          <w:color w:val="auto"/>
          <w:sz w:val="24"/>
          <w:szCs w:val="24"/>
          <w:highlight w:val="none"/>
        </w:rPr>
        <w:t>11.4</w:t>
      </w:r>
      <w:r>
        <w:rPr>
          <w:rFonts w:hint="eastAsia" w:asciiTheme="minorEastAsia" w:hAnsiTheme="minorEastAsia" w:eastAsiaTheme="minorEastAsia" w:cstheme="minorEastAsia"/>
          <w:bCs/>
          <w:color w:val="auto"/>
          <w:sz w:val="24"/>
          <w:szCs w:val="24"/>
          <w:highlight w:val="none"/>
          <w:lang w:val="en-US" w:eastAsia="zh-CN"/>
        </w:rPr>
        <w:t>响应文件中标注的供应商名称应与营业执照（事业单位法人证书、执业许可证、自然人身份证）及电子公章一致，否则其响应文件按无效响应处理</w:t>
      </w:r>
      <w:r>
        <w:rPr>
          <w:rFonts w:hint="eastAsia" w:asciiTheme="minorEastAsia" w:hAnsiTheme="minorEastAsia" w:eastAsiaTheme="minorEastAsia" w:cstheme="minorEastAsia"/>
          <w:bCs/>
          <w:color w:val="auto"/>
          <w:sz w:val="24"/>
          <w:szCs w:val="24"/>
          <w:highlight w:val="none"/>
        </w:rPr>
        <w:t>。</w:t>
      </w:r>
    </w:p>
    <w:p w14:paraId="359A68CA">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11.5</w:t>
      </w:r>
      <w:r>
        <w:rPr>
          <w:rFonts w:hint="eastAsia" w:asciiTheme="minorEastAsia" w:hAnsiTheme="minorEastAsia" w:eastAsiaTheme="minorEastAsia" w:cstheme="minorEastAsia"/>
          <w:color w:val="auto"/>
          <w:sz w:val="24"/>
          <w:szCs w:val="24"/>
          <w:highlight w:val="none"/>
          <w:lang w:val="en-US" w:eastAsia="zh-CN"/>
        </w:rPr>
        <w:t>响应文件应避免涂改、行间插字或者删除，否则其响应文件按无效响应处理</w:t>
      </w:r>
      <w:r>
        <w:rPr>
          <w:rFonts w:hint="eastAsia" w:asciiTheme="minorEastAsia" w:hAnsiTheme="minorEastAsia" w:eastAsiaTheme="minorEastAsia" w:cstheme="minorEastAsia"/>
          <w:color w:val="auto"/>
          <w:sz w:val="24"/>
          <w:szCs w:val="24"/>
          <w:highlight w:val="none"/>
        </w:rPr>
        <w:t>。</w:t>
      </w:r>
    </w:p>
    <w:p w14:paraId="6F05DCA8">
      <w:pPr>
        <w:spacing w:line="39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12、磋商保证金</w:t>
      </w:r>
    </w:p>
    <w:p w14:paraId="54F4165F">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12.1磋商单位应按前附表第</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项规定数额、方式足额提交磋商保证金，此磋商保证金是</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的一个组成部分。</w:t>
      </w:r>
    </w:p>
    <w:p w14:paraId="48E3B32B">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12.2对于未能按要求提交磋商保证金的磋商，采购单位将视为不响应磋商而拒绝。</w:t>
      </w:r>
    </w:p>
    <w:p w14:paraId="0389D60D">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12.3未成交</w:t>
      </w:r>
      <w:r>
        <w:rPr>
          <w:rFonts w:hint="eastAsia" w:asciiTheme="minorEastAsia" w:hAnsiTheme="minorEastAsia" w:eastAsiaTheme="minorEastAsia" w:cstheme="minorEastAsia"/>
          <w:color w:val="auto"/>
          <w:sz w:val="24"/>
          <w:szCs w:val="24"/>
          <w:highlight w:val="none"/>
          <w:lang w:eastAsia="zh-CN"/>
        </w:rPr>
        <w:t>磋商供应商</w:t>
      </w:r>
      <w:r>
        <w:rPr>
          <w:rFonts w:hint="eastAsia" w:asciiTheme="minorEastAsia" w:hAnsiTheme="minorEastAsia" w:eastAsiaTheme="minorEastAsia" w:cstheme="minorEastAsia"/>
          <w:color w:val="auto"/>
          <w:sz w:val="24"/>
          <w:szCs w:val="24"/>
          <w:highlight w:val="none"/>
        </w:rPr>
        <w:t>的磋商保证金，</w:t>
      </w:r>
      <w:r>
        <w:rPr>
          <w:rFonts w:hint="eastAsia" w:asciiTheme="minorEastAsia" w:hAnsiTheme="minorEastAsia" w:eastAsiaTheme="minorEastAsia" w:cstheme="minorEastAsia"/>
          <w:color w:val="auto"/>
          <w:sz w:val="24"/>
          <w:szCs w:val="24"/>
          <w:highlight w:val="none"/>
          <w:u w:val="none"/>
        </w:rPr>
        <w:t>将在成交通知书发出后</w:t>
      </w:r>
      <w:r>
        <w:rPr>
          <w:rFonts w:hint="eastAsia" w:asciiTheme="minorEastAsia" w:hAnsiTheme="minorEastAsia" w:eastAsiaTheme="minorEastAsia" w:cstheme="minorEastAsia"/>
          <w:color w:val="auto"/>
          <w:sz w:val="24"/>
          <w:szCs w:val="24"/>
          <w:highlight w:val="none"/>
          <w:u w:val="none"/>
          <w:lang w:val="en-US" w:eastAsia="zh-CN"/>
        </w:rPr>
        <w:t>5</w:t>
      </w:r>
      <w:r>
        <w:rPr>
          <w:rFonts w:hint="eastAsia" w:asciiTheme="minorEastAsia" w:hAnsiTheme="minorEastAsia" w:eastAsiaTheme="minorEastAsia" w:cstheme="minorEastAsia"/>
          <w:color w:val="auto"/>
          <w:sz w:val="24"/>
          <w:szCs w:val="24"/>
          <w:highlight w:val="none"/>
          <w:u w:val="none"/>
        </w:rPr>
        <w:t>个工作日内予以退还，不计利息。</w:t>
      </w:r>
    </w:p>
    <w:p w14:paraId="7AD6A7F2">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12.4成交</w:t>
      </w:r>
      <w:r>
        <w:rPr>
          <w:rFonts w:hint="eastAsia" w:asciiTheme="minorEastAsia" w:hAnsiTheme="minorEastAsia" w:eastAsiaTheme="minorEastAsia" w:cstheme="minorEastAsia"/>
          <w:color w:val="auto"/>
          <w:sz w:val="24"/>
          <w:szCs w:val="24"/>
          <w:highlight w:val="none"/>
          <w:lang w:eastAsia="zh-CN"/>
        </w:rPr>
        <w:t>人</w:t>
      </w:r>
      <w:r>
        <w:rPr>
          <w:rFonts w:hint="eastAsia" w:asciiTheme="minorEastAsia" w:hAnsiTheme="minorEastAsia" w:eastAsiaTheme="minorEastAsia" w:cstheme="minorEastAsia"/>
          <w:color w:val="auto"/>
          <w:sz w:val="24"/>
          <w:szCs w:val="24"/>
          <w:highlight w:val="none"/>
        </w:rPr>
        <w:t>按要求提交履约保证金并签署合同协议，</w:t>
      </w:r>
      <w:r>
        <w:rPr>
          <w:rFonts w:hint="eastAsia" w:asciiTheme="minorEastAsia" w:hAnsiTheme="minorEastAsia" w:eastAsiaTheme="minorEastAsia" w:cstheme="minorEastAsia"/>
          <w:color w:val="auto"/>
          <w:sz w:val="24"/>
          <w:szCs w:val="24"/>
          <w:highlight w:val="none"/>
          <w:lang w:val="en-US" w:eastAsia="zh-CN"/>
        </w:rPr>
        <w:t>将</w:t>
      </w:r>
      <w:r>
        <w:rPr>
          <w:rFonts w:hint="eastAsia" w:asciiTheme="minorEastAsia" w:hAnsiTheme="minorEastAsia" w:eastAsiaTheme="minorEastAsia" w:cstheme="minorEastAsia"/>
          <w:color w:val="auto"/>
          <w:sz w:val="24"/>
          <w:szCs w:val="24"/>
          <w:highlight w:val="none"/>
        </w:rPr>
        <w:t>合同协议</w:t>
      </w:r>
      <w:r>
        <w:rPr>
          <w:rFonts w:hint="eastAsia" w:asciiTheme="minorEastAsia" w:hAnsiTheme="minorEastAsia" w:eastAsiaTheme="minorEastAsia" w:cstheme="minorEastAsia"/>
          <w:color w:val="auto"/>
          <w:sz w:val="24"/>
          <w:szCs w:val="24"/>
          <w:highlight w:val="none"/>
          <w:lang w:val="en-US" w:eastAsia="zh-CN"/>
        </w:rPr>
        <w:t>提交1份至采购代理机构后</w:t>
      </w:r>
      <w:r>
        <w:rPr>
          <w:rFonts w:hint="eastAsia" w:asciiTheme="minorEastAsia" w:hAnsiTheme="minorEastAsia" w:eastAsiaTheme="minorEastAsia" w:cstheme="minorEastAsia"/>
          <w:color w:val="auto"/>
          <w:sz w:val="24"/>
          <w:szCs w:val="24"/>
          <w:highlight w:val="none"/>
          <w:u w:val="none"/>
          <w:lang w:val="en-US" w:eastAsia="zh-CN"/>
        </w:rPr>
        <w:t>5</w:t>
      </w:r>
      <w:r>
        <w:rPr>
          <w:rFonts w:hint="eastAsia" w:asciiTheme="minorEastAsia" w:hAnsiTheme="minorEastAsia" w:eastAsiaTheme="minorEastAsia" w:cstheme="minorEastAsia"/>
          <w:color w:val="auto"/>
          <w:sz w:val="24"/>
          <w:szCs w:val="24"/>
          <w:highlight w:val="none"/>
          <w:u w:val="none"/>
        </w:rPr>
        <w:t>个工作日内</w:t>
      </w:r>
      <w:r>
        <w:rPr>
          <w:rFonts w:hint="eastAsia" w:asciiTheme="minorEastAsia" w:hAnsiTheme="minorEastAsia" w:eastAsiaTheme="minorEastAsia" w:cstheme="minorEastAsia"/>
          <w:color w:val="auto"/>
          <w:sz w:val="24"/>
          <w:szCs w:val="24"/>
          <w:highlight w:val="none"/>
        </w:rPr>
        <w:t>将无息退还其磋商保证金。</w:t>
      </w:r>
    </w:p>
    <w:p w14:paraId="6A894A60">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12.5如</w:t>
      </w:r>
      <w:r>
        <w:rPr>
          <w:rFonts w:hint="eastAsia" w:asciiTheme="minorEastAsia" w:hAnsiTheme="minorEastAsia" w:eastAsiaTheme="minorEastAsia" w:cstheme="minorEastAsia"/>
          <w:color w:val="auto"/>
          <w:sz w:val="24"/>
          <w:szCs w:val="24"/>
          <w:highlight w:val="none"/>
          <w:lang w:eastAsia="zh-CN"/>
        </w:rPr>
        <w:t>磋商供应商</w:t>
      </w:r>
      <w:r>
        <w:rPr>
          <w:rFonts w:hint="eastAsia" w:asciiTheme="minorEastAsia" w:hAnsiTheme="minorEastAsia" w:eastAsiaTheme="minorEastAsia" w:cstheme="minorEastAsia"/>
          <w:color w:val="auto"/>
          <w:sz w:val="24"/>
          <w:szCs w:val="24"/>
          <w:highlight w:val="none"/>
        </w:rPr>
        <w:t xml:space="preserve">有下列情况，将被没收磋商保证金：　　　  </w:t>
      </w:r>
    </w:p>
    <w:p w14:paraId="0B623EF0">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磋商供应商</w:t>
      </w:r>
      <w:r>
        <w:rPr>
          <w:rFonts w:hint="eastAsia" w:asciiTheme="minorEastAsia" w:hAnsiTheme="minorEastAsia" w:eastAsiaTheme="minorEastAsia" w:cstheme="minorEastAsia"/>
          <w:color w:val="auto"/>
          <w:sz w:val="24"/>
          <w:szCs w:val="24"/>
          <w:highlight w:val="none"/>
        </w:rPr>
        <w:t>在其磋商有效期内撤回其</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w:t>
      </w:r>
    </w:p>
    <w:p w14:paraId="169A584A">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（2）成交</w:t>
      </w:r>
      <w:r>
        <w:rPr>
          <w:rFonts w:hint="eastAsia" w:asciiTheme="minorEastAsia" w:hAnsiTheme="minorEastAsia" w:eastAsiaTheme="minorEastAsia" w:cstheme="minorEastAsia"/>
          <w:color w:val="auto"/>
          <w:sz w:val="24"/>
          <w:szCs w:val="24"/>
          <w:highlight w:val="none"/>
          <w:lang w:eastAsia="zh-CN"/>
        </w:rPr>
        <w:t>人</w:t>
      </w:r>
      <w:r>
        <w:rPr>
          <w:rFonts w:hint="eastAsia" w:asciiTheme="minorEastAsia" w:hAnsiTheme="minorEastAsia" w:eastAsiaTheme="minorEastAsia" w:cstheme="minorEastAsia"/>
          <w:color w:val="auto"/>
          <w:sz w:val="24"/>
          <w:szCs w:val="24"/>
          <w:highlight w:val="none"/>
        </w:rPr>
        <w:t>未能在规定期限内提交履约保证金或签署合同协议。</w:t>
      </w:r>
      <w:bookmarkStart w:id="61" w:name="_Toc459103902"/>
    </w:p>
    <w:p w14:paraId="229C741A">
      <w:pPr>
        <w:pStyle w:val="35"/>
        <w:rPr>
          <w:rFonts w:hint="eastAsia" w:asciiTheme="minorEastAsia" w:hAnsiTheme="minorEastAsia" w:eastAsiaTheme="minorEastAsia" w:cstheme="minorEastAsia"/>
          <w:color w:val="auto"/>
          <w:sz w:val="24"/>
          <w:szCs w:val="24"/>
          <w:highlight w:val="none"/>
        </w:rPr>
      </w:pPr>
    </w:p>
    <w:p w14:paraId="5D3CFF3F">
      <w:pPr>
        <w:pStyle w:val="3"/>
        <w:spacing w:before="0" w:after="0" w:line="390" w:lineRule="exact"/>
        <w:rPr>
          <w:rFonts w:hint="eastAsia" w:asciiTheme="minorEastAsia" w:hAnsiTheme="minorEastAsia" w:eastAsiaTheme="minorEastAsia" w:cstheme="minorEastAsia"/>
          <w:color w:val="auto"/>
          <w:sz w:val="24"/>
          <w:szCs w:val="24"/>
          <w:highlight w:val="none"/>
        </w:rPr>
      </w:pPr>
      <w:bookmarkStart w:id="62" w:name="_Toc11737"/>
      <w:r>
        <w:rPr>
          <w:rFonts w:hint="eastAsia" w:asciiTheme="minorEastAsia" w:hAnsiTheme="minorEastAsia" w:eastAsiaTheme="minorEastAsia" w:cstheme="minorEastAsia"/>
          <w:color w:val="auto"/>
          <w:sz w:val="24"/>
          <w:szCs w:val="24"/>
          <w:highlight w:val="none"/>
        </w:rPr>
        <w:t>五、</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的递交</w:t>
      </w:r>
      <w:bookmarkEnd w:id="61"/>
      <w:bookmarkEnd w:id="62"/>
    </w:p>
    <w:p w14:paraId="76515F12">
      <w:pPr>
        <w:spacing w:line="39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w:t>
      </w:r>
      <w:r>
        <w:rPr>
          <w:rFonts w:hint="eastAsia" w:asciiTheme="minorEastAsia" w:hAnsiTheme="minorEastAsia" w:eastAsiaTheme="minorEastAsia" w:cstheme="minorEastAsia"/>
          <w:b/>
          <w:bCs/>
          <w:color w:val="auto"/>
          <w:sz w:val="24"/>
          <w:szCs w:val="24"/>
          <w:highlight w:val="none"/>
          <w:lang w:val="en-US" w:eastAsia="zh-CN"/>
        </w:rPr>
        <w:t>3</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eastAsia="zh-CN"/>
        </w:rPr>
        <w:t>《响应文件》</w:t>
      </w:r>
      <w:r>
        <w:rPr>
          <w:rFonts w:hint="eastAsia" w:asciiTheme="minorEastAsia" w:hAnsiTheme="minorEastAsia" w:eastAsiaTheme="minorEastAsia" w:cstheme="minorEastAsia"/>
          <w:b/>
          <w:bCs/>
          <w:color w:val="auto"/>
          <w:sz w:val="24"/>
          <w:szCs w:val="24"/>
          <w:highlight w:val="none"/>
        </w:rPr>
        <w:t>的密封与标记</w:t>
      </w:r>
    </w:p>
    <w:p w14:paraId="5209713F">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3.1供应商进行电子交易应安装客户端软件“广西政采云电子交易客户端”，并按照磋商文件和电子交易平台的要求编制并加密响应文件。供应商未按规定加密的响应文件，电子交易平台 将拒收并提示</w:t>
      </w:r>
      <w:r>
        <w:rPr>
          <w:rFonts w:hint="eastAsia" w:asciiTheme="minorEastAsia" w:hAnsiTheme="minorEastAsia" w:eastAsiaTheme="minorEastAsia" w:cstheme="minorEastAsia"/>
          <w:color w:val="auto"/>
          <w:sz w:val="24"/>
          <w:szCs w:val="24"/>
          <w:highlight w:val="none"/>
        </w:rPr>
        <w:t>。</w:t>
      </w:r>
    </w:p>
    <w:p w14:paraId="1D2479F6">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3.2</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使用“广西政采云电子交易客户端”需要提前申领 CA 数字证书，申领流程见本项目采购公告</w:t>
      </w:r>
      <w:r>
        <w:rPr>
          <w:rFonts w:hint="eastAsia" w:asciiTheme="minorEastAsia" w:hAnsiTheme="minorEastAsia" w:eastAsiaTheme="minorEastAsia" w:cstheme="minorEastAsia"/>
          <w:color w:val="auto"/>
          <w:sz w:val="24"/>
          <w:szCs w:val="24"/>
          <w:highlight w:val="none"/>
        </w:rPr>
        <w:t>。</w:t>
      </w:r>
    </w:p>
    <w:p w14:paraId="49426B37">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3.3为确保网上操作合法、有效和安全，供应商应当在响应文件提交截止时间前完成在“政府采购云平台”的身份认证，确保在电子交易过程中能够对相关数据电文进行加密和使用电子签名。</w:t>
      </w:r>
    </w:p>
    <w:p w14:paraId="2BF497C0">
      <w:pPr>
        <w:spacing w:line="39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w:t>
      </w:r>
      <w:r>
        <w:rPr>
          <w:rFonts w:hint="eastAsia" w:asciiTheme="minorEastAsia" w:hAnsiTheme="minorEastAsia" w:eastAsiaTheme="minorEastAsia" w:cstheme="minorEastAsia"/>
          <w:b/>
          <w:bCs/>
          <w:color w:val="auto"/>
          <w:sz w:val="24"/>
          <w:szCs w:val="24"/>
          <w:highlight w:val="none"/>
          <w:lang w:val="en-US" w:eastAsia="zh-CN"/>
        </w:rPr>
        <w:t>4</w:t>
      </w:r>
      <w:r>
        <w:rPr>
          <w:rFonts w:hint="eastAsia" w:asciiTheme="minorEastAsia" w:hAnsiTheme="minorEastAsia" w:eastAsiaTheme="minorEastAsia" w:cstheme="minorEastAsia"/>
          <w:b/>
          <w:bCs/>
          <w:color w:val="auto"/>
          <w:sz w:val="24"/>
          <w:szCs w:val="24"/>
          <w:highlight w:val="none"/>
        </w:rPr>
        <w:t xml:space="preserve">、磋商截止时间  </w:t>
      </w:r>
    </w:p>
    <w:p w14:paraId="01AAE5B6">
      <w:pPr>
        <w:spacing w:line="390" w:lineRule="exact"/>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lang w:val="en-US" w:eastAsia="zh-CN"/>
        </w:rPr>
        <w:t>14.1</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的递交不得迟于本须知前附表第</w:t>
      </w:r>
      <w:r>
        <w:rPr>
          <w:rFonts w:hint="eastAsia" w:asciiTheme="minorEastAsia" w:hAnsiTheme="minorEastAsia" w:eastAsiaTheme="minorEastAsia" w:cstheme="minorEastAsia"/>
          <w:color w:val="auto"/>
          <w:sz w:val="24"/>
          <w:szCs w:val="24"/>
          <w:highlight w:val="none"/>
          <w:lang w:val="en-US" w:eastAsia="zh-CN"/>
        </w:rPr>
        <w:t>11</w:t>
      </w:r>
      <w:r>
        <w:rPr>
          <w:rFonts w:hint="eastAsia" w:asciiTheme="minorEastAsia" w:hAnsiTheme="minorEastAsia" w:eastAsiaTheme="minorEastAsia" w:cstheme="minorEastAsia"/>
          <w:color w:val="auto"/>
          <w:sz w:val="24"/>
          <w:szCs w:val="24"/>
          <w:highlight w:val="none"/>
        </w:rPr>
        <w:t>项规定的截止时间。</w:t>
      </w:r>
    </w:p>
    <w:p w14:paraId="5F4607C5">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磋商供应商</w:t>
      </w:r>
      <w:r>
        <w:rPr>
          <w:rFonts w:hint="eastAsia" w:asciiTheme="minorEastAsia" w:hAnsiTheme="minorEastAsia" w:eastAsiaTheme="minorEastAsia" w:cstheme="minorEastAsia"/>
          <w:color w:val="auto"/>
          <w:sz w:val="24"/>
          <w:szCs w:val="24"/>
          <w:highlight w:val="none"/>
        </w:rPr>
        <w:t>必须在规定时间内将</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送到本须知前附表第</w:t>
      </w:r>
      <w:r>
        <w:rPr>
          <w:rFonts w:hint="eastAsia" w:asciiTheme="minorEastAsia" w:hAnsiTheme="minorEastAsia" w:eastAsiaTheme="minorEastAsia" w:cstheme="minorEastAsia"/>
          <w:color w:val="auto"/>
          <w:sz w:val="24"/>
          <w:szCs w:val="24"/>
          <w:highlight w:val="none"/>
          <w:lang w:val="en-US" w:eastAsia="zh-CN"/>
        </w:rPr>
        <w:t>11</w:t>
      </w:r>
      <w:r>
        <w:rPr>
          <w:rFonts w:hint="eastAsia" w:asciiTheme="minorEastAsia" w:hAnsiTheme="minorEastAsia" w:eastAsiaTheme="minorEastAsia" w:cstheme="minorEastAsia"/>
          <w:color w:val="auto"/>
          <w:sz w:val="24"/>
          <w:szCs w:val="24"/>
          <w:highlight w:val="none"/>
        </w:rPr>
        <w:t>项规定地点，</w:t>
      </w:r>
      <w:r>
        <w:rPr>
          <w:rFonts w:hint="eastAsia" w:asciiTheme="minorEastAsia" w:hAnsiTheme="minorEastAsia" w:eastAsiaTheme="minorEastAsia" w:cstheme="minorEastAsia"/>
          <w:color w:val="auto"/>
          <w:sz w:val="24"/>
          <w:szCs w:val="24"/>
          <w:highlight w:val="none"/>
          <w:lang w:val="en-US" w:eastAsia="zh-CN"/>
        </w:rPr>
        <w:t>采购代理机构不可视情况延长提交响应文件的截止时间，</w:t>
      </w:r>
      <w:r>
        <w:rPr>
          <w:rFonts w:hint="eastAsia" w:asciiTheme="minorEastAsia" w:hAnsiTheme="minorEastAsia" w:eastAsiaTheme="minorEastAsia" w:cstheme="minorEastAsia"/>
          <w:color w:val="auto"/>
          <w:sz w:val="24"/>
          <w:szCs w:val="24"/>
          <w:highlight w:val="none"/>
        </w:rPr>
        <w:t>超过磋商截止时间送达的</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将不予受理。</w:t>
      </w:r>
    </w:p>
    <w:p w14:paraId="2A96EAC0">
      <w:pPr>
        <w:spacing w:line="39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14.3磋商供应商应当在开标截止时间前，将生成的“电子加密响应文件”上传递交至广西政采云平台。响应文件递交截止时间前可以补充、修改或者撤回电子磋商响应文件。补充或者修改电子磋商响应文件的，应当先行撤回原文件，补充、修改后重新传输递交，开标截止时间前未完成传输的，视为撤回响应文件，5个工作日内退还其磋商保证金。在《响应文件》提交截止时间以后，不能补充、修改响应文件。截止时间后可向采购人、采购代理机构书面申请撤回电子响应文件，但</w:t>
      </w:r>
      <w:r>
        <w:rPr>
          <w:rFonts w:hint="eastAsia" w:asciiTheme="minorEastAsia" w:hAnsiTheme="minorEastAsia" w:eastAsiaTheme="minorEastAsia" w:cstheme="minorEastAsia"/>
          <w:color w:val="auto"/>
          <w:sz w:val="24"/>
          <w:szCs w:val="24"/>
          <w:highlight w:val="none"/>
        </w:rPr>
        <w:t>磋商保证金将被没收</w:t>
      </w:r>
      <w:r>
        <w:rPr>
          <w:rFonts w:hint="eastAsia" w:asciiTheme="minorEastAsia" w:hAnsiTheme="minorEastAsia" w:eastAsiaTheme="minorEastAsia" w:cstheme="minorEastAsia"/>
          <w:color w:val="auto"/>
          <w:sz w:val="24"/>
          <w:szCs w:val="24"/>
          <w:highlight w:val="none"/>
          <w:lang w:val="en-US" w:eastAsia="zh-CN"/>
        </w:rPr>
        <w:t>处理</w:t>
      </w:r>
      <w:r>
        <w:rPr>
          <w:rFonts w:hint="eastAsia" w:asciiTheme="minorEastAsia" w:hAnsiTheme="minorEastAsia" w:eastAsiaTheme="minorEastAsia" w:cstheme="minorEastAsia"/>
          <w:color w:val="auto"/>
          <w:sz w:val="24"/>
          <w:szCs w:val="24"/>
          <w:highlight w:val="none"/>
          <w:lang w:eastAsia="zh-CN"/>
        </w:rPr>
        <w:t>。</w:t>
      </w:r>
    </w:p>
    <w:p w14:paraId="3276892A">
      <w:pPr>
        <w:spacing w:line="39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14.4电子交易平台收到响应文件，将妥善保存并即时向供应商发出确认回执通知。在响应文件提交截止时间前，除供应商补充、修改或者撤回响应文件外，任何单位和个人不得解密或提取响应文件。</w:t>
      </w:r>
    </w:p>
    <w:p w14:paraId="6F8E2D38">
      <w:pPr>
        <w:spacing w:line="390" w:lineRule="exact"/>
        <w:ind w:firstLine="480" w:firstLineChars="20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14.5响应文件提交截止时间止提交响应文件的供应商不足 3 家时，电子响应文件由代理机构在“广西政采云”平台操作退回，除此之外采购人和采购代理机构对已提交的电子响应文件概不退回。</w:t>
      </w:r>
    </w:p>
    <w:p w14:paraId="7C99AC81">
      <w:pPr>
        <w:pStyle w:val="3"/>
        <w:spacing w:before="0" w:after="0" w:line="390" w:lineRule="exact"/>
        <w:rPr>
          <w:rFonts w:hint="eastAsia" w:asciiTheme="minorEastAsia" w:hAnsiTheme="minorEastAsia" w:eastAsiaTheme="minorEastAsia" w:cstheme="minorEastAsia"/>
          <w:color w:val="auto"/>
          <w:sz w:val="24"/>
          <w:szCs w:val="24"/>
          <w:highlight w:val="none"/>
        </w:rPr>
      </w:pPr>
      <w:bookmarkStart w:id="63" w:name="_Toc459103903"/>
    </w:p>
    <w:p w14:paraId="470DDE87">
      <w:pPr>
        <w:pStyle w:val="3"/>
        <w:spacing w:before="0" w:after="0" w:line="390" w:lineRule="exact"/>
        <w:rPr>
          <w:rFonts w:hint="eastAsia" w:asciiTheme="minorEastAsia" w:hAnsiTheme="minorEastAsia" w:eastAsiaTheme="minorEastAsia" w:cstheme="minorEastAsia"/>
          <w:color w:val="auto"/>
          <w:sz w:val="24"/>
          <w:szCs w:val="24"/>
          <w:highlight w:val="none"/>
        </w:rPr>
      </w:pPr>
      <w:bookmarkStart w:id="64" w:name="_Toc26017"/>
      <w:r>
        <w:rPr>
          <w:rFonts w:hint="eastAsia" w:asciiTheme="minorEastAsia" w:hAnsiTheme="minorEastAsia" w:eastAsiaTheme="minorEastAsia" w:cstheme="minorEastAsia"/>
          <w:color w:val="auto"/>
          <w:sz w:val="24"/>
          <w:szCs w:val="24"/>
          <w:highlight w:val="none"/>
        </w:rPr>
        <w:t>六、竞争性磋商与评标</w:t>
      </w:r>
      <w:bookmarkEnd w:id="63"/>
      <w:bookmarkEnd w:id="64"/>
    </w:p>
    <w:p w14:paraId="34290062">
      <w:pPr>
        <w:spacing w:line="390" w:lineRule="exact"/>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15.响应文件的开启</w:t>
      </w:r>
    </w:p>
    <w:p w14:paraId="312FC802">
      <w:pPr>
        <w:spacing w:line="39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15.1响应文件由磋商小组或者采购代理机构在“供应商须知前附表”规定的时间开启。</w:t>
      </w:r>
    </w:p>
    <w:p w14:paraId="34983325">
      <w:pPr>
        <w:spacing w:line="390" w:lineRule="exact"/>
        <w:ind w:firstLine="480" w:firstLineChars="2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15.2响应文件解密</w:t>
      </w:r>
    </w:p>
    <w:p w14:paraId="609AE86F">
      <w:pPr>
        <w:spacing w:line="39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采购代理机构将在“供应商须知前附表”规定的时间通过电子交易平台组织响应文件开启， 采购机构依托电子交易平台发起【开始解密】指令，供应商的法定代表人或其委托代理人须携带加密时所用的 CA 锁按平台提示和采购文件的规定登录到“广西政采云”平台电子开标大厅签到并在发起解密指令之时起 30分钟内完成对电子响应文件在线解密。发起解密指令之时起 5 分钟内供应商还未进行解密的，代理机构要通知供应商，供应商没预留联系方式或预留联系方式无效，导致代理机构无法联系到投标人在发起解密指令之时起 30分钟内完成对电子响应文件在线解密的，均视为无效投标。（解密异常情况处理：详见本章 15.3 电子交易活动的中止。） </w:t>
      </w:r>
    </w:p>
    <w:p w14:paraId="66892FE6">
      <w:pPr>
        <w:spacing w:line="39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如供应商成功解密响应文件，但未在“广西政采云”电子开标大厅参加磋商的，视同认可磋商过程和结果，由此产生的后果由供应商自行负责。参与磋商的供应商不足3 家的，不得继续磋商。</w:t>
      </w:r>
    </w:p>
    <w:p w14:paraId="204998FD">
      <w:pPr>
        <w:spacing w:line="39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15.3电子交易活动的中止</w:t>
      </w:r>
    </w:p>
    <w:p w14:paraId="136914F7">
      <w:pPr>
        <w:spacing w:line="39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采购过程中出现以下情形，导致电子交易平台无法正常运行， 或者无法保证电子交易的公平、公正和安全时，采购机构可中止电子交易活动： </w:t>
      </w:r>
    </w:p>
    <w:p w14:paraId="4B432125">
      <w:pPr>
        <w:spacing w:line="39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（1）电子交易平台发生故障而无法登录访问的； </w:t>
      </w:r>
    </w:p>
    <w:p w14:paraId="3948925D">
      <w:pPr>
        <w:spacing w:line="39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（2）电子交易平台应用或数据库出现错误，不能进行正常操作的； </w:t>
      </w:r>
    </w:p>
    <w:p w14:paraId="3AD168CE">
      <w:pPr>
        <w:spacing w:line="39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（3）电子交易平台发现严重安全漏洞，有潜在泄密危险的； </w:t>
      </w:r>
    </w:p>
    <w:p w14:paraId="049AB5BB">
      <w:pPr>
        <w:spacing w:line="39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（4）病毒发作导致不能进行正常操作的； </w:t>
      </w:r>
    </w:p>
    <w:p w14:paraId="755FA5AB">
      <w:pPr>
        <w:spacing w:line="39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（5）其他无法保证电子交易的公平、公正和安全的情况 </w:t>
      </w:r>
    </w:p>
    <w:p w14:paraId="7A41824D">
      <w:pPr>
        <w:spacing w:line="390" w:lineRule="exact"/>
        <w:ind w:firstLine="480" w:firstLineChars="200"/>
        <w:rPr>
          <w:rFonts w:hint="eastAsia" w:asciiTheme="minorEastAsia" w:hAnsiTheme="minorEastAsia" w:eastAsiaTheme="minorEastAsia" w:cstheme="minorEastAsia"/>
          <w:color w:val="auto"/>
          <w:highlight w:val="none"/>
          <w:lang w:val="en-US"/>
        </w:rPr>
      </w:pPr>
      <w:r>
        <w:rPr>
          <w:rFonts w:hint="eastAsia" w:asciiTheme="minorEastAsia" w:hAnsiTheme="minorEastAsia" w:eastAsiaTheme="minorEastAsia" w:cstheme="minorEastAsia"/>
          <w:color w:val="auto"/>
          <w:sz w:val="24"/>
          <w:szCs w:val="24"/>
          <w:highlight w:val="none"/>
          <w:lang w:val="en-US" w:eastAsia="zh-CN"/>
        </w:rPr>
        <w:t>15.4 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监管部门备案。</w:t>
      </w:r>
    </w:p>
    <w:p w14:paraId="383AE324">
      <w:pPr>
        <w:spacing w:line="390" w:lineRule="exact"/>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rPr>
        <w:t>1</w:t>
      </w:r>
      <w:r>
        <w:rPr>
          <w:rFonts w:hint="eastAsia" w:asciiTheme="minorEastAsia" w:hAnsiTheme="minorEastAsia" w:eastAsiaTheme="minorEastAsia" w:cstheme="minorEastAsia"/>
          <w:b/>
          <w:bCs/>
          <w:color w:val="auto"/>
          <w:sz w:val="24"/>
          <w:szCs w:val="24"/>
          <w:highlight w:val="none"/>
          <w:lang w:val="en-US" w:eastAsia="zh-CN"/>
        </w:rPr>
        <w:t>6</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磋商</w:t>
      </w:r>
    </w:p>
    <w:p w14:paraId="319C50EB">
      <w:pPr>
        <w:spacing w:line="400" w:lineRule="exact"/>
        <w:ind w:left="239" w:leftChars="114"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6.1</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时间及地点：截标后为与</w:t>
      </w:r>
      <w:r>
        <w:rPr>
          <w:rFonts w:hint="eastAsia" w:asciiTheme="minorEastAsia" w:hAnsiTheme="minorEastAsia" w:eastAsiaTheme="minorEastAsia" w:cstheme="minorEastAsia"/>
          <w:color w:val="auto"/>
          <w:sz w:val="24"/>
          <w:szCs w:val="24"/>
          <w:highlight w:val="none"/>
          <w:lang w:eastAsia="zh-CN"/>
        </w:rPr>
        <w:t>磋商供应商</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时间</w:t>
      </w:r>
      <w:r>
        <w:rPr>
          <w:rFonts w:hint="eastAsia" w:asciiTheme="minorEastAsia" w:hAnsiTheme="minorEastAsia" w:eastAsiaTheme="minorEastAsia" w:cstheme="minorEastAsia"/>
          <w:color w:val="FF0000"/>
          <w:sz w:val="24"/>
          <w:szCs w:val="24"/>
          <w:highlight w:val="none"/>
          <w:lang w:eastAsia="zh-CN"/>
        </w:rPr>
        <w:t>：</w:t>
      </w:r>
      <w:r>
        <w:rPr>
          <w:rFonts w:hint="eastAsia" w:asciiTheme="minorEastAsia" w:hAnsiTheme="minorEastAsia" w:eastAsiaTheme="minorEastAsia" w:cstheme="minorEastAsia"/>
          <w:color w:val="auto"/>
          <w:sz w:val="24"/>
          <w:szCs w:val="24"/>
          <w:highlight w:val="none"/>
          <w:lang w:eastAsia="zh-CN"/>
        </w:rPr>
        <w:t>202</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eastAsia="zh-CN"/>
        </w:rPr>
        <w:t>年</w:t>
      </w:r>
      <w:r>
        <w:rPr>
          <w:rFonts w:hint="eastAsia" w:asciiTheme="minorEastAsia" w:hAnsiTheme="minorEastAsia" w:eastAsiaTheme="minorEastAsia" w:cstheme="minorEastAsia"/>
          <w:color w:val="auto"/>
          <w:sz w:val="24"/>
          <w:szCs w:val="24"/>
          <w:highlight w:val="none"/>
          <w:lang w:val="en-US" w:eastAsia="zh-CN"/>
        </w:rPr>
        <w:t>06</w:t>
      </w:r>
      <w:r>
        <w:rPr>
          <w:rFonts w:hint="eastAsia" w:asciiTheme="minorEastAsia" w:hAnsiTheme="minorEastAsia" w:eastAsiaTheme="minorEastAsia" w:cstheme="minorEastAsia"/>
          <w:color w:val="auto"/>
          <w:sz w:val="24"/>
          <w:szCs w:val="24"/>
          <w:highlight w:val="none"/>
          <w:lang w:eastAsia="zh-CN"/>
        </w:rPr>
        <w:t>月</w:t>
      </w:r>
      <w:r>
        <w:rPr>
          <w:rFonts w:hint="eastAsia" w:asciiTheme="minorEastAsia" w:hAnsiTheme="minorEastAsia" w:eastAsiaTheme="minorEastAsia" w:cstheme="minorEastAsia"/>
          <w:color w:val="auto"/>
          <w:sz w:val="24"/>
          <w:szCs w:val="24"/>
          <w:highlight w:val="none"/>
          <w:lang w:val="en-US" w:eastAsia="zh-CN"/>
        </w:rPr>
        <w:t>05</w:t>
      </w:r>
      <w:r>
        <w:rPr>
          <w:rFonts w:hint="eastAsia" w:asciiTheme="minorEastAsia" w:hAnsiTheme="minorEastAsia" w:eastAsiaTheme="minorEastAsia" w:cstheme="minorEastAsia"/>
          <w:color w:val="auto"/>
          <w:sz w:val="24"/>
          <w:szCs w:val="24"/>
          <w:highlight w:val="none"/>
          <w:lang w:eastAsia="zh-CN"/>
        </w:rPr>
        <w:t>日</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lang w:eastAsia="zh-CN"/>
        </w:rPr>
        <w:t>时</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lang w:eastAsia="zh-CN"/>
        </w:rPr>
        <w:t>0分</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地点为“</w:t>
      </w:r>
      <w:r>
        <w:rPr>
          <w:rFonts w:hint="eastAsia" w:asciiTheme="minorEastAsia" w:hAnsiTheme="minorEastAsia" w:eastAsiaTheme="minorEastAsia" w:cstheme="minorEastAsia"/>
          <w:color w:val="auto"/>
          <w:sz w:val="24"/>
          <w:szCs w:val="24"/>
          <w:highlight w:val="none"/>
          <w:lang w:eastAsia="zh-CN"/>
        </w:rPr>
        <w:t>广西政采云</w:t>
      </w:r>
      <w:r>
        <w:rPr>
          <w:rFonts w:hint="eastAsia" w:asciiTheme="minorEastAsia" w:hAnsiTheme="minorEastAsia" w:eastAsiaTheme="minorEastAsia" w:cstheme="minorEastAsia"/>
          <w:color w:val="auto"/>
          <w:sz w:val="24"/>
          <w:szCs w:val="24"/>
          <w:highlight w:val="none"/>
        </w:rPr>
        <w:t>”平台电子开标大厅</w:t>
      </w:r>
      <w:r>
        <w:rPr>
          <w:rFonts w:hint="eastAsia" w:asciiTheme="minorEastAsia" w:hAnsiTheme="minorEastAsia" w:eastAsiaTheme="minorEastAsia" w:cstheme="minorEastAsia"/>
          <w:color w:val="auto"/>
          <w:sz w:val="24"/>
          <w:szCs w:val="24"/>
          <w:highlight w:val="none"/>
          <w:lang w:eastAsia="zh-CN"/>
        </w:rPr>
        <w:t>。</w:t>
      </w:r>
    </w:p>
    <w:p w14:paraId="5E899C7A">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6.2</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根据要求</w:t>
      </w:r>
      <w:r>
        <w:rPr>
          <w:rFonts w:hint="eastAsia" w:asciiTheme="minorEastAsia" w:hAnsiTheme="minorEastAsia" w:eastAsiaTheme="minorEastAsia" w:cstheme="minorEastAsia"/>
          <w:color w:val="auto"/>
          <w:sz w:val="24"/>
          <w:szCs w:val="24"/>
          <w:highlight w:val="none"/>
          <w:lang w:eastAsia="zh-CN"/>
        </w:rPr>
        <w:t>依法</w:t>
      </w:r>
      <w:r>
        <w:rPr>
          <w:rFonts w:hint="eastAsia" w:asciiTheme="minorEastAsia" w:hAnsiTheme="minorEastAsia" w:eastAsiaTheme="minorEastAsia" w:cstheme="minorEastAsia"/>
          <w:color w:val="auto"/>
          <w:sz w:val="24"/>
          <w:szCs w:val="24"/>
          <w:highlight w:val="none"/>
        </w:rPr>
        <w:t>组建竞争性磋商小组（以下简称磋商小组），磋商小组由采购人代表和评审专家共三人以上（含三人）单数组成，其中评审专家人数不少于磋商小组成员总数的2/3。评审专家</w:t>
      </w:r>
      <w:r>
        <w:rPr>
          <w:rFonts w:hint="eastAsia" w:asciiTheme="minorEastAsia" w:hAnsiTheme="minorEastAsia" w:eastAsiaTheme="minorEastAsia" w:cstheme="minorEastAsia"/>
          <w:color w:val="auto"/>
          <w:sz w:val="24"/>
          <w:szCs w:val="24"/>
          <w:highlight w:val="none"/>
          <w:lang w:val="en-US" w:eastAsia="zh-CN"/>
        </w:rPr>
        <w:t>由采购代理机构在广西政采云平台广西评审专家库内</w:t>
      </w:r>
      <w:r>
        <w:rPr>
          <w:rFonts w:hint="eastAsia" w:asciiTheme="minorEastAsia" w:hAnsiTheme="minorEastAsia" w:eastAsiaTheme="minorEastAsia" w:cstheme="minorEastAsia"/>
          <w:color w:val="auto"/>
          <w:sz w:val="24"/>
          <w:szCs w:val="24"/>
          <w:highlight w:val="none"/>
        </w:rPr>
        <w:t>相关专业技术、经济等方面的专家名单中随机抽取。</w:t>
      </w:r>
    </w:p>
    <w:p w14:paraId="36790815">
      <w:pPr>
        <w:pStyle w:val="15"/>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6.3</w:t>
      </w:r>
      <w:r>
        <w:rPr>
          <w:rFonts w:hint="eastAsia" w:asciiTheme="minorEastAsia" w:hAnsiTheme="minorEastAsia" w:eastAsiaTheme="minorEastAsia" w:cstheme="minorEastAsia"/>
          <w:color w:val="auto"/>
          <w:sz w:val="24"/>
          <w:szCs w:val="24"/>
          <w:highlight w:val="none"/>
        </w:rPr>
        <w:t>评审专家应当遵守评审工作纪律，不得泄露评审情况和评审中获悉的商业秘密。</w:t>
      </w:r>
    </w:p>
    <w:p w14:paraId="331ABC9F">
      <w:pPr>
        <w:spacing w:line="39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6.4</w:t>
      </w:r>
      <w:r>
        <w:rPr>
          <w:rFonts w:hint="eastAsia" w:asciiTheme="minorEastAsia" w:hAnsiTheme="minorEastAsia" w:eastAsiaTheme="minorEastAsia" w:cstheme="minorEastAsia"/>
          <w:color w:val="auto"/>
          <w:sz w:val="24"/>
          <w:szCs w:val="24"/>
          <w:highlight w:val="none"/>
        </w:rPr>
        <w:t>磋商小组成员应当按照客观、公正、审慎的原则，根据磋商文件规定的评审程序、评审方法和评审标准进行独立评审</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在整个</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过程中，</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小组将负责对全部</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进行审查、</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及评标工作。</w:t>
      </w:r>
    </w:p>
    <w:p w14:paraId="27F2D3C5">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6.5</w:t>
      </w:r>
      <w:r>
        <w:rPr>
          <w:rFonts w:hint="eastAsia" w:asciiTheme="minorEastAsia" w:hAnsiTheme="minorEastAsia" w:eastAsiaTheme="minorEastAsia" w:cstheme="minorEastAsia"/>
          <w:color w:val="auto"/>
          <w:sz w:val="24"/>
          <w:szCs w:val="24"/>
          <w:highlight w:val="none"/>
        </w:rPr>
        <w:t>采购代理机构将</w:t>
      </w:r>
      <w:r>
        <w:rPr>
          <w:rFonts w:hint="eastAsia" w:asciiTheme="minorEastAsia" w:hAnsiTheme="minorEastAsia" w:eastAsiaTheme="minorEastAsia" w:cstheme="minorEastAsia"/>
          <w:color w:val="auto"/>
          <w:sz w:val="24"/>
          <w:szCs w:val="24"/>
          <w:highlight w:val="none"/>
          <w:lang w:val="en-US" w:eastAsia="zh-CN"/>
        </w:rPr>
        <w:t xml:space="preserve">按照提交首次响应文件的顺序在线上通知，通知磋商时，若某供应商不在通知现场时，该供应商排序到最后磋商，按照签到的顺序由其下一位供应商先参与磋商。 </w:t>
      </w:r>
    </w:p>
    <w:p w14:paraId="3D56B4F0">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6.6</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的内容包括技术性条件、商务性条件以及</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小组认为需要</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的内容。当</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有实质性变动的，</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小组以</w:t>
      </w:r>
      <w:r>
        <w:rPr>
          <w:rFonts w:hint="eastAsia" w:asciiTheme="minorEastAsia" w:hAnsiTheme="minorEastAsia" w:eastAsiaTheme="minorEastAsia" w:cstheme="minorEastAsia"/>
          <w:color w:val="auto"/>
          <w:sz w:val="24"/>
          <w:szCs w:val="24"/>
          <w:highlight w:val="none"/>
          <w:lang w:val="en-US" w:eastAsia="zh-CN"/>
        </w:rPr>
        <w:t>在线询标</w:t>
      </w:r>
      <w:r>
        <w:rPr>
          <w:rFonts w:hint="eastAsia" w:asciiTheme="minorEastAsia" w:hAnsiTheme="minorEastAsia" w:eastAsiaTheme="minorEastAsia" w:cstheme="minorEastAsia"/>
          <w:color w:val="auto"/>
          <w:sz w:val="24"/>
          <w:szCs w:val="24"/>
          <w:highlight w:val="none"/>
        </w:rPr>
        <w:t>通知所有参加</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eastAsia="zh-CN"/>
        </w:rPr>
        <w:t>磋商供应商</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磋商供应商</w:t>
      </w:r>
      <w:r>
        <w:rPr>
          <w:rFonts w:hint="eastAsia" w:asciiTheme="minorEastAsia" w:hAnsiTheme="minorEastAsia" w:eastAsiaTheme="minorEastAsia" w:cstheme="minorEastAsia"/>
          <w:color w:val="auto"/>
          <w:sz w:val="24"/>
          <w:szCs w:val="24"/>
          <w:highlight w:val="none"/>
          <w:lang w:val="en-US" w:eastAsia="zh-CN"/>
        </w:rPr>
        <w:t>应在规定的地点、时间内在线回复询标函。</w:t>
      </w:r>
      <w:r>
        <w:rPr>
          <w:rFonts w:hint="eastAsia" w:asciiTheme="minorEastAsia" w:hAnsiTheme="minorEastAsia" w:eastAsiaTheme="minorEastAsia" w:cstheme="minorEastAsia"/>
          <w:color w:val="auto"/>
          <w:sz w:val="24"/>
          <w:szCs w:val="24"/>
          <w:highlight w:val="none"/>
          <w:lang w:eastAsia="zh-CN"/>
        </w:rPr>
        <w:t>磋商供应商</w:t>
      </w:r>
      <w:r>
        <w:rPr>
          <w:rFonts w:hint="eastAsia" w:asciiTheme="minorEastAsia" w:hAnsiTheme="minorEastAsia" w:eastAsiaTheme="minorEastAsia" w:cstheme="minorEastAsia"/>
          <w:color w:val="auto"/>
          <w:sz w:val="24"/>
          <w:szCs w:val="24"/>
          <w:highlight w:val="none"/>
        </w:rPr>
        <w:t>就商务和技术条件作出的包含补充、修改、承诺、重新报价等内容的</w:t>
      </w:r>
      <w:r>
        <w:rPr>
          <w:rFonts w:hint="eastAsia" w:asciiTheme="minorEastAsia" w:hAnsiTheme="minorEastAsia" w:eastAsiaTheme="minorEastAsia" w:cstheme="minorEastAsia"/>
          <w:color w:val="auto"/>
          <w:sz w:val="24"/>
          <w:szCs w:val="24"/>
          <w:highlight w:val="none"/>
          <w:lang w:val="en-US" w:eastAsia="zh-CN"/>
        </w:rPr>
        <w:t>询标回复函或第二轮报价</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询标回复函</w:t>
      </w:r>
      <w:r>
        <w:rPr>
          <w:rFonts w:hint="eastAsia" w:asciiTheme="minorEastAsia" w:hAnsiTheme="minorEastAsia" w:eastAsiaTheme="minorEastAsia" w:cstheme="minorEastAsia"/>
          <w:color w:val="auto"/>
          <w:sz w:val="24"/>
          <w:szCs w:val="24"/>
          <w:highlight w:val="none"/>
        </w:rPr>
        <w:t>必须由</w:t>
      </w:r>
      <w:r>
        <w:rPr>
          <w:rFonts w:hint="eastAsia" w:asciiTheme="minorEastAsia" w:hAnsiTheme="minorEastAsia" w:eastAsiaTheme="minorEastAsia" w:cstheme="minorEastAsia"/>
          <w:color w:val="auto"/>
          <w:sz w:val="24"/>
          <w:szCs w:val="24"/>
          <w:highlight w:val="none"/>
          <w:lang w:eastAsia="zh-CN"/>
        </w:rPr>
        <w:t>磋商供应商</w:t>
      </w:r>
      <w:r>
        <w:rPr>
          <w:rFonts w:hint="eastAsia" w:asciiTheme="minorEastAsia" w:hAnsiTheme="minorEastAsia" w:eastAsiaTheme="minorEastAsia" w:cstheme="minorEastAsia"/>
          <w:color w:val="auto"/>
          <w:sz w:val="24"/>
          <w:szCs w:val="24"/>
          <w:highlight w:val="none"/>
        </w:rPr>
        <w:t>的法定代表人或委托代理人签名或盖</w:t>
      </w:r>
      <w:r>
        <w:rPr>
          <w:rFonts w:hint="eastAsia" w:asciiTheme="minorEastAsia" w:hAnsiTheme="minorEastAsia" w:eastAsiaTheme="minorEastAsia" w:cstheme="minorEastAsia"/>
          <w:color w:val="auto"/>
          <w:sz w:val="24"/>
          <w:szCs w:val="24"/>
          <w:highlight w:val="none"/>
          <w:lang w:val="en-US" w:eastAsia="zh-CN"/>
        </w:rPr>
        <w:t>电子</w:t>
      </w:r>
      <w:r>
        <w:rPr>
          <w:rFonts w:hint="eastAsia" w:asciiTheme="minorEastAsia" w:hAnsiTheme="minorEastAsia" w:eastAsiaTheme="minorEastAsia" w:cstheme="minorEastAsia"/>
          <w:color w:val="auto"/>
          <w:sz w:val="24"/>
          <w:szCs w:val="24"/>
          <w:highlight w:val="none"/>
        </w:rPr>
        <w:t>公章，</w:t>
      </w:r>
      <w:r>
        <w:rPr>
          <w:rFonts w:hint="eastAsia" w:asciiTheme="minorEastAsia" w:hAnsiTheme="minorEastAsia" w:eastAsiaTheme="minorEastAsia" w:cstheme="minorEastAsia"/>
          <w:color w:val="auto"/>
          <w:sz w:val="24"/>
          <w:szCs w:val="24"/>
          <w:highlight w:val="none"/>
          <w:lang w:val="en-US" w:eastAsia="zh-CN"/>
        </w:rPr>
        <w:t>询标回复函</w:t>
      </w:r>
      <w:r>
        <w:rPr>
          <w:rFonts w:hint="eastAsia" w:asciiTheme="minorEastAsia" w:hAnsiTheme="minorEastAsia" w:eastAsiaTheme="minorEastAsia" w:cstheme="minorEastAsia"/>
          <w:color w:val="auto"/>
          <w:sz w:val="24"/>
          <w:szCs w:val="24"/>
          <w:highlight w:val="none"/>
        </w:rPr>
        <w:t>构成</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的一部分。</w:t>
      </w:r>
    </w:p>
    <w:p w14:paraId="63F85C3B">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6.7</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小组对各</w:t>
      </w:r>
      <w:r>
        <w:rPr>
          <w:rFonts w:hint="eastAsia" w:asciiTheme="minorEastAsia" w:hAnsiTheme="minorEastAsia" w:eastAsiaTheme="minorEastAsia" w:cstheme="minorEastAsia"/>
          <w:color w:val="auto"/>
          <w:sz w:val="24"/>
          <w:szCs w:val="24"/>
          <w:highlight w:val="none"/>
          <w:lang w:eastAsia="zh-CN"/>
        </w:rPr>
        <w:t>磋商供应商</w:t>
      </w:r>
      <w:r>
        <w:rPr>
          <w:rFonts w:hint="eastAsia" w:asciiTheme="minorEastAsia" w:hAnsiTheme="minorEastAsia" w:eastAsiaTheme="minorEastAsia" w:cstheme="minorEastAsia"/>
          <w:color w:val="auto"/>
          <w:sz w:val="24"/>
          <w:szCs w:val="24"/>
          <w:highlight w:val="none"/>
        </w:rPr>
        <w:t>递交的</w:t>
      </w:r>
      <w:r>
        <w:rPr>
          <w:rFonts w:hint="eastAsia" w:asciiTheme="minorEastAsia" w:hAnsiTheme="minorEastAsia" w:eastAsiaTheme="minorEastAsia" w:cstheme="minorEastAsia"/>
          <w:color w:val="auto"/>
          <w:sz w:val="24"/>
          <w:szCs w:val="24"/>
          <w:highlight w:val="none"/>
          <w:lang w:val="en-US" w:eastAsia="zh-CN"/>
        </w:rPr>
        <w:t>询标回复函或响应文件</w:t>
      </w:r>
      <w:r>
        <w:rPr>
          <w:rFonts w:hint="eastAsia" w:asciiTheme="minorEastAsia" w:hAnsiTheme="minorEastAsia" w:eastAsiaTheme="minorEastAsia" w:cstheme="minorEastAsia"/>
          <w:color w:val="auto"/>
          <w:sz w:val="24"/>
          <w:szCs w:val="24"/>
          <w:highlight w:val="none"/>
        </w:rPr>
        <w:t>统一开启，并进行评审后，认为有必要再次进行</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的，可再次与</w:t>
      </w:r>
      <w:r>
        <w:rPr>
          <w:rFonts w:hint="eastAsia" w:asciiTheme="minorEastAsia" w:hAnsiTheme="minorEastAsia" w:eastAsiaTheme="minorEastAsia" w:cstheme="minorEastAsia"/>
          <w:color w:val="auto"/>
          <w:sz w:val="24"/>
          <w:szCs w:val="24"/>
          <w:highlight w:val="none"/>
          <w:lang w:eastAsia="zh-CN"/>
        </w:rPr>
        <w:t>磋商供应商</w:t>
      </w:r>
      <w:r>
        <w:rPr>
          <w:rFonts w:hint="eastAsia" w:asciiTheme="minorEastAsia" w:hAnsiTheme="minorEastAsia" w:eastAsiaTheme="minorEastAsia" w:cstheme="minorEastAsia"/>
          <w:color w:val="auto"/>
          <w:sz w:val="24"/>
          <w:szCs w:val="24"/>
          <w:highlight w:val="none"/>
        </w:rPr>
        <w:t>进行</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程序和要求按本须知1</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规定执行，直至</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小组认为没有必要再进行</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方可结束。对最后一轮</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小组应明确告知</w:t>
      </w:r>
      <w:r>
        <w:rPr>
          <w:rFonts w:hint="eastAsia" w:asciiTheme="minorEastAsia" w:hAnsiTheme="minorEastAsia" w:eastAsiaTheme="minorEastAsia" w:cstheme="minorEastAsia"/>
          <w:color w:val="auto"/>
          <w:sz w:val="24"/>
          <w:szCs w:val="24"/>
          <w:highlight w:val="none"/>
          <w:lang w:eastAsia="zh-CN"/>
        </w:rPr>
        <w:t>磋商供应商</w:t>
      </w:r>
      <w:r>
        <w:rPr>
          <w:rFonts w:hint="eastAsia" w:asciiTheme="minorEastAsia" w:hAnsiTheme="minorEastAsia" w:eastAsiaTheme="minorEastAsia" w:cstheme="minorEastAsia"/>
          <w:color w:val="auto"/>
          <w:sz w:val="24"/>
          <w:szCs w:val="24"/>
          <w:highlight w:val="none"/>
        </w:rPr>
        <w:t>，并要求所有</w:t>
      </w:r>
      <w:r>
        <w:rPr>
          <w:rFonts w:hint="eastAsia" w:asciiTheme="minorEastAsia" w:hAnsiTheme="minorEastAsia" w:eastAsiaTheme="minorEastAsia" w:cstheme="minorEastAsia"/>
          <w:color w:val="auto"/>
          <w:sz w:val="24"/>
          <w:szCs w:val="24"/>
          <w:highlight w:val="none"/>
          <w:lang w:eastAsia="zh-CN"/>
        </w:rPr>
        <w:t>磋商供应商</w:t>
      </w:r>
      <w:r>
        <w:rPr>
          <w:rFonts w:hint="eastAsia" w:asciiTheme="minorEastAsia" w:hAnsiTheme="minorEastAsia" w:eastAsiaTheme="minorEastAsia" w:cstheme="minorEastAsia"/>
          <w:color w:val="auto"/>
          <w:sz w:val="24"/>
          <w:szCs w:val="24"/>
          <w:highlight w:val="none"/>
        </w:rPr>
        <w:t>在规定的时间、地点以</w:t>
      </w:r>
      <w:r>
        <w:rPr>
          <w:rFonts w:hint="eastAsia" w:asciiTheme="minorEastAsia" w:hAnsiTheme="minorEastAsia" w:eastAsiaTheme="minorEastAsia" w:cstheme="minorEastAsia"/>
          <w:color w:val="auto"/>
          <w:sz w:val="24"/>
          <w:szCs w:val="24"/>
          <w:highlight w:val="none"/>
          <w:lang w:val="en-US" w:eastAsia="zh-CN"/>
        </w:rPr>
        <w:t>在线回复</w:t>
      </w:r>
      <w:r>
        <w:rPr>
          <w:rFonts w:hint="eastAsia" w:asciiTheme="minorEastAsia" w:hAnsiTheme="minorEastAsia" w:eastAsiaTheme="minorEastAsia" w:cstheme="minorEastAsia"/>
          <w:color w:val="auto"/>
          <w:sz w:val="24"/>
          <w:szCs w:val="24"/>
          <w:highlight w:val="none"/>
        </w:rPr>
        <w:t>形式递交最终的</w:t>
      </w:r>
      <w:r>
        <w:rPr>
          <w:rFonts w:hint="eastAsia" w:asciiTheme="minorEastAsia" w:hAnsiTheme="minorEastAsia" w:eastAsiaTheme="minorEastAsia" w:cstheme="minorEastAsia"/>
          <w:color w:val="auto"/>
          <w:sz w:val="24"/>
          <w:szCs w:val="24"/>
          <w:highlight w:val="none"/>
          <w:lang w:val="en-US" w:eastAsia="zh-CN"/>
        </w:rPr>
        <w:t>询标回复函</w:t>
      </w:r>
      <w:r>
        <w:rPr>
          <w:rFonts w:hint="eastAsia" w:asciiTheme="minorEastAsia" w:hAnsiTheme="minorEastAsia" w:eastAsiaTheme="minorEastAsia" w:cstheme="minorEastAsia"/>
          <w:color w:val="auto"/>
          <w:sz w:val="24"/>
          <w:szCs w:val="24"/>
          <w:highlight w:val="none"/>
        </w:rPr>
        <w:t>。</w:t>
      </w:r>
    </w:p>
    <w:p w14:paraId="22A6A47D">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6.8</w:t>
      </w:r>
      <w:r>
        <w:rPr>
          <w:rFonts w:hint="eastAsia" w:asciiTheme="minorEastAsia" w:hAnsiTheme="minorEastAsia" w:eastAsiaTheme="minorEastAsia" w:cstheme="minorEastAsia"/>
          <w:color w:val="auto"/>
          <w:sz w:val="24"/>
          <w:szCs w:val="24"/>
          <w:highlight w:val="none"/>
        </w:rPr>
        <w:t>最终</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结束后，</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小组不得再与</w:t>
      </w:r>
      <w:r>
        <w:rPr>
          <w:rFonts w:hint="eastAsia" w:asciiTheme="minorEastAsia" w:hAnsiTheme="minorEastAsia" w:eastAsiaTheme="minorEastAsia" w:cstheme="minorEastAsia"/>
          <w:color w:val="auto"/>
          <w:sz w:val="24"/>
          <w:szCs w:val="24"/>
          <w:highlight w:val="none"/>
          <w:lang w:eastAsia="zh-CN"/>
        </w:rPr>
        <w:t>磋商供应商</w:t>
      </w:r>
      <w:r>
        <w:rPr>
          <w:rFonts w:hint="eastAsia" w:asciiTheme="minorEastAsia" w:hAnsiTheme="minorEastAsia" w:eastAsiaTheme="minorEastAsia" w:cstheme="minorEastAsia"/>
          <w:color w:val="auto"/>
          <w:sz w:val="24"/>
          <w:szCs w:val="24"/>
          <w:highlight w:val="none"/>
        </w:rPr>
        <w:t>进行任何形式的商谈。</w:t>
      </w:r>
    </w:p>
    <w:p w14:paraId="179BF688">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6.9</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的任何一方不得透露与</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有关的其他</w:t>
      </w:r>
      <w:r>
        <w:rPr>
          <w:rFonts w:hint="eastAsia" w:asciiTheme="minorEastAsia" w:hAnsiTheme="minorEastAsia" w:eastAsiaTheme="minorEastAsia" w:cstheme="minorEastAsia"/>
          <w:color w:val="auto"/>
          <w:sz w:val="24"/>
          <w:szCs w:val="24"/>
          <w:highlight w:val="none"/>
          <w:lang w:eastAsia="zh-CN"/>
        </w:rPr>
        <w:t>磋商供应商</w:t>
      </w:r>
      <w:r>
        <w:rPr>
          <w:rFonts w:hint="eastAsia" w:asciiTheme="minorEastAsia" w:hAnsiTheme="minorEastAsia" w:eastAsiaTheme="minorEastAsia" w:cstheme="minorEastAsia"/>
          <w:color w:val="auto"/>
          <w:sz w:val="24"/>
          <w:szCs w:val="24"/>
          <w:highlight w:val="none"/>
        </w:rPr>
        <w:t>的技术资料、价格和其他信息。</w:t>
      </w:r>
    </w:p>
    <w:p w14:paraId="1BC5C190">
      <w:pPr>
        <w:spacing w:line="39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w:t>
      </w:r>
      <w:r>
        <w:rPr>
          <w:rFonts w:hint="eastAsia" w:asciiTheme="minorEastAsia" w:hAnsiTheme="minorEastAsia" w:eastAsiaTheme="minorEastAsia" w:cstheme="minorEastAsia"/>
          <w:b/>
          <w:bCs/>
          <w:color w:val="auto"/>
          <w:sz w:val="24"/>
          <w:szCs w:val="24"/>
          <w:highlight w:val="none"/>
          <w:lang w:val="en-US" w:eastAsia="zh-CN"/>
        </w:rPr>
        <w:t>7</w:t>
      </w:r>
      <w:r>
        <w:rPr>
          <w:rFonts w:hint="eastAsia" w:asciiTheme="minorEastAsia" w:hAnsiTheme="minorEastAsia" w:eastAsiaTheme="minorEastAsia" w:cstheme="minorEastAsia"/>
          <w:b/>
          <w:bCs/>
          <w:color w:val="auto"/>
          <w:sz w:val="24"/>
          <w:szCs w:val="24"/>
          <w:highlight w:val="none"/>
        </w:rPr>
        <w:t>、评标</w:t>
      </w:r>
    </w:p>
    <w:p w14:paraId="0C9136D3">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.1本采购项目的评标依据为</w:t>
      </w:r>
      <w:r>
        <w:rPr>
          <w:rFonts w:hint="eastAsia" w:asciiTheme="minorEastAsia" w:hAnsiTheme="minorEastAsia" w:eastAsiaTheme="minorEastAsia" w:cstheme="minorEastAsia"/>
          <w:color w:val="auto"/>
          <w:sz w:val="24"/>
          <w:szCs w:val="24"/>
          <w:highlight w:val="none"/>
          <w:lang w:eastAsia="zh-CN"/>
        </w:rPr>
        <w:t>《竞争性磋商文件》</w:t>
      </w:r>
      <w:r>
        <w:rPr>
          <w:rFonts w:hint="eastAsia" w:asciiTheme="minorEastAsia" w:hAnsiTheme="minorEastAsia" w:eastAsiaTheme="minorEastAsia" w:cstheme="minorEastAsia"/>
          <w:color w:val="auto"/>
          <w:sz w:val="24"/>
          <w:szCs w:val="24"/>
          <w:highlight w:val="none"/>
        </w:rPr>
        <w:t>和</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w:t>
      </w:r>
    </w:p>
    <w:p w14:paraId="7116D7A3">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.2评标工作将采取</w:t>
      </w:r>
      <w:r>
        <w:rPr>
          <w:rFonts w:hint="eastAsia" w:asciiTheme="minorEastAsia" w:hAnsiTheme="minorEastAsia" w:eastAsiaTheme="minorEastAsia" w:cstheme="minorEastAsia"/>
          <w:color w:val="auto"/>
          <w:sz w:val="24"/>
          <w:szCs w:val="24"/>
          <w:highlight w:val="none"/>
          <w:u w:val="single"/>
        </w:rPr>
        <w:t>封闭方式</w:t>
      </w:r>
      <w:r>
        <w:rPr>
          <w:rFonts w:hint="eastAsia" w:asciiTheme="minorEastAsia" w:hAnsiTheme="minorEastAsia" w:eastAsiaTheme="minorEastAsia" w:cstheme="minorEastAsia"/>
          <w:color w:val="auto"/>
          <w:sz w:val="24"/>
          <w:szCs w:val="24"/>
          <w:highlight w:val="none"/>
        </w:rPr>
        <w:t>进行，</w:t>
      </w:r>
      <w:r>
        <w:rPr>
          <w:rFonts w:hint="eastAsia" w:asciiTheme="minorEastAsia" w:hAnsiTheme="minorEastAsia" w:eastAsiaTheme="minorEastAsia" w:cstheme="minorEastAsia"/>
          <w:color w:val="auto"/>
          <w:sz w:val="24"/>
          <w:szCs w:val="24"/>
          <w:highlight w:val="none"/>
          <w:lang w:eastAsia="zh-CN"/>
        </w:rPr>
        <w:t>磋商小组</w:t>
      </w:r>
      <w:r>
        <w:rPr>
          <w:rFonts w:hint="eastAsia" w:asciiTheme="minorEastAsia" w:hAnsiTheme="minorEastAsia" w:eastAsiaTheme="minorEastAsia" w:cstheme="minorEastAsia"/>
          <w:color w:val="auto"/>
          <w:sz w:val="24"/>
          <w:szCs w:val="24"/>
          <w:highlight w:val="none"/>
        </w:rPr>
        <w:t>成员和有关工作人员不得透露对</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的评审、比较和成交人的</w:t>
      </w:r>
      <w:r>
        <w:rPr>
          <w:rFonts w:hint="eastAsia" w:asciiTheme="minorEastAsia" w:hAnsiTheme="minorEastAsia" w:eastAsiaTheme="minorEastAsia" w:cstheme="minorEastAsia"/>
          <w:color w:val="auto"/>
          <w:sz w:val="24"/>
          <w:szCs w:val="24"/>
          <w:highlight w:val="none"/>
          <w:lang w:eastAsia="zh-CN"/>
        </w:rPr>
        <w:t>确定</w:t>
      </w:r>
      <w:r>
        <w:rPr>
          <w:rFonts w:hint="eastAsia" w:asciiTheme="minorEastAsia" w:hAnsiTheme="minorEastAsia" w:eastAsiaTheme="minorEastAsia" w:cstheme="minorEastAsia"/>
          <w:color w:val="auto"/>
          <w:sz w:val="24"/>
          <w:szCs w:val="24"/>
          <w:highlight w:val="none"/>
        </w:rPr>
        <w:t>情况以及与评标有关的其他情况。</w:t>
      </w:r>
    </w:p>
    <w:p w14:paraId="382C474A">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eastAsia="zh-CN"/>
        </w:rPr>
        <w:t>磋商供应商</w:t>
      </w:r>
      <w:r>
        <w:rPr>
          <w:rFonts w:hint="eastAsia" w:asciiTheme="minorEastAsia" w:hAnsiTheme="minorEastAsia" w:eastAsiaTheme="minorEastAsia" w:cstheme="minorEastAsia"/>
          <w:color w:val="auto"/>
          <w:sz w:val="24"/>
          <w:szCs w:val="24"/>
          <w:highlight w:val="none"/>
        </w:rPr>
        <w:t>在评标过程中，所进行的力图影响评标结果公正性的活动，将可能导致其成交资格被取消。</w:t>
      </w:r>
    </w:p>
    <w:p w14:paraId="3D160752">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磋商小组成员按照客观、公正、审慎的原则，根据磋商文件规定的评审程序、评审方法和评审标准进行独立评审。</w:t>
      </w:r>
    </w:p>
    <w:p w14:paraId="609470D7">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17.4</w:t>
      </w:r>
      <w:r>
        <w:rPr>
          <w:rFonts w:hint="eastAsia" w:asciiTheme="minorEastAsia" w:hAnsiTheme="minorEastAsia" w:eastAsiaTheme="minorEastAsia" w:cstheme="minorEastAsia"/>
          <w:color w:val="auto"/>
          <w:sz w:val="24"/>
          <w:szCs w:val="24"/>
          <w:highlight w:val="none"/>
        </w:rPr>
        <w:t>.1响应文件</w:t>
      </w:r>
      <w:r>
        <w:rPr>
          <w:rFonts w:hint="eastAsia" w:asciiTheme="minorEastAsia" w:hAnsiTheme="minorEastAsia" w:eastAsiaTheme="minorEastAsia" w:cstheme="minorEastAsia"/>
          <w:color w:val="auto"/>
          <w:sz w:val="24"/>
          <w:szCs w:val="24"/>
          <w:highlight w:val="none"/>
          <w:lang w:val="en-US" w:eastAsia="zh-CN"/>
        </w:rPr>
        <w:t>线上资格评审</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资格评审</w:t>
      </w:r>
      <w:r>
        <w:rPr>
          <w:rFonts w:hint="eastAsia" w:asciiTheme="minorEastAsia" w:hAnsiTheme="minorEastAsia" w:eastAsiaTheme="minorEastAsia" w:cstheme="minorEastAsia"/>
          <w:color w:val="auto"/>
          <w:sz w:val="24"/>
          <w:szCs w:val="24"/>
          <w:highlight w:val="none"/>
        </w:rPr>
        <w:t>分为资格性审查和符合性审查。</w:t>
      </w:r>
    </w:p>
    <w:p w14:paraId="7EE4DBEA">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 资格性检查。依据法律法规和竞争性磋商文件的规定对响应文件的资质证明、磋商保证金等进行审查，以确定供应商是否具备竞标资格。它所涉及到的主要文件和内容为磋商文件供应商须知第</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条、第1</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条所述的资格证明文件内容和签</w:t>
      </w:r>
      <w:r>
        <w:rPr>
          <w:rFonts w:hint="eastAsia" w:asciiTheme="minorEastAsia" w:hAnsiTheme="minorEastAsia" w:eastAsiaTheme="minorEastAsia" w:cstheme="minorEastAsia"/>
          <w:color w:val="auto"/>
          <w:sz w:val="24"/>
          <w:szCs w:val="24"/>
          <w:highlight w:val="none"/>
          <w:lang w:val="en-US" w:eastAsia="zh-CN"/>
        </w:rPr>
        <w:t>署、盖</w:t>
      </w:r>
      <w:r>
        <w:rPr>
          <w:rFonts w:hint="eastAsia" w:asciiTheme="minorEastAsia" w:hAnsiTheme="minorEastAsia" w:eastAsiaTheme="minorEastAsia" w:cstheme="minorEastAsia"/>
          <w:color w:val="auto"/>
          <w:sz w:val="24"/>
          <w:szCs w:val="24"/>
          <w:highlight w:val="none"/>
        </w:rPr>
        <w:t>章的合格性、合法性等（注：其中信用查询规则见“</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须知前附表”，“</w:t>
      </w:r>
      <w:r>
        <w:rPr>
          <w:rFonts w:hint="eastAsia" w:asciiTheme="minorEastAsia" w:hAnsiTheme="minorEastAsia" w:eastAsiaTheme="minorEastAsia" w:cstheme="minorEastAsia"/>
          <w:color w:val="auto"/>
          <w:sz w:val="24"/>
          <w:szCs w:val="24"/>
          <w:highlight w:val="none"/>
          <w:lang w:eastAsia="zh-CN"/>
        </w:rPr>
        <w:t>广西政采云</w:t>
      </w:r>
      <w:r>
        <w:rPr>
          <w:rFonts w:hint="eastAsia" w:asciiTheme="minorEastAsia" w:hAnsiTheme="minorEastAsia" w:eastAsiaTheme="minorEastAsia" w:cstheme="minorEastAsia"/>
          <w:color w:val="auto"/>
          <w:sz w:val="24"/>
          <w:szCs w:val="24"/>
          <w:highlight w:val="none"/>
        </w:rPr>
        <w:t>”平台已与“信用中国”</w:t>
      </w:r>
      <w:r>
        <w:rPr>
          <w:rFonts w:hint="eastAsia" w:asciiTheme="minorEastAsia" w:hAnsiTheme="minorEastAsia" w:eastAsiaTheme="minorEastAsia" w:cstheme="minorEastAsia"/>
          <w:color w:val="auto"/>
          <w:sz w:val="24"/>
          <w:szCs w:val="24"/>
          <w:highlight w:val="none"/>
          <w:lang w:val="en-US" w:eastAsia="zh-CN"/>
        </w:rPr>
        <w:t>和“中国政府采购网”</w:t>
      </w:r>
      <w:r>
        <w:rPr>
          <w:rFonts w:hint="eastAsia" w:asciiTheme="minorEastAsia" w:hAnsiTheme="minorEastAsia" w:eastAsiaTheme="minorEastAsia" w:cstheme="minorEastAsia"/>
          <w:color w:val="auto"/>
          <w:sz w:val="24"/>
          <w:szCs w:val="24"/>
          <w:highlight w:val="none"/>
        </w:rPr>
        <w:t>平台做接口，</w:t>
      </w:r>
      <w:r>
        <w:rPr>
          <w:rFonts w:hint="eastAsia" w:asciiTheme="minorEastAsia" w:hAnsiTheme="minorEastAsia" w:eastAsiaTheme="minorEastAsia" w:cstheme="minorEastAsia"/>
          <w:color w:val="auto"/>
          <w:sz w:val="24"/>
          <w:szCs w:val="24"/>
          <w:highlight w:val="none"/>
          <w:lang w:val="en-US" w:eastAsia="zh-CN"/>
        </w:rPr>
        <w:t>磋商小组</w:t>
      </w:r>
      <w:r>
        <w:rPr>
          <w:rFonts w:hint="eastAsia" w:asciiTheme="minorEastAsia" w:hAnsiTheme="minorEastAsia" w:eastAsiaTheme="minorEastAsia" w:cstheme="minorEastAsia"/>
          <w:color w:val="auto"/>
          <w:sz w:val="24"/>
          <w:szCs w:val="24"/>
          <w:highlight w:val="none"/>
        </w:rPr>
        <w:t>可直接在线查询）。如果供应商不具备竞标资格，不满足磋商文件所规定的资格标准或提供资格证明文件不全的，其竞标将被拒绝。</w:t>
      </w:r>
    </w:p>
    <w:p w14:paraId="5687CEE2">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 符合性检查。依据磋商文件的规定，从响应文件的有效性、完整性和对磋商文件的响应程度进行审查，以确定是否符合对磋商文件的实质性要求作出响应（采购人可根据具体项目的情况对实质性要求作特别的规定）。实质性偏离是指：(1)实质性影响合同的范围、质量和履行；(2)实质性违背磋商文件，限制了采购人的权利和成交人合同项下的义务；(3)不公正地影响了其它作出实质性响应的供应商的竞争地位。对没有实质性响应的响应文件将不进行评审，其竞标将被拒绝。</w:t>
      </w:r>
    </w:p>
    <w:p w14:paraId="0C7DC304">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 出现下列情况之一的，视为未实质性响应磋商文件的响应文件，按无效响应处理。</w:t>
      </w:r>
    </w:p>
    <w:p w14:paraId="41FBC175">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 响应文件未按本须知第</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条、第</w:t>
      </w:r>
      <w:r>
        <w:rPr>
          <w:rFonts w:hint="eastAsia" w:asciiTheme="minorEastAsia" w:hAnsiTheme="minorEastAsia" w:eastAsiaTheme="minorEastAsia" w:cstheme="minorEastAsia"/>
          <w:color w:val="auto"/>
          <w:sz w:val="24"/>
          <w:szCs w:val="24"/>
          <w:highlight w:val="none"/>
          <w:lang w:val="en-US" w:eastAsia="zh-CN"/>
        </w:rPr>
        <w:t>11</w:t>
      </w:r>
      <w:r>
        <w:rPr>
          <w:rFonts w:hint="eastAsia" w:asciiTheme="minorEastAsia" w:hAnsiTheme="minorEastAsia" w:eastAsiaTheme="minorEastAsia" w:cstheme="minorEastAsia"/>
          <w:color w:val="auto"/>
          <w:sz w:val="24"/>
          <w:szCs w:val="24"/>
          <w:highlight w:val="none"/>
        </w:rPr>
        <w:t>条规定进行编制、签署、盖章的；</w:t>
      </w:r>
    </w:p>
    <w:p w14:paraId="19D037C5">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 未按本须知第</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条规定提交必须提供且有效的证明文件的；</w:t>
      </w:r>
    </w:p>
    <w:p w14:paraId="11AB878D">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 未按有关要求提交或足额提交磋商保证金的；</w:t>
      </w:r>
    </w:p>
    <w:p w14:paraId="72D31D6D">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④ 磋商有效期不满足磋商文件要求的；</w:t>
      </w:r>
    </w:p>
    <w:p w14:paraId="06EB4637">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⑤ 响应文件的关键内容字迹模糊、无法辨认的；</w:t>
      </w:r>
    </w:p>
    <w:p w14:paraId="2B03A820">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⑥供应商提交的是可选择的报价的，或最后报价超过采购预算价的；</w:t>
      </w:r>
    </w:p>
    <w:p w14:paraId="340127B2">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⑦竞标内容与采购内容及要求存在重大偏离或保留的（如严重背离采购需求、合同协议要求等）；</w:t>
      </w:r>
    </w:p>
    <w:p w14:paraId="5EC61CF9">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⑧ 响应文件中提供虚假或失实资料的；</w:t>
      </w:r>
    </w:p>
    <w:p w14:paraId="6FC02054">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⑨ 不符合有关法律、法规和磋商文件中规定的其他实质性条款。</w:t>
      </w:r>
    </w:p>
    <w:p w14:paraId="544E99BD">
      <w:pPr>
        <w:spacing w:line="39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⑩</w:t>
      </w:r>
      <w:r>
        <w:rPr>
          <w:rFonts w:hint="eastAsia" w:asciiTheme="minorEastAsia" w:hAnsiTheme="minorEastAsia" w:eastAsiaTheme="minorEastAsia" w:cstheme="minorEastAsia"/>
          <w:color w:val="auto"/>
          <w:sz w:val="24"/>
          <w:szCs w:val="24"/>
          <w:highlight w:val="none"/>
        </w:rPr>
        <w:t>不同投标人的投标文件由同一单位或者个人编制；或不同投标人报名的IP地址一致的;此类投标供应商将视为无效。</w:t>
      </w:r>
    </w:p>
    <w:p w14:paraId="6CA663BB">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.2澄清有关问题。</w:t>
      </w:r>
    </w:p>
    <w:p w14:paraId="1F59B0BC">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98EC404">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(2)磋商小组要求供应商澄清、说明或者更正响应文件应当以</w:t>
      </w:r>
      <w:r>
        <w:rPr>
          <w:rFonts w:hint="eastAsia" w:asciiTheme="minorEastAsia" w:hAnsiTheme="minorEastAsia" w:eastAsiaTheme="minorEastAsia" w:cstheme="minorEastAsia"/>
          <w:color w:val="auto"/>
          <w:sz w:val="24"/>
          <w:szCs w:val="24"/>
          <w:highlight w:val="none"/>
          <w:lang w:val="en-US" w:eastAsia="zh-CN"/>
        </w:rPr>
        <w:t>在线询标</w:t>
      </w:r>
      <w:r>
        <w:rPr>
          <w:rFonts w:hint="eastAsia" w:asciiTheme="minorEastAsia" w:hAnsiTheme="minorEastAsia" w:eastAsiaTheme="minorEastAsia" w:cstheme="minorEastAsia"/>
          <w:color w:val="auto"/>
          <w:sz w:val="24"/>
          <w:szCs w:val="24"/>
          <w:highlight w:val="none"/>
        </w:rPr>
        <w:t>形式作出。供应商的澄清、说明或者更正应当由法定代表人或委托代理人签名或盖</w:t>
      </w:r>
      <w:r>
        <w:rPr>
          <w:rFonts w:hint="eastAsia" w:asciiTheme="minorEastAsia" w:hAnsiTheme="minorEastAsia" w:eastAsiaTheme="minorEastAsia" w:cstheme="minorEastAsia"/>
          <w:color w:val="auto"/>
          <w:sz w:val="24"/>
          <w:szCs w:val="24"/>
          <w:highlight w:val="none"/>
          <w:lang w:val="en-US" w:eastAsia="zh-CN"/>
        </w:rPr>
        <w:t>电子</w:t>
      </w:r>
      <w:r>
        <w:rPr>
          <w:rFonts w:hint="eastAsia" w:asciiTheme="minorEastAsia" w:hAnsiTheme="minorEastAsia" w:eastAsiaTheme="minorEastAsia" w:cstheme="minorEastAsia"/>
          <w:color w:val="auto"/>
          <w:sz w:val="24"/>
          <w:szCs w:val="24"/>
          <w:highlight w:val="none"/>
        </w:rPr>
        <w:t>公章。由授权代表签字的，应当附法定代表人授权书。</w:t>
      </w:r>
    </w:p>
    <w:p w14:paraId="3422A28E">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(3)响应文件如果出现计算或表达上的错误，修正错误的原则如下：</w:t>
      </w:r>
    </w:p>
    <w:p w14:paraId="17C018BB">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 响应文件中《</w:t>
      </w:r>
      <w:r>
        <w:rPr>
          <w:rFonts w:hint="eastAsia" w:asciiTheme="minorEastAsia" w:hAnsiTheme="minorEastAsia" w:eastAsiaTheme="minorEastAsia" w:cstheme="minorEastAsia"/>
          <w:color w:val="auto"/>
          <w:sz w:val="24"/>
          <w:szCs w:val="24"/>
          <w:highlight w:val="none"/>
          <w:lang w:val="en-US" w:eastAsia="zh-CN"/>
        </w:rPr>
        <w:t>磋商函附录</w:t>
      </w:r>
      <w:r>
        <w:rPr>
          <w:rFonts w:hint="eastAsia" w:asciiTheme="minorEastAsia" w:hAnsiTheme="minorEastAsia" w:eastAsiaTheme="minorEastAsia" w:cstheme="minorEastAsia"/>
          <w:color w:val="auto"/>
          <w:sz w:val="24"/>
          <w:szCs w:val="24"/>
          <w:highlight w:val="none"/>
        </w:rPr>
        <w:t>》与《</w:t>
      </w:r>
      <w:r>
        <w:rPr>
          <w:rFonts w:hint="eastAsia" w:asciiTheme="minorEastAsia" w:hAnsiTheme="minorEastAsia" w:eastAsiaTheme="minorEastAsia" w:cstheme="minorEastAsia"/>
          <w:color w:val="auto"/>
          <w:sz w:val="24"/>
          <w:szCs w:val="24"/>
          <w:highlight w:val="none"/>
          <w:lang w:eastAsia="zh-CN"/>
        </w:rPr>
        <w:t>磋商函</w:t>
      </w:r>
      <w:r>
        <w:rPr>
          <w:rFonts w:hint="eastAsia" w:asciiTheme="minorEastAsia" w:hAnsiTheme="minorEastAsia" w:eastAsiaTheme="minorEastAsia" w:cstheme="minorEastAsia"/>
          <w:color w:val="auto"/>
          <w:sz w:val="24"/>
          <w:szCs w:val="24"/>
          <w:highlight w:val="none"/>
        </w:rPr>
        <w:t>》内容不一致的，以《</w:t>
      </w:r>
      <w:r>
        <w:rPr>
          <w:rFonts w:hint="eastAsia" w:asciiTheme="minorEastAsia" w:hAnsiTheme="minorEastAsia" w:eastAsiaTheme="minorEastAsia" w:cstheme="minorEastAsia"/>
          <w:color w:val="auto"/>
          <w:sz w:val="24"/>
          <w:szCs w:val="24"/>
          <w:highlight w:val="none"/>
          <w:lang w:val="en-US" w:eastAsia="zh-CN"/>
        </w:rPr>
        <w:t>磋商函附录</w:t>
      </w:r>
      <w:r>
        <w:rPr>
          <w:rFonts w:hint="eastAsia" w:asciiTheme="minorEastAsia" w:hAnsiTheme="minorEastAsia" w:eastAsiaTheme="minorEastAsia" w:cstheme="minorEastAsia"/>
          <w:color w:val="auto"/>
          <w:sz w:val="24"/>
          <w:szCs w:val="24"/>
          <w:highlight w:val="none"/>
        </w:rPr>
        <w:t>》为准。</w:t>
      </w:r>
    </w:p>
    <w:p w14:paraId="039FEBA9">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 响应文件的大写金额和小写金额不一致的，以大写金额为准；</w:t>
      </w:r>
    </w:p>
    <w:p w14:paraId="6844B5B7">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 总价金额与按单价汇总金额不一致的，以单价金额计算结果为准；</w:t>
      </w:r>
    </w:p>
    <w:p w14:paraId="569AC03C">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④ 单价金额小数点有明显错位的，应以总价为准，并修改单价；</w:t>
      </w:r>
    </w:p>
    <w:p w14:paraId="151E7469">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⑤ 对不同文字文本响应文件的解释发生异议的，以中文文本为准。</w:t>
      </w:r>
    </w:p>
    <w:p w14:paraId="3A5537E4">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⑥ 按上述修正错误的原则及方法调整或修正响应文件的磋商报价，在供应商确认后，调整后的磋商报价对供应商起约束作用。如果供应商拒绝确认，不接受修正后的价格或报价，则其响应文件将不予评审，其竞标将被拒绝，采购人有权没收其磋商保证金。</w:t>
      </w:r>
    </w:p>
    <w:p w14:paraId="7BC92F43">
      <w:pPr>
        <w:spacing w:line="39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磋商过程。</w:t>
      </w:r>
    </w:p>
    <w:p w14:paraId="5396A316">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(1)磋商小组所有成员集中与单一供应商分别进行磋商（最多三轮），磋商的内容包括技术条件、商务性条件及磋商小组认为需要磋商的内容。</w:t>
      </w:r>
    </w:p>
    <w:p w14:paraId="748475DC">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(2)在磋商过程中，磋商小组可以根据磋商文件和磋商情况实质性变动项目需求中的技术、服务要求以及合同草案条款，但不得变动磋商文件中的其他内容。实质性变动的内容，须经采购人代表确认。</w:t>
      </w:r>
    </w:p>
    <w:p w14:paraId="7E9C4B2F">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(3)对磋商文件作出的实质性变动是磋商文件的有效组成部分，磋商小组应当及时以</w:t>
      </w:r>
      <w:r>
        <w:rPr>
          <w:rFonts w:hint="eastAsia" w:asciiTheme="minorEastAsia" w:hAnsiTheme="minorEastAsia" w:eastAsiaTheme="minorEastAsia" w:cstheme="minorEastAsia"/>
          <w:color w:val="auto"/>
          <w:sz w:val="24"/>
          <w:szCs w:val="24"/>
          <w:highlight w:val="none"/>
          <w:lang w:val="en-US" w:eastAsia="zh-CN"/>
        </w:rPr>
        <w:t>在线询标/澄清</w:t>
      </w:r>
      <w:r>
        <w:rPr>
          <w:rFonts w:hint="eastAsia" w:asciiTheme="minorEastAsia" w:hAnsiTheme="minorEastAsia" w:eastAsiaTheme="minorEastAsia" w:cstheme="minorEastAsia"/>
          <w:color w:val="auto"/>
          <w:sz w:val="24"/>
          <w:szCs w:val="24"/>
          <w:highlight w:val="none"/>
        </w:rPr>
        <w:t>形式同时通知所有参加磋商的供应商。</w:t>
      </w:r>
    </w:p>
    <w:p w14:paraId="66481EEA">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(4)供应商应当按照磋商文件的变动情况和磋商小组的要求重新提交</w:t>
      </w:r>
      <w:r>
        <w:rPr>
          <w:rFonts w:hint="eastAsia" w:asciiTheme="minorEastAsia" w:hAnsiTheme="minorEastAsia" w:eastAsiaTheme="minorEastAsia" w:cstheme="minorEastAsia"/>
          <w:color w:val="auto"/>
          <w:sz w:val="24"/>
          <w:szCs w:val="24"/>
          <w:highlight w:val="none"/>
          <w:lang w:val="en-US" w:eastAsia="zh-CN"/>
        </w:rPr>
        <w:t>应答</w:t>
      </w:r>
      <w:r>
        <w:rPr>
          <w:rFonts w:hint="eastAsia" w:asciiTheme="minorEastAsia" w:hAnsiTheme="minorEastAsia" w:eastAsiaTheme="minorEastAsia" w:cstheme="minorEastAsia"/>
          <w:color w:val="auto"/>
          <w:sz w:val="24"/>
          <w:szCs w:val="24"/>
          <w:highlight w:val="none"/>
        </w:rPr>
        <w:t>文件，并由其法定代表人或委托代理人签名或盖</w:t>
      </w:r>
      <w:r>
        <w:rPr>
          <w:rFonts w:hint="eastAsia" w:asciiTheme="minorEastAsia" w:hAnsiTheme="minorEastAsia" w:eastAsiaTheme="minorEastAsia" w:cstheme="minorEastAsia"/>
          <w:color w:val="auto"/>
          <w:sz w:val="24"/>
          <w:szCs w:val="24"/>
          <w:highlight w:val="none"/>
          <w:lang w:val="en-US" w:eastAsia="zh-CN"/>
        </w:rPr>
        <w:t>电子</w:t>
      </w:r>
      <w:r>
        <w:rPr>
          <w:rFonts w:hint="eastAsia" w:asciiTheme="minorEastAsia" w:hAnsiTheme="minorEastAsia" w:eastAsiaTheme="minorEastAsia" w:cstheme="minorEastAsia"/>
          <w:color w:val="auto"/>
          <w:sz w:val="24"/>
          <w:szCs w:val="24"/>
          <w:highlight w:val="none"/>
        </w:rPr>
        <w:t>公章。由授权代表签字的，应当附法定代表人授权书。</w:t>
      </w:r>
    </w:p>
    <w:p w14:paraId="4D0BDE6C">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)供应商未在通知的时间内到达现场参加磋商的，或未提交书面说明退出磋商的，或未在规定时间内提交</w:t>
      </w:r>
      <w:r>
        <w:rPr>
          <w:rFonts w:hint="eastAsia" w:asciiTheme="minorEastAsia" w:hAnsiTheme="minorEastAsia" w:eastAsiaTheme="minorEastAsia" w:cstheme="minorEastAsia"/>
          <w:color w:val="auto"/>
          <w:sz w:val="24"/>
          <w:szCs w:val="24"/>
          <w:highlight w:val="none"/>
          <w:lang w:val="en-US" w:eastAsia="zh-CN"/>
        </w:rPr>
        <w:t>在线</w:t>
      </w:r>
      <w:r>
        <w:rPr>
          <w:rFonts w:hint="eastAsia" w:asciiTheme="minorEastAsia" w:hAnsiTheme="minorEastAsia" w:eastAsiaTheme="minorEastAsia" w:cstheme="minorEastAsia"/>
          <w:color w:val="auto"/>
          <w:sz w:val="24"/>
          <w:szCs w:val="24"/>
          <w:highlight w:val="none"/>
        </w:rPr>
        <w:t>应答文件和最后报价的，视为供应商自动放弃磋商。</w:t>
      </w:r>
    </w:p>
    <w:p w14:paraId="5F2D529D">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)最终磋商结束后，磋商小组不得再与供应商进行任何形式的商谈。磋商的任何一方不得透露与磋商有关的其他供应商的技术资料、价格和其他信息。</w:t>
      </w:r>
    </w:p>
    <w:p w14:paraId="5D789A61">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.4磋商小组对竞标人资格性和竞标文件符合性审查。磋商小组只接受通过资格性和符合性审查竞标人在规定时间（10分钟）内进行磋商最终总报价。</w:t>
      </w:r>
    </w:p>
    <w:p w14:paraId="2522ECC6">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.5比较与评价。经磋商确定最终采购需求和提交最后报价的供应商后，由磋商小组采用综合评分法（详见第</w:t>
      </w:r>
      <w:r>
        <w:rPr>
          <w:rFonts w:hint="eastAsia" w:asciiTheme="minorEastAsia" w:hAnsiTheme="minorEastAsia" w:eastAsiaTheme="minorEastAsia" w:cstheme="minorEastAsia"/>
          <w:color w:val="auto"/>
          <w:sz w:val="24"/>
          <w:szCs w:val="24"/>
          <w:highlight w:val="none"/>
          <w:lang w:val="en-US" w:eastAsia="zh-CN"/>
        </w:rPr>
        <w:t>八</w:t>
      </w:r>
      <w:r>
        <w:rPr>
          <w:rFonts w:hint="eastAsia" w:asciiTheme="minorEastAsia" w:hAnsiTheme="minorEastAsia" w:eastAsiaTheme="minorEastAsia" w:cstheme="minorEastAsia"/>
          <w:color w:val="auto"/>
          <w:sz w:val="24"/>
          <w:szCs w:val="24"/>
          <w:highlight w:val="none"/>
        </w:rPr>
        <w:t>章）对提交最后报价的供应商的响应文件和最后报价进行综合评分。</w:t>
      </w:r>
    </w:p>
    <w:p w14:paraId="5559D678">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.6推荐成交候选人名单及编写评审报告。磋商小组根据综合评分情况，按照评分办法的成交标准及成交候选人推荐原则依次推荐成交候选人名单，并根据磋商过程和结果编写评审报告。</w:t>
      </w:r>
    </w:p>
    <w:p w14:paraId="1B913545">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评审会纪律</w:t>
      </w:r>
    </w:p>
    <w:p w14:paraId="4EDF7DBE">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.1评审过程的保密性。磋商小组成员、有关工作人员及其他知情人不得透露对响应文件评审、比较、成交候选人的推荐情况以及与评审有关的其他情况。</w:t>
      </w:r>
    </w:p>
    <w:p w14:paraId="006C508C">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.2在磋商评审期间，供应商试图影响采购人和磋商小组的任何活动，将导致其报价被拒绝，并承担相应的法律责任。</w:t>
      </w:r>
    </w:p>
    <w:p w14:paraId="3F104183">
      <w:pPr>
        <w:pStyle w:val="11"/>
        <w:spacing w:line="40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18</w:t>
      </w:r>
      <w:r>
        <w:rPr>
          <w:rFonts w:hint="eastAsia" w:asciiTheme="minorEastAsia" w:hAnsiTheme="minorEastAsia" w:eastAsiaTheme="minorEastAsia" w:cstheme="minorEastAsia"/>
          <w:b/>
          <w:bCs/>
          <w:color w:val="auto"/>
          <w:sz w:val="24"/>
          <w:szCs w:val="24"/>
          <w:highlight w:val="none"/>
        </w:rPr>
        <w:t>、拒绝接收</w:t>
      </w:r>
    </w:p>
    <w:p w14:paraId="3C248508">
      <w:pPr>
        <w:pStyle w:val="11"/>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18</w:t>
      </w:r>
      <w:r>
        <w:rPr>
          <w:rFonts w:hint="eastAsia" w:asciiTheme="minorEastAsia" w:hAnsiTheme="minorEastAsia" w:eastAsiaTheme="minorEastAsia" w:cstheme="minorEastAsia"/>
          <w:color w:val="auto"/>
          <w:sz w:val="24"/>
          <w:szCs w:val="24"/>
          <w:highlight w:val="none"/>
        </w:rPr>
        <w:t>.1属下列情形之一的，采购机构应当拒绝接收磋商供应商的响应文件：</w:t>
      </w:r>
    </w:p>
    <w:p w14:paraId="38908DAE">
      <w:pPr>
        <w:pStyle w:val="11"/>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（1）在本章第</w:t>
      </w:r>
      <w:r>
        <w:rPr>
          <w:rFonts w:hint="eastAsia" w:asciiTheme="minorEastAsia" w:hAnsiTheme="minorEastAsia" w:eastAsiaTheme="minorEastAsia" w:cstheme="minorEastAsia"/>
          <w:color w:val="auto"/>
          <w:sz w:val="24"/>
          <w:szCs w:val="24"/>
          <w:highlight w:val="none"/>
          <w:lang w:val="en-US" w:eastAsia="zh-CN"/>
        </w:rPr>
        <w:t>14</w:t>
      </w:r>
      <w:r>
        <w:rPr>
          <w:rFonts w:hint="eastAsia" w:asciiTheme="minorEastAsia" w:hAnsiTheme="minorEastAsia" w:eastAsiaTheme="minorEastAsia" w:cstheme="minorEastAsia"/>
          <w:color w:val="auto"/>
          <w:sz w:val="24"/>
          <w:szCs w:val="24"/>
          <w:highlight w:val="none"/>
        </w:rPr>
        <w:t>.1项规定的投标截止时间之后送达的；</w:t>
      </w:r>
    </w:p>
    <w:p w14:paraId="2265C337">
      <w:pPr>
        <w:pStyle w:val="11"/>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（2）未送达至本章第</w:t>
      </w:r>
      <w:r>
        <w:rPr>
          <w:rFonts w:hint="eastAsia" w:asciiTheme="minorEastAsia" w:hAnsiTheme="minorEastAsia" w:eastAsiaTheme="minorEastAsia" w:cstheme="minorEastAsia"/>
          <w:color w:val="auto"/>
          <w:sz w:val="24"/>
          <w:szCs w:val="24"/>
          <w:highlight w:val="none"/>
          <w:lang w:val="en-US" w:eastAsia="zh-CN"/>
        </w:rPr>
        <w:t>14</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项指定的递交响应文件地点的；</w:t>
      </w:r>
    </w:p>
    <w:p w14:paraId="3EDD8479">
      <w:pPr>
        <w:pStyle w:val="37"/>
        <w:spacing w:line="400" w:lineRule="exact"/>
        <w:outlineLvl w:val="3"/>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19</w:t>
      </w:r>
      <w:r>
        <w:rPr>
          <w:rFonts w:hint="eastAsia" w:asciiTheme="minorEastAsia" w:hAnsiTheme="minorEastAsia" w:eastAsiaTheme="minorEastAsia" w:cstheme="minorEastAsia"/>
          <w:b/>
          <w:color w:val="auto"/>
          <w:sz w:val="24"/>
          <w:szCs w:val="24"/>
          <w:highlight w:val="none"/>
        </w:rPr>
        <w:t>、无效的响应文件</w:t>
      </w:r>
    </w:p>
    <w:p w14:paraId="625C5AF9">
      <w:pPr>
        <w:widowControl/>
        <w:spacing w:line="4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19</w:t>
      </w:r>
      <w:r>
        <w:rPr>
          <w:rFonts w:hint="eastAsia" w:asciiTheme="minorEastAsia" w:hAnsiTheme="minorEastAsia" w:eastAsiaTheme="minorEastAsia" w:cstheme="minorEastAsia"/>
          <w:color w:val="auto"/>
          <w:sz w:val="24"/>
          <w:szCs w:val="24"/>
          <w:highlight w:val="none"/>
        </w:rPr>
        <w:t>.1响应文件如有下列情况之一，将会在评标中视为无效文件处理：</w:t>
      </w:r>
    </w:p>
    <w:p w14:paraId="1ED706B5">
      <w:pPr>
        <w:widowControl/>
        <w:numPr>
          <w:ilvl w:val="0"/>
          <w:numId w:val="5"/>
        </w:numPr>
        <w:spacing w:line="400" w:lineRule="exact"/>
        <w:ind w:left="840" w:hanging="42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未按照磋商文件规定要求密封、签署、盖章的；</w:t>
      </w:r>
    </w:p>
    <w:p w14:paraId="233C60AA">
      <w:pPr>
        <w:widowControl/>
        <w:numPr>
          <w:ilvl w:val="0"/>
          <w:numId w:val="5"/>
        </w:numPr>
        <w:spacing w:line="400" w:lineRule="exact"/>
        <w:ind w:left="840" w:hanging="42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不具备磋商文件中规定资格要求的；</w:t>
      </w:r>
    </w:p>
    <w:p w14:paraId="43AEB2E3">
      <w:pPr>
        <w:widowControl/>
        <w:numPr>
          <w:ilvl w:val="0"/>
          <w:numId w:val="5"/>
        </w:numPr>
        <w:spacing w:line="400" w:lineRule="exact"/>
        <w:ind w:left="840" w:hanging="42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未交应交磋商保证金的或未按磋商文件要求缴纳磋商保证金的；</w:t>
      </w:r>
    </w:p>
    <w:p w14:paraId="1219DBA3">
      <w:pPr>
        <w:widowControl/>
        <w:numPr>
          <w:ilvl w:val="0"/>
          <w:numId w:val="5"/>
        </w:numPr>
        <w:spacing w:line="400" w:lineRule="exact"/>
        <w:ind w:left="840" w:hanging="42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磋商供应商报价超出了采购预算价的；</w:t>
      </w:r>
    </w:p>
    <w:p w14:paraId="5FA26B32">
      <w:pPr>
        <w:widowControl/>
        <w:numPr>
          <w:ilvl w:val="0"/>
          <w:numId w:val="5"/>
        </w:numPr>
        <w:spacing w:line="400" w:lineRule="exact"/>
        <w:ind w:left="840" w:hanging="42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不符磋商文件中规定的其它实质性要求并且在磋商规定内时间无法说明和补充的；</w:t>
      </w:r>
    </w:p>
    <w:p w14:paraId="2C324A3D">
      <w:pPr>
        <w:widowControl/>
        <w:numPr>
          <w:ilvl w:val="0"/>
          <w:numId w:val="5"/>
        </w:numPr>
        <w:spacing w:line="400" w:lineRule="exact"/>
        <w:ind w:left="840" w:hanging="42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未按磋商文件中提出实质性要求和条件作出完全响应的；</w:t>
      </w:r>
    </w:p>
    <w:p w14:paraId="39B5BDC0">
      <w:pPr>
        <w:widowControl/>
        <w:numPr>
          <w:ilvl w:val="0"/>
          <w:numId w:val="5"/>
        </w:numPr>
        <w:spacing w:line="400" w:lineRule="exact"/>
        <w:ind w:left="840" w:hanging="42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不同供应商的响应文件由同一单位或者个人编制的；</w:t>
      </w:r>
    </w:p>
    <w:p w14:paraId="681B846F">
      <w:pPr>
        <w:widowControl/>
        <w:numPr>
          <w:ilvl w:val="0"/>
          <w:numId w:val="5"/>
        </w:numPr>
        <w:spacing w:line="400" w:lineRule="exact"/>
        <w:ind w:left="840" w:hanging="42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不同供应商委托同一单位或者个人办理竞标事宜的；</w:t>
      </w:r>
    </w:p>
    <w:p w14:paraId="0AE39FF5">
      <w:pPr>
        <w:widowControl/>
        <w:numPr>
          <w:ilvl w:val="0"/>
          <w:numId w:val="5"/>
        </w:numPr>
        <w:spacing w:line="400" w:lineRule="exact"/>
        <w:ind w:left="840" w:hanging="42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不同供应商的响应文件异常一致或者磋商报价呈规律性差异；</w:t>
      </w:r>
    </w:p>
    <w:p w14:paraId="77232FA5">
      <w:pPr>
        <w:widowControl/>
        <w:numPr>
          <w:ilvl w:val="0"/>
          <w:numId w:val="5"/>
        </w:numPr>
        <w:spacing w:line="400" w:lineRule="exact"/>
        <w:ind w:left="840" w:hanging="42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不同供应商的磋商保证金从同一单位或者个人的</w:t>
      </w:r>
      <w:r>
        <w:rPr>
          <w:rFonts w:hint="eastAsia" w:asciiTheme="minorEastAsia" w:hAnsiTheme="minorEastAsia" w:eastAsiaTheme="minorEastAsia" w:cstheme="minorEastAsia"/>
          <w:bCs/>
          <w:color w:val="auto"/>
          <w:sz w:val="24"/>
          <w:szCs w:val="24"/>
          <w:highlight w:val="none"/>
          <w:lang w:val="en-US" w:eastAsia="zh-CN"/>
        </w:rPr>
        <w:t>银行</w:t>
      </w:r>
      <w:r>
        <w:rPr>
          <w:rFonts w:hint="eastAsia" w:asciiTheme="minorEastAsia" w:hAnsiTheme="minorEastAsia" w:eastAsiaTheme="minorEastAsia" w:cstheme="minorEastAsia"/>
          <w:bCs/>
          <w:color w:val="auto"/>
          <w:sz w:val="24"/>
          <w:szCs w:val="24"/>
          <w:highlight w:val="none"/>
        </w:rPr>
        <w:t>账户转；</w:t>
      </w:r>
    </w:p>
    <w:p w14:paraId="593F924D">
      <w:pPr>
        <w:pStyle w:val="37"/>
        <w:spacing w:line="400" w:lineRule="exact"/>
        <w:outlineLvl w:val="3"/>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20</w:t>
      </w:r>
      <w:r>
        <w:rPr>
          <w:rFonts w:hint="eastAsia" w:asciiTheme="minorEastAsia" w:hAnsiTheme="minorEastAsia" w:eastAsiaTheme="minorEastAsia" w:cstheme="minorEastAsia"/>
          <w:b/>
          <w:color w:val="auto"/>
          <w:sz w:val="24"/>
          <w:szCs w:val="24"/>
          <w:highlight w:val="none"/>
        </w:rPr>
        <w:t>、废标</w:t>
      </w:r>
    </w:p>
    <w:p w14:paraId="01CBD1A0">
      <w:pPr>
        <w:pStyle w:val="11"/>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　　</w:t>
      </w:r>
      <w:r>
        <w:rPr>
          <w:rFonts w:hint="eastAsia" w:asciiTheme="minorEastAsia" w:hAnsiTheme="minorEastAsia" w:eastAsiaTheme="minorEastAsia" w:cstheme="minorEastAsia"/>
          <w:b/>
          <w:bCs/>
          <w:color w:val="auto"/>
          <w:sz w:val="24"/>
          <w:szCs w:val="24"/>
          <w:highlight w:val="none"/>
          <w:lang w:val="en-US" w:eastAsia="zh-CN"/>
        </w:rPr>
        <w:t>20</w:t>
      </w:r>
      <w:r>
        <w:rPr>
          <w:rFonts w:hint="eastAsia" w:asciiTheme="minorEastAsia" w:hAnsiTheme="minorEastAsia" w:eastAsiaTheme="minorEastAsia" w:cstheme="minorEastAsia"/>
          <w:b/>
          <w:bCs/>
          <w:color w:val="auto"/>
          <w:sz w:val="24"/>
          <w:szCs w:val="24"/>
          <w:highlight w:val="none"/>
        </w:rPr>
        <w:t>.1磋商采购项目出现下列情形之一的，采购代理机构将予以废标：</w:t>
      </w:r>
    </w:p>
    <w:p w14:paraId="09D06D33">
      <w:pPr>
        <w:pStyle w:val="11"/>
        <w:spacing w:line="440" w:lineRule="exact"/>
        <w:ind w:firstLine="42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(1)出现影响采购公正的违法、违规行为的；</w:t>
      </w:r>
    </w:p>
    <w:p w14:paraId="56C0BE3E">
      <w:pPr>
        <w:pStyle w:val="11"/>
        <w:spacing w:line="440" w:lineRule="exact"/>
        <w:ind w:firstLine="42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(2)所有服务商的报价均超过了采购预算，采购人不能支付的；</w:t>
      </w:r>
    </w:p>
    <w:p w14:paraId="4349A564">
      <w:pPr>
        <w:pStyle w:val="11"/>
        <w:spacing w:line="440" w:lineRule="exact"/>
        <w:ind w:firstLine="42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(3)因重大变故，采购任务取消的；</w:t>
      </w:r>
    </w:p>
    <w:p w14:paraId="46423AD7">
      <w:pPr>
        <w:pStyle w:val="11"/>
        <w:spacing w:line="440" w:lineRule="exact"/>
        <w:ind w:firstLine="42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(4)磋商文件存在不合理条款的，竞争性磋商公告时间及程序不符合规定的；</w:t>
      </w:r>
    </w:p>
    <w:p w14:paraId="06D596AA">
      <w:pPr>
        <w:pStyle w:val="11"/>
        <w:spacing w:line="400" w:lineRule="exact"/>
        <w:ind w:firstLine="4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rPr>
        <w:t>.2如本次项目废标后，采购代理机构将把废标理由通知所有磋商供应商。</w:t>
      </w:r>
    </w:p>
    <w:p w14:paraId="17F3E325">
      <w:pPr>
        <w:pStyle w:val="37"/>
        <w:spacing w:line="400" w:lineRule="exact"/>
        <w:outlineLvl w:val="3"/>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21、重新招标</w:t>
      </w:r>
    </w:p>
    <w:p w14:paraId="57A38811">
      <w:pPr>
        <w:pStyle w:val="11"/>
        <w:numPr>
          <w:ilvl w:val="0"/>
          <w:numId w:val="0"/>
        </w:numPr>
        <w:spacing w:line="400" w:lineRule="exact"/>
        <w:ind w:firstLine="480" w:firstLineChars="2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21.1 经磋商小组评审后，认为所有竞标均不符合竞争性磋商采购文件要求，可以否决所有竞标。所有竞标被否决后，采购人将依法重新招标。</w:t>
      </w:r>
    </w:p>
    <w:p w14:paraId="3E22B672">
      <w:pPr>
        <w:spacing w:line="390" w:lineRule="exact"/>
        <w:ind w:firstLine="480" w:firstLineChars="200"/>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b w:val="0"/>
          <w:bCs w:val="0"/>
          <w:color w:val="auto"/>
          <w:sz w:val="24"/>
          <w:szCs w:val="24"/>
          <w:highlight w:val="none"/>
          <w:lang w:val="en-US" w:eastAsia="zh-CN"/>
        </w:rPr>
        <w:t>21.2重新招标后竞标人仍少于三个或者所有竞标被否决的，属于必须审批或核准的工程建设项目，经原审批或核准部门批准后不再进行招标</w:t>
      </w:r>
      <w:bookmarkStart w:id="65" w:name="_Toc459103904"/>
      <w:r>
        <w:rPr>
          <w:rFonts w:hint="eastAsia" w:asciiTheme="minorEastAsia" w:hAnsiTheme="minorEastAsia" w:eastAsiaTheme="minorEastAsia" w:cstheme="minorEastAsia"/>
          <w:b w:val="0"/>
          <w:bCs w:val="0"/>
          <w:color w:val="auto"/>
          <w:sz w:val="24"/>
          <w:szCs w:val="24"/>
          <w:highlight w:val="none"/>
          <w:lang w:val="en-US" w:eastAsia="zh-CN"/>
        </w:rPr>
        <w:t>。</w:t>
      </w:r>
    </w:p>
    <w:p w14:paraId="1C53C264">
      <w:pPr>
        <w:pStyle w:val="3"/>
        <w:spacing w:before="0" w:after="0" w:line="390" w:lineRule="exact"/>
        <w:rPr>
          <w:rFonts w:hint="eastAsia" w:asciiTheme="minorEastAsia" w:hAnsiTheme="minorEastAsia" w:eastAsiaTheme="minorEastAsia" w:cstheme="minorEastAsia"/>
          <w:color w:val="auto"/>
          <w:sz w:val="24"/>
          <w:szCs w:val="24"/>
          <w:highlight w:val="none"/>
        </w:rPr>
      </w:pPr>
      <w:bookmarkStart w:id="66" w:name="_Toc495"/>
      <w:r>
        <w:rPr>
          <w:rFonts w:hint="eastAsia" w:asciiTheme="minorEastAsia" w:hAnsiTheme="minorEastAsia" w:eastAsiaTheme="minorEastAsia" w:cstheme="minorEastAsia"/>
          <w:color w:val="auto"/>
          <w:sz w:val="24"/>
          <w:szCs w:val="24"/>
          <w:highlight w:val="none"/>
        </w:rPr>
        <w:t>七、签订合同</w:t>
      </w:r>
      <w:bookmarkEnd w:id="65"/>
      <w:bookmarkEnd w:id="66"/>
    </w:p>
    <w:p w14:paraId="32162469">
      <w:pPr>
        <w:pStyle w:val="11"/>
        <w:spacing w:line="400" w:lineRule="exact"/>
        <w:outlineLvl w:val="2"/>
        <w:rPr>
          <w:rFonts w:hint="eastAsia" w:asciiTheme="minorEastAsia" w:hAnsiTheme="minorEastAsia" w:eastAsiaTheme="minorEastAsia" w:cstheme="minorEastAsia"/>
          <w:b/>
          <w:color w:val="auto"/>
          <w:sz w:val="24"/>
          <w:szCs w:val="24"/>
          <w:highlight w:val="none"/>
        </w:rPr>
      </w:pPr>
      <w:bookmarkStart w:id="67" w:name="_Toc7205"/>
      <w:bookmarkStart w:id="68" w:name="_Toc1798"/>
      <w:r>
        <w:rPr>
          <w:rFonts w:hint="eastAsia" w:asciiTheme="minorEastAsia" w:hAnsiTheme="minorEastAsia" w:eastAsiaTheme="minorEastAsia" w:cstheme="minorEastAsia"/>
          <w:b/>
          <w:color w:val="auto"/>
          <w:sz w:val="24"/>
          <w:szCs w:val="24"/>
          <w:highlight w:val="none"/>
          <w:lang w:val="en-US" w:eastAsia="zh-CN"/>
        </w:rPr>
        <w:t>22</w:t>
      </w:r>
      <w:r>
        <w:rPr>
          <w:rFonts w:hint="eastAsia" w:asciiTheme="minorEastAsia" w:hAnsiTheme="minorEastAsia" w:eastAsiaTheme="minorEastAsia" w:cstheme="minorEastAsia"/>
          <w:b/>
          <w:color w:val="auto"/>
          <w:sz w:val="24"/>
          <w:szCs w:val="24"/>
          <w:highlight w:val="none"/>
        </w:rPr>
        <w:t>.成交结果</w:t>
      </w:r>
      <w:bookmarkEnd w:id="67"/>
      <w:r>
        <w:rPr>
          <w:rFonts w:hint="eastAsia" w:asciiTheme="minorEastAsia" w:hAnsiTheme="minorEastAsia" w:eastAsiaTheme="minorEastAsia" w:cstheme="minorEastAsia"/>
          <w:b/>
          <w:color w:val="auto"/>
          <w:sz w:val="24"/>
          <w:szCs w:val="24"/>
          <w:highlight w:val="none"/>
        </w:rPr>
        <w:t>公告</w:t>
      </w:r>
      <w:bookmarkEnd w:id="68"/>
    </w:p>
    <w:p w14:paraId="63CCBC3F">
      <w:pPr>
        <w:pStyle w:val="11"/>
        <w:spacing w:line="400" w:lineRule="exact"/>
        <w:ind w:firstLine="480" w:firstLineChars="200"/>
        <w:outlineLvl w:val="2"/>
        <w:rPr>
          <w:rFonts w:hint="eastAsia" w:asciiTheme="minorEastAsia" w:hAnsiTheme="minorEastAsia" w:eastAsiaTheme="minorEastAsia" w:cstheme="minorEastAsia"/>
          <w:bCs/>
          <w:color w:val="auto"/>
          <w:sz w:val="24"/>
          <w:szCs w:val="24"/>
          <w:highlight w:val="none"/>
        </w:rPr>
      </w:pPr>
      <w:bookmarkStart w:id="69" w:name="_Toc15082"/>
      <w:bookmarkStart w:id="70" w:name="_Toc5678"/>
      <w:r>
        <w:rPr>
          <w:rFonts w:hint="eastAsia" w:asciiTheme="minorEastAsia" w:hAnsiTheme="minorEastAsia" w:eastAsiaTheme="minorEastAsia" w:cstheme="minorEastAsia"/>
          <w:bCs/>
          <w:color w:val="auto"/>
          <w:sz w:val="24"/>
          <w:szCs w:val="24"/>
          <w:highlight w:val="none"/>
          <w:lang w:val="en-US" w:eastAsia="zh-CN"/>
        </w:rPr>
        <w:t>22</w:t>
      </w:r>
      <w:r>
        <w:rPr>
          <w:rFonts w:hint="eastAsia" w:asciiTheme="minorEastAsia" w:hAnsiTheme="minorEastAsia" w:eastAsiaTheme="minorEastAsia" w:cstheme="minorEastAsia"/>
          <w:bCs/>
          <w:color w:val="auto"/>
          <w:sz w:val="24"/>
          <w:szCs w:val="24"/>
          <w:highlight w:val="none"/>
        </w:rPr>
        <w:t>.1采购代理机构在磋商工作完成后2日内将磋商报告送采购人，采购人确认后，成交结果公告将在</w:t>
      </w:r>
      <w:r>
        <w:rPr>
          <w:rFonts w:hint="eastAsia" w:asciiTheme="minorEastAsia" w:hAnsiTheme="minorEastAsia" w:eastAsiaTheme="minorEastAsia" w:cstheme="minorEastAsia"/>
          <w:bCs/>
          <w:color w:val="auto"/>
          <w:sz w:val="24"/>
          <w:szCs w:val="24"/>
          <w:highlight w:val="none"/>
          <w:lang w:eastAsia="zh-CN"/>
        </w:rPr>
        <w:t>发布本项目竞争性磋商公告的同一网站上发布</w:t>
      </w:r>
      <w:r>
        <w:rPr>
          <w:rFonts w:hint="eastAsia" w:asciiTheme="minorEastAsia" w:hAnsiTheme="minorEastAsia" w:eastAsiaTheme="minorEastAsia" w:cstheme="minorEastAsia"/>
          <w:bCs/>
          <w:color w:val="auto"/>
          <w:sz w:val="24"/>
          <w:szCs w:val="24"/>
          <w:highlight w:val="none"/>
        </w:rPr>
        <w:t>。</w:t>
      </w:r>
      <w:bookmarkEnd w:id="69"/>
      <w:bookmarkEnd w:id="70"/>
    </w:p>
    <w:p w14:paraId="2F849375">
      <w:pPr>
        <w:pStyle w:val="11"/>
        <w:spacing w:line="400" w:lineRule="exact"/>
        <w:ind w:firstLine="420"/>
        <w:rPr>
          <w:rFonts w:hint="eastAsia" w:asciiTheme="minorEastAsia" w:hAnsiTheme="minorEastAsia" w:eastAsiaTheme="minorEastAsia" w:cstheme="minorEastAsia"/>
          <w:bCs/>
          <w:color w:val="auto"/>
          <w:sz w:val="24"/>
          <w:szCs w:val="24"/>
          <w:highlight w:val="none"/>
          <w:lang w:eastAsia="zh-CN"/>
        </w:rPr>
      </w:pPr>
      <w:bookmarkStart w:id="71" w:name="_Toc29884"/>
      <w:r>
        <w:rPr>
          <w:rFonts w:hint="eastAsia" w:asciiTheme="minorEastAsia" w:hAnsiTheme="minorEastAsia" w:eastAsiaTheme="minorEastAsia" w:cstheme="minorEastAsia"/>
          <w:bCs/>
          <w:color w:val="auto"/>
          <w:sz w:val="24"/>
          <w:szCs w:val="24"/>
          <w:highlight w:val="none"/>
          <w:lang w:val="en-US" w:eastAsia="zh-CN"/>
        </w:rPr>
        <w:t>22</w:t>
      </w:r>
      <w:r>
        <w:rPr>
          <w:rFonts w:hint="eastAsia" w:asciiTheme="minorEastAsia" w:hAnsiTheme="minorEastAsia" w:eastAsiaTheme="minorEastAsia" w:cstheme="minorEastAsia"/>
          <w:bCs/>
          <w:color w:val="auto"/>
          <w:sz w:val="24"/>
          <w:szCs w:val="24"/>
          <w:highlight w:val="none"/>
        </w:rPr>
        <w:t>.2成交结果公告期限为1个工作日，发布</w:t>
      </w:r>
      <w:r>
        <w:rPr>
          <w:rFonts w:hint="eastAsia" w:asciiTheme="minorEastAsia" w:hAnsiTheme="minorEastAsia" w:eastAsiaTheme="minorEastAsia" w:cstheme="minorEastAsia"/>
          <w:bCs/>
          <w:color w:val="auto"/>
          <w:sz w:val="24"/>
          <w:szCs w:val="24"/>
          <w:highlight w:val="none"/>
          <w:lang w:val="en-US" w:eastAsia="zh-CN"/>
        </w:rPr>
        <w:t>成交</w:t>
      </w:r>
      <w:r>
        <w:rPr>
          <w:rFonts w:hint="eastAsia" w:asciiTheme="minorEastAsia" w:hAnsiTheme="minorEastAsia" w:eastAsiaTheme="minorEastAsia" w:cstheme="minorEastAsia"/>
          <w:bCs/>
          <w:color w:val="auto"/>
          <w:sz w:val="24"/>
          <w:szCs w:val="24"/>
          <w:highlight w:val="none"/>
        </w:rPr>
        <w:t>结果公告的同时向</w:t>
      </w:r>
      <w:r>
        <w:rPr>
          <w:rFonts w:hint="eastAsia" w:asciiTheme="minorEastAsia" w:hAnsiTheme="minorEastAsia" w:eastAsiaTheme="minorEastAsia" w:cstheme="minorEastAsia"/>
          <w:bCs/>
          <w:color w:val="auto"/>
          <w:sz w:val="24"/>
          <w:szCs w:val="24"/>
          <w:highlight w:val="none"/>
          <w:lang w:val="en-US" w:eastAsia="zh-CN"/>
        </w:rPr>
        <w:t>成交</w:t>
      </w:r>
      <w:r>
        <w:rPr>
          <w:rFonts w:hint="eastAsia" w:asciiTheme="minorEastAsia" w:hAnsiTheme="minorEastAsia" w:eastAsiaTheme="minorEastAsia" w:cstheme="minorEastAsia"/>
          <w:bCs/>
          <w:color w:val="auto"/>
          <w:sz w:val="24"/>
          <w:szCs w:val="24"/>
          <w:highlight w:val="none"/>
        </w:rPr>
        <w:t>供应商发出</w:t>
      </w:r>
      <w:r>
        <w:rPr>
          <w:rFonts w:hint="eastAsia" w:asciiTheme="minorEastAsia" w:hAnsiTheme="minorEastAsia" w:eastAsiaTheme="minorEastAsia" w:cstheme="minorEastAsia"/>
          <w:bCs/>
          <w:color w:val="auto"/>
          <w:sz w:val="24"/>
          <w:szCs w:val="24"/>
          <w:highlight w:val="none"/>
          <w:lang w:val="en-US" w:eastAsia="zh-CN"/>
        </w:rPr>
        <w:t>成交</w:t>
      </w:r>
      <w:r>
        <w:rPr>
          <w:rFonts w:hint="eastAsia" w:asciiTheme="minorEastAsia" w:hAnsiTheme="minorEastAsia" w:eastAsiaTheme="minorEastAsia" w:cstheme="minorEastAsia"/>
          <w:bCs/>
          <w:color w:val="auto"/>
          <w:sz w:val="24"/>
          <w:szCs w:val="24"/>
          <w:highlight w:val="none"/>
        </w:rPr>
        <w:t>通知书。采购代理机构发出</w:t>
      </w:r>
      <w:r>
        <w:rPr>
          <w:rFonts w:hint="eastAsia" w:asciiTheme="minorEastAsia" w:hAnsiTheme="minorEastAsia" w:eastAsiaTheme="minorEastAsia" w:cstheme="minorEastAsia"/>
          <w:bCs/>
          <w:color w:val="auto"/>
          <w:sz w:val="24"/>
          <w:szCs w:val="24"/>
          <w:highlight w:val="none"/>
          <w:lang w:val="en-US" w:eastAsia="zh-CN"/>
        </w:rPr>
        <w:t>成交</w:t>
      </w:r>
      <w:r>
        <w:rPr>
          <w:rFonts w:hint="eastAsia" w:asciiTheme="minorEastAsia" w:hAnsiTheme="minorEastAsia" w:eastAsiaTheme="minorEastAsia" w:cstheme="minorEastAsia"/>
          <w:bCs/>
          <w:color w:val="auto"/>
          <w:sz w:val="24"/>
          <w:szCs w:val="24"/>
          <w:highlight w:val="none"/>
        </w:rPr>
        <w:t>通知书前，应当对</w:t>
      </w:r>
      <w:r>
        <w:rPr>
          <w:rFonts w:hint="eastAsia" w:asciiTheme="minorEastAsia" w:hAnsiTheme="minorEastAsia" w:eastAsiaTheme="minorEastAsia" w:cstheme="minorEastAsia"/>
          <w:bCs/>
          <w:color w:val="auto"/>
          <w:sz w:val="24"/>
          <w:szCs w:val="24"/>
          <w:highlight w:val="none"/>
          <w:lang w:val="en-US" w:eastAsia="zh-CN"/>
        </w:rPr>
        <w:t>成交</w:t>
      </w:r>
      <w:r>
        <w:rPr>
          <w:rFonts w:hint="eastAsia" w:asciiTheme="minorEastAsia" w:hAnsiTheme="minorEastAsia" w:eastAsiaTheme="minorEastAsia" w:cstheme="minorEastAsia"/>
          <w:bCs/>
          <w:color w:val="auto"/>
          <w:sz w:val="24"/>
          <w:szCs w:val="24"/>
          <w:highlight w:val="none"/>
        </w:rPr>
        <w:t>人信用进行核实，对列入失信被执行人、重大税收违法案件当事人名单、政府采购严重违法失信行为记录名单及其他不符合《中华人民共和国政府采购法》第二十二条规定条件的</w:t>
      </w:r>
      <w:r>
        <w:rPr>
          <w:rFonts w:hint="eastAsia" w:asciiTheme="minorEastAsia" w:hAnsiTheme="minorEastAsia" w:eastAsiaTheme="minorEastAsia" w:cstheme="minorEastAsia"/>
          <w:bCs/>
          <w:color w:val="auto"/>
          <w:sz w:val="24"/>
          <w:szCs w:val="24"/>
          <w:highlight w:val="none"/>
          <w:lang w:val="en-US" w:eastAsia="zh-CN"/>
        </w:rPr>
        <w:t>竞</w:t>
      </w:r>
      <w:r>
        <w:rPr>
          <w:rFonts w:hint="eastAsia" w:asciiTheme="minorEastAsia" w:hAnsiTheme="minorEastAsia" w:eastAsiaTheme="minorEastAsia" w:cstheme="minorEastAsia"/>
          <w:bCs/>
          <w:color w:val="auto"/>
          <w:sz w:val="24"/>
          <w:szCs w:val="24"/>
          <w:highlight w:val="none"/>
        </w:rPr>
        <w:t>标人，取消其</w:t>
      </w:r>
      <w:r>
        <w:rPr>
          <w:rFonts w:hint="eastAsia" w:asciiTheme="minorEastAsia" w:hAnsiTheme="minorEastAsia" w:eastAsiaTheme="minorEastAsia" w:cstheme="minorEastAsia"/>
          <w:bCs/>
          <w:color w:val="auto"/>
          <w:sz w:val="24"/>
          <w:szCs w:val="24"/>
          <w:highlight w:val="none"/>
          <w:lang w:val="en-US" w:eastAsia="zh-CN"/>
        </w:rPr>
        <w:t>成交</w:t>
      </w:r>
      <w:r>
        <w:rPr>
          <w:rFonts w:hint="eastAsia" w:asciiTheme="minorEastAsia" w:hAnsiTheme="minorEastAsia" w:eastAsiaTheme="minorEastAsia" w:cstheme="minorEastAsia"/>
          <w:bCs/>
          <w:color w:val="auto"/>
          <w:sz w:val="24"/>
          <w:szCs w:val="24"/>
          <w:highlight w:val="none"/>
        </w:rPr>
        <w:t>资格，并确定排名第二的</w:t>
      </w:r>
      <w:r>
        <w:rPr>
          <w:rFonts w:hint="eastAsia" w:asciiTheme="minorEastAsia" w:hAnsiTheme="minorEastAsia" w:eastAsiaTheme="minorEastAsia" w:cstheme="minorEastAsia"/>
          <w:bCs/>
          <w:color w:val="auto"/>
          <w:sz w:val="24"/>
          <w:szCs w:val="24"/>
          <w:highlight w:val="none"/>
          <w:lang w:val="en-US" w:eastAsia="zh-CN"/>
        </w:rPr>
        <w:t>成交</w:t>
      </w:r>
      <w:r>
        <w:rPr>
          <w:rFonts w:hint="eastAsia" w:asciiTheme="minorEastAsia" w:hAnsiTheme="minorEastAsia" w:eastAsiaTheme="minorEastAsia" w:cstheme="minorEastAsia"/>
          <w:bCs/>
          <w:color w:val="auto"/>
          <w:sz w:val="24"/>
          <w:szCs w:val="24"/>
          <w:highlight w:val="none"/>
        </w:rPr>
        <w:t>候选人为</w:t>
      </w:r>
      <w:r>
        <w:rPr>
          <w:rFonts w:hint="eastAsia" w:asciiTheme="minorEastAsia" w:hAnsiTheme="minorEastAsia" w:eastAsiaTheme="minorEastAsia" w:cstheme="minorEastAsia"/>
          <w:bCs/>
          <w:color w:val="auto"/>
          <w:sz w:val="24"/>
          <w:szCs w:val="24"/>
          <w:highlight w:val="none"/>
          <w:lang w:val="en-US" w:eastAsia="zh-CN"/>
        </w:rPr>
        <w:t>成交</w:t>
      </w:r>
      <w:r>
        <w:rPr>
          <w:rFonts w:hint="eastAsia" w:asciiTheme="minorEastAsia" w:hAnsiTheme="minorEastAsia" w:eastAsiaTheme="minorEastAsia" w:cstheme="minorEastAsia"/>
          <w:bCs/>
          <w:color w:val="auto"/>
          <w:sz w:val="24"/>
          <w:szCs w:val="24"/>
          <w:highlight w:val="none"/>
        </w:rPr>
        <w:t>人。排名第二的</w:t>
      </w:r>
      <w:r>
        <w:rPr>
          <w:rFonts w:hint="eastAsia" w:asciiTheme="minorEastAsia" w:hAnsiTheme="minorEastAsia" w:eastAsiaTheme="minorEastAsia" w:cstheme="minorEastAsia"/>
          <w:bCs/>
          <w:color w:val="auto"/>
          <w:sz w:val="24"/>
          <w:szCs w:val="24"/>
          <w:highlight w:val="none"/>
          <w:lang w:val="en-US" w:eastAsia="zh-CN"/>
        </w:rPr>
        <w:t>成交</w:t>
      </w:r>
      <w:r>
        <w:rPr>
          <w:rFonts w:hint="eastAsia" w:asciiTheme="minorEastAsia" w:hAnsiTheme="minorEastAsia" w:eastAsiaTheme="minorEastAsia" w:cstheme="minorEastAsia"/>
          <w:bCs/>
          <w:color w:val="auto"/>
          <w:sz w:val="24"/>
          <w:szCs w:val="24"/>
          <w:highlight w:val="none"/>
        </w:rPr>
        <w:t>候选人因前款规定的同样原因被取消</w:t>
      </w:r>
      <w:r>
        <w:rPr>
          <w:rFonts w:hint="eastAsia" w:asciiTheme="minorEastAsia" w:hAnsiTheme="minorEastAsia" w:eastAsiaTheme="minorEastAsia" w:cstheme="minorEastAsia"/>
          <w:bCs/>
          <w:color w:val="auto"/>
          <w:sz w:val="24"/>
          <w:szCs w:val="24"/>
          <w:highlight w:val="none"/>
          <w:lang w:val="en-US" w:eastAsia="zh-CN"/>
        </w:rPr>
        <w:t>成交</w:t>
      </w:r>
      <w:r>
        <w:rPr>
          <w:rFonts w:hint="eastAsia" w:asciiTheme="minorEastAsia" w:hAnsiTheme="minorEastAsia" w:eastAsiaTheme="minorEastAsia" w:cstheme="minorEastAsia"/>
          <w:bCs/>
          <w:color w:val="auto"/>
          <w:sz w:val="24"/>
          <w:szCs w:val="24"/>
          <w:highlight w:val="none"/>
        </w:rPr>
        <w:t>资格的，授权的</w:t>
      </w:r>
      <w:r>
        <w:rPr>
          <w:rFonts w:hint="eastAsia" w:asciiTheme="minorEastAsia" w:hAnsiTheme="minorEastAsia" w:eastAsiaTheme="minorEastAsia" w:cstheme="minorEastAsia"/>
          <w:bCs/>
          <w:color w:val="auto"/>
          <w:sz w:val="24"/>
          <w:szCs w:val="24"/>
          <w:highlight w:val="none"/>
          <w:lang w:val="en-US" w:eastAsia="zh-CN"/>
        </w:rPr>
        <w:t>磋商小组</w:t>
      </w:r>
      <w:r>
        <w:rPr>
          <w:rFonts w:hint="eastAsia" w:asciiTheme="minorEastAsia" w:hAnsiTheme="minorEastAsia" w:eastAsiaTheme="minorEastAsia" w:cstheme="minorEastAsia"/>
          <w:bCs/>
          <w:color w:val="auto"/>
          <w:sz w:val="24"/>
          <w:szCs w:val="24"/>
          <w:highlight w:val="none"/>
        </w:rPr>
        <w:t>可以确定排名第三的</w:t>
      </w:r>
      <w:r>
        <w:rPr>
          <w:rFonts w:hint="eastAsia" w:asciiTheme="minorEastAsia" w:hAnsiTheme="minorEastAsia" w:eastAsiaTheme="minorEastAsia" w:cstheme="minorEastAsia"/>
          <w:bCs/>
          <w:color w:val="auto"/>
          <w:sz w:val="24"/>
          <w:szCs w:val="24"/>
          <w:highlight w:val="none"/>
          <w:lang w:val="en-US" w:eastAsia="zh-CN"/>
        </w:rPr>
        <w:t>成交</w:t>
      </w:r>
      <w:r>
        <w:rPr>
          <w:rFonts w:hint="eastAsia" w:asciiTheme="minorEastAsia" w:hAnsiTheme="minorEastAsia" w:eastAsiaTheme="minorEastAsia" w:cstheme="minorEastAsia"/>
          <w:bCs/>
          <w:color w:val="auto"/>
          <w:sz w:val="24"/>
          <w:szCs w:val="24"/>
          <w:highlight w:val="none"/>
        </w:rPr>
        <w:t>候选人为</w:t>
      </w:r>
      <w:r>
        <w:rPr>
          <w:rFonts w:hint="eastAsia" w:asciiTheme="minorEastAsia" w:hAnsiTheme="minorEastAsia" w:eastAsiaTheme="minorEastAsia" w:cstheme="minorEastAsia"/>
          <w:bCs/>
          <w:color w:val="auto"/>
          <w:sz w:val="24"/>
          <w:szCs w:val="24"/>
          <w:highlight w:val="none"/>
          <w:lang w:val="en-US" w:eastAsia="zh-CN"/>
        </w:rPr>
        <w:t>成交</w:t>
      </w:r>
      <w:r>
        <w:rPr>
          <w:rFonts w:hint="eastAsia" w:asciiTheme="minorEastAsia" w:hAnsiTheme="minorEastAsia" w:eastAsiaTheme="minorEastAsia" w:cstheme="minorEastAsia"/>
          <w:bCs/>
          <w:color w:val="auto"/>
          <w:sz w:val="24"/>
          <w:szCs w:val="24"/>
          <w:highlight w:val="none"/>
        </w:rPr>
        <w:t>人，以此类推。以上信息查询记录及相关证据与采购文件一并保存</w:t>
      </w:r>
      <w:r>
        <w:rPr>
          <w:rFonts w:hint="eastAsia" w:asciiTheme="minorEastAsia" w:hAnsiTheme="minorEastAsia" w:eastAsiaTheme="minorEastAsia" w:cstheme="minorEastAsia"/>
          <w:bCs/>
          <w:color w:val="auto"/>
          <w:sz w:val="24"/>
          <w:szCs w:val="24"/>
          <w:highlight w:val="none"/>
          <w:lang w:eastAsia="zh-CN"/>
        </w:rPr>
        <w:t>。</w:t>
      </w:r>
    </w:p>
    <w:p w14:paraId="643192F5">
      <w:pPr>
        <w:pStyle w:val="11"/>
        <w:spacing w:line="400" w:lineRule="exact"/>
        <w:ind w:firstLine="420"/>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22.3中小企业在政府采购活动过程中，请根据企业的真实情况出具《中小企业声明函》。依法享受中小企业优惠政策的，采购人或者采购代理机构在公告成交结果时，同时公告其《中小企业声明函》，接受社会监督。</w:t>
      </w:r>
    </w:p>
    <w:p w14:paraId="1362622A">
      <w:pPr>
        <w:pStyle w:val="11"/>
        <w:spacing w:line="400" w:lineRule="exact"/>
        <w:ind w:firstLine="42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22.4</w:t>
      </w:r>
      <w:r>
        <w:rPr>
          <w:rFonts w:hint="eastAsia" w:asciiTheme="minorEastAsia" w:hAnsiTheme="minorEastAsia" w:eastAsiaTheme="minorEastAsia" w:cstheme="minorEastAsia"/>
          <w:color w:val="auto"/>
          <w:sz w:val="24"/>
          <w:szCs w:val="24"/>
          <w:highlight w:val="none"/>
          <w:lang w:eastAsia="zh-CN"/>
        </w:rPr>
        <w:t>磋商供应商</w:t>
      </w:r>
      <w:r>
        <w:rPr>
          <w:rFonts w:hint="eastAsia" w:asciiTheme="minorEastAsia" w:hAnsiTheme="minorEastAsia" w:eastAsiaTheme="minorEastAsia" w:cstheme="minorEastAsia"/>
          <w:color w:val="auto"/>
          <w:sz w:val="24"/>
          <w:szCs w:val="24"/>
          <w:highlight w:val="none"/>
        </w:rPr>
        <w:t>认为成交结果使自己的权益受到损害的，可以在成交结果公告期限届满之日起7个工作日内以书面形式向采购人或受托代理机构提出质疑，逾期将不再受理</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color w:val="auto"/>
          <w:sz w:val="24"/>
          <w:szCs w:val="24"/>
          <w:highlight w:val="none"/>
        </w:rPr>
        <w:t>采购人或受托代理机构</w:t>
      </w:r>
      <w:r>
        <w:rPr>
          <w:rFonts w:hint="eastAsia" w:asciiTheme="minorEastAsia" w:hAnsiTheme="minorEastAsia" w:eastAsiaTheme="minorEastAsia" w:cstheme="minorEastAsia"/>
          <w:bCs/>
          <w:color w:val="auto"/>
          <w:sz w:val="24"/>
          <w:szCs w:val="24"/>
          <w:highlight w:val="none"/>
        </w:rPr>
        <w:t>在收到</w:t>
      </w:r>
      <w:r>
        <w:rPr>
          <w:rFonts w:hint="eastAsia" w:asciiTheme="minorEastAsia" w:hAnsiTheme="minorEastAsia" w:eastAsiaTheme="minorEastAsia" w:cstheme="minorEastAsia"/>
          <w:bCs/>
          <w:color w:val="auto"/>
          <w:sz w:val="24"/>
          <w:szCs w:val="24"/>
          <w:highlight w:val="none"/>
          <w:lang w:eastAsia="zh-CN"/>
        </w:rPr>
        <w:t>磋商供应商</w:t>
      </w:r>
      <w:r>
        <w:rPr>
          <w:rFonts w:hint="eastAsia" w:asciiTheme="minorEastAsia" w:hAnsiTheme="minorEastAsia" w:eastAsiaTheme="minorEastAsia" w:cstheme="minorEastAsia"/>
          <w:bCs/>
          <w:color w:val="auto"/>
          <w:sz w:val="24"/>
          <w:szCs w:val="24"/>
          <w:highlight w:val="none"/>
        </w:rPr>
        <w:t>的书面质疑后7个工作日内做出答复，但答复的内容不得涉及商业秘密。</w:t>
      </w:r>
      <w:bookmarkEnd w:id="71"/>
    </w:p>
    <w:p w14:paraId="1CC04460">
      <w:pPr>
        <w:pStyle w:val="11"/>
        <w:spacing w:line="400" w:lineRule="exact"/>
        <w:ind w:firstLine="4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22</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质疑和投诉书面要求:</w:t>
      </w:r>
    </w:p>
    <w:p w14:paraId="47FD88CB">
      <w:pPr>
        <w:pStyle w:val="11"/>
        <w:numPr>
          <w:ilvl w:val="0"/>
          <w:numId w:val="6"/>
        </w:numPr>
        <w:spacing w:line="400" w:lineRule="exact"/>
        <w:ind w:firstLine="4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质疑人或投诉人的单位名称或姓名、详细地址、邮政编码、联系电话等；</w:t>
      </w:r>
    </w:p>
    <w:p w14:paraId="50856BB0">
      <w:pPr>
        <w:pStyle w:val="11"/>
        <w:numPr>
          <w:ilvl w:val="0"/>
          <w:numId w:val="6"/>
        </w:numPr>
        <w:spacing w:line="400" w:lineRule="exact"/>
        <w:ind w:firstLine="4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被质疑人或被投诉人的单位名称或姓名等；</w:t>
      </w:r>
    </w:p>
    <w:p w14:paraId="0FEC4503">
      <w:pPr>
        <w:pStyle w:val="11"/>
        <w:numPr>
          <w:ilvl w:val="0"/>
          <w:numId w:val="6"/>
        </w:numPr>
        <w:spacing w:line="400" w:lineRule="exact"/>
        <w:ind w:firstLine="4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质疑或投诉的事实及理由；</w:t>
      </w:r>
    </w:p>
    <w:p w14:paraId="3C2EEC6F">
      <w:pPr>
        <w:pStyle w:val="11"/>
        <w:numPr>
          <w:ilvl w:val="0"/>
          <w:numId w:val="6"/>
        </w:numPr>
        <w:spacing w:line="400" w:lineRule="exact"/>
        <w:ind w:firstLine="4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有关违规违法的情况和有效证明材料；</w:t>
      </w:r>
    </w:p>
    <w:p w14:paraId="0895CA36">
      <w:pPr>
        <w:pStyle w:val="11"/>
        <w:numPr>
          <w:ilvl w:val="0"/>
          <w:numId w:val="6"/>
        </w:numPr>
        <w:spacing w:line="400" w:lineRule="exact"/>
        <w:ind w:firstLine="4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质疑人或投诉人的签章及质疑或投诉时间；</w:t>
      </w:r>
    </w:p>
    <w:p w14:paraId="22F4B990">
      <w:pPr>
        <w:pStyle w:val="11"/>
        <w:numPr>
          <w:ilvl w:val="0"/>
          <w:numId w:val="6"/>
        </w:numPr>
        <w:spacing w:line="400" w:lineRule="exact"/>
        <w:ind w:firstLine="4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质疑书递交方式：质疑人的法定代表人凭本人身份证原件或授权委托代理人凭法定代表人授权委托书原件和本人身份证原件同时持质疑书原件递交至</w:t>
      </w:r>
      <w:r>
        <w:rPr>
          <w:rFonts w:hint="eastAsia" w:asciiTheme="minorEastAsia" w:hAnsiTheme="minorEastAsia" w:eastAsiaTheme="minorEastAsia" w:cstheme="minorEastAsia"/>
          <w:color w:val="auto"/>
          <w:sz w:val="24"/>
          <w:szCs w:val="24"/>
          <w:highlight w:val="none"/>
          <w:lang w:eastAsia="zh-CN"/>
        </w:rPr>
        <w:t>广西桂林华禹水利水电工程咨询有限公司</w:t>
      </w:r>
      <w:r>
        <w:rPr>
          <w:rFonts w:hint="eastAsia" w:asciiTheme="minorEastAsia" w:hAnsiTheme="minorEastAsia" w:eastAsiaTheme="minorEastAsia" w:cstheme="minorEastAsia"/>
          <w:color w:val="auto"/>
          <w:sz w:val="24"/>
          <w:szCs w:val="24"/>
          <w:highlight w:val="none"/>
        </w:rPr>
        <w:t>。</w:t>
      </w:r>
    </w:p>
    <w:p w14:paraId="337D9CB5">
      <w:pPr>
        <w:pStyle w:val="11"/>
        <w:numPr>
          <w:ilvl w:val="0"/>
          <w:numId w:val="6"/>
        </w:numPr>
        <w:spacing w:line="400" w:lineRule="exact"/>
        <w:ind w:firstLine="42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如不按规定质疑或投诉的，视为无效投诉，不予采理</w:t>
      </w:r>
      <w:r>
        <w:rPr>
          <w:rFonts w:hint="eastAsia" w:asciiTheme="minorEastAsia" w:hAnsiTheme="minorEastAsia" w:eastAsiaTheme="minorEastAsia" w:cstheme="minorEastAsia"/>
          <w:color w:val="auto"/>
          <w:sz w:val="24"/>
          <w:szCs w:val="24"/>
          <w:highlight w:val="none"/>
          <w:lang w:eastAsia="zh-CN"/>
        </w:rPr>
        <w:t>。</w:t>
      </w:r>
    </w:p>
    <w:p w14:paraId="35484C7F">
      <w:pPr>
        <w:pStyle w:val="11"/>
        <w:spacing w:line="400" w:lineRule="exact"/>
        <w:ind w:firstLine="480" w:firstLineChars="200"/>
        <w:outlineLvl w:val="2"/>
        <w:rPr>
          <w:rFonts w:hint="eastAsia" w:asciiTheme="minorEastAsia" w:hAnsiTheme="minorEastAsia" w:eastAsiaTheme="minorEastAsia" w:cstheme="minorEastAsia"/>
          <w:b/>
          <w:bCs/>
          <w:color w:val="auto"/>
          <w:sz w:val="24"/>
          <w:szCs w:val="24"/>
          <w:highlight w:val="none"/>
        </w:rPr>
      </w:pPr>
      <w:bookmarkStart w:id="72" w:name="_Toc15621"/>
      <w:bookmarkStart w:id="73" w:name="_Toc8756"/>
      <w:r>
        <w:rPr>
          <w:rFonts w:hint="eastAsia" w:asciiTheme="minorEastAsia" w:hAnsiTheme="minorEastAsia" w:eastAsiaTheme="minorEastAsia" w:cstheme="minorEastAsia"/>
          <w:bCs/>
          <w:color w:val="auto"/>
          <w:sz w:val="24"/>
          <w:szCs w:val="24"/>
          <w:highlight w:val="none"/>
          <w:lang w:val="en-US" w:eastAsia="zh-CN"/>
        </w:rPr>
        <w:t>22</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6</w:t>
      </w:r>
      <w:r>
        <w:rPr>
          <w:rFonts w:hint="eastAsia" w:asciiTheme="minorEastAsia" w:hAnsiTheme="minorEastAsia" w:eastAsiaTheme="minorEastAsia" w:cstheme="minorEastAsia"/>
          <w:bCs/>
          <w:color w:val="auto"/>
          <w:sz w:val="24"/>
          <w:szCs w:val="24"/>
          <w:highlight w:val="none"/>
        </w:rPr>
        <w:t>质疑</w:t>
      </w:r>
      <w:r>
        <w:rPr>
          <w:rFonts w:hint="eastAsia" w:asciiTheme="minorEastAsia" w:hAnsiTheme="minorEastAsia" w:eastAsiaTheme="minorEastAsia" w:cstheme="minorEastAsia"/>
          <w:bCs/>
          <w:color w:val="auto"/>
          <w:sz w:val="24"/>
          <w:szCs w:val="24"/>
          <w:highlight w:val="none"/>
          <w:lang w:eastAsia="zh-CN"/>
        </w:rPr>
        <w:t>磋商供应商</w:t>
      </w:r>
      <w:r>
        <w:rPr>
          <w:rFonts w:hint="eastAsia" w:asciiTheme="minorEastAsia" w:hAnsiTheme="minorEastAsia" w:eastAsiaTheme="minorEastAsia" w:cstheme="minorEastAsia"/>
          <w:bCs/>
          <w:color w:val="auto"/>
          <w:sz w:val="24"/>
          <w:szCs w:val="24"/>
          <w:highlight w:val="none"/>
        </w:rPr>
        <w:t>必须首先经过质疑程序，在对采购代理机构的答复不满意或者采购代理机构未在规定的时间内做出答复的，可以在答复期满后15个工作日内书面向同级政府采购监督管理部门投诉。</w:t>
      </w:r>
      <w:bookmarkEnd w:id="72"/>
      <w:bookmarkEnd w:id="73"/>
    </w:p>
    <w:p w14:paraId="29FAE6C3">
      <w:pPr>
        <w:spacing w:line="39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23</w:t>
      </w:r>
      <w:r>
        <w:rPr>
          <w:rFonts w:hint="eastAsia" w:asciiTheme="minorEastAsia" w:hAnsiTheme="minorEastAsia" w:eastAsiaTheme="minorEastAsia" w:cstheme="minorEastAsia"/>
          <w:b/>
          <w:bCs/>
          <w:color w:val="auto"/>
          <w:sz w:val="24"/>
          <w:szCs w:val="24"/>
          <w:highlight w:val="none"/>
        </w:rPr>
        <w:t>、成交通知</w:t>
      </w:r>
    </w:p>
    <w:p w14:paraId="5D0A624E">
      <w:pPr>
        <w:pStyle w:val="11"/>
        <w:spacing w:line="400" w:lineRule="exact"/>
        <w:ind w:firstLine="480" w:firstLineChars="200"/>
        <w:outlineLvl w:val="2"/>
        <w:rPr>
          <w:rFonts w:hint="eastAsia" w:asciiTheme="minorEastAsia" w:hAnsiTheme="minorEastAsia" w:eastAsiaTheme="minorEastAsia" w:cstheme="minorEastAsia"/>
          <w:bCs/>
          <w:color w:val="auto"/>
          <w:sz w:val="24"/>
          <w:szCs w:val="24"/>
          <w:highlight w:val="none"/>
        </w:rPr>
      </w:pPr>
      <w:bookmarkStart w:id="74" w:name="_Toc30837"/>
      <w:bookmarkStart w:id="75" w:name="_Toc15907"/>
      <w:r>
        <w:rPr>
          <w:rFonts w:hint="eastAsia" w:asciiTheme="minorEastAsia" w:hAnsiTheme="minorEastAsia" w:eastAsiaTheme="minorEastAsia" w:cstheme="minorEastAsia"/>
          <w:bCs/>
          <w:color w:val="auto"/>
          <w:sz w:val="24"/>
          <w:szCs w:val="24"/>
          <w:highlight w:val="none"/>
          <w:lang w:val="en-US" w:eastAsia="zh-CN"/>
        </w:rPr>
        <w:t>23</w:t>
      </w:r>
      <w:r>
        <w:rPr>
          <w:rFonts w:hint="eastAsia" w:asciiTheme="minorEastAsia" w:hAnsiTheme="minorEastAsia" w:eastAsiaTheme="minorEastAsia" w:cstheme="minorEastAsia"/>
          <w:bCs/>
          <w:color w:val="auto"/>
          <w:sz w:val="24"/>
          <w:szCs w:val="24"/>
          <w:highlight w:val="none"/>
        </w:rPr>
        <w:t>.1采购代理机构在发布</w:t>
      </w:r>
      <w:r>
        <w:rPr>
          <w:rFonts w:hint="eastAsia" w:asciiTheme="minorEastAsia" w:hAnsiTheme="minorEastAsia" w:eastAsiaTheme="minorEastAsia" w:cstheme="minorEastAsia"/>
          <w:bCs/>
          <w:color w:val="auto"/>
          <w:sz w:val="24"/>
          <w:szCs w:val="24"/>
          <w:highlight w:val="none"/>
          <w:lang w:val="en-US" w:eastAsia="zh-CN"/>
        </w:rPr>
        <w:t>成交</w:t>
      </w:r>
      <w:r>
        <w:rPr>
          <w:rFonts w:hint="eastAsia" w:asciiTheme="minorEastAsia" w:hAnsiTheme="minorEastAsia" w:eastAsiaTheme="minorEastAsia" w:cstheme="minorEastAsia"/>
          <w:bCs/>
          <w:color w:val="auto"/>
          <w:sz w:val="24"/>
          <w:szCs w:val="24"/>
          <w:highlight w:val="none"/>
        </w:rPr>
        <w:t>公告的同时，采购代理机构向</w:t>
      </w:r>
      <w:r>
        <w:rPr>
          <w:rFonts w:hint="eastAsia" w:asciiTheme="minorEastAsia" w:hAnsiTheme="minorEastAsia" w:eastAsiaTheme="minorEastAsia" w:cstheme="minorEastAsia"/>
          <w:bCs/>
          <w:color w:val="auto"/>
          <w:sz w:val="24"/>
          <w:szCs w:val="24"/>
          <w:highlight w:val="none"/>
          <w:lang w:val="en-US" w:eastAsia="zh-CN"/>
        </w:rPr>
        <w:t>成交</w:t>
      </w:r>
      <w:r>
        <w:rPr>
          <w:rFonts w:hint="eastAsia" w:asciiTheme="minorEastAsia" w:hAnsiTheme="minorEastAsia" w:eastAsiaTheme="minorEastAsia" w:cstheme="minorEastAsia"/>
          <w:bCs/>
          <w:color w:val="auto"/>
          <w:sz w:val="24"/>
          <w:szCs w:val="24"/>
          <w:highlight w:val="none"/>
        </w:rPr>
        <w:t>人通过“</w:t>
      </w:r>
      <w:r>
        <w:rPr>
          <w:rFonts w:hint="eastAsia" w:asciiTheme="minorEastAsia" w:hAnsiTheme="minorEastAsia" w:eastAsiaTheme="minorEastAsia" w:cstheme="minorEastAsia"/>
          <w:bCs/>
          <w:color w:val="auto"/>
          <w:sz w:val="24"/>
          <w:szCs w:val="24"/>
          <w:highlight w:val="none"/>
          <w:lang w:eastAsia="zh-CN"/>
        </w:rPr>
        <w:t>广西政采云</w:t>
      </w:r>
      <w:r>
        <w:rPr>
          <w:rFonts w:hint="eastAsia" w:asciiTheme="minorEastAsia" w:hAnsiTheme="minorEastAsia" w:eastAsiaTheme="minorEastAsia" w:cstheme="minorEastAsia"/>
          <w:bCs/>
          <w:color w:val="auto"/>
          <w:sz w:val="24"/>
          <w:szCs w:val="24"/>
          <w:highlight w:val="none"/>
        </w:rPr>
        <w:t>”平台发出电子中标通知书。</w:t>
      </w:r>
      <w:bookmarkEnd w:id="74"/>
      <w:bookmarkEnd w:id="75"/>
    </w:p>
    <w:p w14:paraId="27C23F99">
      <w:pPr>
        <w:pStyle w:val="11"/>
        <w:spacing w:line="400" w:lineRule="exact"/>
        <w:ind w:firstLine="480" w:firstLineChars="200"/>
        <w:outlineLvl w:val="2"/>
        <w:rPr>
          <w:rFonts w:hint="eastAsia" w:asciiTheme="minorEastAsia" w:hAnsiTheme="minorEastAsia" w:eastAsiaTheme="minorEastAsia" w:cstheme="minorEastAsia"/>
          <w:bCs/>
          <w:color w:val="auto"/>
          <w:sz w:val="24"/>
          <w:szCs w:val="24"/>
          <w:highlight w:val="none"/>
          <w:lang w:eastAsia="zh-CN"/>
        </w:rPr>
      </w:pPr>
      <w:bookmarkStart w:id="76" w:name="_Toc9442"/>
      <w:bookmarkStart w:id="77" w:name="_Toc28429"/>
      <w:r>
        <w:rPr>
          <w:rFonts w:hint="eastAsia" w:asciiTheme="minorEastAsia" w:hAnsiTheme="minorEastAsia" w:eastAsiaTheme="minorEastAsia" w:cstheme="minorEastAsia"/>
          <w:bCs/>
          <w:color w:val="auto"/>
          <w:sz w:val="24"/>
          <w:szCs w:val="24"/>
          <w:highlight w:val="none"/>
          <w:lang w:val="en-US" w:eastAsia="zh-CN"/>
        </w:rPr>
        <w:t>23</w:t>
      </w:r>
      <w:r>
        <w:rPr>
          <w:rFonts w:hint="eastAsia" w:asciiTheme="minorEastAsia" w:hAnsiTheme="minorEastAsia" w:eastAsiaTheme="minorEastAsia" w:cstheme="minorEastAsia"/>
          <w:bCs/>
          <w:color w:val="auto"/>
          <w:sz w:val="24"/>
          <w:szCs w:val="24"/>
          <w:highlight w:val="none"/>
        </w:rPr>
        <w:t>.2对未通过资格审查的</w:t>
      </w:r>
      <w:r>
        <w:rPr>
          <w:rFonts w:hint="eastAsia" w:asciiTheme="minorEastAsia" w:hAnsiTheme="minorEastAsia" w:eastAsiaTheme="minorEastAsia" w:cstheme="minorEastAsia"/>
          <w:bCs/>
          <w:color w:val="auto"/>
          <w:sz w:val="24"/>
          <w:szCs w:val="24"/>
          <w:highlight w:val="none"/>
          <w:lang w:val="en-US" w:eastAsia="zh-CN"/>
        </w:rPr>
        <w:t>竞</w:t>
      </w:r>
      <w:r>
        <w:rPr>
          <w:rFonts w:hint="eastAsia" w:asciiTheme="minorEastAsia" w:hAnsiTheme="minorEastAsia" w:eastAsiaTheme="minorEastAsia" w:cstheme="minorEastAsia"/>
          <w:bCs/>
          <w:color w:val="auto"/>
          <w:sz w:val="24"/>
          <w:szCs w:val="24"/>
          <w:highlight w:val="none"/>
        </w:rPr>
        <w:t>标人，采购人或采购机构应当告知其未通过的原因；采用综合评分办法评审的，采购人或采购机构还应当告知未</w:t>
      </w:r>
      <w:r>
        <w:rPr>
          <w:rFonts w:hint="eastAsia" w:asciiTheme="minorEastAsia" w:hAnsiTheme="minorEastAsia" w:eastAsiaTheme="minorEastAsia" w:cstheme="minorEastAsia"/>
          <w:bCs/>
          <w:color w:val="auto"/>
          <w:sz w:val="24"/>
          <w:szCs w:val="24"/>
          <w:highlight w:val="none"/>
          <w:lang w:val="en-US" w:eastAsia="zh-CN"/>
        </w:rPr>
        <w:t>成交</w:t>
      </w:r>
      <w:r>
        <w:rPr>
          <w:rFonts w:hint="eastAsia" w:asciiTheme="minorEastAsia" w:hAnsiTheme="minorEastAsia" w:eastAsiaTheme="minorEastAsia" w:cstheme="minorEastAsia"/>
          <w:bCs/>
          <w:color w:val="auto"/>
          <w:sz w:val="24"/>
          <w:szCs w:val="24"/>
          <w:highlight w:val="none"/>
        </w:rPr>
        <w:t>人本人的评审得分与排序</w:t>
      </w:r>
      <w:r>
        <w:rPr>
          <w:rFonts w:hint="eastAsia" w:asciiTheme="minorEastAsia" w:hAnsiTheme="minorEastAsia" w:eastAsiaTheme="minorEastAsia" w:cstheme="minorEastAsia"/>
          <w:bCs/>
          <w:color w:val="auto"/>
          <w:sz w:val="24"/>
          <w:szCs w:val="24"/>
          <w:highlight w:val="none"/>
          <w:lang w:eastAsia="zh-CN"/>
        </w:rPr>
        <w:t>。</w:t>
      </w:r>
      <w:bookmarkEnd w:id="76"/>
    </w:p>
    <w:p w14:paraId="3F03936D">
      <w:pPr>
        <w:pStyle w:val="11"/>
        <w:spacing w:line="400" w:lineRule="exact"/>
        <w:ind w:firstLine="480" w:firstLineChars="200"/>
        <w:outlineLvl w:val="2"/>
        <w:rPr>
          <w:rFonts w:hint="eastAsia" w:asciiTheme="minorEastAsia" w:hAnsiTheme="minorEastAsia" w:eastAsiaTheme="minorEastAsia" w:cstheme="minorEastAsia"/>
          <w:bCs/>
          <w:color w:val="auto"/>
          <w:sz w:val="24"/>
          <w:szCs w:val="24"/>
          <w:highlight w:val="none"/>
        </w:rPr>
      </w:pPr>
      <w:bookmarkStart w:id="78" w:name="_Toc28971"/>
      <w:r>
        <w:rPr>
          <w:rFonts w:hint="eastAsia" w:asciiTheme="minorEastAsia" w:hAnsiTheme="minorEastAsia" w:eastAsiaTheme="minorEastAsia" w:cstheme="minorEastAsia"/>
          <w:bCs/>
          <w:color w:val="auto"/>
          <w:sz w:val="24"/>
          <w:szCs w:val="24"/>
          <w:highlight w:val="none"/>
          <w:lang w:val="en-US" w:eastAsia="zh-CN"/>
        </w:rPr>
        <w:t>23.3</w:t>
      </w:r>
      <w:r>
        <w:rPr>
          <w:rFonts w:hint="eastAsia" w:asciiTheme="minorEastAsia" w:hAnsiTheme="minorEastAsia" w:eastAsiaTheme="minorEastAsia" w:cstheme="minorEastAsia"/>
          <w:bCs/>
          <w:color w:val="auto"/>
          <w:sz w:val="24"/>
          <w:szCs w:val="24"/>
          <w:highlight w:val="none"/>
        </w:rPr>
        <w:t>采购代理机构无义务向落标的</w:t>
      </w:r>
      <w:r>
        <w:rPr>
          <w:rFonts w:hint="eastAsia" w:asciiTheme="minorEastAsia" w:hAnsiTheme="minorEastAsia" w:eastAsiaTheme="minorEastAsia" w:cstheme="minorEastAsia"/>
          <w:bCs/>
          <w:color w:val="auto"/>
          <w:sz w:val="24"/>
          <w:szCs w:val="24"/>
          <w:highlight w:val="none"/>
          <w:lang w:eastAsia="zh-CN"/>
        </w:rPr>
        <w:t>磋商供应商</w:t>
      </w:r>
      <w:r>
        <w:rPr>
          <w:rFonts w:hint="eastAsia" w:asciiTheme="minorEastAsia" w:hAnsiTheme="minorEastAsia" w:eastAsiaTheme="minorEastAsia" w:cstheme="minorEastAsia"/>
          <w:bCs/>
          <w:color w:val="auto"/>
          <w:sz w:val="24"/>
          <w:szCs w:val="24"/>
          <w:highlight w:val="none"/>
        </w:rPr>
        <w:t>解释落标原因和退还</w:t>
      </w:r>
      <w:r>
        <w:rPr>
          <w:rFonts w:hint="eastAsia" w:asciiTheme="minorEastAsia" w:hAnsiTheme="minorEastAsia" w:eastAsiaTheme="minorEastAsia" w:cstheme="minorEastAsia"/>
          <w:bCs/>
          <w:color w:val="auto"/>
          <w:sz w:val="24"/>
          <w:szCs w:val="24"/>
          <w:highlight w:val="none"/>
          <w:lang w:eastAsia="zh-CN"/>
        </w:rPr>
        <w:t>《响应文件》</w:t>
      </w:r>
      <w:r>
        <w:rPr>
          <w:rFonts w:hint="eastAsia" w:asciiTheme="minorEastAsia" w:hAnsiTheme="minorEastAsia" w:eastAsiaTheme="minorEastAsia" w:cstheme="minorEastAsia"/>
          <w:bCs/>
          <w:color w:val="auto"/>
          <w:sz w:val="24"/>
          <w:szCs w:val="24"/>
          <w:highlight w:val="none"/>
        </w:rPr>
        <w:t>。</w:t>
      </w:r>
      <w:bookmarkEnd w:id="77"/>
      <w:bookmarkEnd w:id="78"/>
    </w:p>
    <w:p w14:paraId="557248D4">
      <w:pPr>
        <w:pStyle w:val="11"/>
        <w:spacing w:line="400" w:lineRule="exact"/>
        <w:outlineLvl w:val="2"/>
        <w:rPr>
          <w:rFonts w:hint="eastAsia" w:asciiTheme="minorEastAsia" w:hAnsiTheme="minorEastAsia" w:eastAsiaTheme="minorEastAsia" w:cstheme="minorEastAsia"/>
          <w:bCs/>
          <w:color w:val="auto"/>
          <w:sz w:val="24"/>
          <w:szCs w:val="24"/>
          <w:highlight w:val="none"/>
        </w:rPr>
      </w:pPr>
      <w:bookmarkStart w:id="79" w:name="_Toc14897"/>
      <w:bookmarkStart w:id="80" w:name="_Toc16088"/>
      <w:bookmarkStart w:id="81" w:name="_Toc17903"/>
      <w:r>
        <w:rPr>
          <w:rFonts w:hint="eastAsia" w:asciiTheme="minorEastAsia" w:hAnsiTheme="minorEastAsia" w:eastAsiaTheme="minorEastAsia" w:cstheme="minorEastAsia"/>
          <w:b/>
          <w:color w:val="auto"/>
          <w:sz w:val="24"/>
          <w:szCs w:val="24"/>
          <w:highlight w:val="none"/>
          <w:lang w:val="en-US" w:eastAsia="zh-CN"/>
        </w:rPr>
        <w:t>24</w:t>
      </w:r>
      <w:r>
        <w:rPr>
          <w:rFonts w:hint="eastAsia" w:asciiTheme="minorEastAsia" w:hAnsiTheme="minorEastAsia" w:eastAsiaTheme="minorEastAsia" w:cstheme="minorEastAsia"/>
          <w:b/>
          <w:color w:val="auto"/>
          <w:sz w:val="24"/>
          <w:szCs w:val="24"/>
          <w:highlight w:val="none"/>
        </w:rPr>
        <w:t>.合同授予标准</w:t>
      </w:r>
      <w:bookmarkEnd w:id="79"/>
      <w:bookmarkEnd w:id="80"/>
    </w:p>
    <w:p w14:paraId="00FBB5E3">
      <w:pPr>
        <w:pStyle w:val="11"/>
        <w:spacing w:line="400" w:lineRule="exact"/>
        <w:ind w:firstLine="480" w:firstLineChars="200"/>
        <w:outlineLvl w:val="2"/>
        <w:rPr>
          <w:rFonts w:hint="eastAsia" w:asciiTheme="minorEastAsia" w:hAnsiTheme="minorEastAsia" w:eastAsiaTheme="minorEastAsia" w:cstheme="minorEastAsia"/>
          <w:bCs/>
          <w:color w:val="auto"/>
          <w:sz w:val="24"/>
          <w:szCs w:val="24"/>
          <w:highlight w:val="none"/>
        </w:rPr>
      </w:pPr>
      <w:bookmarkStart w:id="82" w:name="_Toc1836"/>
      <w:r>
        <w:rPr>
          <w:rFonts w:hint="eastAsia" w:asciiTheme="minorEastAsia" w:hAnsiTheme="minorEastAsia" w:eastAsiaTheme="minorEastAsia" w:cstheme="minorEastAsia"/>
          <w:bCs/>
          <w:color w:val="auto"/>
          <w:sz w:val="24"/>
          <w:szCs w:val="24"/>
          <w:highlight w:val="none"/>
          <w:lang w:val="en-US" w:eastAsia="zh-CN"/>
        </w:rPr>
        <w:t>24</w:t>
      </w:r>
      <w:r>
        <w:rPr>
          <w:rFonts w:hint="eastAsia" w:asciiTheme="minorEastAsia" w:hAnsiTheme="minorEastAsia" w:eastAsiaTheme="minorEastAsia" w:cstheme="minorEastAsia"/>
          <w:bCs/>
          <w:color w:val="auto"/>
          <w:sz w:val="24"/>
          <w:szCs w:val="24"/>
          <w:highlight w:val="none"/>
        </w:rPr>
        <w:t>.1合同将授予被确定为实质上响应</w:t>
      </w:r>
      <w:r>
        <w:rPr>
          <w:rFonts w:hint="eastAsia" w:asciiTheme="minorEastAsia" w:hAnsiTheme="minorEastAsia" w:eastAsiaTheme="minorEastAsia" w:cstheme="minorEastAsia"/>
          <w:bCs/>
          <w:color w:val="auto"/>
          <w:sz w:val="24"/>
          <w:szCs w:val="24"/>
          <w:highlight w:val="none"/>
          <w:lang w:eastAsia="zh-CN"/>
        </w:rPr>
        <w:t>《竞争性磋商文件》</w:t>
      </w:r>
      <w:r>
        <w:rPr>
          <w:rFonts w:hint="eastAsia" w:asciiTheme="minorEastAsia" w:hAnsiTheme="minorEastAsia" w:eastAsiaTheme="minorEastAsia" w:cstheme="minorEastAsia"/>
          <w:bCs/>
          <w:color w:val="auto"/>
          <w:sz w:val="24"/>
          <w:szCs w:val="24"/>
          <w:highlight w:val="none"/>
        </w:rPr>
        <w:t>要求，评标认为具备履行合同能力，获得综合评分最高的</w:t>
      </w:r>
      <w:r>
        <w:rPr>
          <w:rFonts w:hint="eastAsia" w:asciiTheme="minorEastAsia" w:hAnsiTheme="minorEastAsia" w:eastAsiaTheme="minorEastAsia" w:cstheme="minorEastAsia"/>
          <w:bCs/>
          <w:color w:val="auto"/>
          <w:sz w:val="24"/>
          <w:szCs w:val="24"/>
          <w:highlight w:val="none"/>
          <w:lang w:eastAsia="zh-CN"/>
        </w:rPr>
        <w:t>磋商供应商</w:t>
      </w:r>
      <w:r>
        <w:rPr>
          <w:rFonts w:hint="eastAsia" w:asciiTheme="minorEastAsia" w:hAnsiTheme="minorEastAsia" w:eastAsiaTheme="minorEastAsia" w:cstheme="minorEastAsia"/>
          <w:bCs/>
          <w:color w:val="auto"/>
          <w:sz w:val="24"/>
          <w:szCs w:val="24"/>
          <w:highlight w:val="none"/>
        </w:rPr>
        <w:t>。</w:t>
      </w:r>
      <w:bookmarkEnd w:id="81"/>
      <w:bookmarkEnd w:id="82"/>
    </w:p>
    <w:p w14:paraId="56CB1AC7">
      <w:pPr>
        <w:pStyle w:val="11"/>
        <w:spacing w:line="400" w:lineRule="exact"/>
        <w:ind w:firstLine="480" w:firstLineChars="200"/>
        <w:outlineLvl w:val="2"/>
        <w:rPr>
          <w:rFonts w:hint="eastAsia" w:asciiTheme="minorEastAsia" w:hAnsiTheme="minorEastAsia" w:eastAsiaTheme="minorEastAsia" w:cstheme="minorEastAsia"/>
          <w:bCs/>
          <w:color w:val="auto"/>
          <w:sz w:val="24"/>
          <w:szCs w:val="24"/>
          <w:highlight w:val="none"/>
          <w:lang w:val="en-US" w:eastAsia="zh-CN"/>
        </w:rPr>
      </w:pPr>
      <w:bookmarkStart w:id="83" w:name="_Toc22962"/>
      <w:bookmarkStart w:id="84" w:name="_Toc21249"/>
      <w:r>
        <w:rPr>
          <w:rFonts w:hint="eastAsia" w:asciiTheme="minorEastAsia" w:hAnsiTheme="minorEastAsia" w:eastAsiaTheme="minorEastAsia" w:cstheme="minorEastAsia"/>
          <w:bCs/>
          <w:color w:val="auto"/>
          <w:sz w:val="24"/>
          <w:szCs w:val="24"/>
          <w:highlight w:val="none"/>
          <w:lang w:val="en-US" w:eastAsia="zh-CN"/>
        </w:rPr>
        <w:t>24</w:t>
      </w:r>
      <w:r>
        <w:rPr>
          <w:rFonts w:hint="eastAsia" w:asciiTheme="minorEastAsia" w:hAnsiTheme="minorEastAsia" w:eastAsiaTheme="minorEastAsia" w:cstheme="minorEastAsia"/>
          <w:bCs/>
          <w:color w:val="auto"/>
          <w:sz w:val="24"/>
          <w:szCs w:val="24"/>
          <w:highlight w:val="none"/>
        </w:rPr>
        <w:t>.2采购人应按照评标报告中推荐的成交候选人顺序确定成交人，也可授权磋商小组直接确定成交人。</w:t>
      </w:r>
      <w:bookmarkEnd w:id="83"/>
      <w:r>
        <w:rPr>
          <w:rFonts w:hint="eastAsia" w:asciiTheme="minorEastAsia" w:hAnsiTheme="minorEastAsia" w:eastAsiaTheme="minorEastAsia" w:cstheme="minorEastAsia"/>
          <w:bCs/>
          <w:color w:val="auto"/>
          <w:sz w:val="24"/>
          <w:szCs w:val="24"/>
          <w:highlight w:val="none"/>
          <w:lang w:val="en-US" w:eastAsia="zh-CN"/>
        </w:rPr>
        <w:t>本项目授权</w:t>
      </w:r>
      <w:r>
        <w:rPr>
          <w:rFonts w:hint="eastAsia" w:asciiTheme="minorEastAsia" w:hAnsiTheme="minorEastAsia" w:eastAsiaTheme="minorEastAsia" w:cstheme="minorEastAsia"/>
          <w:bCs/>
          <w:color w:val="auto"/>
          <w:sz w:val="24"/>
          <w:szCs w:val="24"/>
          <w:highlight w:val="none"/>
        </w:rPr>
        <w:t>磋商小组直接确定成交</w:t>
      </w:r>
      <w:r>
        <w:rPr>
          <w:rFonts w:hint="eastAsia" w:asciiTheme="minorEastAsia" w:hAnsiTheme="minorEastAsia" w:eastAsiaTheme="minorEastAsia" w:cstheme="minorEastAsia"/>
          <w:bCs/>
          <w:color w:val="auto"/>
          <w:sz w:val="24"/>
          <w:szCs w:val="24"/>
          <w:highlight w:val="none"/>
          <w:lang w:val="en-US" w:eastAsia="zh-CN"/>
        </w:rPr>
        <w:t>供应商</w:t>
      </w:r>
      <w:r>
        <w:rPr>
          <w:rFonts w:hint="eastAsia" w:asciiTheme="minorEastAsia" w:hAnsiTheme="minorEastAsia" w:eastAsiaTheme="minorEastAsia" w:cstheme="minorEastAsia"/>
          <w:bCs/>
          <w:color w:val="auto"/>
          <w:sz w:val="24"/>
          <w:szCs w:val="24"/>
          <w:highlight w:val="none"/>
          <w:lang w:eastAsia="zh-CN"/>
        </w:rPr>
        <w:t>。</w:t>
      </w:r>
      <w:bookmarkEnd w:id="84"/>
    </w:p>
    <w:p w14:paraId="22ACDCD2">
      <w:pPr>
        <w:spacing w:line="39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2</w:t>
      </w:r>
      <w:r>
        <w:rPr>
          <w:rFonts w:hint="eastAsia" w:asciiTheme="minorEastAsia" w:hAnsiTheme="minorEastAsia" w:eastAsiaTheme="minorEastAsia" w:cstheme="minorEastAsia"/>
          <w:b/>
          <w:bCs/>
          <w:color w:val="auto"/>
          <w:sz w:val="24"/>
          <w:szCs w:val="24"/>
          <w:highlight w:val="none"/>
          <w:lang w:val="en-US" w:eastAsia="zh-CN"/>
        </w:rPr>
        <w:t>5</w:t>
      </w:r>
      <w:r>
        <w:rPr>
          <w:rFonts w:hint="eastAsia" w:asciiTheme="minorEastAsia" w:hAnsiTheme="minorEastAsia" w:eastAsiaTheme="minorEastAsia" w:cstheme="minorEastAsia"/>
          <w:b/>
          <w:bCs/>
          <w:color w:val="auto"/>
          <w:sz w:val="24"/>
          <w:szCs w:val="24"/>
          <w:highlight w:val="none"/>
        </w:rPr>
        <w:t>、签订合同</w:t>
      </w:r>
    </w:p>
    <w:p w14:paraId="0713247E">
      <w:pPr>
        <w:pStyle w:val="11"/>
        <w:spacing w:line="360" w:lineRule="exact"/>
        <w:ind w:firstLine="480" w:firstLineChars="200"/>
        <w:rPr>
          <w:rFonts w:hint="eastAsia" w:asciiTheme="minorEastAsia" w:hAnsiTheme="minorEastAsia" w:eastAsiaTheme="minorEastAsia" w:cstheme="minorEastAsia"/>
          <w:color w:val="auto"/>
          <w:sz w:val="24"/>
          <w:szCs w:val="24"/>
          <w:highlight w:val="none"/>
        </w:rPr>
      </w:pPr>
      <w:bookmarkStart w:id="85" w:name="_Toc459103905"/>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rPr>
        <w:t>人领取电子</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rPr>
        <w:t>通知书后，按成交通知书中规定的时间、地点与采购人签订合同。</w:t>
      </w:r>
    </w:p>
    <w:p w14:paraId="4262C9B2">
      <w:pPr>
        <w:pStyle w:val="11"/>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.2如成交人不按成交通知书的规定签订合同（采购人原因除外），则按成交人违约处理，本代理将取消该成交决定，不予退还该成交人的磋商保证金，成交人应当依法承担法律责任。</w:t>
      </w:r>
      <w:r>
        <w:rPr>
          <w:rFonts w:hint="eastAsia" w:asciiTheme="minorEastAsia" w:hAnsiTheme="minorEastAsia" w:eastAsiaTheme="minorEastAsia" w:cstheme="minorEastAsia"/>
          <w:color w:val="auto"/>
          <w:sz w:val="24"/>
          <w:szCs w:val="24"/>
          <w:highlight w:val="none"/>
          <w:lang w:eastAsia="zh-CN"/>
        </w:rPr>
        <w:t>如采购人无正当理由拒签合同的，给</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lang w:eastAsia="zh-CN"/>
        </w:rPr>
        <w:t>供应商造成损失的，</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lang w:eastAsia="zh-CN"/>
        </w:rPr>
        <w:t>供应商可追究采购人承担相应的法律责任。</w:t>
      </w:r>
    </w:p>
    <w:p w14:paraId="6E502643">
      <w:pPr>
        <w:pStyle w:val="11"/>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.3成交人因不可抗力或者自身原因不能履行政府采购合同的，采购人可以确定排名第二位的成交候选人并与其签订政府采购合同，以此类推</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也可以重新开展政府采购活动</w:t>
      </w:r>
      <w:r>
        <w:rPr>
          <w:rFonts w:hint="eastAsia" w:asciiTheme="minorEastAsia" w:hAnsiTheme="minorEastAsia" w:eastAsiaTheme="minorEastAsia" w:cstheme="minorEastAsia"/>
          <w:color w:val="auto"/>
          <w:sz w:val="24"/>
          <w:szCs w:val="24"/>
          <w:highlight w:val="none"/>
          <w:lang w:eastAsia="zh-CN"/>
        </w:rPr>
        <w:t>。</w:t>
      </w:r>
    </w:p>
    <w:p w14:paraId="2F2BBBAC">
      <w:pPr>
        <w:pStyle w:val="11"/>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4由于成交人放弃成交或未按规定签订合同，造成本项目的合同成交价提高（指采购人选择第二成交候选人或重新采购导致成交金额高于违约单位的成交价），所超出违约供应的成交价部分由违约单位承担赔偿责任。</w:t>
      </w:r>
    </w:p>
    <w:p w14:paraId="7DD7BD0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25.5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35310B1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25.6</w:t>
      </w:r>
      <w:r>
        <w:rPr>
          <w:rFonts w:hint="eastAsia" w:asciiTheme="minorEastAsia" w:hAnsiTheme="minorEastAsia" w:eastAsiaTheme="minorEastAsia" w:cstheme="minorEastAsia"/>
          <w:b/>
          <w:bCs/>
          <w:color w:val="auto"/>
          <w:kern w:val="2"/>
          <w:sz w:val="24"/>
          <w:szCs w:val="24"/>
          <w:highlight w:val="none"/>
          <w:lang w:val="en-US" w:eastAsia="zh-CN" w:bidi="ar-SA"/>
        </w:rPr>
        <w:t>采购人和成交人应当在竞标有效期内以及《成交通知书》发出之日起7日内，最长不超过9日，根据《竞争性磋商文件》和成交人的《响应文件》等内容通过政府采购电子交易平台在线签订，自动备案，在线签订须携带有效 CA 证书加盖单位电子公章。</w:t>
      </w:r>
    </w:p>
    <w:p w14:paraId="61D337E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25.7采购单位自采购合同签订之日起在2个工作日内（争取1个工作日内），将政府采购合同通过委托的政府采购代理机构在财政部门指定的媒体上公告，但政府采购合同中涉及国家秘密、商业秘密的内容除外。</w:t>
      </w:r>
    </w:p>
    <w:p w14:paraId="7216573C">
      <w:pPr>
        <w:pStyle w:val="11"/>
        <w:spacing w:line="400" w:lineRule="exact"/>
        <w:outlineLvl w:val="2"/>
        <w:rPr>
          <w:rFonts w:hint="eastAsia" w:asciiTheme="minorEastAsia" w:hAnsiTheme="minorEastAsia" w:eastAsiaTheme="minorEastAsia" w:cstheme="minorEastAsia"/>
          <w:b/>
          <w:color w:val="auto"/>
          <w:sz w:val="24"/>
          <w:szCs w:val="24"/>
          <w:highlight w:val="none"/>
        </w:rPr>
      </w:pPr>
      <w:bookmarkStart w:id="86" w:name="_Toc8743"/>
      <w:bookmarkStart w:id="87" w:name="_Toc5728"/>
      <w:r>
        <w:rPr>
          <w:rFonts w:hint="eastAsia" w:asciiTheme="minorEastAsia" w:hAnsiTheme="minorEastAsia" w:eastAsiaTheme="minorEastAsia" w:cstheme="minorEastAsia"/>
          <w:b/>
          <w:color w:val="auto"/>
          <w:sz w:val="24"/>
          <w:szCs w:val="24"/>
          <w:highlight w:val="none"/>
        </w:rPr>
        <w:t>2</w:t>
      </w:r>
      <w:r>
        <w:rPr>
          <w:rFonts w:hint="eastAsia" w:asciiTheme="minorEastAsia" w:hAnsiTheme="minorEastAsia" w:eastAsiaTheme="minorEastAsia" w:cstheme="minorEastAsia"/>
          <w:b/>
          <w:color w:val="auto"/>
          <w:sz w:val="24"/>
          <w:szCs w:val="24"/>
          <w:highlight w:val="none"/>
          <w:lang w:val="en-US" w:eastAsia="zh-CN"/>
        </w:rPr>
        <w:t>6</w:t>
      </w:r>
      <w:r>
        <w:rPr>
          <w:rFonts w:hint="eastAsia" w:asciiTheme="minorEastAsia" w:hAnsiTheme="minorEastAsia" w:eastAsiaTheme="minorEastAsia" w:cstheme="minorEastAsia"/>
          <w:b/>
          <w:color w:val="auto"/>
          <w:sz w:val="24"/>
          <w:szCs w:val="24"/>
          <w:highlight w:val="none"/>
        </w:rPr>
        <w:t>.合同履行中的追加</w:t>
      </w:r>
      <w:bookmarkEnd w:id="86"/>
      <w:bookmarkEnd w:id="87"/>
    </w:p>
    <w:p w14:paraId="27166409">
      <w:pPr>
        <w:pStyle w:val="11"/>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政府采购合同履行中，采购单位需追加与合同标的相同的货物、工程和服务的，在不改变合同其他条款的前提下，可以与成交人协商签订补充的合同。但补充的合同涉及的采购金额不得超过原合同采购金额的10%。</w:t>
      </w:r>
    </w:p>
    <w:p w14:paraId="402C3001">
      <w:pPr>
        <w:spacing w:line="390" w:lineRule="exact"/>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27.农民工工资保障金</w:t>
      </w:r>
    </w:p>
    <w:p w14:paraId="50EAD5E9">
      <w:pPr>
        <w:pStyle w:val="3"/>
        <w:spacing w:before="0" w:after="0" w:line="390" w:lineRule="exact"/>
        <w:ind w:firstLine="480" w:firstLineChars="200"/>
        <w:jc w:val="both"/>
        <w:rPr>
          <w:rFonts w:hint="eastAsia" w:asciiTheme="minorEastAsia" w:hAnsiTheme="minorEastAsia" w:eastAsiaTheme="minorEastAsia" w:cstheme="minorEastAsia"/>
          <w:b w:val="0"/>
          <w:color w:val="auto"/>
          <w:kern w:val="2"/>
          <w:sz w:val="24"/>
          <w:szCs w:val="24"/>
          <w:highlight w:val="none"/>
          <w:lang w:val="en-US" w:eastAsia="zh-CN" w:bidi="ar-SA"/>
        </w:rPr>
      </w:pPr>
      <w:bookmarkStart w:id="88" w:name="_Toc23066"/>
      <w:r>
        <w:rPr>
          <w:rFonts w:hint="eastAsia" w:asciiTheme="minorEastAsia" w:hAnsiTheme="minorEastAsia" w:eastAsiaTheme="minorEastAsia" w:cstheme="minorEastAsia"/>
          <w:b w:val="0"/>
          <w:color w:val="auto"/>
          <w:kern w:val="2"/>
          <w:sz w:val="24"/>
          <w:szCs w:val="24"/>
          <w:highlight w:val="none"/>
          <w:lang w:val="en-US" w:eastAsia="zh-CN" w:bidi="ar-SA"/>
        </w:rPr>
        <w:t>27.1</w:t>
      </w:r>
      <w:r>
        <w:rPr>
          <w:rFonts w:hint="eastAsia" w:asciiTheme="minorEastAsia" w:hAnsiTheme="minorEastAsia" w:eastAsiaTheme="minorEastAsia" w:cstheme="minorEastAsia"/>
          <w:b w:val="0"/>
          <w:bCs w:val="0"/>
          <w:color w:val="auto"/>
          <w:sz w:val="24"/>
          <w:szCs w:val="24"/>
          <w:highlight w:val="none"/>
          <w:lang w:val="en-US" w:eastAsia="zh-CN"/>
        </w:rPr>
        <w:t>按合同条款执行</w:t>
      </w:r>
      <w:r>
        <w:rPr>
          <w:rFonts w:hint="eastAsia" w:asciiTheme="minorEastAsia" w:hAnsiTheme="minorEastAsia" w:eastAsiaTheme="minorEastAsia" w:cstheme="minorEastAsia"/>
          <w:b w:val="0"/>
          <w:color w:val="auto"/>
          <w:kern w:val="2"/>
          <w:sz w:val="24"/>
          <w:szCs w:val="24"/>
          <w:highlight w:val="none"/>
          <w:lang w:val="en-US" w:eastAsia="zh-CN" w:bidi="ar-SA"/>
        </w:rPr>
        <w:t>。</w:t>
      </w:r>
      <w:bookmarkEnd w:id="88"/>
    </w:p>
    <w:p w14:paraId="339E35D1">
      <w:pPr>
        <w:pStyle w:val="3"/>
        <w:spacing w:before="0" w:after="0" w:line="390" w:lineRule="exact"/>
        <w:rPr>
          <w:rFonts w:hint="eastAsia" w:asciiTheme="minorEastAsia" w:hAnsiTheme="minorEastAsia" w:eastAsiaTheme="minorEastAsia" w:cstheme="minorEastAsia"/>
          <w:color w:val="auto"/>
          <w:sz w:val="24"/>
          <w:szCs w:val="24"/>
          <w:highlight w:val="none"/>
        </w:rPr>
      </w:pPr>
      <w:bookmarkStart w:id="89" w:name="_Toc7705"/>
      <w:r>
        <w:rPr>
          <w:rFonts w:hint="eastAsia" w:asciiTheme="minorEastAsia" w:hAnsiTheme="minorEastAsia" w:eastAsiaTheme="minorEastAsia" w:cstheme="minorEastAsia"/>
          <w:color w:val="auto"/>
          <w:sz w:val="24"/>
          <w:szCs w:val="24"/>
          <w:highlight w:val="none"/>
        </w:rPr>
        <w:t>八、其他事项</w:t>
      </w:r>
      <w:bookmarkEnd w:id="85"/>
      <w:bookmarkEnd w:id="89"/>
    </w:p>
    <w:p w14:paraId="1CFEE6E8">
      <w:pPr>
        <w:spacing w:line="39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2</w:t>
      </w:r>
      <w:r>
        <w:rPr>
          <w:rFonts w:hint="eastAsia" w:asciiTheme="minorEastAsia" w:hAnsiTheme="minorEastAsia" w:eastAsiaTheme="minorEastAsia" w:cstheme="minorEastAsia"/>
          <w:b/>
          <w:bCs/>
          <w:color w:val="auto"/>
          <w:sz w:val="24"/>
          <w:szCs w:val="24"/>
          <w:highlight w:val="none"/>
          <w:lang w:val="en-US" w:eastAsia="zh-CN"/>
        </w:rPr>
        <w:t>8</w:t>
      </w:r>
      <w:r>
        <w:rPr>
          <w:rFonts w:hint="eastAsia" w:asciiTheme="minorEastAsia" w:hAnsiTheme="minorEastAsia" w:eastAsiaTheme="minorEastAsia" w:cstheme="minorEastAsia"/>
          <w:b/>
          <w:bCs/>
          <w:color w:val="auto"/>
          <w:sz w:val="24"/>
          <w:szCs w:val="24"/>
          <w:highlight w:val="none"/>
        </w:rPr>
        <w:t>、解释权</w:t>
      </w:r>
    </w:p>
    <w:p w14:paraId="5B2EB143">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.1本</w:t>
      </w:r>
      <w:r>
        <w:rPr>
          <w:rFonts w:hint="eastAsia" w:asciiTheme="minorEastAsia" w:hAnsiTheme="minorEastAsia" w:eastAsiaTheme="minorEastAsia" w:cstheme="minorEastAsia"/>
          <w:color w:val="auto"/>
          <w:sz w:val="24"/>
          <w:szCs w:val="24"/>
          <w:highlight w:val="none"/>
          <w:lang w:eastAsia="zh-CN"/>
        </w:rPr>
        <w:t>《竞争性磋商文件》</w:t>
      </w:r>
      <w:r>
        <w:rPr>
          <w:rFonts w:hint="eastAsia" w:asciiTheme="minorEastAsia" w:hAnsiTheme="minorEastAsia" w:eastAsiaTheme="minorEastAsia" w:cstheme="minorEastAsia"/>
          <w:color w:val="auto"/>
          <w:sz w:val="24"/>
          <w:szCs w:val="24"/>
          <w:highlight w:val="none"/>
        </w:rPr>
        <w:t>是根据国家有关法律、法规以及政府采购管理有关规定和参照国际惯例编制，解释权属本采购代理机构。</w:t>
      </w:r>
    </w:p>
    <w:p w14:paraId="7A4F0E7E">
      <w:pPr>
        <w:spacing w:line="39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w:t>
      </w:r>
      <w:r>
        <w:rPr>
          <w:rFonts w:hint="eastAsia" w:asciiTheme="minorEastAsia" w:hAnsiTheme="minorEastAsia" w:eastAsiaTheme="minorEastAsia" w:cstheme="minorEastAsia"/>
          <w:b/>
          <w:color w:val="auto"/>
          <w:sz w:val="24"/>
          <w:szCs w:val="24"/>
          <w:highlight w:val="none"/>
          <w:lang w:val="en-US" w:eastAsia="zh-CN"/>
        </w:rPr>
        <w:t>9</w:t>
      </w:r>
      <w:r>
        <w:rPr>
          <w:rFonts w:hint="eastAsia" w:asciiTheme="minorEastAsia" w:hAnsiTheme="minorEastAsia" w:eastAsiaTheme="minorEastAsia" w:cstheme="minorEastAsia"/>
          <w:b/>
          <w:color w:val="auto"/>
          <w:sz w:val="24"/>
          <w:szCs w:val="24"/>
          <w:highlight w:val="none"/>
        </w:rPr>
        <w:t>、代理</w:t>
      </w:r>
      <w:r>
        <w:rPr>
          <w:rFonts w:hint="eastAsia" w:asciiTheme="minorEastAsia" w:hAnsiTheme="minorEastAsia" w:eastAsiaTheme="minorEastAsia" w:cstheme="minorEastAsia"/>
          <w:b/>
          <w:color w:val="auto"/>
          <w:sz w:val="24"/>
          <w:szCs w:val="24"/>
          <w:highlight w:val="none"/>
          <w:lang w:eastAsia="zh-CN"/>
        </w:rPr>
        <w:t>服务</w:t>
      </w:r>
      <w:r>
        <w:rPr>
          <w:rFonts w:hint="eastAsia" w:asciiTheme="minorEastAsia" w:hAnsiTheme="minorEastAsia" w:eastAsiaTheme="minorEastAsia" w:cstheme="minorEastAsia"/>
          <w:b/>
          <w:color w:val="auto"/>
          <w:sz w:val="24"/>
          <w:szCs w:val="24"/>
          <w:highlight w:val="none"/>
        </w:rPr>
        <w:t>费</w:t>
      </w:r>
    </w:p>
    <w:p w14:paraId="37B77671">
      <w:pPr>
        <w:spacing w:line="39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29</w:t>
      </w:r>
      <w:r>
        <w:rPr>
          <w:rFonts w:hint="eastAsia" w:asciiTheme="minorEastAsia" w:hAnsiTheme="minorEastAsia" w:eastAsiaTheme="minorEastAsia" w:cstheme="minorEastAsia"/>
          <w:color w:val="auto"/>
          <w:sz w:val="24"/>
          <w:szCs w:val="24"/>
          <w:highlight w:val="none"/>
        </w:rPr>
        <w:t>.1代理</w:t>
      </w:r>
      <w:r>
        <w:rPr>
          <w:rFonts w:hint="eastAsia" w:asciiTheme="minorEastAsia" w:hAnsiTheme="minorEastAsia" w:eastAsiaTheme="minorEastAsia" w:cstheme="minorEastAsia"/>
          <w:color w:val="auto"/>
          <w:sz w:val="24"/>
          <w:szCs w:val="24"/>
          <w:highlight w:val="none"/>
          <w:lang w:eastAsia="zh-CN"/>
        </w:rPr>
        <w:t>服务</w:t>
      </w:r>
      <w:r>
        <w:rPr>
          <w:rFonts w:hint="eastAsia" w:asciiTheme="minorEastAsia" w:hAnsiTheme="minorEastAsia" w:eastAsiaTheme="minorEastAsia" w:cstheme="minorEastAsia"/>
          <w:color w:val="auto"/>
          <w:sz w:val="24"/>
          <w:szCs w:val="24"/>
          <w:highlight w:val="none"/>
        </w:rPr>
        <w:t>费：根据国家发改办【2003】857号文，代理</w:t>
      </w:r>
      <w:r>
        <w:rPr>
          <w:rFonts w:hint="eastAsia" w:asciiTheme="minorEastAsia" w:hAnsiTheme="minorEastAsia" w:eastAsiaTheme="minorEastAsia" w:cstheme="minorEastAsia"/>
          <w:color w:val="auto"/>
          <w:sz w:val="24"/>
          <w:szCs w:val="24"/>
          <w:highlight w:val="none"/>
          <w:lang w:eastAsia="zh-CN"/>
        </w:rPr>
        <w:t>服务</w:t>
      </w:r>
      <w:r>
        <w:rPr>
          <w:rFonts w:hint="eastAsia" w:asciiTheme="minorEastAsia" w:hAnsiTheme="minorEastAsia" w:eastAsiaTheme="minorEastAsia" w:cstheme="minorEastAsia"/>
          <w:color w:val="auto"/>
          <w:sz w:val="24"/>
          <w:szCs w:val="24"/>
          <w:highlight w:val="none"/>
        </w:rPr>
        <w:t>费由成交单位交纳，含在磋商报价内，代理</w:t>
      </w:r>
      <w:r>
        <w:rPr>
          <w:rFonts w:hint="eastAsia" w:asciiTheme="minorEastAsia" w:hAnsiTheme="minorEastAsia" w:eastAsiaTheme="minorEastAsia" w:cstheme="minorEastAsia"/>
          <w:color w:val="auto"/>
          <w:sz w:val="24"/>
          <w:szCs w:val="24"/>
          <w:highlight w:val="none"/>
          <w:lang w:eastAsia="zh-CN"/>
        </w:rPr>
        <w:t>服务</w:t>
      </w:r>
      <w:r>
        <w:rPr>
          <w:rFonts w:hint="eastAsia" w:asciiTheme="minorEastAsia" w:hAnsiTheme="minorEastAsia" w:eastAsiaTheme="minorEastAsia" w:cstheme="minorEastAsia"/>
          <w:color w:val="auto"/>
          <w:sz w:val="24"/>
          <w:szCs w:val="24"/>
          <w:highlight w:val="none"/>
        </w:rPr>
        <w:t>费金额</w:t>
      </w:r>
      <w:r>
        <w:rPr>
          <w:rFonts w:hint="eastAsia" w:asciiTheme="minorEastAsia" w:hAnsiTheme="minorEastAsia" w:eastAsiaTheme="minorEastAsia" w:cstheme="minorEastAsia"/>
          <w:color w:val="auto"/>
          <w:sz w:val="24"/>
          <w:szCs w:val="24"/>
          <w:highlight w:val="none"/>
          <w:lang w:val="en-US" w:eastAsia="zh-CN"/>
        </w:rPr>
        <w:t>参照</w:t>
      </w:r>
      <w:r>
        <w:rPr>
          <w:rFonts w:hint="eastAsia" w:asciiTheme="minorEastAsia" w:hAnsiTheme="minorEastAsia" w:eastAsiaTheme="minorEastAsia" w:cstheme="minorEastAsia"/>
          <w:color w:val="auto"/>
          <w:sz w:val="24"/>
          <w:szCs w:val="24"/>
          <w:highlight w:val="none"/>
        </w:rPr>
        <w:t>国家计委计价格【2002】1980号文规定的“招标代理服务收费标准”执行。由成交人在领取成交通知书时，一次性向</w:t>
      </w:r>
      <w:r>
        <w:rPr>
          <w:rFonts w:hint="eastAsia" w:asciiTheme="minorEastAsia" w:hAnsiTheme="minorEastAsia" w:eastAsiaTheme="minorEastAsia" w:cstheme="minorEastAsia"/>
          <w:color w:val="auto"/>
          <w:sz w:val="24"/>
          <w:szCs w:val="24"/>
          <w:highlight w:val="none"/>
          <w:lang w:eastAsia="zh-CN"/>
        </w:rPr>
        <w:t>采购</w:t>
      </w:r>
      <w:r>
        <w:rPr>
          <w:rFonts w:hint="eastAsia" w:asciiTheme="minorEastAsia" w:hAnsiTheme="minorEastAsia" w:eastAsiaTheme="minorEastAsia" w:cstheme="minorEastAsia"/>
          <w:color w:val="auto"/>
          <w:sz w:val="24"/>
          <w:szCs w:val="24"/>
          <w:highlight w:val="none"/>
        </w:rPr>
        <w:t>代理机构支付</w:t>
      </w:r>
      <w:r>
        <w:rPr>
          <w:rFonts w:hint="eastAsia" w:asciiTheme="minorEastAsia" w:hAnsiTheme="minorEastAsia" w:eastAsiaTheme="minorEastAsia" w:cstheme="minorEastAsia"/>
          <w:color w:val="auto"/>
          <w:sz w:val="24"/>
          <w:szCs w:val="24"/>
          <w:highlight w:val="none"/>
          <w:lang w:val="en-US" w:eastAsia="zh-CN"/>
        </w:rPr>
        <w:t>代理服务费。</w:t>
      </w:r>
    </w:p>
    <w:p w14:paraId="2D1F43B7">
      <w:pPr>
        <w:spacing w:line="390" w:lineRule="exact"/>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30</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“政采贷”政策告知函</w:t>
      </w:r>
    </w:p>
    <w:p w14:paraId="4E969AAB">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各供应商:</w:t>
      </w:r>
    </w:p>
    <w:p w14:paraId="77CD3879">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欢迎贵公司参与贺州市政府采购活动!</w:t>
      </w:r>
    </w:p>
    <w:p w14:paraId="374D535C">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政府采购合同融资是支持中小微企业发展，针对参与政府采购活动的供应商融资难、融资贵问题推出的融资政策。参与政府采购的供应商凭借包括中标（成交）通知书或政府采购合同等在内的相关材料、信息向银行业金融机构申请融资，银行业金融机构依托供应商信用和政府采购信息信誉，为其发放贷款，包括银行业金融机构以供应商的历史中标及履约情况等政府采购信息作为授信参考并发放的贷款。贵公司若成为本次政府采购项目的中标成交供应商，可持政府采购合同等相关材料向金融机构申请贷款，金融机构核实信息，按照双方自愿的原则提供便捷、优惠的贷款服务。</w:t>
      </w:r>
    </w:p>
    <w:p w14:paraId="4C248068">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一、“政采贷”操作流程</w:t>
      </w:r>
    </w:p>
    <w:p w14:paraId="2B8A8638">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进入“广西政府采购网”（</w:t>
      </w:r>
      <w:r>
        <w:rPr>
          <w:rFonts w:hint="eastAsia" w:asciiTheme="minorEastAsia" w:hAnsiTheme="minorEastAsia" w:eastAsiaTheme="minorEastAsia" w:cstheme="minorEastAsia"/>
          <w:b w:val="0"/>
          <w:bCs/>
          <w:color w:val="auto"/>
          <w:sz w:val="24"/>
          <w:szCs w:val="24"/>
          <w:highlight w:val="none"/>
          <w:lang w:val="en-US" w:eastAsia="zh-CN"/>
        </w:rPr>
        <w:fldChar w:fldCharType="begin"/>
      </w:r>
      <w:r>
        <w:rPr>
          <w:rFonts w:hint="eastAsia" w:asciiTheme="minorEastAsia" w:hAnsiTheme="minorEastAsia" w:eastAsiaTheme="minorEastAsia" w:cstheme="minorEastAsia"/>
          <w:b w:val="0"/>
          <w:bCs/>
          <w:color w:val="auto"/>
          <w:sz w:val="24"/>
          <w:szCs w:val="24"/>
          <w:highlight w:val="none"/>
          <w:lang w:val="en-US" w:eastAsia="zh-CN"/>
        </w:rPr>
        <w:instrText xml:space="preserve"> HYPERLINK "http://zfcg.gxzf.gov.cn/" </w:instrText>
      </w:r>
      <w:r>
        <w:rPr>
          <w:rFonts w:hint="eastAsia" w:asciiTheme="minorEastAsia" w:hAnsiTheme="minorEastAsia" w:eastAsiaTheme="minorEastAsia" w:cstheme="minorEastAsia"/>
          <w:b w:val="0"/>
          <w:bCs/>
          <w:color w:val="auto"/>
          <w:sz w:val="24"/>
          <w:szCs w:val="24"/>
          <w:highlight w:val="none"/>
          <w:lang w:val="en-US" w:eastAsia="zh-CN"/>
        </w:rPr>
        <w:fldChar w:fldCharType="separate"/>
      </w:r>
      <w:r>
        <w:rPr>
          <w:rFonts w:hint="eastAsia" w:asciiTheme="minorEastAsia" w:hAnsiTheme="minorEastAsia" w:eastAsiaTheme="minorEastAsia" w:cstheme="minorEastAsia"/>
          <w:b w:val="0"/>
          <w:bCs/>
          <w:color w:val="auto"/>
          <w:sz w:val="24"/>
          <w:szCs w:val="24"/>
          <w:highlight w:val="none"/>
          <w:lang w:val="en-US" w:eastAsia="zh-CN"/>
        </w:rPr>
        <w:t>http://zfcg.gxzf.gov.cn/</w:t>
      </w:r>
      <w:r>
        <w:rPr>
          <w:rFonts w:hint="eastAsia" w:asciiTheme="minorEastAsia" w:hAnsiTheme="minorEastAsia" w:eastAsiaTheme="minorEastAsia" w:cstheme="minorEastAsia"/>
          <w:b w:val="0"/>
          <w:bCs/>
          <w:color w:val="auto"/>
          <w:sz w:val="24"/>
          <w:szCs w:val="24"/>
          <w:highlight w:val="none"/>
          <w:lang w:val="en-US" w:eastAsia="zh-CN"/>
        </w:rPr>
        <w:fldChar w:fldCharType="end"/>
      </w:r>
      <w:r>
        <w:rPr>
          <w:rFonts w:hint="eastAsia" w:asciiTheme="minorEastAsia" w:hAnsiTheme="minorEastAsia" w:eastAsiaTheme="minorEastAsia" w:cstheme="minorEastAsia"/>
          <w:b w:val="0"/>
          <w:bCs/>
          <w:color w:val="auto"/>
          <w:sz w:val="24"/>
          <w:szCs w:val="24"/>
          <w:highlight w:val="none"/>
          <w:lang w:val="en-US" w:eastAsia="zh-CN"/>
        </w:rPr>
        <w:t>）“办事指南”专栏找到“金融融资”板块，进入“广西政府采购金融服务平台”登录，选择试点银行机构进行合同融资预申请。（详情请按照《贺州市财政局关于进一步推行“政采贷”工作的通知》（贺财采〔2024〕3号）文件执行）</w:t>
      </w:r>
    </w:p>
    <w:p w14:paraId="02CD4DBF">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二、承接银行联系方式</w:t>
      </w:r>
    </w:p>
    <w:p w14:paraId="3F3DA53B">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1.中国建设银行贺州分行</w:t>
      </w:r>
      <w:r>
        <w:rPr>
          <w:rFonts w:hint="eastAsia" w:asciiTheme="minorEastAsia" w:hAnsiTheme="minorEastAsia" w:eastAsiaTheme="minorEastAsia" w:cstheme="minorEastAsia"/>
          <w:b w:val="0"/>
          <w:bCs/>
          <w:color w:val="auto"/>
          <w:sz w:val="24"/>
          <w:szCs w:val="24"/>
          <w:highlight w:val="none"/>
          <w:lang w:val="en-US" w:eastAsia="zh-CN"/>
        </w:rPr>
        <w:tab/>
      </w:r>
    </w:p>
    <w:tbl>
      <w:tblPr>
        <w:tblStyle w:val="20"/>
        <w:tblpPr w:leftFromText="180" w:rightFromText="180" w:vertAnchor="text" w:horzAnchor="page" w:tblpX="1362" w:tblpY="14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
        <w:gridCol w:w="2969"/>
        <w:gridCol w:w="954"/>
        <w:gridCol w:w="1125"/>
        <w:gridCol w:w="1537"/>
        <w:gridCol w:w="2625"/>
      </w:tblGrid>
      <w:tr w14:paraId="74029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600" w:type="dxa"/>
            <w:gridSpan w:val="6"/>
            <w:noWrap w:val="0"/>
            <w:vAlign w:val="center"/>
          </w:tcPr>
          <w:p w14:paraId="6517909B">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中国建设银行贺州分行 总协调人：杨宏毅  职务：公司业务部副总经理  手机号码：18077397188</w:t>
            </w:r>
          </w:p>
        </w:tc>
      </w:tr>
      <w:tr w14:paraId="38721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noWrap w:val="0"/>
            <w:vAlign w:val="center"/>
          </w:tcPr>
          <w:p w14:paraId="551F4EFD">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序号</w:t>
            </w:r>
          </w:p>
        </w:tc>
        <w:tc>
          <w:tcPr>
            <w:tcW w:w="2969" w:type="dxa"/>
            <w:noWrap w:val="0"/>
            <w:vAlign w:val="center"/>
          </w:tcPr>
          <w:p w14:paraId="2F632755">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金融机构</w:t>
            </w:r>
          </w:p>
        </w:tc>
        <w:tc>
          <w:tcPr>
            <w:tcW w:w="954" w:type="dxa"/>
            <w:noWrap w:val="0"/>
            <w:vAlign w:val="center"/>
          </w:tcPr>
          <w:p w14:paraId="74746349">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联系人</w:t>
            </w:r>
          </w:p>
        </w:tc>
        <w:tc>
          <w:tcPr>
            <w:tcW w:w="1125" w:type="dxa"/>
            <w:noWrap w:val="0"/>
            <w:vAlign w:val="center"/>
          </w:tcPr>
          <w:p w14:paraId="3DAE152A">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职务</w:t>
            </w:r>
          </w:p>
        </w:tc>
        <w:tc>
          <w:tcPr>
            <w:tcW w:w="1537" w:type="dxa"/>
            <w:noWrap w:val="0"/>
            <w:vAlign w:val="center"/>
          </w:tcPr>
          <w:p w14:paraId="219CB911">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手机号码</w:t>
            </w:r>
          </w:p>
        </w:tc>
        <w:tc>
          <w:tcPr>
            <w:tcW w:w="2625" w:type="dxa"/>
            <w:noWrap w:val="0"/>
            <w:vAlign w:val="center"/>
          </w:tcPr>
          <w:p w14:paraId="7B4DB346">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银行地址</w:t>
            </w:r>
          </w:p>
        </w:tc>
      </w:tr>
      <w:tr w14:paraId="04679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390" w:type="dxa"/>
            <w:noWrap w:val="0"/>
            <w:vAlign w:val="center"/>
          </w:tcPr>
          <w:p w14:paraId="2F57C076">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w:t>
            </w:r>
          </w:p>
        </w:tc>
        <w:tc>
          <w:tcPr>
            <w:tcW w:w="2969" w:type="dxa"/>
            <w:noWrap w:val="0"/>
            <w:vAlign w:val="center"/>
          </w:tcPr>
          <w:p w14:paraId="2189E827">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中国建设银行贺州分行营业部</w:t>
            </w:r>
          </w:p>
        </w:tc>
        <w:tc>
          <w:tcPr>
            <w:tcW w:w="954" w:type="dxa"/>
            <w:noWrap w:val="0"/>
            <w:vAlign w:val="center"/>
          </w:tcPr>
          <w:p w14:paraId="5F0DCCF7">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刘  雍</w:t>
            </w:r>
          </w:p>
        </w:tc>
        <w:tc>
          <w:tcPr>
            <w:tcW w:w="1125" w:type="dxa"/>
            <w:noWrap w:val="0"/>
            <w:vAlign w:val="center"/>
          </w:tcPr>
          <w:p w14:paraId="39228A5A">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客户经理</w:t>
            </w:r>
          </w:p>
        </w:tc>
        <w:tc>
          <w:tcPr>
            <w:tcW w:w="1537" w:type="dxa"/>
            <w:noWrap w:val="0"/>
            <w:vAlign w:val="center"/>
          </w:tcPr>
          <w:p w14:paraId="2602B078">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18778943521</w:t>
            </w:r>
          </w:p>
        </w:tc>
        <w:tc>
          <w:tcPr>
            <w:tcW w:w="2625" w:type="dxa"/>
            <w:noWrap w:val="0"/>
            <w:vAlign w:val="center"/>
          </w:tcPr>
          <w:p w14:paraId="4B9F4148">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贺州市八步区建设中路1号</w:t>
            </w:r>
          </w:p>
        </w:tc>
      </w:tr>
      <w:tr w14:paraId="25DCD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noWrap w:val="0"/>
            <w:vAlign w:val="center"/>
          </w:tcPr>
          <w:p w14:paraId="5F540D49">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w:t>
            </w:r>
          </w:p>
        </w:tc>
        <w:tc>
          <w:tcPr>
            <w:tcW w:w="2969" w:type="dxa"/>
            <w:noWrap w:val="0"/>
            <w:vAlign w:val="center"/>
          </w:tcPr>
          <w:p w14:paraId="391B601A">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中国建设银行贺州城东支行</w:t>
            </w:r>
          </w:p>
        </w:tc>
        <w:tc>
          <w:tcPr>
            <w:tcW w:w="954" w:type="dxa"/>
            <w:noWrap w:val="0"/>
            <w:vAlign w:val="center"/>
          </w:tcPr>
          <w:p w14:paraId="04A8EC33">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刘昭勇</w:t>
            </w:r>
          </w:p>
        </w:tc>
        <w:tc>
          <w:tcPr>
            <w:tcW w:w="1125" w:type="dxa"/>
            <w:noWrap w:val="0"/>
            <w:vAlign w:val="center"/>
          </w:tcPr>
          <w:p w14:paraId="11141DAE">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客户经理</w:t>
            </w:r>
          </w:p>
        </w:tc>
        <w:tc>
          <w:tcPr>
            <w:tcW w:w="1537" w:type="dxa"/>
            <w:noWrap w:val="0"/>
            <w:vAlign w:val="center"/>
          </w:tcPr>
          <w:p w14:paraId="490613D1">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18877499257</w:t>
            </w:r>
          </w:p>
        </w:tc>
        <w:tc>
          <w:tcPr>
            <w:tcW w:w="2625" w:type="dxa"/>
            <w:noWrap w:val="0"/>
            <w:vAlign w:val="center"/>
          </w:tcPr>
          <w:p w14:paraId="0F9C2D38">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贺州市八步区平安西路266号贺州广场购物中心1号楼一层东面</w:t>
            </w:r>
          </w:p>
        </w:tc>
      </w:tr>
      <w:tr w14:paraId="5784F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noWrap w:val="0"/>
            <w:vAlign w:val="center"/>
          </w:tcPr>
          <w:p w14:paraId="2159B838">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w:t>
            </w:r>
          </w:p>
        </w:tc>
        <w:tc>
          <w:tcPr>
            <w:tcW w:w="2969" w:type="dxa"/>
            <w:noWrap w:val="0"/>
            <w:vAlign w:val="center"/>
          </w:tcPr>
          <w:p w14:paraId="2666D62C">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中国建设银行贺州城西支行</w:t>
            </w:r>
          </w:p>
        </w:tc>
        <w:tc>
          <w:tcPr>
            <w:tcW w:w="954" w:type="dxa"/>
            <w:noWrap w:val="0"/>
            <w:vAlign w:val="center"/>
          </w:tcPr>
          <w:p w14:paraId="490D99EF">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于丛家</w:t>
            </w:r>
          </w:p>
        </w:tc>
        <w:tc>
          <w:tcPr>
            <w:tcW w:w="1125" w:type="dxa"/>
            <w:noWrap w:val="0"/>
            <w:vAlign w:val="center"/>
          </w:tcPr>
          <w:p w14:paraId="39914014">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客户经理</w:t>
            </w:r>
          </w:p>
        </w:tc>
        <w:tc>
          <w:tcPr>
            <w:tcW w:w="1537" w:type="dxa"/>
            <w:noWrap w:val="0"/>
            <w:vAlign w:val="center"/>
          </w:tcPr>
          <w:p w14:paraId="4A298A0D">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15177666737</w:t>
            </w:r>
          </w:p>
        </w:tc>
        <w:tc>
          <w:tcPr>
            <w:tcW w:w="2625" w:type="dxa"/>
            <w:noWrap w:val="0"/>
            <w:vAlign w:val="center"/>
          </w:tcPr>
          <w:p w14:paraId="1968C208">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贺州市八步区八达西路689号1栋11号商铺</w:t>
            </w:r>
          </w:p>
        </w:tc>
      </w:tr>
      <w:tr w14:paraId="6F5BE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noWrap w:val="0"/>
            <w:vAlign w:val="center"/>
          </w:tcPr>
          <w:p w14:paraId="1DD13710">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4</w:t>
            </w:r>
          </w:p>
        </w:tc>
        <w:tc>
          <w:tcPr>
            <w:tcW w:w="2969" w:type="dxa"/>
            <w:noWrap w:val="0"/>
            <w:vAlign w:val="center"/>
          </w:tcPr>
          <w:p w14:paraId="1C7A42EE">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中国建设银行贺州平桂支行</w:t>
            </w:r>
          </w:p>
        </w:tc>
        <w:tc>
          <w:tcPr>
            <w:tcW w:w="954" w:type="dxa"/>
            <w:noWrap w:val="0"/>
            <w:vAlign w:val="center"/>
          </w:tcPr>
          <w:p w14:paraId="5466387E">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邱  伟</w:t>
            </w:r>
          </w:p>
        </w:tc>
        <w:tc>
          <w:tcPr>
            <w:tcW w:w="1125" w:type="dxa"/>
            <w:noWrap w:val="0"/>
            <w:vAlign w:val="center"/>
          </w:tcPr>
          <w:p w14:paraId="232602CE">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客户经理</w:t>
            </w:r>
          </w:p>
        </w:tc>
        <w:tc>
          <w:tcPr>
            <w:tcW w:w="1537" w:type="dxa"/>
            <w:noWrap w:val="0"/>
            <w:vAlign w:val="center"/>
          </w:tcPr>
          <w:p w14:paraId="7984FAEE">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18007840720</w:t>
            </w:r>
          </w:p>
        </w:tc>
        <w:tc>
          <w:tcPr>
            <w:tcW w:w="2625" w:type="dxa"/>
            <w:noWrap w:val="0"/>
            <w:vAlign w:val="center"/>
          </w:tcPr>
          <w:p w14:paraId="5146EA24">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贺州市平桂区平桂大道15号富旺小区1号楼105号商铺</w:t>
            </w:r>
          </w:p>
        </w:tc>
      </w:tr>
      <w:tr w14:paraId="07A56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noWrap w:val="0"/>
            <w:vAlign w:val="center"/>
          </w:tcPr>
          <w:p w14:paraId="73C64B5E">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5</w:t>
            </w:r>
          </w:p>
        </w:tc>
        <w:tc>
          <w:tcPr>
            <w:tcW w:w="2969" w:type="dxa"/>
            <w:noWrap w:val="0"/>
            <w:vAlign w:val="center"/>
          </w:tcPr>
          <w:p w14:paraId="21FD9C6D">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中国建设银行钟山支行</w:t>
            </w:r>
          </w:p>
        </w:tc>
        <w:tc>
          <w:tcPr>
            <w:tcW w:w="954" w:type="dxa"/>
            <w:noWrap w:val="0"/>
            <w:vAlign w:val="center"/>
          </w:tcPr>
          <w:p w14:paraId="0D425296">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张文韬</w:t>
            </w:r>
          </w:p>
        </w:tc>
        <w:tc>
          <w:tcPr>
            <w:tcW w:w="1125" w:type="dxa"/>
            <w:noWrap w:val="0"/>
            <w:vAlign w:val="center"/>
          </w:tcPr>
          <w:p w14:paraId="3E8EA412">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客户经理</w:t>
            </w:r>
          </w:p>
        </w:tc>
        <w:tc>
          <w:tcPr>
            <w:tcW w:w="1537" w:type="dxa"/>
            <w:noWrap w:val="0"/>
            <w:vAlign w:val="center"/>
          </w:tcPr>
          <w:p w14:paraId="7DFB6286">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13047836009</w:t>
            </w:r>
          </w:p>
        </w:tc>
        <w:tc>
          <w:tcPr>
            <w:tcW w:w="2625" w:type="dxa"/>
            <w:noWrap w:val="0"/>
            <w:vAlign w:val="center"/>
          </w:tcPr>
          <w:p w14:paraId="349C1FE6">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贺州市钟山县城书香西路南侧</w:t>
            </w:r>
          </w:p>
        </w:tc>
      </w:tr>
      <w:tr w14:paraId="59F66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noWrap w:val="0"/>
            <w:vAlign w:val="center"/>
          </w:tcPr>
          <w:p w14:paraId="6BD8220B">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6</w:t>
            </w:r>
          </w:p>
        </w:tc>
        <w:tc>
          <w:tcPr>
            <w:tcW w:w="2969" w:type="dxa"/>
            <w:noWrap w:val="0"/>
            <w:vAlign w:val="center"/>
          </w:tcPr>
          <w:p w14:paraId="19C5AAA3">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中国建设银行富川支行</w:t>
            </w:r>
          </w:p>
        </w:tc>
        <w:tc>
          <w:tcPr>
            <w:tcW w:w="954" w:type="dxa"/>
            <w:noWrap w:val="0"/>
            <w:vAlign w:val="center"/>
          </w:tcPr>
          <w:p w14:paraId="2EC90F1A">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邓李杰</w:t>
            </w:r>
          </w:p>
        </w:tc>
        <w:tc>
          <w:tcPr>
            <w:tcW w:w="1125" w:type="dxa"/>
            <w:noWrap w:val="0"/>
            <w:vAlign w:val="center"/>
          </w:tcPr>
          <w:p w14:paraId="6087D63D">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营业室总经理</w:t>
            </w:r>
          </w:p>
        </w:tc>
        <w:tc>
          <w:tcPr>
            <w:tcW w:w="1537" w:type="dxa"/>
            <w:noWrap w:val="0"/>
            <w:vAlign w:val="center"/>
          </w:tcPr>
          <w:p w14:paraId="300A6095">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18276498401</w:t>
            </w:r>
          </w:p>
        </w:tc>
        <w:tc>
          <w:tcPr>
            <w:tcW w:w="2625" w:type="dxa"/>
            <w:noWrap w:val="0"/>
            <w:vAlign w:val="center"/>
          </w:tcPr>
          <w:p w14:paraId="07925F2E">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贺州市富川瑶族自治县富阳镇凤凰路汇龙华府第13号楼</w:t>
            </w:r>
          </w:p>
        </w:tc>
      </w:tr>
      <w:tr w14:paraId="64DB8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noWrap w:val="0"/>
            <w:vAlign w:val="center"/>
          </w:tcPr>
          <w:p w14:paraId="6441A92C">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7</w:t>
            </w:r>
          </w:p>
        </w:tc>
        <w:tc>
          <w:tcPr>
            <w:tcW w:w="2969" w:type="dxa"/>
            <w:noWrap w:val="0"/>
            <w:vAlign w:val="center"/>
          </w:tcPr>
          <w:p w14:paraId="197DCC71">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中国建设银行昭平支行</w:t>
            </w:r>
          </w:p>
        </w:tc>
        <w:tc>
          <w:tcPr>
            <w:tcW w:w="954" w:type="dxa"/>
            <w:noWrap w:val="0"/>
            <w:vAlign w:val="center"/>
          </w:tcPr>
          <w:p w14:paraId="36F70DF0">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贝晟延</w:t>
            </w:r>
          </w:p>
        </w:tc>
        <w:tc>
          <w:tcPr>
            <w:tcW w:w="1125" w:type="dxa"/>
            <w:noWrap w:val="0"/>
            <w:vAlign w:val="center"/>
          </w:tcPr>
          <w:p w14:paraId="1512CE49">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客户经理</w:t>
            </w:r>
          </w:p>
        </w:tc>
        <w:tc>
          <w:tcPr>
            <w:tcW w:w="1537" w:type="dxa"/>
            <w:noWrap w:val="0"/>
            <w:vAlign w:val="center"/>
          </w:tcPr>
          <w:p w14:paraId="490DD2C0">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15676427374</w:t>
            </w:r>
          </w:p>
        </w:tc>
        <w:tc>
          <w:tcPr>
            <w:tcW w:w="2625" w:type="dxa"/>
            <w:noWrap w:val="0"/>
            <w:vAlign w:val="center"/>
          </w:tcPr>
          <w:p w14:paraId="6B8140AC">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贺州市昭平县昭平镇东宁中路19号</w:t>
            </w:r>
          </w:p>
        </w:tc>
      </w:tr>
    </w:tbl>
    <w:p w14:paraId="255D4B6C">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2.广西北部湾银行</w:t>
      </w:r>
    </w:p>
    <w:tbl>
      <w:tblPr>
        <w:tblStyle w:val="20"/>
        <w:tblpPr w:leftFromText="180" w:rightFromText="180" w:vertAnchor="text" w:horzAnchor="page" w:tblpX="1362" w:tblpY="14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
        <w:gridCol w:w="3004"/>
        <w:gridCol w:w="943"/>
        <w:gridCol w:w="1136"/>
        <w:gridCol w:w="1534"/>
        <w:gridCol w:w="2449"/>
      </w:tblGrid>
      <w:tr w14:paraId="56915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421" w:type="dxa"/>
            <w:gridSpan w:val="6"/>
            <w:noWrap w:val="0"/>
            <w:vAlign w:val="center"/>
          </w:tcPr>
          <w:p w14:paraId="43A82C09">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广西北部湾银行贺州分行 总协调人：杨政  职务：普惠金融部总经理  手机号码：18978413000</w:t>
            </w:r>
          </w:p>
        </w:tc>
      </w:tr>
      <w:tr w14:paraId="6F9C1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noWrap w:val="0"/>
            <w:vAlign w:val="center"/>
          </w:tcPr>
          <w:p w14:paraId="3165BD28">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序号</w:t>
            </w:r>
          </w:p>
        </w:tc>
        <w:tc>
          <w:tcPr>
            <w:tcW w:w="3004" w:type="dxa"/>
            <w:noWrap w:val="0"/>
            <w:vAlign w:val="center"/>
          </w:tcPr>
          <w:p w14:paraId="1BB307C4">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金融机构</w:t>
            </w:r>
          </w:p>
        </w:tc>
        <w:tc>
          <w:tcPr>
            <w:tcW w:w="943" w:type="dxa"/>
            <w:noWrap w:val="0"/>
            <w:vAlign w:val="center"/>
          </w:tcPr>
          <w:p w14:paraId="1B0FBD44">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联系人</w:t>
            </w:r>
          </w:p>
        </w:tc>
        <w:tc>
          <w:tcPr>
            <w:tcW w:w="1136" w:type="dxa"/>
            <w:noWrap w:val="0"/>
            <w:vAlign w:val="center"/>
          </w:tcPr>
          <w:p w14:paraId="69B1D905">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职务</w:t>
            </w:r>
          </w:p>
        </w:tc>
        <w:tc>
          <w:tcPr>
            <w:tcW w:w="1534" w:type="dxa"/>
            <w:noWrap w:val="0"/>
            <w:vAlign w:val="center"/>
          </w:tcPr>
          <w:p w14:paraId="3B7EF586">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手机号码</w:t>
            </w:r>
          </w:p>
        </w:tc>
        <w:tc>
          <w:tcPr>
            <w:tcW w:w="2449" w:type="dxa"/>
            <w:noWrap w:val="0"/>
            <w:vAlign w:val="center"/>
          </w:tcPr>
          <w:p w14:paraId="2BBF3800">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银行地址</w:t>
            </w:r>
          </w:p>
        </w:tc>
      </w:tr>
      <w:tr w14:paraId="59EC8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64265B99">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w:t>
            </w:r>
          </w:p>
        </w:tc>
        <w:tc>
          <w:tcPr>
            <w:tcW w:w="3004" w:type="dxa"/>
            <w:noWrap w:val="0"/>
            <w:vAlign w:val="center"/>
          </w:tcPr>
          <w:p w14:paraId="365D1B59">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广西北部湾银行贺州分行</w:t>
            </w:r>
          </w:p>
        </w:tc>
        <w:tc>
          <w:tcPr>
            <w:tcW w:w="943" w:type="dxa"/>
            <w:noWrap w:val="0"/>
            <w:vAlign w:val="center"/>
          </w:tcPr>
          <w:p w14:paraId="4DAD4A65">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黄剑锐</w:t>
            </w:r>
          </w:p>
        </w:tc>
        <w:tc>
          <w:tcPr>
            <w:tcW w:w="1136" w:type="dxa"/>
            <w:noWrap w:val="0"/>
            <w:vAlign w:val="center"/>
          </w:tcPr>
          <w:p w14:paraId="1ADACCF6">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个人金融部副经理</w:t>
            </w:r>
          </w:p>
        </w:tc>
        <w:tc>
          <w:tcPr>
            <w:tcW w:w="1534" w:type="dxa"/>
            <w:noWrap w:val="0"/>
            <w:vAlign w:val="center"/>
          </w:tcPr>
          <w:p w14:paraId="12EB36B0">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15507848190</w:t>
            </w:r>
          </w:p>
        </w:tc>
        <w:tc>
          <w:tcPr>
            <w:tcW w:w="2449" w:type="dxa"/>
            <w:noWrap w:val="0"/>
            <w:vAlign w:val="center"/>
          </w:tcPr>
          <w:p w14:paraId="50F6CFDE">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贺州市八步区太白西路153号8号楼</w:t>
            </w:r>
          </w:p>
        </w:tc>
      </w:tr>
      <w:tr w14:paraId="134F6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7E7CC26B">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w:t>
            </w:r>
          </w:p>
        </w:tc>
        <w:tc>
          <w:tcPr>
            <w:tcW w:w="3004" w:type="dxa"/>
            <w:noWrap w:val="0"/>
            <w:vAlign w:val="center"/>
          </w:tcPr>
          <w:p w14:paraId="29CC794D">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广西北部湾银行贺州市平桂支行</w:t>
            </w:r>
          </w:p>
        </w:tc>
        <w:tc>
          <w:tcPr>
            <w:tcW w:w="943" w:type="dxa"/>
            <w:noWrap w:val="0"/>
            <w:vAlign w:val="center"/>
          </w:tcPr>
          <w:p w14:paraId="0AD2154B">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刘  乐</w:t>
            </w:r>
          </w:p>
        </w:tc>
        <w:tc>
          <w:tcPr>
            <w:tcW w:w="1136" w:type="dxa"/>
            <w:noWrap w:val="0"/>
            <w:vAlign w:val="center"/>
          </w:tcPr>
          <w:p w14:paraId="39F74AE9">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公司客户经理</w:t>
            </w:r>
          </w:p>
        </w:tc>
        <w:tc>
          <w:tcPr>
            <w:tcW w:w="1534" w:type="dxa"/>
            <w:noWrap w:val="0"/>
            <w:vAlign w:val="center"/>
          </w:tcPr>
          <w:p w14:paraId="0CCEAB1C">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13036871008</w:t>
            </w:r>
          </w:p>
        </w:tc>
        <w:tc>
          <w:tcPr>
            <w:tcW w:w="2449" w:type="dxa"/>
            <w:noWrap w:val="0"/>
            <w:vAlign w:val="center"/>
          </w:tcPr>
          <w:p w14:paraId="3FE6EB36">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贺州市平桂区平桂大道4号3号楼103号商铺</w:t>
            </w:r>
          </w:p>
        </w:tc>
      </w:tr>
      <w:tr w14:paraId="44B4F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630202BC">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w:t>
            </w:r>
          </w:p>
        </w:tc>
        <w:tc>
          <w:tcPr>
            <w:tcW w:w="3004" w:type="dxa"/>
            <w:noWrap w:val="0"/>
            <w:vAlign w:val="center"/>
          </w:tcPr>
          <w:p w14:paraId="5593F331">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广西北部湾银行钟山支行</w:t>
            </w:r>
          </w:p>
        </w:tc>
        <w:tc>
          <w:tcPr>
            <w:tcW w:w="943" w:type="dxa"/>
            <w:noWrap w:val="0"/>
            <w:vAlign w:val="center"/>
          </w:tcPr>
          <w:p w14:paraId="4D331FC4">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唐振豪</w:t>
            </w:r>
          </w:p>
        </w:tc>
        <w:tc>
          <w:tcPr>
            <w:tcW w:w="1136" w:type="dxa"/>
            <w:noWrap w:val="0"/>
            <w:vAlign w:val="center"/>
          </w:tcPr>
          <w:p w14:paraId="0660C63F">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公司客户经理</w:t>
            </w:r>
          </w:p>
        </w:tc>
        <w:tc>
          <w:tcPr>
            <w:tcW w:w="1534" w:type="dxa"/>
            <w:noWrap w:val="0"/>
            <w:vAlign w:val="center"/>
          </w:tcPr>
          <w:p w14:paraId="611790F3">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18878480702</w:t>
            </w:r>
          </w:p>
        </w:tc>
        <w:tc>
          <w:tcPr>
            <w:tcW w:w="2449" w:type="dxa"/>
            <w:noWrap w:val="0"/>
            <w:vAlign w:val="center"/>
          </w:tcPr>
          <w:p w14:paraId="0601F692">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贺州市钟山县广场西路南侧悦城壹号院B区1#楼B09-13号商铺</w:t>
            </w:r>
          </w:p>
        </w:tc>
      </w:tr>
      <w:tr w14:paraId="5F915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35052772">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4</w:t>
            </w:r>
          </w:p>
        </w:tc>
        <w:tc>
          <w:tcPr>
            <w:tcW w:w="3004" w:type="dxa"/>
            <w:noWrap w:val="0"/>
            <w:vAlign w:val="center"/>
          </w:tcPr>
          <w:p w14:paraId="4C3FE0F5">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广西北部湾银行富川支行</w:t>
            </w:r>
          </w:p>
        </w:tc>
        <w:tc>
          <w:tcPr>
            <w:tcW w:w="943" w:type="dxa"/>
            <w:noWrap w:val="0"/>
            <w:vAlign w:val="center"/>
          </w:tcPr>
          <w:p w14:paraId="57AE0FFA">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秦明龙</w:t>
            </w:r>
          </w:p>
        </w:tc>
        <w:tc>
          <w:tcPr>
            <w:tcW w:w="1136" w:type="dxa"/>
            <w:noWrap w:val="0"/>
            <w:vAlign w:val="center"/>
          </w:tcPr>
          <w:p w14:paraId="5F52BDFF">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业务发展部经理</w:t>
            </w:r>
          </w:p>
        </w:tc>
        <w:tc>
          <w:tcPr>
            <w:tcW w:w="1534" w:type="dxa"/>
            <w:noWrap w:val="0"/>
            <w:vAlign w:val="center"/>
          </w:tcPr>
          <w:p w14:paraId="6D69A479">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17776119667</w:t>
            </w:r>
          </w:p>
        </w:tc>
        <w:tc>
          <w:tcPr>
            <w:tcW w:w="2449" w:type="dxa"/>
            <w:noWrap w:val="0"/>
            <w:vAlign w:val="center"/>
          </w:tcPr>
          <w:p w14:paraId="5FEC6429">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贺州市富川瑶族自治县富阳镇凤凰路121号</w:t>
            </w:r>
          </w:p>
        </w:tc>
      </w:tr>
      <w:tr w14:paraId="43140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33CB32BC">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5</w:t>
            </w:r>
          </w:p>
        </w:tc>
        <w:tc>
          <w:tcPr>
            <w:tcW w:w="3004" w:type="dxa"/>
            <w:noWrap w:val="0"/>
            <w:vAlign w:val="center"/>
          </w:tcPr>
          <w:p w14:paraId="27A1093B">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广西北部湾银行昭平支行</w:t>
            </w:r>
          </w:p>
        </w:tc>
        <w:tc>
          <w:tcPr>
            <w:tcW w:w="943" w:type="dxa"/>
            <w:noWrap w:val="0"/>
            <w:vAlign w:val="center"/>
          </w:tcPr>
          <w:p w14:paraId="200DC877">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邱俊豪</w:t>
            </w:r>
          </w:p>
        </w:tc>
        <w:tc>
          <w:tcPr>
            <w:tcW w:w="1136" w:type="dxa"/>
            <w:noWrap w:val="0"/>
            <w:vAlign w:val="center"/>
          </w:tcPr>
          <w:p w14:paraId="25A6D5AA">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综合客户经理</w:t>
            </w:r>
          </w:p>
        </w:tc>
        <w:tc>
          <w:tcPr>
            <w:tcW w:w="1534" w:type="dxa"/>
            <w:noWrap w:val="0"/>
            <w:vAlign w:val="center"/>
          </w:tcPr>
          <w:p w14:paraId="08A9D31E">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18107842696</w:t>
            </w:r>
          </w:p>
        </w:tc>
        <w:tc>
          <w:tcPr>
            <w:tcW w:w="2449" w:type="dxa"/>
            <w:noWrap w:val="0"/>
            <w:vAlign w:val="center"/>
          </w:tcPr>
          <w:p w14:paraId="16582DF5">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贺州市昭平县昭平镇河西东路（江湾一号）101-103铺面</w:t>
            </w:r>
          </w:p>
        </w:tc>
      </w:tr>
    </w:tbl>
    <w:p w14:paraId="183FF32B">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3.广西贺州桂东农村合作银行</w:t>
      </w:r>
    </w:p>
    <w:tbl>
      <w:tblPr>
        <w:tblStyle w:val="20"/>
        <w:tblpPr w:leftFromText="180" w:rightFromText="180" w:vertAnchor="text" w:horzAnchor="page" w:tblpX="1362" w:tblpY="14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
        <w:gridCol w:w="2992"/>
        <w:gridCol w:w="944"/>
        <w:gridCol w:w="1159"/>
        <w:gridCol w:w="1545"/>
        <w:gridCol w:w="2426"/>
      </w:tblGrid>
      <w:tr w14:paraId="6C574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421" w:type="dxa"/>
            <w:gridSpan w:val="6"/>
            <w:noWrap w:val="0"/>
            <w:vAlign w:val="center"/>
          </w:tcPr>
          <w:p w14:paraId="34296AFF">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广西贺州桂东农村合作银行 总协调人：卢士强  职务：授信审批部总经理  手机号码：18077409115</w:t>
            </w:r>
          </w:p>
        </w:tc>
      </w:tr>
      <w:tr w14:paraId="14F4D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noWrap w:val="0"/>
            <w:vAlign w:val="center"/>
          </w:tcPr>
          <w:p w14:paraId="70BAD141">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序号</w:t>
            </w:r>
          </w:p>
        </w:tc>
        <w:tc>
          <w:tcPr>
            <w:tcW w:w="2992" w:type="dxa"/>
            <w:noWrap w:val="0"/>
            <w:vAlign w:val="center"/>
          </w:tcPr>
          <w:p w14:paraId="25C3D43C">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金融机构</w:t>
            </w:r>
          </w:p>
        </w:tc>
        <w:tc>
          <w:tcPr>
            <w:tcW w:w="944" w:type="dxa"/>
            <w:noWrap w:val="0"/>
            <w:vAlign w:val="center"/>
          </w:tcPr>
          <w:p w14:paraId="784D6278">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联系人</w:t>
            </w:r>
          </w:p>
        </w:tc>
        <w:tc>
          <w:tcPr>
            <w:tcW w:w="1159" w:type="dxa"/>
            <w:noWrap w:val="0"/>
            <w:vAlign w:val="center"/>
          </w:tcPr>
          <w:p w14:paraId="294ECD41">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职务</w:t>
            </w:r>
          </w:p>
        </w:tc>
        <w:tc>
          <w:tcPr>
            <w:tcW w:w="1545" w:type="dxa"/>
            <w:noWrap w:val="0"/>
            <w:vAlign w:val="center"/>
          </w:tcPr>
          <w:p w14:paraId="06BFEFFC">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手机号码</w:t>
            </w:r>
          </w:p>
        </w:tc>
        <w:tc>
          <w:tcPr>
            <w:tcW w:w="2426" w:type="dxa"/>
            <w:noWrap w:val="0"/>
            <w:vAlign w:val="center"/>
          </w:tcPr>
          <w:p w14:paraId="6AEF243A">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银行地址</w:t>
            </w:r>
          </w:p>
        </w:tc>
      </w:tr>
      <w:tr w14:paraId="4F6DF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41A45498">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w:t>
            </w:r>
          </w:p>
        </w:tc>
        <w:tc>
          <w:tcPr>
            <w:tcW w:w="2992" w:type="dxa"/>
            <w:noWrap w:val="0"/>
            <w:vAlign w:val="center"/>
          </w:tcPr>
          <w:p w14:paraId="5452EF8A">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广西贺州桂东农村合作银行</w:t>
            </w:r>
          </w:p>
        </w:tc>
        <w:tc>
          <w:tcPr>
            <w:tcW w:w="944" w:type="dxa"/>
            <w:noWrap w:val="0"/>
            <w:vAlign w:val="center"/>
          </w:tcPr>
          <w:p w14:paraId="710EBB74">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黄  腾</w:t>
            </w:r>
          </w:p>
        </w:tc>
        <w:tc>
          <w:tcPr>
            <w:tcW w:w="1159" w:type="dxa"/>
            <w:noWrap w:val="0"/>
            <w:vAlign w:val="center"/>
          </w:tcPr>
          <w:p w14:paraId="6490C53E">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授信审批部审查员</w:t>
            </w:r>
          </w:p>
        </w:tc>
        <w:tc>
          <w:tcPr>
            <w:tcW w:w="1545" w:type="dxa"/>
            <w:noWrap w:val="0"/>
            <w:vAlign w:val="center"/>
          </w:tcPr>
          <w:p w14:paraId="4D529615">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15078333887</w:t>
            </w:r>
          </w:p>
        </w:tc>
        <w:tc>
          <w:tcPr>
            <w:tcW w:w="2426" w:type="dxa"/>
            <w:noWrap w:val="0"/>
            <w:vAlign w:val="center"/>
          </w:tcPr>
          <w:p w14:paraId="17828CC9">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贺州市八步区建设东路6号</w:t>
            </w:r>
          </w:p>
        </w:tc>
      </w:tr>
      <w:tr w14:paraId="1B2E6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3AE3DCD8">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w:t>
            </w:r>
          </w:p>
        </w:tc>
        <w:tc>
          <w:tcPr>
            <w:tcW w:w="2992" w:type="dxa"/>
            <w:noWrap w:val="0"/>
            <w:vAlign w:val="center"/>
          </w:tcPr>
          <w:p w14:paraId="63F3DEED">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广西贺州桂东农村合作银行营业部</w:t>
            </w:r>
          </w:p>
        </w:tc>
        <w:tc>
          <w:tcPr>
            <w:tcW w:w="944" w:type="dxa"/>
            <w:noWrap w:val="0"/>
            <w:vAlign w:val="center"/>
          </w:tcPr>
          <w:p w14:paraId="7FAD4796">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刘  瑜</w:t>
            </w:r>
          </w:p>
        </w:tc>
        <w:tc>
          <w:tcPr>
            <w:tcW w:w="1159" w:type="dxa"/>
            <w:noWrap w:val="0"/>
            <w:vAlign w:val="center"/>
          </w:tcPr>
          <w:p w14:paraId="2CF69E95">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营业部副总经理</w:t>
            </w:r>
          </w:p>
        </w:tc>
        <w:tc>
          <w:tcPr>
            <w:tcW w:w="1545" w:type="dxa"/>
            <w:noWrap w:val="0"/>
            <w:vAlign w:val="center"/>
          </w:tcPr>
          <w:p w14:paraId="1D0CA906">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18007843000</w:t>
            </w:r>
          </w:p>
        </w:tc>
        <w:tc>
          <w:tcPr>
            <w:tcW w:w="2426" w:type="dxa"/>
            <w:noWrap w:val="0"/>
            <w:vAlign w:val="center"/>
          </w:tcPr>
          <w:p w14:paraId="1B204D26">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贺州市八步区建设东路6号</w:t>
            </w:r>
          </w:p>
        </w:tc>
      </w:tr>
      <w:tr w14:paraId="4559B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4232E915">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w:t>
            </w:r>
          </w:p>
        </w:tc>
        <w:tc>
          <w:tcPr>
            <w:tcW w:w="2992" w:type="dxa"/>
            <w:noWrap w:val="0"/>
            <w:vAlign w:val="center"/>
          </w:tcPr>
          <w:p w14:paraId="52C8E448">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广西贺州桂东农村合作银行八步支行</w:t>
            </w:r>
          </w:p>
        </w:tc>
        <w:tc>
          <w:tcPr>
            <w:tcW w:w="944" w:type="dxa"/>
            <w:noWrap w:val="0"/>
            <w:vAlign w:val="center"/>
          </w:tcPr>
          <w:p w14:paraId="2EF57A25">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谢地恩</w:t>
            </w:r>
          </w:p>
        </w:tc>
        <w:tc>
          <w:tcPr>
            <w:tcW w:w="1159" w:type="dxa"/>
            <w:noWrap w:val="0"/>
            <w:vAlign w:val="center"/>
          </w:tcPr>
          <w:p w14:paraId="4FE083A0">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信贷副行长</w:t>
            </w:r>
          </w:p>
        </w:tc>
        <w:tc>
          <w:tcPr>
            <w:tcW w:w="1545" w:type="dxa"/>
            <w:noWrap w:val="0"/>
            <w:vAlign w:val="center"/>
          </w:tcPr>
          <w:p w14:paraId="1F5D2EA9">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18007840168</w:t>
            </w:r>
          </w:p>
        </w:tc>
        <w:tc>
          <w:tcPr>
            <w:tcW w:w="2426" w:type="dxa"/>
            <w:noWrap w:val="0"/>
            <w:vAlign w:val="center"/>
          </w:tcPr>
          <w:p w14:paraId="0BC666F8">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贺州市八步区八达西路652-1号</w:t>
            </w:r>
          </w:p>
        </w:tc>
      </w:tr>
      <w:tr w14:paraId="4DE4F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31F2B4AE">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4</w:t>
            </w:r>
          </w:p>
        </w:tc>
        <w:tc>
          <w:tcPr>
            <w:tcW w:w="2992" w:type="dxa"/>
            <w:noWrap w:val="0"/>
            <w:vAlign w:val="center"/>
          </w:tcPr>
          <w:p w14:paraId="01EC1BF2">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广西贺州桂东农村合作银行平桂支行</w:t>
            </w:r>
          </w:p>
        </w:tc>
        <w:tc>
          <w:tcPr>
            <w:tcW w:w="944" w:type="dxa"/>
            <w:noWrap w:val="0"/>
            <w:vAlign w:val="center"/>
          </w:tcPr>
          <w:p w14:paraId="26341832">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古  睿</w:t>
            </w:r>
          </w:p>
        </w:tc>
        <w:tc>
          <w:tcPr>
            <w:tcW w:w="1159" w:type="dxa"/>
            <w:noWrap w:val="0"/>
            <w:vAlign w:val="center"/>
          </w:tcPr>
          <w:p w14:paraId="3E2FE9D3">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信贷副行长</w:t>
            </w:r>
          </w:p>
        </w:tc>
        <w:tc>
          <w:tcPr>
            <w:tcW w:w="1545" w:type="dxa"/>
            <w:noWrap w:val="0"/>
            <w:vAlign w:val="center"/>
          </w:tcPr>
          <w:p w14:paraId="0AEADC78">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18007840375</w:t>
            </w:r>
          </w:p>
        </w:tc>
        <w:tc>
          <w:tcPr>
            <w:tcW w:w="2426" w:type="dxa"/>
            <w:noWrap w:val="0"/>
            <w:vAlign w:val="center"/>
          </w:tcPr>
          <w:p w14:paraId="7B0B3B20">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贺州市平桂区平桂大道财政局一楼</w:t>
            </w:r>
          </w:p>
        </w:tc>
      </w:tr>
    </w:tbl>
    <w:p w14:paraId="7C2B3013">
      <w:pPr>
        <w:spacing w:line="39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31</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bCs/>
          <w:color w:val="auto"/>
          <w:sz w:val="24"/>
          <w:szCs w:val="24"/>
          <w:highlight w:val="none"/>
        </w:rPr>
        <w:t>有关事宜</w:t>
      </w:r>
    </w:p>
    <w:p w14:paraId="48422DAD">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30</w:t>
      </w:r>
      <w:r>
        <w:rPr>
          <w:rFonts w:hint="eastAsia" w:asciiTheme="minorEastAsia" w:hAnsiTheme="minorEastAsia" w:eastAsiaTheme="minorEastAsia" w:cstheme="minorEastAsia"/>
          <w:color w:val="auto"/>
          <w:sz w:val="24"/>
          <w:szCs w:val="24"/>
          <w:highlight w:val="none"/>
        </w:rPr>
        <w:t>.1所有与本磋商文件有关的函电请按下列通讯地址联系：</w:t>
      </w:r>
    </w:p>
    <w:p w14:paraId="76FA8719">
      <w:pPr>
        <w:numPr>
          <w:ilvl w:val="0"/>
          <w:numId w:val="0"/>
        </w:numPr>
        <w:spacing w:line="390" w:lineRule="exact"/>
        <w:ind w:firstLine="480" w:firstLineChars="200"/>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30.1.1</w:t>
      </w:r>
      <w:r>
        <w:rPr>
          <w:rFonts w:hint="eastAsia" w:asciiTheme="minorEastAsia" w:hAnsiTheme="minorEastAsia" w:eastAsiaTheme="minorEastAsia" w:cstheme="minorEastAsia"/>
          <w:b w:val="0"/>
          <w:bCs w:val="0"/>
          <w:color w:val="auto"/>
          <w:sz w:val="24"/>
          <w:szCs w:val="24"/>
          <w:highlight w:val="none"/>
        </w:rPr>
        <w:t>采购代理机构：</w:t>
      </w:r>
    </w:p>
    <w:p w14:paraId="662F5B89">
      <w:pPr>
        <w:spacing w:line="39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采购代理机构：</w:t>
      </w:r>
      <w:r>
        <w:rPr>
          <w:rFonts w:hint="eastAsia" w:asciiTheme="minorEastAsia" w:hAnsiTheme="minorEastAsia" w:eastAsiaTheme="minorEastAsia" w:cstheme="minorEastAsia"/>
          <w:color w:val="auto"/>
          <w:sz w:val="24"/>
          <w:szCs w:val="24"/>
          <w:highlight w:val="none"/>
          <w:lang w:eastAsia="zh-CN"/>
        </w:rPr>
        <w:t>广西桂林华禹水利水电工程咨询有限公司</w:t>
      </w:r>
    </w:p>
    <w:p w14:paraId="567154A4">
      <w:pPr>
        <w:spacing w:line="390" w:lineRule="exact"/>
        <w:ind w:right="-192"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地 址：</w:t>
      </w:r>
      <w:r>
        <w:rPr>
          <w:rFonts w:hint="eastAsia" w:asciiTheme="minorEastAsia" w:hAnsiTheme="minorEastAsia" w:eastAsiaTheme="minorEastAsia" w:cstheme="minorEastAsia"/>
          <w:color w:val="auto"/>
          <w:sz w:val="24"/>
          <w:szCs w:val="24"/>
          <w:highlight w:val="none"/>
          <w:lang w:val="en-US" w:eastAsia="zh-CN"/>
        </w:rPr>
        <w:t>昭平县昭平镇向阳街70号</w:t>
      </w:r>
    </w:p>
    <w:p w14:paraId="798E61B3">
      <w:pPr>
        <w:spacing w:line="390" w:lineRule="exact"/>
        <w:ind w:right="-192"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lang w:val="en-US" w:eastAsia="zh-CN"/>
        </w:rPr>
        <w:t>李世斌</w:t>
      </w:r>
    </w:p>
    <w:p w14:paraId="7A8B7D16">
      <w:pPr>
        <w:spacing w:line="390" w:lineRule="exact"/>
        <w:ind w:right="-192"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电 话：</w:t>
      </w:r>
      <w:r>
        <w:rPr>
          <w:rFonts w:hint="eastAsia" w:asciiTheme="minorEastAsia" w:hAnsiTheme="minorEastAsia" w:eastAsiaTheme="minorEastAsia" w:cstheme="minorEastAsia"/>
          <w:color w:val="auto"/>
          <w:sz w:val="24"/>
          <w:szCs w:val="24"/>
          <w:highlight w:val="none"/>
          <w:lang w:val="en-US" w:eastAsia="zh-CN"/>
        </w:rPr>
        <w:t>13768145297</w:t>
      </w:r>
    </w:p>
    <w:p w14:paraId="65378C52">
      <w:pPr>
        <w:spacing w:line="390" w:lineRule="exact"/>
        <w:ind w:right="-192" w:firstLine="480" w:firstLineChars="200"/>
        <w:rPr>
          <w:rFonts w:hint="eastAsia" w:asciiTheme="minorEastAsia" w:hAnsiTheme="minorEastAsia" w:eastAsiaTheme="minorEastAsia" w:cstheme="minorEastAsia"/>
          <w:b/>
          <w:color w:val="auto"/>
          <w:szCs w:val="21"/>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30.1.2监督单位全称：</w:t>
      </w:r>
      <w:bookmarkStart w:id="90" w:name="_Toc14983"/>
      <w:r>
        <w:rPr>
          <w:rFonts w:hint="eastAsia" w:asciiTheme="minorEastAsia" w:hAnsiTheme="minorEastAsia" w:eastAsiaTheme="minorEastAsia" w:cstheme="minorEastAsia"/>
          <w:b w:val="0"/>
          <w:color w:val="auto"/>
          <w:kern w:val="2"/>
          <w:sz w:val="24"/>
          <w:szCs w:val="24"/>
          <w:highlight w:val="none"/>
          <w:lang w:val="en-US" w:eastAsia="zh-CN" w:bidi="ar-SA"/>
        </w:rPr>
        <w:t>昭平县政府采购服务中心，联系电话：0774-6689708</w:t>
      </w:r>
      <w:r>
        <w:rPr>
          <w:rFonts w:hint="eastAsia" w:asciiTheme="minorEastAsia" w:hAnsiTheme="minorEastAsia" w:eastAsiaTheme="minorEastAsia" w:cstheme="minorEastAsia"/>
          <w:b/>
          <w:color w:val="auto"/>
          <w:szCs w:val="21"/>
          <w:highlight w:val="none"/>
        </w:rPr>
        <w:br w:type="page"/>
      </w:r>
      <w:bookmarkStart w:id="91" w:name="_Toc296503025"/>
      <w:bookmarkStart w:id="92" w:name="_Toc440877583"/>
      <w:bookmarkStart w:id="93" w:name="_Toc406071080"/>
      <w:bookmarkStart w:id="94" w:name="_Toc439163592"/>
      <w:bookmarkStart w:id="95" w:name="_Toc430095341"/>
      <w:bookmarkStart w:id="96" w:name="_Toc373478199"/>
      <w:bookmarkStart w:id="97" w:name="_Toc373227552"/>
      <w:bookmarkStart w:id="98" w:name="_Toc351203480"/>
      <w:bookmarkStart w:id="99" w:name="_Toc296890982"/>
      <w:bookmarkStart w:id="100" w:name="_Toc389065255"/>
      <w:r>
        <w:rPr>
          <w:rFonts w:hint="eastAsia" w:asciiTheme="minorEastAsia" w:hAnsiTheme="minorEastAsia" w:eastAsiaTheme="minorEastAsia" w:cstheme="minorEastAsia"/>
          <w:b/>
          <w:color w:val="auto"/>
          <w:szCs w:val="21"/>
          <w:highlight w:val="none"/>
          <w:lang w:val="en-US" w:eastAsia="zh-CN"/>
        </w:rPr>
        <w:t xml:space="preserve">         </w:t>
      </w:r>
    </w:p>
    <w:p w14:paraId="521A6A73">
      <w:pPr>
        <w:pStyle w:val="3"/>
        <w:numPr>
          <w:ilvl w:val="0"/>
          <w:numId w:val="0"/>
        </w:numPr>
        <w:ind w:firstLine="3092" w:firstLineChars="700"/>
        <w:jc w:val="both"/>
        <w:rPr>
          <w:rFonts w:hint="eastAsia" w:ascii="宋体" w:hAnsi="宋体" w:eastAsia="宋体" w:cs="宋体"/>
          <w:color w:val="auto"/>
          <w:highlight w:val="none"/>
        </w:rPr>
      </w:pPr>
      <w:r>
        <w:rPr>
          <w:rStyle w:val="53"/>
          <w:rFonts w:hint="eastAsia" w:asciiTheme="minorEastAsia" w:hAnsiTheme="minorEastAsia" w:eastAsiaTheme="minorEastAsia" w:cstheme="minorEastAsia"/>
          <w:b/>
          <w:color w:val="auto"/>
          <w:highlight w:val="none"/>
        </w:rPr>
        <w:t xml:space="preserve">第三章  </w:t>
      </w:r>
      <w:bookmarkEnd w:id="90"/>
      <w:bookmarkEnd w:id="91"/>
      <w:bookmarkEnd w:id="92"/>
      <w:bookmarkEnd w:id="93"/>
      <w:bookmarkEnd w:id="94"/>
      <w:bookmarkEnd w:id="95"/>
      <w:bookmarkEnd w:id="96"/>
      <w:bookmarkEnd w:id="97"/>
      <w:bookmarkEnd w:id="98"/>
      <w:bookmarkEnd w:id="99"/>
      <w:bookmarkEnd w:id="100"/>
      <w:bookmarkStart w:id="101" w:name="_Toc19183"/>
      <w:bookmarkStart w:id="102" w:name="_Toc351203652"/>
      <w:r>
        <w:rPr>
          <w:rFonts w:hint="eastAsia" w:ascii="宋体" w:hAnsi="宋体" w:eastAsia="宋体" w:cs="宋体"/>
          <w:color w:val="auto"/>
          <w:highlight w:val="none"/>
        </w:rPr>
        <w:t>合同条款</w:t>
      </w:r>
      <w:bookmarkEnd w:id="101"/>
    </w:p>
    <w:p w14:paraId="58EBB838">
      <w:pPr>
        <w:pStyle w:val="3"/>
        <w:ind w:firstLine="3092" w:firstLineChars="700"/>
        <w:jc w:val="both"/>
        <w:rPr>
          <w:color w:val="auto"/>
          <w:highlight w:val="none"/>
        </w:rPr>
      </w:pPr>
      <w:bookmarkStart w:id="103" w:name="_Toc39866684"/>
      <w:bookmarkStart w:id="104" w:name="_Toc27495"/>
      <w:bookmarkStart w:id="105" w:name="_Toc256000032"/>
      <w:r>
        <w:rPr>
          <w:rFonts w:ascii="宋体" w:hAnsi="宋体" w:eastAsia="宋体" w:cs="宋体"/>
          <w:color w:val="auto"/>
          <w:sz w:val="44"/>
          <w:szCs w:val="44"/>
          <w:highlight w:val="none"/>
        </w:rPr>
        <w:t>第一节</w:t>
      </w:r>
      <w:r>
        <w:rPr>
          <w:rFonts w:hint="eastAsia" w:ascii="宋体" w:hAnsi="宋体" w:eastAsia="宋体" w:cs="宋体"/>
          <w:color w:val="auto"/>
          <w:sz w:val="44"/>
          <w:szCs w:val="44"/>
          <w:highlight w:val="none"/>
          <w:lang w:val="en-US" w:eastAsia="zh-CN"/>
        </w:rPr>
        <w:t xml:space="preserve">  </w:t>
      </w:r>
      <w:r>
        <w:rPr>
          <w:rFonts w:ascii="宋体" w:hAnsi="宋体" w:eastAsia="宋体" w:cs="宋体"/>
          <w:color w:val="auto"/>
          <w:sz w:val="44"/>
          <w:szCs w:val="44"/>
          <w:highlight w:val="none"/>
        </w:rPr>
        <w:t>通用合同条款</w:t>
      </w:r>
      <w:r>
        <w:rPr>
          <w:rFonts w:hint="eastAsia"/>
          <w:color w:val="auto"/>
          <w:highlight w:val="none"/>
          <w:vertAlign w:val="superscript"/>
        </w:rPr>
        <w:t>①</w:t>
      </w:r>
      <w:bookmarkEnd w:id="103"/>
      <w:bookmarkEnd w:id="104"/>
      <w:bookmarkEnd w:id="105"/>
    </w:p>
    <w:p w14:paraId="0D4ABA0A">
      <w:pPr>
        <w:spacing w:before="62"/>
        <w:ind w:left="633"/>
        <w:rPr>
          <w:rFonts w:ascii="黑体" w:hAnsi="黑体" w:eastAsia="黑体"/>
          <w:color w:val="auto"/>
          <w:sz w:val="28"/>
          <w:highlight w:val="none"/>
        </w:rPr>
      </w:pPr>
    </w:p>
    <w:p w14:paraId="1DCC7398">
      <w:pPr>
        <w:spacing w:before="62"/>
        <w:ind w:left="633"/>
        <w:rPr>
          <w:rFonts w:ascii="黑体" w:hAnsi="黑体" w:eastAsia="黑体"/>
          <w:color w:val="auto"/>
          <w:sz w:val="28"/>
          <w:highlight w:val="none"/>
        </w:rPr>
      </w:pPr>
    </w:p>
    <w:p w14:paraId="1666DFE6">
      <w:pPr>
        <w:spacing w:before="62"/>
        <w:ind w:left="633"/>
        <w:rPr>
          <w:rFonts w:ascii="黑体" w:hAnsi="黑体" w:eastAsia="黑体"/>
          <w:color w:val="auto"/>
          <w:sz w:val="28"/>
          <w:highlight w:val="none"/>
        </w:rPr>
      </w:pPr>
    </w:p>
    <w:p w14:paraId="339F1A27">
      <w:pPr>
        <w:spacing w:before="62"/>
        <w:ind w:left="633"/>
        <w:rPr>
          <w:rFonts w:ascii="黑体" w:hAnsi="黑体" w:eastAsia="黑体"/>
          <w:color w:val="auto"/>
          <w:sz w:val="28"/>
          <w:highlight w:val="none"/>
        </w:rPr>
      </w:pPr>
    </w:p>
    <w:p w14:paraId="0BC098A9">
      <w:pPr>
        <w:spacing w:before="62"/>
        <w:ind w:left="633"/>
        <w:rPr>
          <w:rFonts w:ascii="黑体" w:hAnsi="黑体" w:eastAsia="黑体"/>
          <w:color w:val="auto"/>
          <w:sz w:val="28"/>
          <w:highlight w:val="none"/>
        </w:rPr>
      </w:pPr>
    </w:p>
    <w:p w14:paraId="2FE804BB">
      <w:pPr>
        <w:spacing w:before="62"/>
        <w:ind w:left="633"/>
        <w:rPr>
          <w:rFonts w:ascii="黑体" w:hAnsi="黑体" w:eastAsia="黑体"/>
          <w:color w:val="auto"/>
          <w:sz w:val="28"/>
          <w:highlight w:val="none"/>
        </w:rPr>
      </w:pPr>
    </w:p>
    <w:p w14:paraId="64C1A9EA">
      <w:pPr>
        <w:spacing w:before="62"/>
        <w:ind w:left="633"/>
        <w:rPr>
          <w:rFonts w:ascii="黑体" w:hAnsi="黑体" w:eastAsia="黑体"/>
          <w:color w:val="auto"/>
          <w:sz w:val="28"/>
          <w:highlight w:val="none"/>
        </w:rPr>
      </w:pPr>
    </w:p>
    <w:p w14:paraId="5E45ED24">
      <w:pPr>
        <w:spacing w:before="62"/>
        <w:ind w:left="633"/>
        <w:rPr>
          <w:rFonts w:ascii="黑体" w:hAnsi="黑体" w:eastAsia="黑体"/>
          <w:color w:val="auto"/>
          <w:sz w:val="28"/>
          <w:highlight w:val="none"/>
        </w:rPr>
      </w:pPr>
    </w:p>
    <w:p w14:paraId="49313D02">
      <w:pPr>
        <w:spacing w:before="62"/>
        <w:ind w:left="633"/>
        <w:rPr>
          <w:rFonts w:ascii="黑体" w:hAnsi="黑体" w:eastAsia="黑体"/>
          <w:color w:val="auto"/>
          <w:sz w:val="28"/>
          <w:highlight w:val="none"/>
        </w:rPr>
      </w:pPr>
    </w:p>
    <w:p w14:paraId="40002F5F">
      <w:pPr>
        <w:spacing w:before="62"/>
        <w:ind w:left="633"/>
        <w:rPr>
          <w:rFonts w:ascii="黑体" w:hAnsi="黑体" w:eastAsia="黑体"/>
          <w:color w:val="auto"/>
          <w:sz w:val="28"/>
          <w:highlight w:val="none"/>
        </w:rPr>
      </w:pPr>
    </w:p>
    <w:p w14:paraId="7725D558">
      <w:pPr>
        <w:spacing w:before="62"/>
        <w:ind w:left="633"/>
        <w:rPr>
          <w:rFonts w:ascii="黑体" w:hAnsi="黑体" w:eastAsia="黑体"/>
          <w:color w:val="auto"/>
          <w:sz w:val="28"/>
          <w:highlight w:val="none"/>
        </w:rPr>
      </w:pPr>
    </w:p>
    <w:p w14:paraId="64E60E4D">
      <w:pPr>
        <w:spacing w:before="62"/>
        <w:ind w:left="633"/>
        <w:rPr>
          <w:rFonts w:ascii="黑体" w:hAnsi="黑体" w:eastAsia="黑体"/>
          <w:color w:val="auto"/>
          <w:sz w:val="28"/>
          <w:highlight w:val="none"/>
        </w:rPr>
      </w:pPr>
    </w:p>
    <w:p w14:paraId="7296D37F">
      <w:pPr>
        <w:spacing w:before="62"/>
        <w:ind w:left="633"/>
        <w:rPr>
          <w:rFonts w:ascii="黑体" w:hAnsi="黑体" w:eastAsia="黑体"/>
          <w:color w:val="auto"/>
          <w:sz w:val="28"/>
          <w:highlight w:val="none"/>
        </w:rPr>
      </w:pPr>
    </w:p>
    <w:p w14:paraId="678CFD14">
      <w:pPr>
        <w:spacing w:before="62"/>
        <w:ind w:left="633"/>
        <w:rPr>
          <w:rFonts w:ascii="黑体" w:hAnsi="黑体" w:eastAsia="黑体"/>
          <w:color w:val="auto"/>
          <w:sz w:val="28"/>
          <w:highlight w:val="none"/>
        </w:rPr>
      </w:pPr>
    </w:p>
    <w:p w14:paraId="32D787EE">
      <w:pPr>
        <w:spacing w:before="62"/>
        <w:ind w:left="633"/>
        <w:rPr>
          <w:rFonts w:ascii="黑体" w:hAnsi="黑体" w:eastAsia="黑体"/>
          <w:color w:val="auto"/>
          <w:sz w:val="28"/>
          <w:highlight w:val="none"/>
        </w:rPr>
      </w:pPr>
    </w:p>
    <w:p w14:paraId="11470130">
      <w:pPr>
        <w:spacing w:before="62"/>
        <w:ind w:left="633"/>
        <w:rPr>
          <w:rFonts w:ascii="黑体" w:hAnsi="黑体" w:eastAsia="黑体"/>
          <w:color w:val="auto"/>
          <w:sz w:val="28"/>
          <w:highlight w:val="none"/>
        </w:rPr>
      </w:pPr>
    </w:p>
    <w:p w14:paraId="48A005ED">
      <w:pPr>
        <w:spacing w:before="62"/>
        <w:ind w:left="633"/>
        <w:rPr>
          <w:rFonts w:ascii="黑体" w:hAnsi="黑体" w:eastAsia="黑体"/>
          <w:color w:val="auto"/>
          <w:sz w:val="28"/>
          <w:highlight w:val="none"/>
        </w:rPr>
      </w:pPr>
    </w:p>
    <w:p w14:paraId="33CA1EDA">
      <w:pPr>
        <w:spacing w:before="62"/>
        <w:ind w:left="633"/>
        <w:rPr>
          <w:rFonts w:ascii="黑体" w:hAnsi="黑体" w:eastAsia="黑体"/>
          <w:color w:val="auto"/>
          <w:sz w:val="28"/>
          <w:highlight w:val="none"/>
        </w:rPr>
      </w:pPr>
    </w:p>
    <w:p w14:paraId="63630936">
      <w:pPr>
        <w:spacing w:before="62"/>
        <w:ind w:left="633"/>
        <w:rPr>
          <w:rFonts w:ascii="黑体" w:hAnsi="黑体" w:eastAsia="黑体"/>
          <w:color w:val="auto"/>
          <w:sz w:val="28"/>
          <w:highlight w:val="none"/>
        </w:rPr>
      </w:pPr>
    </w:p>
    <w:p w14:paraId="252C6070">
      <w:pPr>
        <w:spacing w:before="62"/>
        <w:ind w:left="633"/>
        <w:rPr>
          <w:rFonts w:ascii="黑体" w:hAnsi="黑体" w:eastAsia="黑体"/>
          <w:color w:val="auto"/>
          <w:sz w:val="18"/>
          <w:szCs w:val="11"/>
          <w:highlight w:val="none"/>
        </w:rPr>
      </w:pPr>
      <w:r>
        <w:rPr>
          <w:color w:val="auto"/>
          <w:sz w:val="20"/>
          <w:szCs w:val="11"/>
          <w:highlight w:val="none"/>
        </w:rPr>
        <mc:AlternateContent>
          <mc:Choice Requires="wps">
            <w:drawing>
              <wp:anchor distT="0" distB="0" distL="114300" distR="114300" simplePos="0" relativeHeight="251659264" behindDoc="0" locked="0" layoutInCell="1" allowOverlap="1">
                <wp:simplePos x="0" y="0"/>
                <wp:positionH relativeFrom="page">
                  <wp:posOffset>815340</wp:posOffset>
                </wp:positionH>
                <wp:positionV relativeFrom="paragraph">
                  <wp:posOffset>279400</wp:posOffset>
                </wp:positionV>
                <wp:extent cx="1829435" cy="0"/>
                <wp:effectExtent l="0" t="0" r="0" b="0"/>
                <wp:wrapTopAndBottom/>
                <wp:docPr id="1" name="直接连接符 1"/>
                <wp:cNvGraphicFramePr/>
                <a:graphic xmlns:a="http://schemas.openxmlformats.org/drawingml/2006/main">
                  <a:graphicData uri="http://schemas.microsoft.com/office/word/2010/wordprocessingShape">
                    <wps:wsp>
                      <wps:cNvCnPr/>
                      <wps:spPr>
                        <a:xfrm>
                          <a:off x="0" y="0"/>
                          <a:ext cx="1829435"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4.2pt;margin-top:22pt;height:0pt;width:144.05pt;mso-position-horizontal-relative:page;mso-wrap-distance-bottom:0pt;mso-wrap-distance-top:0pt;z-index:251659264;mso-width-relative:page;mso-height-relative:page;" filled="f" stroked="t" coordsize="21600,21600" o:gfxdata="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Q4EoE1wAAAAkBAAAPAAAAAAAAAAEAIAAAACIAAABkcnMvZG93bnJldi54bWxQSwEC&#10;FAAUAAAACACHTuJAwc2dvvUBAADkAwAADgAAAAAAAAABACAAAAAmAQAAZHJzL2Uyb0RvYy54bWxQ&#10;SwUGAAAAAAYABgBZAQAAjQUAAAAA&#10;">
                <v:fill on="f" focussize="0,0"/>
                <v:stroke weight="0.48pt" color="#000000" joinstyle="round"/>
                <v:imagedata o:title=""/>
                <o:lock v:ext="edit" aspectratio="f"/>
                <w10:wrap type="topAndBottom"/>
              </v:line>
            </w:pict>
          </mc:Fallback>
        </mc:AlternateContent>
      </w:r>
    </w:p>
    <w:p w14:paraId="3F121FF6">
      <w:pPr>
        <w:rPr>
          <w:color w:val="auto"/>
          <w:sz w:val="20"/>
          <w:szCs w:val="16"/>
          <w:highlight w:val="none"/>
        </w:rPr>
      </w:pPr>
      <w:r>
        <w:rPr>
          <w:rFonts w:hint="eastAsia"/>
          <w:color w:val="auto"/>
          <w:sz w:val="20"/>
          <w:szCs w:val="16"/>
          <w:highlight w:val="none"/>
          <w:vertAlign w:val="superscript"/>
        </w:rPr>
        <w:t>①</w:t>
      </w:r>
      <w:r>
        <w:rPr>
          <w:rFonts w:hint="eastAsia"/>
          <w:color w:val="auto"/>
          <w:sz w:val="20"/>
          <w:szCs w:val="16"/>
          <w:highlight w:val="none"/>
        </w:rPr>
        <w:t>本部分不加修改地引用了国家九部委《标准施工招标文件》（</w:t>
      </w:r>
      <w:r>
        <w:rPr>
          <w:color w:val="auto"/>
          <w:sz w:val="20"/>
          <w:szCs w:val="16"/>
          <w:highlight w:val="none"/>
        </w:rPr>
        <w:t>2007</w:t>
      </w:r>
      <w:r>
        <w:rPr>
          <w:rFonts w:hint="eastAsia"/>
          <w:color w:val="auto"/>
          <w:sz w:val="20"/>
          <w:szCs w:val="16"/>
          <w:highlight w:val="none"/>
        </w:rPr>
        <w:t>年版）相关内容。</w:t>
      </w:r>
    </w:p>
    <w:p w14:paraId="1CFEBA8B">
      <w:pPr>
        <w:jc w:val="center"/>
        <w:rPr>
          <w:color w:val="auto"/>
          <w:szCs w:val="24"/>
          <w:highlight w:val="none"/>
        </w:rPr>
      </w:pPr>
      <w:r>
        <w:rPr>
          <w:color w:val="auto"/>
          <w:szCs w:val="24"/>
          <w:highlight w:val="none"/>
        </w:rPr>
        <w:br w:type="page"/>
      </w:r>
      <w:bookmarkStart w:id="106" w:name="EBe4492df5c1fb463b91bc9a11a1a58b1e"/>
    </w:p>
    <w:p w14:paraId="7FE7651B">
      <w:pPr>
        <w:jc w:val="center"/>
        <w:rPr>
          <w:color w:val="auto"/>
          <w:szCs w:val="24"/>
          <w:highlight w:val="none"/>
        </w:rPr>
      </w:pPr>
    </w:p>
    <w:p w14:paraId="333B8EE3">
      <w:pPr>
        <w:jc w:val="center"/>
        <w:rPr>
          <w:color w:val="auto"/>
          <w:szCs w:val="24"/>
          <w:highlight w:val="none"/>
        </w:rPr>
      </w:pPr>
    </w:p>
    <w:p w14:paraId="26F40790">
      <w:pPr>
        <w:jc w:val="center"/>
        <w:rPr>
          <w:rFonts w:ascii="黑体" w:hAnsi="黑体" w:eastAsia="黑体" w:cs="宋体"/>
          <w:color w:val="auto"/>
          <w:kern w:val="0"/>
          <w:sz w:val="32"/>
          <w:szCs w:val="32"/>
          <w:highlight w:val="none"/>
          <w:lang w:val="zh-CN"/>
        </w:rPr>
      </w:pPr>
      <w:r>
        <w:rPr>
          <w:rFonts w:hint="eastAsia" w:ascii="黑体" w:hAnsi="黑体" w:eastAsia="黑体" w:cs="宋体"/>
          <w:color w:val="auto"/>
          <w:kern w:val="0"/>
          <w:sz w:val="32"/>
          <w:szCs w:val="32"/>
          <w:highlight w:val="none"/>
          <w:lang w:val="zh-CN"/>
        </w:rPr>
        <w:t>通用合同条款</w:t>
      </w:r>
    </w:p>
    <w:p w14:paraId="5FFE94A0">
      <w:pPr>
        <w:pStyle w:val="54"/>
        <w:keepNext/>
        <w:keepLines/>
        <w:spacing w:before="360" w:after="240" w:line="380" w:lineRule="atLeast"/>
        <w:outlineLvl w:val="2"/>
        <w:rPr>
          <w:rFonts w:ascii="Times New Roman" w:hAnsi="Times New Roman" w:eastAsia="黑体"/>
          <w:bCs/>
          <w:color w:val="auto"/>
          <w:kern w:val="44"/>
          <w:szCs w:val="21"/>
          <w:highlight w:val="none"/>
          <w:lang w:val="zh-CN"/>
        </w:rPr>
      </w:pPr>
      <w:bookmarkStart w:id="107" w:name="_Toc20378"/>
      <w:r>
        <w:rPr>
          <w:rFonts w:ascii="Times New Roman" w:hAnsi="Times New Roman" w:eastAsia="黑体"/>
          <w:bCs/>
          <w:color w:val="auto"/>
          <w:kern w:val="44"/>
          <w:szCs w:val="21"/>
          <w:highlight w:val="none"/>
          <w:lang w:val="zh-CN"/>
        </w:rPr>
        <w:t xml:space="preserve">1. </w:t>
      </w:r>
      <w:r>
        <w:rPr>
          <w:rFonts w:hint="eastAsia" w:ascii="Times New Roman" w:hAnsi="Times New Roman" w:eastAsia="黑体"/>
          <w:bCs/>
          <w:color w:val="auto"/>
          <w:kern w:val="44"/>
          <w:szCs w:val="21"/>
          <w:highlight w:val="none"/>
          <w:lang w:val="zh-CN"/>
        </w:rPr>
        <w:t>一般约定</w:t>
      </w:r>
      <w:bookmarkEnd w:id="107"/>
      <w:r>
        <w:rPr>
          <w:rFonts w:ascii="Times New Roman" w:hAnsi="Times New Roman" w:eastAsia="黑体"/>
          <w:bCs/>
          <w:color w:val="auto"/>
          <w:kern w:val="44"/>
          <w:szCs w:val="21"/>
          <w:highlight w:val="none"/>
          <w:lang w:val="zh-CN"/>
        </w:rPr>
        <w:tab/>
      </w:r>
    </w:p>
    <w:p w14:paraId="1393078B">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1.1</w:t>
      </w:r>
      <w:r>
        <w:rPr>
          <w:rFonts w:ascii="Times New Roman" w:hAnsi="Times New Roman" w:eastAsia="黑体"/>
          <w:bCs/>
          <w:color w:val="auto"/>
          <w:kern w:val="44"/>
          <w:szCs w:val="21"/>
          <w:highlight w:val="none"/>
          <w:lang w:val="zh-CN"/>
        </w:rPr>
        <w:tab/>
      </w:r>
      <w:r>
        <w:rPr>
          <w:rFonts w:hint="eastAsia" w:ascii="Times New Roman" w:hAnsi="Times New Roman" w:eastAsia="黑体"/>
          <w:bCs/>
          <w:color w:val="auto"/>
          <w:kern w:val="44"/>
          <w:szCs w:val="21"/>
          <w:highlight w:val="none"/>
          <w:lang w:val="zh-CN"/>
        </w:rPr>
        <w:t>词语定义</w:t>
      </w:r>
    </w:p>
    <w:p w14:paraId="39E36D82">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通用合同条款、专用合同条款中的下列词语应具有本款所赋予的含义。</w:t>
      </w:r>
    </w:p>
    <w:p w14:paraId="76354387">
      <w:pPr>
        <w:pStyle w:val="54"/>
        <w:spacing w:line="400" w:lineRule="atLeast"/>
        <w:ind w:firstLine="411" w:firstLineChars="196"/>
        <w:rPr>
          <w:rFonts w:ascii="Times New Roman" w:hAnsi="Times New Roman"/>
          <w:color w:val="auto"/>
          <w:szCs w:val="21"/>
          <w:highlight w:val="none"/>
        </w:rPr>
      </w:pPr>
      <w:r>
        <w:rPr>
          <w:rFonts w:ascii="Times New Roman" w:hAnsi="Times New Roman"/>
          <w:color w:val="auto"/>
          <w:szCs w:val="21"/>
          <w:highlight w:val="none"/>
        </w:rPr>
        <w:t xml:space="preserve">1.1.1 </w:t>
      </w:r>
      <w:r>
        <w:rPr>
          <w:rFonts w:hint="eastAsia" w:ascii="Times New Roman" w:hAnsi="Times New Roman" w:eastAsia="黑体"/>
          <w:color w:val="auto"/>
          <w:szCs w:val="21"/>
          <w:highlight w:val="none"/>
        </w:rPr>
        <w:t>合同</w:t>
      </w:r>
    </w:p>
    <w:p w14:paraId="1A8B5E0A">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1.1.1.1 </w:t>
      </w:r>
      <w:r>
        <w:rPr>
          <w:rFonts w:hint="eastAsia" w:ascii="Times New Roman" w:hAnsi="Times New Roman"/>
          <w:color w:val="auto"/>
          <w:szCs w:val="21"/>
          <w:highlight w:val="none"/>
        </w:rPr>
        <w:t>合同文件（或称合同）：指合同协议书、中标通知书、投标函及投标函附录、专用合同条款、通用合同条款、技术标准和要求、图纸、已标价工程量清单，以及其他合同文件。</w:t>
      </w:r>
    </w:p>
    <w:p w14:paraId="647AA739">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1.1.1.2 </w:t>
      </w:r>
      <w:r>
        <w:rPr>
          <w:rFonts w:hint="eastAsia" w:ascii="Times New Roman" w:hAnsi="Times New Roman"/>
          <w:color w:val="auto"/>
          <w:szCs w:val="21"/>
          <w:highlight w:val="none"/>
        </w:rPr>
        <w:t>合同协议书：指第</w:t>
      </w:r>
      <w:r>
        <w:rPr>
          <w:rFonts w:ascii="Times New Roman" w:hAnsi="Times New Roman"/>
          <w:color w:val="auto"/>
          <w:szCs w:val="21"/>
          <w:highlight w:val="none"/>
        </w:rPr>
        <w:t>1.5</w:t>
      </w:r>
      <w:r>
        <w:rPr>
          <w:rFonts w:hint="eastAsia" w:ascii="Times New Roman" w:hAnsi="Times New Roman"/>
          <w:color w:val="auto"/>
          <w:szCs w:val="21"/>
          <w:highlight w:val="none"/>
        </w:rPr>
        <w:t>款所指的合同协议书。</w:t>
      </w:r>
    </w:p>
    <w:p w14:paraId="1C498716">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1.1.1.3 </w:t>
      </w:r>
      <w:r>
        <w:rPr>
          <w:rFonts w:hint="eastAsia" w:ascii="Times New Roman" w:hAnsi="Times New Roman"/>
          <w:color w:val="auto"/>
          <w:szCs w:val="21"/>
          <w:highlight w:val="none"/>
        </w:rPr>
        <w:t>中标通知书：指发包人通知投标人中标的函件。</w:t>
      </w:r>
    </w:p>
    <w:p w14:paraId="345B8C72">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1.1.1.4 </w:t>
      </w:r>
      <w:r>
        <w:rPr>
          <w:rFonts w:hint="eastAsia" w:ascii="Times New Roman" w:hAnsi="Times New Roman"/>
          <w:color w:val="auto"/>
          <w:szCs w:val="21"/>
          <w:highlight w:val="none"/>
        </w:rPr>
        <w:t>投标函：指构成合同文件组成部分的由投标人填写并签署的投标函。</w:t>
      </w:r>
    </w:p>
    <w:p w14:paraId="17A76D2E">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1.1.1.5 </w:t>
      </w:r>
      <w:r>
        <w:rPr>
          <w:rFonts w:hint="eastAsia" w:ascii="Times New Roman" w:hAnsi="Times New Roman"/>
          <w:color w:val="auto"/>
          <w:szCs w:val="21"/>
          <w:highlight w:val="none"/>
        </w:rPr>
        <w:t>投标函附录：指附在投标函后构成合同文件的投标函附录。</w:t>
      </w:r>
    </w:p>
    <w:p w14:paraId="62210ACD">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1.1.1.6 </w:t>
      </w:r>
      <w:r>
        <w:rPr>
          <w:rFonts w:hint="eastAsia" w:ascii="Times New Roman" w:hAnsi="Times New Roman"/>
          <w:color w:val="auto"/>
          <w:szCs w:val="21"/>
          <w:highlight w:val="none"/>
        </w:rPr>
        <w:t>技术标准和要求：指构成合同文件组成部分的名为技术标准和要求的文件，包括合同双方当事人约定对其所作的修改或补充。</w:t>
      </w:r>
    </w:p>
    <w:p w14:paraId="6DE225E7">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1.1.1.7 </w:t>
      </w:r>
      <w:r>
        <w:rPr>
          <w:rFonts w:hint="eastAsia" w:ascii="Times New Roman" w:hAnsi="Times New Roman"/>
          <w:color w:val="auto"/>
          <w:szCs w:val="21"/>
          <w:highlight w:val="none"/>
        </w:rPr>
        <w:t>图纸：指包含在合同中的工程图纸，以及由发包人按合同约定提供的任何补充和修改的图纸，包括配套的说明。</w:t>
      </w:r>
    </w:p>
    <w:p w14:paraId="2ACF70B1">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1.1.1.8 </w:t>
      </w:r>
      <w:r>
        <w:rPr>
          <w:rFonts w:hint="eastAsia" w:ascii="Times New Roman" w:hAnsi="Times New Roman"/>
          <w:color w:val="auto"/>
          <w:szCs w:val="21"/>
          <w:highlight w:val="none"/>
        </w:rPr>
        <w:t>已标价工程量清单：指构成合同文件组成部分的由承包人按照规定的格式和要求填写并标明价格的工程量清单。</w:t>
      </w:r>
    </w:p>
    <w:p w14:paraId="4A6E6074">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1.1.1.9 </w:t>
      </w:r>
      <w:r>
        <w:rPr>
          <w:rFonts w:hint="eastAsia" w:ascii="Times New Roman" w:hAnsi="Times New Roman"/>
          <w:color w:val="auto"/>
          <w:szCs w:val="21"/>
          <w:highlight w:val="none"/>
        </w:rPr>
        <w:t>其他合同文件：指经合同双方当事人确认构成合同文件的其他文件。</w:t>
      </w:r>
    </w:p>
    <w:p w14:paraId="52813431">
      <w:pPr>
        <w:pStyle w:val="54"/>
        <w:spacing w:line="400" w:lineRule="atLeast"/>
        <w:ind w:firstLine="420" w:firstLineChars="200"/>
        <w:rPr>
          <w:rFonts w:ascii="Times New Roman" w:hAnsi="Times New Roman" w:eastAsia="黑体"/>
          <w:color w:val="auto"/>
          <w:szCs w:val="21"/>
          <w:highlight w:val="none"/>
        </w:rPr>
      </w:pPr>
      <w:r>
        <w:rPr>
          <w:rFonts w:ascii="Times New Roman" w:hAnsi="Times New Roman"/>
          <w:color w:val="auto"/>
          <w:szCs w:val="21"/>
          <w:highlight w:val="none"/>
        </w:rPr>
        <w:t xml:space="preserve">1.1.2 </w:t>
      </w:r>
      <w:r>
        <w:rPr>
          <w:rFonts w:hint="eastAsia" w:ascii="Times New Roman" w:hAnsi="Times New Roman" w:eastAsia="黑体"/>
          <w:color w:val="auto"/>
          <w:szCs w:val="21"/>
          <w:highlight w:val="none"/>
        </w:rPr>
        <w:t>合同当事人和人员</w:t>
      </w:r>
    </w:p>
    <w:p w14:paraId="18659717">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1.1.2.1 </w:t>
      </w:r>
      <w:r>
        <w:rPr>
          <w:rFonts w:hint="eastAsia" w:ascii="Times New Roman" w:hAnsi="Times New Roman"/>
          <w:color w:val="auto"/>
          <w:szCs w:val="21"/>
          <w:highlight w:val="none"/>
        </w:rPr>
        <w:t>合同当事人：指发包人和（或）承包人。</w:t>
      </w:r>
    </w:p>
    <w:p w14:paraId="571F49EC">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1.1.2.2 </w:t>
      </w:r>
      <w:r>
        <w:rPr>
          <w:rFonts w:hint="eastAsia" w:ascii="Times New Roman" w:hAnsi="Times New Roman"/>
          <w:color w:val="auto"/>
          <w:szCs w:val="21"/>
          <w:highlight w:val="none"/>
        </w:rPr>
        <w:t>发包人：指专用合同条款中指明并与承包人在合同协议书中签字的当事人。</w:t>
      </w:r>
    </w:p>
    <w:p w14:paraId="1DCB0A32">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1.1.2.3</w:t>
      </w:r>
      <w:r>
        <w:rPr>
          <w:rFonts w:hint="eastAsia" w:ascii="Times New Roman" w:hAnsi="Times New Roman"/>
          <w:color w:val="auto"/>
          <w:szCs w:val="21"/>
          <w:highlight w:val="none"/>
        </w:rPr>
        <w:t>承包人：指与发包人签订合同协议书的当事人。</w:t>
      </w:r>
    </w:p>
    <w:p w14:paraId="56AF1B30">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1.1.2.4</w:t>
      </w:r>
      <w:r>
        <w:rPr>
          <w:rFonts w:hint="eastAsia" w:ascii="Times New Roman" w:hAnsi="Times New Roman"/>
          <w:color w:val="auto"/>
          <w:szCs w:val="21"/>
          <w:highlight w:val="none"/>
        </w:rPr>
        <w:t>承包人项目经理：指承包人派驻施工场地的全权负责人。</w:t>
      </w:r>
    </w:p>
    <w:p w14:paraId="740E04B1">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1.1.2.5</w:t>
      </w:r>
      <w:r>
        <w:rPr>
          <w:rFonts w:hint="eastAsia" w:ascii="Times New Roman" w:hAnsi="Times New Roman"/>
          <w:color w:val="auto"/>
          <w:szCs w:val="21"/>
          <w:highlight w:val="none"/>
        </w:rPr>
        <w:t>分包人：指从承包人处分包合同中某一部分工程，并与其签订分包合同的分包人。</w:t>
      </w:r>
    </w:p>
    <w:p w14:paraId="3B85EF78">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1.1.2.6</w:t>
      </w:r>
      <w:r>
        <w:rPr>
          <w:rFonts w:hint="eastAsia" w:ascii="Times New Roman" w:hAnsi="Times New Roman"/>
          <w:color w:val="auto"/>
          <w:szCs w:val="21"/>
          <w:highlight w:val="none"/>
        </w:rPr>
        <w:t>监理人：指在专用合同条款中指明的，受发包人委托对合同履行实施管理的法人或其他组织。</w:t>
      </w:r>
    </w:p>
    <w:p w14:paraId="7A23EF46">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1.1.2.7</w:t>
      </w:r>
      <w:r>
        <w:rPr>
          <w:rFonts w:hint="eastAsia" w:ascii="Times New Roman" w:hAnsi="Times New Roman"/>
          <w:color w:val="auto"/>
          <w:szCs w:val="21"/>
          <w:highlight w:val="none"/>
        </w:rPr>
        <w:t>总监理工程师（总监）：指由监理人委派常驻施工场地对合同履行实施管理的全权负责人。</w:t>
      </w:r>
    </w:p>
    <w:p w14:paraId="5B246EFB">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1.1.3 </w:t>
      </w:r>
      <w:r>
        <w:rPr>
          <w:rFonts w:hint="eastAsia" w:ascii="Times New Roman" w:hAnsi="Times New Roman" w:eastAsia="黑体"/>
          <w:color w:val="auto"/>
          <w:szCs w:val="21"/>
          <w:highlight w:val="none"/>
        </w:rPr>
        <w:t>工程和设备</w:t>
      </w:r>
    </w:p>
    <w:p w14:paraId="47A70793">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1.1.3.1 </w:t>
      </w:r>
      <w:r>
        <w:rPr>
          <w:rFonts w:hint="eastAsia" w:ascii="Times New Roman" w:hAnsi="Times New Roman"/>
          <w:color w:val="auto"/>
          <w:szCs w:val="21"/>
          <w:highlight w:val="none"/>
        </w:rPr>
        <w:t>工程：指永久工程和（或）临时工程。</w:t>
      </w:r>
    </w:p>
    <w:p w14:paraId="77440057">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1.1.3.2 </w:t>
      </w:r>
      <w:r>
        <w:rPr>
          <w:rFonts w:hint="eastAsia" w:ascii="Times New Roman" w:hAnsi="Times New Roman"/>
          <w:color w:val="auto"/>
          <w:szCs w:val="21"/>
          <w:highlight w:val="none"/>
        </w:rPr>
        <w:t>永久工程：指按合同约定建造并移交给发包人的工程，包括工程设备。</w:t>
      </w:r>
    </w:p>
    <w:p w14:paraId="04E29CEE">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1.1.3.3 </w:t>
      </w:r>
      <w:r>
        <w:rPr>
          <w:rFonts w:hint="eastAsia" w:ascii="Times New Roman" w:hAnsi="Times New Roman"/>
          <w:color w:val="auto"/>
          <w:szCs w:val="21"/>
          <w:highlight w:val="none"/>
        </w:rPr>
        <w:t>临时工程：指为完成合同约定的永久工程所修建的各类临时性工程，不包括施工设备。</w:t>
      </w:r>
    </w:p>
    <w:p w14:paraId="7468FDBE">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1.1.3.4 </w:t>
      </w:r>
      <w:r>
        <w:rPr>
          <w:rFonts w:hint="eastAsia" w:ascii="Times New Roman" w:hAnsi="Times New Roman"/>
          <w:color w:val="auto"/>
          <w:szCs w:val="21"/>
          <w:highlight w:val="none"/>
        </w:rPr>
        <w:t>单位工程：指专用合同条款中指明特定范围的永久工程。</w:t>
      </w:r>
    </w:p>
    <w:p w14:paraId="4541F7D9">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1.1.3.5 </w:t>
      </w:r>
      <w:r>
        <w:rPr>
          <w:rFonts w:hint="eastAsia" w:ascii="Times New Roman" w:hAnsi="Times New Roman"/>
          <w:color w:val="auto"/>
          <w:szCs w:val="21"/>
          <w:highlight w:val="none"/>
        </w:rPr>
        <w:t>工程设备：指构成或计划构成永久工程一部分的机电设备、金属结构设备、仪器装置及其他类似的设备和装置。</w:t>
      </w:r>
    </w:p>
    <w:p w14:paraId="210FAEF4">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1.1.3.6 </w:t>
      </w:r>
      <w:r>
        <w:rPr>
          <w:rFonts w:hint="eastAsia" w:ascii="Times New Roman" w:hAnsi="Times New Roman"/>
          <w:color w:val="auto"/>
          <w:szCs w:val="21"/>
          <w:highlight w:val="none"/>
        </w:rPr>
        <w:t>施工设备：指为完成合同约定的各项工作所需的设备、器具和其他物品，不包括临时工程和材料。</w:t>
      </w:r>
    </w:p>
    <w:p w14:paraId="72C1A2A9">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1.1.3.7</w:t>
      </w:r>
      <w:r>
        <w:rPr>
          <w:rFonts w:hint="eastAsia" w:ascii="Times New Roman" w:hAnsi="Times New Roman"/>
          <w:color w:val="auto"/>
          <w:szCs w:val="21"/>
          <w:highlight w:val="none"/>
        </w:rPr>
        <w:t>临时设施：指为完成合同约定的各项工作所服务的临时性生产和生活设施。</w:t>
      </w:r>
    </w:p>
    <w:p w14:paraId="68FE3CDA">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1.1.3.8 </w:t>
      </w:r>
      <w:r>
        <w:rPr>
          <w:rFonts w:hint="eastAsia" w:ascii="Times New Roman" w:hAnsi="Times New Roman"/>
          <w:color w:val="auto"/>
          <w:szCs w:val="21"/>
          <w:highlight w:val="none"/>
        </w:rPr>
        <w:t>承包人设备：指承包人自带的施工设备。</w:t>
      </w:r>
    </w:p>
    <w:p w14:paraId="469790F5">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1.1.3.9 </w:t>
      </w:r>
      <w:r>
        <w:rPr>
          <w:rFonts w:hint="eastAsia" w:ascii="Times New Roman" w:hAnsi="Times New Roman"/>
          <w:color w:val="auto"/>
          <w:szCs w:val="21"/>
          <w:highlight w:val="none"/>
        </w:rPr>
        <w:t>施工场地（或称工地、现场）：指用于合同工程施工的场所，以及在合同中指定作为施工场地组成部分的其他场所，包括永久占地和临时占地。</w:t>
      </w:r>
    </w:p>
    <w:p w14:paraId="02E9CF33">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1.1.3.10 </w:t>
      </w:r>
      <w:r>
        <w:rPr>
          <w:rFonts w:hint="eastAsia" w:ascii="Times New Roman" w:hAnsi="Times New Roman"/>
          <w:color w:val="auto"/>
          <w:szCs w:val="21"/>
          <w:highlight w:val="none"/>
        </w:rPr>
        <w:t>永久占地：指专用合同条款中指明为实施合同工程需永久占用的土地。</w:t>
      </w:r>
    </w:p>
    <w:p w14:paraId="3BB4AF5C">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1.1.3.11 </w:t>
      </w:r>
      <w:r>
        <w:rPr>
          <w:rFonts w:hint="eastAsia" w:ascii="Times New Roman" w:hAnsi="Times New Roman"/>
          <w:color w:val="auto"/>
          <w:szCs w:val="21"/>
          <w:highlight w:val="none"/>
        </w:rPr>
        <w:t>临时占地：指专用合同条款中指明为实施合同工程需临时占用的土地。</w:t>
      </w:r>
    </w:p>
    <w:p w14:paraId="6E80D810">
      <w:pPr>
        <w:pStyle w:val="54"/>
        <w:spacing w:line="400" w:lineRule="atLeast"/>
        <w:ind w:firstLine="420" w:firstLineChars="200"/>
        <w:rPr>
          <w:rFonts w:ascii="Times New Roman" w:hAnsi="Times New Roman" w:eastAsia="黑体"/>
          <w:color w:val="auto"/>
          <w:szCs w:val="21"/>
          <w:highlight w:val="none"/>
        </w:rPr>
      </w:pPr>
      <w:r>
        <w:rPr>
          <w:rFonts w:ascii="Times New Roman" w:hAnsi="Times New Roman"/>
          <w:color w:val="auto"/>
          <w:szCs w:val="21"/>
          <w:highlight w:val="none"/>
        </w:rPr>
        <w:t xml:space="preserve">1.1.4 </w:t>
      </w:r>
      <w:r>
        <w:rPr>
          <w:rFonts w:hint="eastAsia" w:ascii="Times New Roman" w:hAnsi="Times New Roman" w:eastAsia="黑体"/>
          <w:color w:val="auto"/>
          <w:szCs w:val="21"/>
          <w:highlight w:val="none"/>
        </w:rPr>
        <w:t>日期</w:t>
      </w:r>
    </w:p>
    <w:p w14:paraId="0EEC57E0">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1.1.4.1 </w:t>
      </w:r>
      <w:r>
        <w:rPr>
          <w:rFonts w:hint="eastAsia" w:ascii="Times New Roman" w:hAnsi="Times New Roman"/>
          <w:color w:val="auto"/>
          <w:szCs w:val="21"/>
          <w:highlight w:val="none"/>
        </w:rPr>
        <w:t>开工通知：指监理人按第</w:t>
      </w:r>
      <w:r>
        <w:rPr>
          <w:rFonts w:ascii="Times New Roman" w:hAnsi="Times New Roman"/>
          <w:color w:val="auto"/>
          <w:szCs w:val="21"/>
          <w:highlight w:val="none"/>
        </w:rPr>
        <w:t>11.1</w:t>
      </w:r>
      <w:r>
        <w:rPr>
          <w:rFonts w:hint="eastAsia" w:ascii="Times New Roman" w:hAnsi="Times New Roman"/>
          <w:color w:val="auto"/>
          <w:szCs w:val="21"/>
          <w:highlight w:val="none"/>
        </w:rPr>
        <w:t>款通知承包人开工的函件。</w:t>
      </w:r>
    </w:p>
    <w:p w14:paraId="2138832E">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1.1.4.2 </w:t>
      </w:r>
      <w:r>
        <w:rPr>
          <w:rFonts w:hint="eastAsia" w:ascii="Times New Roman" w:hAnsi="Times New Roman"/>
          <w:color w:val="auto"/>
          <w:szCs w:val="21"/>
          <w:highlight w:val="none"/>
        </w:rPr>
        <w:t>开工日期：指监理人按第</w:t>
      </w:r>
      <w:r>
        <w:rPr>
          <w:rFonts w:ascii="Times New Roman" w:hAnsi="Times New Roman"/>
          <w:color w:val="auto"/>
          <w:szCs w:val="21"/>
          <w:highlight w:val="none"/>
        </w:rPr>
        <w:t>11.1</w:t>
      </w:r>
      <w:r>
        <w:rPr>
          <w:rFonts w:hint="eastAsia" w:ascii="Times New Roman" w:hAnsi="Times New Roman"/>
          <w:color w:val="auto"/>
          <w:szCs w:val="21"/>
          <w:highlight w:val="none"/>
        </w:rPr>
        <w:t>款发出的开工通知中写明的开工日期。</w:t>
      </w:r>
    </w:p>
    <w:p w14:paraId="57960C13">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1.1.4.3 </w:t>
      </w:r>
      <w:r>
        <w:rPr>
          <w:rFonts w:hint="eastAsia" w:ascii="Times New Roman" w:hAnsi="Times New Roman"/>
          <w:color w:val="auto"/>
          <w:szCs w:val="21"/>
          <w:highlight w:val="none"/>
        </w:rPr>
        <w:t>工期：指承包人在投标函中承诺的完成合同工程所需的期限，包括按第</w:t>
      </w:r>
      <w:r>
        <w:rPr>
          <w:rFonts w:ascii="Times New Roman" w:hAnsi="Times New Roman"/>
          <w:color w:val="auto"/>
          <w:szCs w:val="21"/>
          <w:highlight w:val="none"/>
        </w:rPr>
        <w:t>11.3</w:t>
      </w:r>
      <w:r>
        <w:rPr>
          <w:rFonts w:hint="eastAsia" w:ascii="Times New Roman" w:hAnsi="Times New Roman"/>
          <w:color w:val="auto"/>
          <w:szCs w:val="21"/>
          <w:highlight w:val="none"/>
        </w:rPr>
        <w:t>款、第</w:t>
      </w:r>
      <w:r>
        <w:rPr>
          <w:rFonts w:ascii="Times New Roman" w:hAnsi="Times New Roman"/>
          <w:color w:val="auto"/>
          <w:szCs w:val="21"/>
          <w:highlight w:val="none"/>
        </w:rPr>
        <w:t>11.4</w:t>
      </w:r>
      <w:r>
        <w:rPr>
          <w:rFonts w:hint="eastAsia" w:ascii="Times New Roman" w:hAnsi="Times New Roman"/>
          <w:color w:val="auto"/>
          <w:szCs w:val="21"/>
          <w:highlight w:val="none"/>
        </w:rPr>
        <w:t>款和第</w:t>
      </w:r>
      <w:r>
        <w:rPr>
          <w:rFonts w:ascii="Times New Roman" w:hAnsi="Times New Roman"/>
          <w:color w:val="auto"/>
          <w:szCs w:val="21"/>
          <w:highlight w:val="none"/>
        </w:rPr>
        <w:t>11.6</w:t>
      </w:r>
      <w:r>
        <w:rPr>
          <w:rFonts w:hint="eastAsia" w:ascii="Times New Roman" w:hAnsi="Times New Roman"/>
          <w:color w:val="auto"/>
          <w:szCs w:val="21"/>
          <w:highlight w:val="none"/>
        </w:rPr>
        <w:t>款约定所作的变更。</w:t>
      </w:r>
    </w:p>
    <w:p w14:paraId="14C755CF">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1.1.4.4 </w:t>
      </w:r>
      <w:r>
        <w:rPr>
          <w:rFonts w:hint="eastAsia" w:ascii="Times New Roman" w:hAnsi="Times New Roman"/>
          <w:color w:val="auto"/>
          <w:szCs w:val="21"/>
          <w:highlight w:val="none"/>
        </w:rPr>
        <w:t>竣工日期：指第</w:t>
      </w:r>
      <w:r>
        <w:rPr>
          <w:rFonts w:ascii="Times New Roman" w:hAnsi="Times New Roman"/>
          <w:color w:val="auto"/>
          <w:szCs w:val="21"/>
          <w:highlight w:val="none"/>
        </w:rPr>
        <w:t>1.1.4.3</w:t>
      </w:r>
      <w:r>
        <w:rPr>
          <w:rFonts w:hint="eastAsia" w:ascii="Times New Roman" w:hAnsi="Times New Roman"/>
          <w:color w:val="auto"/>
          <w:szCs w:val="21"/>
          <w:highlight w:val="none"/>
        </w:rPr>
        <w:t>目约定工期届满时的日期。实际竣工日期以工程接收证书中写明的日期为准。</w:t>
      </w:r>
    </w:p>
    <w:p w14:paraId="64F11877">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1.1.4.5 </w:t>
      </w:r>
      <w:r>
        <w:rPr>
          <w:rFonts w:hint="eastAsia" w:ascii="Times New Roman" w:hAnsi="Times New Roman"/>
          <w:color w:val="auto"/>
          <w:szCs w:val="21"/>
          <w:highlight w:val="none"/>
        </w:rPr>
        <w:t>缺陷责任期：指履行第</w:t>
      </w:r>
      <w:r>
        <w:rPr>
          <w:rFonts w:ascii="Times New Roman" w:hAnsi="Times New Roman"/>
          <w:color w:val="auto"/>
          <w:szCs w:val="21"/>
          <w:highlight w:val="none"/>
        </w:rPr>
        <w:t>19.2</w:t>
      </w:r>
      <w:r>
        <w:rPr>
          <w:rFonts w:hint="eastAsia" w:ascii="Times New Roman" w:hAnsi="Times New Roman"/>
          <w:color w:val="auto"/>
          <w:szCs w:val="21"/>
          <w:highlight w:val="none"/>
        </w:rPr>
        <w:t>款约定的缺陷责任的期限，具体期限由专用合同条款约定，包括根据第</w:t>
      </w:r>
      <w:r>
        <w:rPr>
          <w:rFonts w:ascii="Times New Roman" w:hAnsi="Times New Roman"/>
          <w:color w:val="auto"/>
          <w:szCs w:val="21"/>
          <w:highlight w:val="none"/>
        </w:rPr>
        <w:t>19.3</w:t>
      </w:r>
      <w:r>
        <w:rPr>
          <w:rFonts w:hint="eastAsia" w:ascii="Times New Roman" w:hAnsi="Times New Roman"/>
          <w:color w:val="auto"/>
          <w:szCs w:val="21"/>
          <w:highlight w:val="none"/>
        </w:rPr>
        <w:t>款约定所作的延长。</w:t>
      </w:r>
    </w:p>
    <w:p w14:paraId="4DFA63C6">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1.1.4.6 </w:t>
      </w:r>
      <w:r>
        <w:rPr>
          <w:rFonts w:hint="eastAsia" w:ascii="Times New Roman" w:hAnsi="Times New Roman"/>
          <w:color w:val="auto"/>
          <w:szCs w:val="21"/>
          <w:highlight w:val="none"/>
        </w:rPr>
        <w:t>基准日期：指投标截止时间前</w:t>
      </w:r>
      <w:r>
        <w:rPr>
          <w:rFonts w:ascii="Times New Roman" w:hAnsi="Times New Roman"/>
          <w:color w:val="auto"/>
          <w:szCs w:val="21"/>
          <w:highlight w:val="none"/>
        </w:rPr>
        <w:t>28</w:t>
      </w:r>
      <w:r>
        <w:rPr>
          <w:rFonts w:hint="eastAsia" w:ascii="Times New Roman" w:hAnsi="Times New Roman"/>
          <w:color w:val="auto"/>
          <w:szCs w:val="21"/>
          <w:highlight w:val="none"/>
        </w:rPr>
        <w:t>天的日期。</w:t>
      </w:r>
    </w:p>
    <w:p w14:paraId="2905766C">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1.1.4.7 </w:t>
      </w:r>
      <w:r>
        <w:rPr>
          <w:rFonts w:hint="eastAsia" w:ascii="Times New Roman" w:hAnsi="Times New Roman"/>
          <w:color w:val="auto"/>
          <w:szCs w:val="21"/>
          <w:highlight w:val="none"/>
        </w:rPr>
        <w:t>天：除特别指明外，指日历天。合同中按天计算时间的，开始当天不计入，从次日开始计算。期限最后一天的截止时间为当天</w:t>
      </w:r>
      <w:r>
        <w:rPr>
          <w:rFonts w:ascii="Times New Roman" w:hAnsi="Times New Roman"/>
          <w:color w:val="auto"/>
          <w:szCs w:val="21"/>
          <w:highlight w:val="none"/>
        </w:rPr>
        <w:t>24:00</w:t>
      </w:r>
      <w:r>
        <w:rPr>
          <w:rFonts w:hint="eastAsia" w:ascii="Times New Roman" w:hAnsi="Times New Roman"/>
          <w:color w:val="auto"/>
          <w:szCs w:val="21"/>
          <w:highlight w:val="none"/>
        </w:rPr>
        <w:t>。</w:t>
      </w:r>
    </w:p>
    <w:p w14:paraId="05EB171E">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1.1.5 </w:t>
      </w:r>
      <w:r>
        <w:rPr>
          <w:rFonts w:hint="eastAsia" w:ascii="Times New Roman" w:hAnsi="Times New Roman" w:eastAsia="黑体"/>
          <w:color w:val="auto"/>
          <w:szCs w:val="21"/>
          <w:highlight w:val="none"/>
        </w:rPr>
        <w:t>合同价格和费用</w:t>
      </w:r>
    </w:p>
    <w:p w14:paraId="527CD646">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1.1.5.1 </w:t>
      </w:r>
      <w:r>
        <w:rPr>
          <w:rFonts w:hint="eastAsia" w:ascii="Times New Roman" w:hAnsi="Times New Roman"/>
          <w:color w:val="auto"/>
          <w:szCs w:val="21"/>
          <w:highlight w:val="none"/>
        </w:rPr>
        <w:t>签约合同价：指签订合同时合同协议书中写明的，包括了暂列金额、暂估价的合同总金额。</w:t>
      </w:r>
    </w:p>
    <w:p w14:paraId="59DC4E82">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1.1.5.2 </w:t>
      </w:r>
      <w:r>
        <w:rPr>
          <w:rFonts w:hint="eastAsia" w:ascii="Times New Roman" w:hAnsi="Times New Roman"/>
          <w:color w:val="auto"/>
          <w:szCs w:val="21"/>
          <w:highlight w:val="none"/>
        </w:rPr>
        <w:t>合同价格：指承包人按合同约定完成了包括缺陷责任期内的全部承包工作后，发包人应付给承包人的金额，包括在履行合同过程中按合同约定进行的变更和调整。</w:t>
      </w:r>
    </w:p>
    <w:p w14:paraId="51E00951">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1.1.5.3 </w:t>
      </w:r>
      <w:r>
        <w:rPr>
          <w:rFonts w:hint="eastAsia" w:ascii="Times New Roman" w:hAnsi="Times New Roman"/>
          <w:color w:val="auto"/>
          <w:szCs w:val="21"/>
          <w:highlight w:val="none"/>
        </w:rPr>
        <w:t>费用：指为履行合同所发生的或将要发生的所有合理开支，包括管理费和应分摊的其他费用，但不包括利润。</w:t>
      </w:r>
    </w:p>
    <w:p w14:paraId="09825E10">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1.1.5.4 </w:t>
      </w:r>
      <w:r>
        <w:rPr>
          <w:rFonts w:hint="eastAsia" w:ascii="Times New Roman" w:hAnsi="Times New Roman"/>
          <w:color w:val="auto"/>
          <w:szCs w:val="21"/>
          <w:highlight w:val="none"/>
        </w:rPr>
        <w:t>暂列金额：指已标价工程量清单中所列的暂列金额，用于在签订协议书时尚未确定或不可预见变更的施工及其所需材料、工程设备、服务等的金额，包括以计日工方式支付的金额。</w:t>
      </w:r>
    </w:p>
    <w:p w14:paraId="6DFAB27C">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1.1.5.5</w:t>
      </w:r>
      <w:r>
        <w:rPr>
          <w:rFonts w:hint="eastAsia" w:ascii="Times New Roman" w:hAnsi="Times New Roman"/>
          <w:color w:val="auto"/>
          <w:szCs w:val="21"/>
          <w:highlight w:val="none"/>
        </w:rPr>
        <w:t>暂估价：指发包人在工程量清单中给定的用于支付必然发生但暂时不能确定价格的材料、工程设备以及专业工程的金额。</w:t>
      </w:r>
    </w:p>
    <w:p w14:paraId="123FA5E3">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1.1.5.6 </w:t>
      </w:r>
      <w:r>
        <w:rPr>
          <w:rFonts w:hint="eastAsia" w:ascii="Times New Roman" w:hAnsi="Times New Roman"/>
          <w:color w:val="auto"/>
          <w:szCs w:val="21"/>
          <w:highlight w:val="none"/>
        </w:rPr>
        <w:t>计日工：指对零星工作采取的一种计价方式，按合同中的计日工子目及其单价计价付款。</w:t>
      </w:r>
    </w:p>
    <w:p w14:paraId="40E74783">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1.1.5.7 </w:t>
      </w:r>
      <w:r>
        <w:rPr>
          <w:rFonts w:hint="eastAsia" w:ascii="Times New Roman" w:hAnsi="Times New Roman"/>
          <w:color w:val="auto"/>
          <w:szCs w:val="21"/>
          <w:highlight w:val="none"/>
        </w:rPr>
        <w:t>质量保证金（或称保留金）：指按第</w:t>
      </w:r>
      <w:r>
        <w:rPr>
          <w:rFonts w:ascii="Times New Roman" w:hAnsi="Times New Roman"/>
          <w:color w:val="auto"/>
          <w:szCs w:val="21"/>
          <w:highlight w:val="none"/>
        </w:rPr>
        <w:t>17.4.1</w:t>
      </w:r>
      <w:r>
        <w:rPr>
          <w:rFonts w:hint="eastAsia" w:ascii="Times New Roman" w:hAnsi="Times New Roman"/>
          <w:color w:val="auto"/>
          <w:szCs w:val="21"/>
          <w:highlight w:val="none"/>
        </w:rPr>
        <w:t>项约定用于保证在缺陷责任期内履行缺陷修复义务的金额。</w:t>
      </w:r>
    </w:p>
    <w:p w14:paraId="3C2196AC">
      <w:pPr>
        <w:pStyle w:val="54"/>
        <w:spacing w:line="400" w:lineRule="atLeast"/>
        <w:ind w:firstLine="411" w:firstLineChars="196"/>
        <w:rPr>
          <w:rFonts w:ascii="Times New Roman" w:hAnsi="Times New Roman"/>
          <w:color w:val="auto"/>
          <w:szCs w:val="21"/>
          <w:highlight w:val="none"/>
        </w:rPr>
      </w:pPr>
      <w:r>
        <w:rPr>
          <w:rFonts w:ascii="Times New Roman" w:hAnsi="Times New Roman"/>
          <w:color w:val="auto"/>
          <w:szCs w:val="21"/>
          <w:highlight w:val="none"/>
        </w:rPr>
        <w:t xml:space="preserve">1.1.6 </w:t>
      </w:r>
      <w:r>
        <w:rPr>
          <w:rFonts w:hint="eastAsia" w:ascii="Times New Roman" w:hAnsi="Times New Roman" w:eastAsia="黑体"/>
          <w:color w:val="auto"/>
          <w:szCs w:val="21"/>
          <w:highlight w:val="none"/>
        </w:rPr>
        <w:t>其他</w:t>
      </w:r>
    </w:p>
    <w:p w14:paraId="4CA64A79">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1.1.6.1 </w:t>
      </w:r>
      <w:r>
        <w:rPr>
          <w:rFonts w:hint="eastAsia" w:ascii="Times New Roman" w:hAnsi="Times New Roman"/>
          <w:color w:val="auto"/>
          <w:szCs w:val="21"/>
          <w:highlight w:val="none"/>
        </w:rPr>
        <w:t>书面形式：指合同文件、信函、电报、传真等可以有形地表现所载内容的形式。</w:t>
      </w:r>
    </w:p>
    <w:p w14:paraId="1509A08C">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1.2 </w:t>
      </w:r>
      <w:r>
        <w:rPr>
          <w:rFonts w:hint="eastAsia" w:ascii="Times New Roman" w:hAnsi="Times New Roman" w:eastAsia="黑体"/>
          <w:bCs/>
          <w:color w:val="auto"/>
          <w:kern w:val="44"/>
          <w:szCs w:val="21"/>
          <w:highlight w:val="none"/>
          <w:lang w:val="zh-CN"/>
        </w:rPr>
        <w:t>语言文字</w:t>
      </w:r>
    </w:p>
    <w:p w14:paraId="7B9441BB">
      <w:pPr>
        <w:pStyle w:val="54"/>
        <w:spacing w:line="400" w:lineRule="atLeast"/>
        <w:rPr>
          <w:rFonts w:ascii="Times New Roman" w:hAnsi="Times New Roman"/>
          <w:color w:val="auto"/>
          <w:szCs w:val="21"/>
          <w:highlight w:val="none"/>
        </w:rPr>
      </w:pPr>
      <w:r>
        <w:rPr>
          <w:rFonts w:hint="eastAsia" w:ascii="Times New Roman" w:hAnsi="Times New Roman"/>
          <w:color w:val="auto"/>
          <w:szCs w:val="21"/>
          <w:highlight w:val="none"/>
        </w:rPr>
        <w:t>　　除专用术语外，合同使用的语言文字为中文。必要时专用术语应附有中文注释。</w:t>
      </w:r>
    </w:p>
    <w:p w14:paraId="60B568E4">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1.3 </w:t>
      </w:r>
      <w:r>
        <w:rPr>
          <w:rFonts w:hint="eastAsia" w:ascii="Times New Roman" w:hAnsi="Times New Roman" w:eastAsia="黑体"/>
          <w:bCs/>
          <w:color w:val="auto"/>
          <w:kern w:val="44"/>
          <w:szCs w:val="21"/>
          <w:highlight w:val="none"/>
          <w:lang w:val="zh-CN"/>
        </w:rPr>
        <w:t>法律</w:t>
      </w:r>
    </w:p>
    <w:p w14:paraId="7AF13856">
      <w:pPr>
        <w:pStyle w:val="54"/>
        <w:tabs>
          <w:tab w:val="left" w:pos="7020"/>
        </w:tabs>
        <w:spacing w:line="400" w:lineRule="atLeast"/>
        <w:rPr>
          <w:rFonts w:ascii="Times New Roman" w:hAnsi="Times New Roman"/>
          <w:color w:val="auto"/>
          <w:szCs w:val="21"/>
          <w:highlight w:val="none"/>
        </w:rPr>
      </w:pPr>
      <w:r>
        <w:rPr>
          <w:rFonts w:hint="eastAsia" w:ascii="Times New Roman" w:hAnsi="Times New Roman"/>
          <w:color w:val="auto"/>
          <w:szCs w:val="21"/>
          <w:highlight w:val="none"/>
        </w:rPr>
        <w:t>　　适用于合同的法律包括中华人民共和国法律、行政法规、部门规章，以及工程所在地的地方法规、自治条例、单行条例和地方政府规章。</w:t>
      </w:r>
    </w:p>
    <w:p w14:paraId="1BA50B4B">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1.4 </w:t>
      </w:r>
      <w:r>
        <w:rPr>
          <w:rFonts w:hint="eastAsia" w:ascii="Times New Roman" w:hAnsi="Times New Roman" w:eastAsia="黑体"/>
          <w:bCs/>
          <w:color w:val="auto"/>
          <w:kern w:val="44"/>
          <w:szCs w:val="21"/>
          <w:highlight w:val="none"/>
          <w:lang w:val="zh-CN"/>
        </w:rPr>
        <w:t>合同文件的优先顺序</w:t>
      </w:r>
    </w:p>
    <w:p w14:paraId="6B43948E">
      <w:pPr>
        <w:pStyle w:val="54"/>
        <w:spacing w:line="400" w:lineRule="atLeast"/>
        <w:rPr>
          <w:rFonts w:ascii="Times New Roman" w:hAnsi="Times New Roman"/>
          <w:color w:val="auto"/>
          <w:szCs w:val="21"/>
          <w:highlight w:val="none"/>
        </w:rPr>
      </w:pPr>
      <w:r>
        <w:rPr>
          <w:rFonts w:hint="eastAsia" w:ascii="Times New Roman" w:hAnsi="Times New Roman"/>
          <w:color w:val="auto"/>
          <w:szCs w:val="21"/>
          <w:highlight w:val="none"/>
        </w:rPr>
        <w:t>　　组成合同的各项文件应互相解释，互为说明。除专用合同条款另有约定外，解释合同文件的优先顺序如下：</w:t>
      </w:r>
    </w:p>
    <w:p w14:paraId="4A7D070D">
      <w:pPr>
        <w:pStyle w:val="54"/>
        <w:spacing w:line="400" w:lineRule="atLeast"/>
        <w:rPr>
          <w:rFonts w:ascii="Times New Roman" w:hAnsi="Times New Roman"/>
          <w:color w:val="auto"/>
          <w:szCs w:val="21"/>
          <w:highlight w:val="none"/>
        </w:rPr>
      </w:pPr>
      <w:r>
        <w:rPr>
          <w:rFonts w:hint="eastAsia" w:ascii="Times New Roman" w:hAnsi="Times New Roman"/>
          <w:color w:val="auto"/>
          <w:szCs w:val="21"/>
          <w:highlight w:val="none"/>
        </w:rPr>
        <w:t>　　（</w:t>
      </w:r>
      <w:r>
        <w:rPr>
          <w:rFonts w:ascii="Times New Roman" w:hAnsi="Times New Roman"/>
          <w:color w:val="auto"/>
          <w:szCs w:val="21"/>
          <w:highlight w:val="none"/>
        </w:rPr>
        <w:t>1</w:t>
      </w:r>
      <w:r>
        <w:rPr>
          <w:rFonts w:hint="eastAsia" w:ascii="Times New Roman" w:hAnsi="Times New Roman"/>
          <w:color w:val="auto"/>
          <w:szCs w:val="21"/>
          <w:highlight w:val="none"/>
        </w:rPr>
        <w:t>）合同协议书；</w:t>
      </w:r>
    </w:p>
    <w:p w14:paraId="23C1D0E9">
      <w:pPr>
        <w:pStyle w:val="54"/>
        <w:spacing w:line="400" w:lineRule="atLeast"/>
        <w:rPr>
          <w:rFonts w:ascii="Times New Roman" w:hAnsi="Times New Roman"/>
          <w:color w:val="auto"/>
          <w:szCs w:val="21"/>
          <w:highlight w:val="none"/>
        </w:rPr>
      </w:pPr>
      <w:r>
        <w:rPr>
          <w:rFonts w:hint="eastAsia" w:ascii="Times New Roman" w:hAnsi="Times New Roman"/>
          <w:color w:val="auto"/>
          <w:szCs w:val="21"/>
          <w:highlight w:val="none"/>
        </w:rPr>
        <w:t>　　（</w:t>
      </w:r>
      <w:r>
        <w:rPr>
          <w:rFonts w:ascii="Times New Roman" w:hAnsi="Times New Roman"/>
          <w:color w:val="auto"/>
          <w:szCs w:val="21"/>
          <w:highlight w:val="none"/>
        </w:rPr>
        <w:t>2</w:t>
      </w:r>
      <w:r>
        <w:rPr>
          <w:rFonts w:hint="eastAsia" w:ascii="Times New Roman" w:hAnsi="Times New Roman"/>
          <w:color w:val="auto"/>
          <w:szCs w:val="21"/>
          <w:highlight w:val="none"/>
        </w:rPr>
        <w:t>）中标通知书；</w:t>
      </w:r>
    </w:p>
    <w:p w14:paraId="53B2AB43">
      <w:pPr>
        <w:pStyle w:val="54"/>
        <w:spacing w:line="400" w:lineRule="atLeast"/>
        <w:rPr>
          <w:rFonts w:ascii="Times New Roman" w:hAnsi="Times New Roman"/>
          <w:color w:val="auto"/>
          <w:szCs w:val="21"/>
          <w:highlight w:val="none"/>
        </w:rPr>
      </w:pPr>
      <w:r>
        <w:rPr>
          <w:rFonts w:hint="eastAsia" w:ascii="Times New Roman" w:hAnsi="Times New Roman"/>
          <w:color w:val="auto"/>
          <w:szCs w:val="21"/>
          <w:highlight w:val="none"/>
        </w:rPr>
        <w:t>　　（</w:t>
      </w:r>
      <w:r>
        <w:rPr>
          <w:rFonts w:ascii="Times New Roman" w:hAnsi="Times New Roman"/>
          <w:color w:val="auto"/>
          <w:szCs w:val="21"/>
          <w:highlight w:val="none"/>
        </w:rPr>
        <w:t>3</w:t>
      </w:r>
      <w:r>
        <w:rPr>
          <w:rFonts w:hint="eastAsia" w:ascii="Times New Roman" w:hAnsi="Times New Roman"/>
          <w:color w:val="auto"/>
          <w:szCs w:val="21"/>
          <w:highlight w:val="none"/>
        </w:rPr>
        <w:t>）投标函及投标函附录；</w:t>
      </w:r>
    </w:p>
    <w:p w14:paraId="5C363DA9">
      <w:pPr>
        <w:pStyle w:val="54"/>
        <w:spacing w:line="400" w:lineRule="atLeast"/>
        <w:rPr>
          <w:rFonts w:ascii="Times New Roman" w:hAnsi="Times New Roman"/>
          <w:color w:val="auto"/>
          <w:szCs w:val="21"/>
          <w:highlight w:val="none"/>
        </w:rPr>
      </w:pPr>
      <w:r>
        <w:rPr>
          <w:rFonts w:hint="eastAsia" w:ascii="Times New Roman" w:hAnsi="Times New Roman"/>
          <w:color w:val="auto"/>
          <w:szCs w:val="21"/>
          <w:highlight w:val="none"/>
        </w:rPr>
        <w:t>　　（</w:t>
      </w:r>
      <w:r>
        <w:rPr>
          <w:rFonts w:ascii="Times New Roman" w:hAnsi="Times New Roman"/>
          <w:color w:val="auto"/>
          <w:szCs w:val="21"/>
          <w:highlight w:val="none"/>
        </w:rPr>
        <w:t>4</w:t>
      </w:r>
      <w:r>
        <w:rPr>
          <w:rFonts w:hint="eastAsia" w:ascii="Times New Roman" w:hAnsi="Times New Roman"/>
          <w:color w:val="auto"/>
          <w:szCs w:val="21"/>
          <w:highlight w:val="none"/>
        </w:rPr>
        <w:t>）专用合同条款；</w:t>
      </w:r>
    </w:p>
    <w:p w14:paraId="771FD352">
      <w:pPr>
        <w:pStyle w:val="54"/>
        <w:spacing w:line="400" w:lineRule="atLeast"/>
        <w:rPr>
          <w:rFonts w:ascii="Times New Roman" w:hAnsi="Times New Roman"/>
          <w:color w:val="auto"/>
          <w:szCs w:val="21"/>
          <w:highlight w:val="none"/>
        </w:rPr>
      </w:pPr>
      <w:r>
        <w:rPr>
          <w:rFonts w:hint="eastAsia" w:ascii="Times New Roman" w:hAnsi="Times New Roman"/>
          <w:color w:val="auto"/>
          <w:szCs w:val="21"/>
          <w:highlight w:val="none"/>
        </w:rPr>
        <w:t>　　（</w:t>
      </w:r>
      <w:r>
        <w:rPr>
          <w:rFonts w:ascii="Times New Roman" w:hAnsi="Times New Roman"/>
          <w:color w:val="auto"/>
          <w:szCs w:val="21"/>
          <w:highlight w:val="none"/>
        </w:rPr>
        <w:t>5</w:t>
      </w:r>
      <w:r>
        <w:rPr>
          <w:rFonts w:hint="eastAsia" w:ascii="Times New Roman" w:hAnsi="Times New Roman"/>
          <w:color w:val="auto"/>
          <w:szCs w:val="21"/>
          <w:highlight w:val="none"/>
        </w:rPr>
        <w:t>）通用合同条款；</w:t>
      </w:r>
    </w:p>
    <w:p w14:paraId="0A4FF77C">
      <w:pPr>
        <w:pStyle w:val="54"/>
        <w:spacing w:line="400" w:lineRule="atLeast"/>
        <w:rPr>
          <w:rFonts w:ascii="Times New Roman" w:hAnsi="Times New Roman"/>
          <w:color w:val="auto"/>
          <w:szCs w:val="21"/>
          <w:highlight w:val="none"/>
        </w:rPr>
      </w:pPr>
      <w:r>
        <w:rPr>
          <w:rFonts w:hint="eastAsia" w:ascii="Times New Roman" w:hAnsi="Times New Roman"/>
          <w:color w:val="auto"/>
          <w:szCs w:val="21"/>
          <w:highlight w:val="none"/>
        </w:rPr>
        <w:t>　　（</w:t>
      </w:r>
      <w:r>
        <w:rPr>
          <w:rFonts w:ascii="Times New Roman" w:hAnsi="Times New Roman"/>
          <w:color w:val="auto"/>
          <w:szCs w:val="21"/>
          <w:highlight w:val="none"/>
        </w:rPr>
        <w:t>6</w:t>
      </w:r>
      <w:r>
        <w:rPr>
          <w:rFonts w:hint="eastAsia" w:ascii="Times New Roman" w:hAnsi="Times New Roman"/>
          <w:color w:val="auto"/>
          <w:szCs w:val="21"/>
          <w:highlight w:val="none"/>
        </w:rPr>
        <w:t>）技术标准和要求；</w:t>
      </w:r>
    </w:p>
    <w:p w14:paraId="2CEF7AAC">
      <w:pPr>
        <w:pStyle w:val="54"/>
        <w:spacing w:line="400" w:lineRule="atLeast"/>
        <w:rPr>
          <w:rFonts w:ascii="Times New Roman" w:hAnsi="Times New Roman"/>
          <w:color w:val="auto"/>
          <w:szCs w:val="21"/>
          <w:highlight w:val="none"/>
        </w:rPr>
      </w:pPr>
      <w:r>
        <w:rPr>
          <w:rFonts w:hint="eastAsia" w:ascii="Times New Roman" w:hAnsi="Times New Roman"/>
          <w:color w:val="auto"/>
          <w:szCs w:val="21"/>
          <w:highlight w:val="none"/>
        </w:rPr>
        <w:t>　　（</w:t>
      </w:r>
      <w:r>
        <w:rPr>
          <w:rFonts w:ascii="Times New Roman" w:hAnsi="Times New Roman"/>
          <w:color w:val="auto"/>
          <w:szCs w:val="21"/>
          <w:highlight w:val="none"/>
        </w:rPr>
        <w:t>7</w:t>
      </w:r>
      <w:r>
        <w:rPr>
          <w:rFonts w:hint="eastAsia" w:ascii="Times New Roman" w:hAnsi="Times New Roman"/>
          <w:color w:val="auto"/>
          <w:szCs w:val="21"/>
          <w:highlight w:val="none"/>
        </w:rPr>
        <w:t>）图纸；</w:t>
      </w:r>
    </w:p>
    <w:p w14:paraId="43E60E36">
      <w:pPr>
        <w:pStyle w:val="54"/>
        <w:spacing w:line="400" w:lineRule="atLeast"/>
        <w:rPr>
          <w:rFonts w:ascii="Times New Roman" w:hAnsi="Times New Roman"/>
          <w:color w:val="auto"/>
          <w:szCs w:val="21"/>
          <w:highlight w:val="none"/>
        </w:rPr>
      </w:pPr>
      <w:r>
        <w:rPr>
          <w:rFonts w:hint="eastAsia" w:ascii="Times New Roman" w:hAnsi="Times New Roman"/>
          <w:color w:val="auto"/>
          <w:szCs w:val="21"/>
          <w:highlight w:val="none"/>
        </w:rPr>
        <w:t>　　（</w:t>
      </w:r>
      <w:r>
        <w:rPr>
          <w:rFonts w:ascii="Times New Roman" w:hAnsi="Times New Roman"/>
          <w:color w:val="auto"/>
          <w:szCs w:val="21"/>
          <w:highlight w:val="none"/>
        </w:rPr>
        <w:t>8</w:t>
      </w:r>
      <w:r>
        <w:rPr>
          <w:rFonts w:hint="eastAsia" w:ascii="Times New Roman" w:hAnsi="Times New Roman"/>
          <w:color w:val="auto"/>
          <w:szCs w:val="21"/>
          <w:highlight w:val="none"/>
        </w:rPr>
        <w:t>）已标价工程量清单；</w:t>
      </w:r>
    </w:p>
    <w:p w14:paraId="577BB48D">
      <w:pPr>
        <w:pStyle w:val="54"/>
        <w:spacing w:line="400" w:lineRule="atLeast"/>
        <w:rPr>
          <w:rFonts w:ascii="Times New Roman" w:hAnsi="Times New Roman"/>
          <w:color w:val="auto"/>
          <w:szCs w:val="21"/>
          <w:highlight w:val="none"/>
        </w:rPr>
      </w:pPr>
      <w:r>
        <w:rPr>
          <w:rFonts w:hint="eastAsia" w:ascii="Times New Roman" w:hAnsi="Times New Roman"/>
          <w:color w:val="auto"/>
          <w:szCs w:val="21"/>
          <w:highlight w:val="none"/>
        </w:rPr>
        <w:t>　　（</w:t>
      </w:r>
      <w:r>
        <w:rPr>
          <w:rFonts w:ascii="Times New Roman" w:hAnsi="Times New Roman"/>
          <w:color w:val="auto"/>
          <w:szCs w:val="21"/>
          <w:highlight w:val="none"/>
        </w:rPr>
        <w:t>9</w:t>
      </w:r>
      <w:r>
        <w:rPr>
          <w:rFonts w:hint="eastAsia" w:ascii="Times New Roman" w:hAnsi="Times New Roman"/>
          <w:color w:val="auto"/>
          <w:szCs w:val="21"/>
          <w:highlight w:val="none"/>
        </w:rPr>
        <w:t>）其他合同文件。</w:t>
      </w:r>
      <w:r>
        <w:rPr>
          <w:rFonts w:ascii="Times New Roman" w:hAnsi="Times New Roman"/>
          <w:color w:val="auto"/>
          <w:szCs w:val="21"/>
          <w:highlight w:val="none"/>
        </w:rPr>
        <w:t xml:space="preserve">     </w:t>
      </w:r>
    </w:p>
    <w:p w14:paraId="304F970B">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1.5 </w:t>
      </w:r>
      <w:r>
        <w:rPr>
          <w:rFonts w:hint="eastAsia" w:ascii="Times New Roman" w:hAnsi="Times New Roman" w:eastAsia="黑体"/>
          <w:bCs/>
          <w:color w:val="auto"/>
          <w:kern w:val="44"/>
          <w:szCs w:val="21"/>
          <w:highlight w:val="none"/>
          <w:lang w:val="zh-CN"/>
        </w:rPr>
        <w:t>合同协议书</w:t>
      </w:r>
    </w:p>
    <w:p w14:paraId="10F7F2DE">
      <w:pPr>
        <w:pStyle w:val="54"/>
        <w:spacing w:line="400" w:lineRule="atLeast"/>
        <w:rPr>
          <w:rFonts w:ascii="Times New Roman" w:hAnsi="Times New Roman"/>
          <w:color w:val="auto"/>
          <w:szCs w:val="21"/>
          <w:highlight w:val="none"/>
        </w:rPr>
      </w:pPr>
      <w:r>
        <w:rPr>
          <w:rFonts w:hint="eastAsia" w:ascii="Times New Roman" w:hAnsi="Times New Roman"/>
          <w:color w:val="auto"/>
          <w:szCs w:val="21"/>
          <w:highlight w:val="none"/>
        </w:rPr>
        <w:t>　　承包人按中标通知书规定的时间与发包人签订合同协议书。除法律另有规定或合同另有约定外，发包人和承包人的法定代表人或其委托代理人在合同协议书上签字并盖单位章后，合同生效。</w:t>
      </w:r>
    </w:p>
    <w:p w14:paraId="7F613C22">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1.6 </w:t>
      </w:r>
      <w:r>
        <w:rPr>
          <w:rFonts w:hint="eastAsia" w:ascii="Times New Roman" w:hAnsi="Times New Roman" w:eastAsia="黑体"/>
          <w:bCs/>
          <w:color w:val="auto"/>
          <w:kern w:val="44"/>
          <w:szCs w:val="21"/>
          <w:highlight w:val="none"/>
          <w:lang w:val="zh-CN"/>
        </w:rPr>
        <w:t>图纸和承包人文件</w:t>
      </w:r>
    </w:p>
    <w:p w14:paraId="6B419AFD">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1.6.1 </w:t>
      </w:r>
      <w:r>
        <w:rPr>
          <w:rFonts w:hint="eastAsia" w:ascii="Times New Roman" w:hAnsi="Times New Roman" w:eastAsia="黑体"/>
          <w:color w:val="auto"/>
          <w:szCs w:val="21"/>
          <w:highlight w:val="none"/>
        </w:rPr>
        <w:t>图纸的提供</w:t>
      </w:r>
    </w:p>
    <w:p w14:paraId="2417C29D">
      <w:pPr>
        <w:pStyle w:val="54"/>
        <w:spacing w:line="400" w:lineRule="atLeast"/>
        <w:rPr>
          <w:rFonts w:ascii="Times New Roman" w:hAnsi="Times New Roman"/>
          <w:color w:val="auto"/>
          <w:szCs w:val="21"/>
          <w:highlight w:val="none"/>
        </w:rPr>
      </w:pPr>
      <w:r>
        <w:rPr>
          <w:rFonts w:hint="eastAsia" w:ascii="Times New Roman" w:hAnsi="Times New Roman"/>
          <w:color w:val="auto"/>
          <w:szCs w:val="21"/>
          <w:highlight w:val="none"/>
        </w:rPr>
        <w:t>　　除专用合同条款另有约定外，图纸应在合理的期限内按照合同约定的数量提供给承包人。由于发包人未按时提供图纸造成工期延误的，按第</w:t>
      </w:r>
      <w:r>
        <w:rPr>
          <w:rFonts w:ascii="Times New Roman" w:hAnsi="Times New Roman"/>
          <w:color w:val="auto"/>
          <w:szCs w:val="21"/>
          <w:highlight w:val="none"/>
        </w:rPr>
        <w:t>11.3</w:t>
      </w:r>
      <w:r>
        <w:rPr>
          <w:rFonts w:hint="eastAsia" w:ascii="Times New Roman" w:hAnsi="Times New Roman"/>
          <w:color w:val="auto"/>
          <w:szCs w:val="21"/>
          <w:highlight w:val="none"/>
        </w:rPr>
        <w:t>款的约定办理。</w:t>
      </w:r>
    </w:p>
    <w:p w14:paraId="4DEE68C3">
      <w:pPr>
        <w:pStyle w:val="54"/>
        <w:spacing w:line="400" w:lineRule="atLeast"/>
        <w:ind w:firstLine="411" w:firstLineChars="196"/>
        <w:rPr>
          <w:rFonts w:ascii="Times New Roman" w:hAnsi="Times New Roman" w:eastAsia="黑体"/>
          <w:color w:val="auto"/>
          <w:szCs w:val="21"/>
          <w:highlight w:val="none"/>
        </w:rPr>
      </w:pPr>
      <w:r>
        <w:rPr>
          <w:rFonts w:ascii="Times New Roman" w:hAnsi="Times New Roman"/>
          <w:color w:val="auto"/>
          <w:szCs w:val="21"/>
          <w:highlight w:val="none"/>
        </w:rPr>
        <w:t>1.6.2</w:t>
      </w:r>
      <w:r>
        <w:rPr>
          <w:rFonts w:ascii="Times New Roman" w:hAnsi="Times New Roman" w:eastAsia="黑体"/>
          <w:color w:val="auto"/>
          <w:szCs w:val="21"/>
          <w:highlight w:val="none"/>
        </w:rPr>
        <w:t xml:space="preserve"> </w:t>
      </w:r>
      <w:r>
        <w:rPr>
          <w:rFonts w:hint="eastAsia" w:ascii="Times New Roman" w:hAnsi="Times New Roman" w:eastAsia="黑体"/>
          <w:color w:val="auto"/>
          <w:szCs w:val="21"/>
          <w:highlight w:val="none"/>
        </w:rPr>
        <w:t>承包人提供的文件</w:t>
      </w:r>
    </w:p>
    <w:p w14:paraId="20C3622C">
      <w:pPr>
        <w:pStyle w:val="54"/>
        <w:spacing w:line="400" w:lineRule="atLeast"/>
        <w:rPr>
          <w:rFonts w:ascii="Times New Roman" w:hAnsi="Times New Roman"/>
          <w:color w:val="auto"/>
          <w:szCs w:val="21"/>
          <w:highlight w:val="none"/>
        </w:rPr>
      </w:pPr>
      <w:r>
        <w:rPr>
          <w:rFonts w:hint="eastAsia" w:ascii="Times New Roman" w:hAnsi="Times New Roman"/>
          <w:color w:val="auto"/>
          <w:szCs w:val="21"/>
          <w:highlight w:val="none"/>
        </w:rPr>
        <w:t>　　按专用合同条款约定由承包人提供的文件，包括部分工程的大样图、加工图等，承包人应按约定的数量和期限报送监理人。监理人应在专用合同条款约定的期限内批复。</w:t>
      </w:r>
    </w:p>
    <w:p w14:paraId="6824983D">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1.6.3 </w:t>
      </w:r>
      <w:r>
        <w:rPr>
          <w:rFonts w:hint="eastAsia" w:ascii="Times New Roman" w:hAnsi="Times New Roman" w:eastAsia="黑体"/>
          <w:color w:val="auto"/>
          <w:szCs w:val="21"/>
          <w:highlight w:val="none"/>
        </w:rPr>
        <w:t>图纸的修改</w:t>
      </w:r>
    </w:p>
    <w:p w14:paraId="451D2473">
      <w:pPr>
        <w:pStyle w:val="54"/>
        <w:spacing w:line="400" w:lineRule="atLeast"/>
        <w:rPr>
          <w:rFonts w:ascii="Times New Roman" w:hAnsi="Times New Roman"/>
          <w:color w:val="auto"/>
          <w:szCs w:val="21"/>
          <w:highlight w:val="none"/>
        </w:rPr>
      </w:pPr>
      <w:r>
        <w:rPr>
          <w:rFonts w:hint="eastAsia" w:ascii="Times New Roman" w:hAnsi="Times New Roman"/>
          <w:color w:val="auto"/>
          <w:szCs w:val="21"/>
          <w:highlight w:val="none"/>
        </w:rPr>
        <w:t>　　图纸需要修改和补充的，应由监理人取得发包人同意后，在该工程或工程相应部位施工前的合理期限内签发图纸修改图给承包人，具体签发期限在专用合同条款中约定。承包人应按修改后的图纸施工。</w:t>
      </w:r>
    </w:p>
    <w:p w14:paraId="4F89894C">
      <w:pPr>
        <w:pStyle w:val="54"/>
        <w:spacing w:line="400" w:lineRule="atLeast"/>
        <w:ind w:firstLine="411" w:firstLineChars="196"/>
        <w:rPr>
          <w:rFonts w:ascii="Times New Roman" w:hAnsi="Times New Roman"/>
          <w:color w:val="auto"/>
          <w:szCs w:val="21"/>
          <w:highlight w:val="none"/>
        </w:rPr>
      </w:pPr>
      <w:r>
        <w:rPr>
          <w:rFonts w:ascii="Times New Roman" w:hAnsi="Times New Roman"/>
          <w:color w:val="auto"/>
          <w:szCs w:val="21"/>
          <w:highlight w:val="none"/>
        </w:rPr>
        <w:t xml:space="preserve">1.6.4 </w:t>
      </w:r>
      <w:r>
        <w:rPr>
          <w:rFonts w:hint="eastAsia" w:ascii="Times New Roman" w:hAnsi="Times New Roman" w:eastAsia="黑体"/>
          <w:color w:val="auto"/>
          <w:szCs w:val="21"/>
          <w:highlight w:val="none"/>
        </w:rPr>
        <w:t>图纸的错误</w:t>
      </w:r>
    </w:p>
    <w:p w14:paraId="69F380AA">
      <w:pPr>
        <w:pStyle w:val="54"/>
        <w:spacing w:line="400" w:lineRule="atLeast"/>
        <w:rPr>
          <w:rFonts w:ascii="Times New Roman" w:hAnsi="Times New Roman"/>
          <w:color w:val="auto"/>
          <w:szCs w:val="21"/>
          <w:highlight w:val="none"/>
        </w:rPr>
      </w:pPr>
      <w:r>
        <w:rPr>
          <w:rFonts w:ascii="Times New Roman" w:hAnsi="Times New Roman"/>
          <w:color w:val="auto"/>
          <w:szCs w:val="21"/>
          <w:highlight w:val="none"/>
        </w:rPr>
        <w:t xml:space="preserve">    </w:t>
      </w:r>
      <w:r>
        <w:rPr>
          <w:rFonts w:hint="eastAsia" w:ascii="Times New Roman" w:hAnsi="Times New Roman"/>
          <w:color w:val="auto"/>
          <w:szCs w:val="21"/>
          <w:highlight w:val="none"/>
        </w:rPr>
        <w:t>承包人发现发包人提供的图纸存在明显错误或疏忽，应及时通知监理人。</w:t>
      </w:r>
    </w:p>
    <w:p w14:paraId="44588CBF">
      <w:pPr>
        <w:pStyle w:val="54"/>
        <w:spacing w:line="400" w:lineRule="atLeast"/>
        <w:ind w:firstLine="411" w:firstLineChars="196"/>
        <w:rPr>
          <w:rFonts w:ascii="Times New Roman" w:hAnsi="Times New Roman" w:eastAsia="黑体"/>
          <w:color w:val="auto"/>
          <w:szCs w:val="21"/>
          <w:highlight w:val="none"/>
        </w:rPr>
      </w:pPr>
      <w:r>
        <w:rPr>
          <w:rFonts w:ascii="Times New Roman" w:hAnsi="Times New Roman"/>
          <w:color w:val="auto"/>
          <w:szCs w:val="21"/>
          <w:highlight w:val="none"/>
        </w:rPr>
        <w:t>1.6.5</w:t>
      </w:r>
      <w:r>
        <w:rPr>
          <w:rFonts w:ascii="Times New Roman" w:hAnsi="Times New Roman" w:eastAsia="黑体"/>
          <w:color w:val="auto"/>
          <w:szCs w:val="21"/>
          <w:highlight w:val="none"/>
        </w:rPr>
        <w:t xml:space="preserve"> </w:t>
      </w:r>
      <w:r>
        <w:rPr>
          <w:rFonts w:hint="eastAsia" w:ascii="Times New Roman" w:hAnsi="Times New Roman" w:eastAsia="黑体"/>
          <w:color w:val="auto"/>
          <w:szCs w:val="21"/>
          <w:highlight w:val="none"/>
        </w:rPr>
        <w:t>图纸和承包人文件的保管</w:t>
      </w:r>
    </w:p>
    <w:p w14:paraId="73BB860B">
      <w:pPr>
        <w:pStyle w:val="54"/>
        <w:spacing w:line="400" w:lineRule="atLeast"/>
        <w:rPr>
          <w:rFonts w:ascii="Times New Roman" w:hAnsi="Times New Roman"/>
          <w:color w:val="auto"/>
          <w:szCs w:val="21"/>
          <w:highlight w:val="none"/>
        </w:rPr>
      </w:pPr>
      <w:r>
        <w:rPr>
          <w:rFonts w:hint="eastAsia" w:ascii="Times New Roman" w:hAnsi="Times New Roman"/>
          <w:color w:val="auto"/>
          <w:szCs w:val="21"/>
          <w:highlight w:val="none"/>
        </w:rPr>
        <w:t>　　监理人和承包人均应在施工场地各保存一套完整的包含第</w:t>
      </w:r>
      <w:r>
        <w:rPr>
          <w:rFonts w:ascii="Times New Roman" w:hAnsi="Times New Roman"/>
          <w:color w:val="auto"/>
          <w:szCs w:val="21"/>
          <w:highlight w:val="none"/>
        </w:rPr>
        <w:t>1.6.1</w:t>
      </w:r>
      <w:r>
        <w:rPr>
          <w:rFonts w:hint="eastAsia" w:ascii="Times New Roman" w:hAnsi="Times New Roman"/>
          <w:color w:val="auto"/>
          <w:szCs w:val="21"/>
          <w:highlight w:val="none"/>
        </w:rPr>
        <w:t>项、第</w:t>
      </w:r>
      <w:r>
        <w:rPr>
          <w:rFonts w:ascii="Times New Roman" w:hAnsi="Times New Roman"/>
          <w:color w:val="auto"/>
          <w:szCs w:val="21"/>
          <w:highlight w:val="none"/>
        </w:rPr>
        <w:t>1.6.2</w:t>
      </w:r>
      <w:r>
        <w:rPr>
          <w:rFonts w:hint="eastAsia" w:ascii="Times New Roman" w:hAnsi="Times New Roman"/>
          <w:color w:val="auto"/>
          <w:szCs w:val="21"/>
          <w:highlight w:val="none"/>
        </w:rPr>
        <w:t>项、第</w:t>
      </w:r>
      <w:r>
        <w:rPr>
          <w:rFonts w:ascii="Times New Roman" w:hAnsi="Times New Roman"/>
          <w:color w:val="auto"/>
          <w:szCs w:val="21"/>
          <w:highlight w:val="none"/>
        </w:rPr>
        <w:t>1.6.3</w:t>
      </w:r>
      <w:r>
        <w:rPr>
          <w:rFonts w:hint="eastAsia" w:ascii="Times New Roman" w:hAnsi="Times New Roman"/>
          <w:color w:val="auto"/>
          <w:szCs w:val="21"/>
          <w:highlight w:val="none"/>
        </w:rPr>
        <w:t>项约定内容的图纸和承包人文件。</w:t>
      </w:r>
    </w:p>
    <w:p w14:paraId="01DC020D">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1.7 </w:t>
      </w:r>
      <w:r>
        <w:rPr>
          <w:rFonts w:hint="eastAsia" w:ascii="Times New Roman" w:hAnsi="Times New Roman" w:eastAsia="黑体"/>
          <w:bCs/>
          <w:color w:val="auto"/>
          <w:kern w:val="44"/>
          <w:szCs w:val="21"/>
          <w:highlight w:val="none"/>
          <w:lang w:val="zh-CN"/>
        </w:rPr>
        <w:t>联络</w:t>
      </w:r>
    </w:p>
    <w:p w14:paraId="203B35DF">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1.7.1 </w:t>
      </w:r>
      <w:r>
        <w:rPr>
          <w:rFonts w:hint="eastAsia" w:ascii="Times New Roman" w:hAnsi="Times New Roman"/>
          <w:color w:val="auto"/>
          <w:szCs w:val="21"/>
          <w:highlight w:val="none"/>
        </w:rPr>
        <w:t>与合同有关的通知、批准、证明、证书、指示、要求、请求、同意、意见、确定和决定等，均应采用书面形式。</w:t>
      </w:r>
    </w:p>
    <w:p w14:paraId="588303FD">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1.7.2 </w:t>
      </w:r>
      <w:r>
        <w:rPr>
          <w:rFonts w:hint="eastAsia" w:ascii="Times New Roman" w:hAnsi="Times New Roman"/>
          <w:color w:val="auto"/>
          <w:szCs w:val="21"/>
          <w:highlight w:val="none"/>
        </w:rPr>
        <w:t>第</w:t>
      </w:r>
      <w:r>
        <w:rPr>
          <w:rFonts w:ascii="Times New Roman" w:hAnsi="Times New Roman"/>
          <w:color w:val="auto"/>
          <w:szCs w:val="21"/>
          <w:highlight w:val="none"/>
        </w:rPr>
        <w:t>1.7.1</w:t>
      </w:r>
      <w:r>
        <w:rPr>
          <w:rFonts w:hint="eastAsia" w:ascii="Times New Roman" w:hAnsi="Times New Roman"/>
          <w:color w:val="auto"/>
          <w:szCs w:val="21"/>
          <w:highlight w:val="none"/>
        </w:rPr>
        <w:t>项中的通知、批准、证明、证书、指示、要求、请求、同意、意见、确定和决定等来往函件，均应在合同约定的期限内送达指定地点和接收人，并办理签收手续。</w:t>
      </w:r>
    </w:p>
    <w:p w14:paraId="773EC913">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1.8 </w:t>
      </w:r>
      <w:r>
        <w:rPr>
          <w:rFonts w:hint="eastAsia" w:ascii="Times New Roman" w:hAnsi="Times New Roman" w:eastAsia="黑体"/>
          <w:bCs/>
          <w:color w:val="auto"/>
          <w:kern w:val="44"/>
          <w:szCs w:val="21"/>
          <w:highlight w:val="none"/>
          <w:lang w:val="zh-CN"/>
        </w:rPr>
        <w:t>转让</w:t>
      </w:r>
    </w:p>
    <w:p w14:paraId="2835AA19">
      <w:pPr>
        <w:pStyle w:val="54"/>
        <w:spacing w:line="400" w:lineRule="atLeast"/>
        <w:rPr>
          <w:rFonts w:ascii="Times New Roman" w:hAnsi="Times New Roman"/>
          <w:color w:val="auto"/>
          <w:szCs w:val="21"/>
          <w:highlight w:val="none"/>
        </w:rPr>
      </w:pPr>
      <w:r>
        <w:rPr>
          <w:rFonts w:hint="eastAsia" w:ascii="Times New Roman" w:hAnsi="Times New Roman"/>
          <w:color w:val="auto"/>
          <w:szCs w:val="21"/>
          <w:highlight w:val="none"/>
        </w:rPr>
        <w:t>　　除合同另有约定外，未经对方当事人同意，一方当事人不得将合同权利全部或部分转让给第三人，也不得全部或部分转移合同义务。</w:t>
      </w:r>
    </w:p>
    <w:p w14:paraId="5F1FF8ED">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1.9 </w:t>
      </w:r>
      <w:r>
        <w:rPr>
          <w:rFonts w:hint="eastAsia" w:ascii="Times New Roman" w:hAnsi="Times New Roman" w:eastAsia="黑体"/>
          <w:bCs/>
          <w:color w:val="auto"/>
          <w:kern w:val="44"/>
          <w:szCs w:val="21"/>
          <w:highlight w:val="none"/>
          <w:lang w:val="zh-CN"/>
        </w:rPr>
        <w:t>严禁贿赂</w:t>
      </w:r>
    </w:p>
    <w:p w14:paraId="17B88AD6">
      <w:pPr>
        <w:pStyle w:val="54"/>
        <w:spacing w:line="400" w:lineRule="atLeast"/>
        <w:rPr>
          <w:rFonts w:ascii="Times New Roman" w:hAnsi="Times New Roman"/>
          <w:color w:val="auto"/>
          <w:szCs w:val="21"/>
          <w:highlight w:val="none"/>
        </w:rPr>
      </w:pPr>
      <w:r>
        <w:rPr>
          <w:rFonts w:hint="eastAsia" w:ascii="Times New Roman" w:hAnsi="Times New Roman"/>
          <w:color w:val="auto"/>
          <w:szCs w:val="21"/>
          <w:highlight w:val="none"/>
        </w:rPr>
        <w:t>　　合同双方当事人不得以贿赂或变相贿赂的方式，谋取不当利益或损害对方权益。因贿赂造成对方损失的，行为人应赔偿损失，并承担相应的法律责任。</w:t>
      </w:r>
    </w:p>
    <w:p w14:paraId="5E2BE5CB">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1.10 </w:t>
      </w:r>
      <w:r>
        <w:rPr>
          <w:rFonts w:hint="eastAsia" w:ascii="Times New Roman" w:hAnsi="Times New Roman" w:eastAsia="黑体"/>
          <w:bCs/>
          <w:color w:val="auto"/>
          <w:kern w:val="44"/>
          <w:szCs w:val="21"/>
          <w:highlight w:val="none"/>
          <w:lang w:val="zh-CN"/>
        </w:rPr>
        <w:t>化石、文物</w:t>
      </w:r>
    </w:p>
    <w:p w14:paraId="2E48D58F">
      <w:pPr>
        <w:pStyle w:val="54"/>
        <w:spacing w:line="400" w:lineRule="atLeast"/>
        <w:rPr>
          <w:rFonts w:ascii="Times New Roman" w:hAnsi="Times New Roman"/>
          <w:color w:val="auto"/>
          <w:szCs w:val="21"/>
          <w:highlight w:val="none"/>
        </w:rPr>
      </w:pPr>
      <w:r>
        <w:rPr>
          <w:rFonts w:hint="eastAsia" w:ascii="Times New Roman" w:hAnsi="Times New Roman"/>
          <w:color w:val="auto"/>
          <w:szCs w:val="21"/>
          <w:highlight w:val="none"/>
        </w:rPr>
        <w:t>　　</w:t>
      </w:r>
      <w:r>
        <w:rPr>
          <w:rFonts w:ascii="Times New Roman" w:hAnsi="Times New Roman"/>
          <w:color w:val="auto"/>
          <w:szCs w:val="21"/>
          <w:highlight w:val="none"/>
        </w:rPr>
        <w:t xml:space="preserve">1.10.1 </w:t>
      </w:r>
      <w:r>
        <w:rPr>
          <w:rFonts w:hint="eastAsia" w:ascii="Times New Roman" w:hAnsi="Times New Roman"/>
          <w:color w:val="auto"/>
          <w:szCs w:val="21"/>
          <w:highlight w:val="none"/>
        </w:rPr>
        <w:t>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14:paraId="2BC15537">
      <w:pPr>
        <w:pStyle w:val="54"/>
        <w:spacing w:line="400" w:lineRule="atLeast"/>
        <w:rPr>
          <w:rFonts w:ascii="Times New Roman" w:hAnsi="Times New Roman"/>
          <w:color w:val="auto"/>
          <w:szCs w:val="21"/>
          <w:highlight w:val="none"/>
        </w:rPr>
      </w:pPr>
      <w:r>
        <w:rPr>
          <w:rFonts w:hint="eastAsia" w:ascii="Times New Roman" w:hAnsi="Times New Roman"/>
          <w:color w:val="auto"/>
          <w:szCs w:val="21"/>
          <w:highlight w:val="none"/>
        </w:rPr>
        <w:t>　　</w:t>
      </w:r>
      <w:r>
        <w:rPr>
          <w:rFonts w:ascii="Times New Roman" w:hAnsi="Times New Roman"/>
          <w:color w:val="auto"/>
          <w:szCs w:val="21"/>
          <w:highlight w:val="none"/>
        </w:rPr>
        <w:t xml:space="preserve">1.10.2 </w:t>
      </w:r>
      <w:r>
        <w:rPr>
          <w:rFonts w:hint="eastAsia" w:ascii="Times New Roman" w:hAnsi="Times New Roman"/>
          <w:color w:val="auto"/>
          <w:szCs w:val="21"/>
          <w:highlight w:val="none"/>
        </w:rPr>
        <w:t>承包人发现文物后不及时报告或隐瞒不报，致使文物丢失或损坏的，应赔偿损失，并承担相应的法律责任。</w:t>
      </w:r>
    </w:p>
    <w:p w14:paraId="5BF760E2">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1.11 </w:t>
      </w:r>
      <w:r>
        <w:rPr>
          <w:rFonts w:hint="eastAsia" w:ascii="Times New Roman" w:hAnsi="Times New Roman" w:eastAsia="黑体"/>
          <w:bCs/>
          <w:color w:val="auto"/>
          <w:kern w:val="44"/>
          <w:szCs w:val="21"/>
          <w:highlight w:val="none"/>
          <w:lang w:val="zh-CN"/>
        </w:rPr>
        <w:t>专利技术</w:t>
      </w:r>
    </w:p>
    <w:p w14:paraId="4697BA65">
      <w:pPr>
        <w:pStyle w:val="54"/>
        <w:spacing w:line="400" w:lineRule="atLeast"/>
        <w:rPr>
          <w:rFonts w:ascii="Times New Roman" w:hAnsi="Times New Roman"/>
          <w:color w:val="auto"/>
          <w:szCs w:val="21"/>
          <w:highlight w:val="none"/>
        </w:rPr>
      </w:pPr>
      <w:r>
        <w:rPr>
          <w:rFonts w:hint="eastAsia" w:ascii="Times New Roman" w:hAnsi="Times New Roman"/>
          <w:color w:val="auto"/>
          <w:szCs w:val="21"/>
          <w:highlight w:val="none"/>
        </w:rPr>
        <w:t>　　</w:t>
      </w:r>
      <w:r>
        <w:rPr>
          <w:rFonts w:ascii="Times New Roman" w:hAnsi="Times New Roman"/>
          <w:color w:val="auto"/>
          <w:szCs w:val="21"/>
          <w:highlight w:val="none"/>
        </w:rPr>
        <w:t xml:space="preserve">1.11.1 </w:t>
      </w:r>
      <w:r>
        <w:rPr>
          <w:rFonts w:hint="eastAsia" w:ascii="Times New Roman" w:hAnsi="Times New Roman"/>
          <w:color w:val="auto"/>
          <w:szCs w:val="21"/>
          <w:highlight w:val="none"/>
        </w:rPr>
        <w:t>承包人在使用任何材料、承包人设备、工程设备或采用施工工艺时，因侵犯专利权或其他知识产权所引起的责任，由承包人承担，但由于遵照发包人提供的设计或技术标准和要求引起的除外。</w:t>
      </w:r>
    </w:p>
    <w:p w14:paraId="5C5201F7">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1.11.2 </w:t>
      </w:r>
      <w:r>
        <w:rPr>
          <w:rFonts w:hint="eastAsia" w:ascii="Times New Roman" w:hAnsi="Times New Roman"/>
          <w:color w:val="auto"/>
          <w:szCs w:val="21"/>
          <w:highlight w:val="none"/>
        </w:rPr>
        <w:t>承包人在投标文件中采用专利技术的，专利技术的使用费包含在投标报价内。</w:t>
      </w:r>
    </w:p>
    <w:p w14:paraId="5CBBA94B">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1.11.3 </w:t>
      </w:r>
      <w:r>
        <w:rPr>
          <w:rFonts w:hint="eastAsia" w:ascii="Times New Roman" w:hAnsi="Times New Roman"/>
          <w:color w:val="auto"/>
          <w:szCs w:val="21"/>
          <w:highlight w:val="none"/>
        </w:rPr>
        <w:t>承包人的技术秘密和声明需要保密的资料和信息，发包人和监理人不得为合同以外的目的泄露给他人。</w:t>
      </w:r>
    </w:p>
    <w:p w14:paraId="23B8631F">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1.12 </w:t>
      </w:r>
      <w:r>
        <w:rPr>
          <w:rFonts w:hint="eastAsia" w:ascii="Times New Roman" w:hAnsi="Times New Roman" w:eastAsia="黑体"/>
          <w:bCs/>
          <w:color w:val="auto"/>
          <w:kern w:val="44"/>
          <w:szCs w:val="21"/>
          <w:highlight w:val="none"/>
          <w:lang w:val="zh-CN"/>
        </w:rPr>
        <w:t>图纸和文件的保密</w:t>
      </w:r>
    </w:p>
    <w:p w14:paraId="017C2064">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1.12.1 </w:t>
      </w:r>
      <w:r>
        <w:rPr>
          <w:rFonts w:hint="eastAsia" w:ascii="Times New Roman" w:hAnsi="Times New Roman"/>
          <w:color w:val="auto"/>
          <w:szCs w:val="21"/>
          <w:highlight w:val="none"/>
        </w:rPr>
        <w:t>发包人提供的图纸和文件，未经发包人同意，承包人不得为合同以外的目的泄露给他人或公开发表与引用。</w:t>
      </w:r>
    </w:p>
    <w:p w14:paraId="364E5D91">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1.12.2 </w:t>
      </w:r>
      <w:r>
        <w:rPr>
          <w:rFonts w:hint="eastAsia" w:ascii="Times New Roman" w:hAnsi="Times New Roman"/>
          <w:color w:val="auto"/>
          <w:szCs w:val="21"/>
          <w:highlight w:val="none"/>
        </w:rPr>
        <w:t>承包人提供的文件，未经承包人同意，发包人和监理人不得为合同以外的目的泄露给他人或公开发表与引用。</w:t>
      </w:r>
    </w:p>
    <w:p w14:paraId="2C22C931">
      <w:pPr>
        <w:pStyle w:val="54"/>
        <w:keepNext/>
        <w:keepLines/>
        <w:spacing w:before="480" w:after="240" w:line="380" w:lineRule="atLeast"/>
        <w:outlineLvl w:val="2"/>
        <w:rPr>
          <w:rFonts w:ascii="Times New Roman" w:hAnsi="Times New Roman" w:eastAsia="黑体"/>
          <w:bCs/>
          <w:color w:val="auto"/>
          <w:kern w:val="44"/>
          <w:szCs w:val="21"/>
          <w:highlight w:val="none"/>
          <w:lang w:val="zh-CN"/>
        </w:rPr>
      </w:pPr>
      <w:bookmarkStart w:id="108" w:name="_Toc24285"/>
      <w:r>
        <w:rPr>
          <w:rFonts w:ascii="Times New Roman" w:hAnsi="Times New Roman" w:eastAsia="黑体"/>
          <w:bCs/>
          <w:color w:val="auto"/>
          <w:kern w:val="44"/>
          <w:szCs w:val="21"/>
          <w:highlight w:val="none"/>
          <w:lang w:val="zh-CN"/>
        </w:rPr>
        <w:t xml:space="preserve">2. </w:t>
      </w:r>
      <w:r>
        <w:rPr>
          <w:rFonts w:hint="eastAsia" w:ascii="Times New Roman" w:hAnsi="Times New Roman" w:eastAsia="黑体"/>
          <w:bCs/>
          <w:color w:val="auto"/>
          <w:kern w:val="44"/>
          <w:szCs w:val="21"/>
          <w:highlight w:val="none"/>
          <w:lang w:val="zh-CN"/>
        </w:rPr>
        <w:t>发包人义务</w:t>
      </w:r>
      <w:bookmarkEnd w:id="108"/>
    </w:p>
    <w:p w14:paraId="6F65B651">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2.1 </w:t>
      </w:r>
      <w:r>
        <w:rPr>
          <w:rFonts w:hint="eastAsia" w:ascii="Times New Roman" w:hAnsi="Times New Roman" w:eastAsia="黑体"/>
          <w:bCs/>
          <w:color w:val="auto"/>
          <w:kern w:val="44"/>
          <w:szCs w:val="21"/>
          <w:highlight w:val="none"/>
          <w:lang w:val="zh-CN"/>
        </w:rPr>
        <w:t>遵守法律</w:t>
      </w:r>
    </w:p>
    <w:p w14:paraId="4FDC88EF">
      <w:pPr>
        <w:pStyle w:val="54"/>
        <w:spacing w:line="400" w:lineRule="atLeast"/>
        <w:rPr>
          <w:rFonts w:ascii="Times New Roman" w:hAnsi="Times New Roman"/>
          <w:color w:val="auto"/>
          <w:szCs w:val="21"/>
          <w:highlight w:val="none"/>
        </w:rPr>
      </w:pPr>
      <w:r>
        <w:rPr>
          <w:rFonts w:hint="eastAsia" w:ascii="Times New Roman" w:hAnsi="Times New Roman"/>
          <w:color w:val="auto"/>
          <w:szCs w:val="21"/>
          <w:highlight w:val="none"/>
        </w:rPr>
        <w:t>　　发包人在履行合同过程中应遵守法律，并保证承包人免于承担因发包人违反法律而引起的任何责任。</w:t>
      </w:r>
    </w:p>
    <w:p w14:paraId="21E60D6A">
      <w:pPr>
        <w:pStyle w:val="54"/>
        <w:keepNext/>
        <w:keepLines/>
        <w:spacing w:before="240" w:after="240" w:line="380" w:lineRule="atLeast"/>
        <w:jc w:val="lef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2.2 </w:t>
      </w:r>
      <w:r>
        <w:rPr>
          <w:rFonts w:hint="eastAsia" w:ascii="Times New Roman" w:hAnsi="Times New Roman" w:eastAsia="黑体"/>
          <w:bCs/>
          <w:color w:val="auto"/>
          <w:kern w:val="44"/>
          <w:szCs w:val="21"/>
          <w:highlight w:val="none"/>
          <w:lang w:val="zh-CN"/>
        </w:rPr>
        <w:t>发出开工通知</w:t>
      </w:r>
    </w:p>
    <w:p w14:paraId="5262E26E">
      <w:pPr>
        <w:pStyle w:val="54"/>
        <w:spacing w:line="400" w:lineRule="atLeast"/>
        <w:rPr>
          <w:rFonts w:ascii="Times New Roman" w:hAnsi="Times New Roman"/>
          <w:color w:val="auto"/>
          <w:szCs w:val="21"/>
          <w:highlight w:val="none"/>
        </w:rPr>
      </w:pPr>
      <w:r>
        <w:rPr>
          <w:rFonts w:hint="eastAsia" w:ascii="Times New Roman" w:hAnsi="Times New Roman"/>
          <w:color w:val="auto"/>
          <w:szCs w:val="21"/>
          <w:highlight w:val="none"/>
        </w:rPr>
        <w:t>　　发包人应委托监理人按第</w:t>
      </w:r>
      <w:r>
        <w:rPr>
          <w:rFonts w:ascii="Times New Roman" w:hAnsi="Times New Roman"/>
          <w:color w:val="auto"/>
          <w:szCs w:val="21"/>
          <w:highlight w:val="none"/>
        </w:rPr>
        <w:t>11.1</w:t>
      </w:r>
      <w:r>
        <w:rPr>
          <w:rFonts w:hint="eastAsia" w:ascii="Times New Roman" w:hAnsi="Times New Roman"/>
          <w:color w:val="auto"/>
          <w:szCs w:val="21"/>
          <w:highlight w:val="none"/>
        </w:rPr>
        <w:t>款的约定向承包人发出开工通知。</w:t>
      </w:r>
    </w:p>
    <w:p w14:paraId="3038BC17">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2.3 </w:t>
      </w:r>
      <w:r>
        <w:rPr>
          <w:rFonts w:hint="eastAsia" w:ascii="Times New Roman" w:hAnsi="Times New Roman" w:eastAsia="黑体"/>
          <w:bCs/>
          <w:color w:val="auto"/>
          <w:kern w:val="44"/>
          <w:szCs w:val="21"/>
          <w:highlight w:val="none"/>
          <w:lang w:val="zh-CN"/>
        </w:rPr>
        <w:t>提供施工场地</w:t>
      </w:r>
    </w:p>
    <w:p w14:paraId="158CBC62">
      <w:pPr>
        <w:pStyle w:val="54"/>
        <w:spacing w:line="400" w:lineRule="atLeast"/>
        <w:rPr>
          <w:rFonts w:ascii="Times New Roman" w:hAnsi="Times New Roman"/>
          <w:color w:val="auto"/>
          <w:szCs w:val="21"/>
          <w:highlight w:val="none"/>
        </w:rPr>
      </w:pPr>
      <w:r>
        <w:rPr>
          <w:rFonts w:hint="eastAsia" w:ascii="Times New Roman" w:hAnsi="Times New Roman"/>
          <w:color w:val="auto"/>
          <w:szCs w:val="21"/>
          <w:highlight w:val="none"/>
        </w:rPr>
        <w:t>　　发包人应按专用合同条款约定向承包人提供施工场地，以及施工场地内地下管线和地下设施等有关资料，并保证资料的真实、准确、完整。</w:t>
      </w:r>
    </w:p>
    <w:p w14:paraId="2D36F5D1">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2.4 </w:t>
      </w:r>
      <w:r>
        <w:rPr>
          <w:rFonts w:hint="eastAsia" w:ascii="Times New Roman" w:hAnsi="Times New Roman" w:eastAsia="黑体"/>
          <w:bCs/>
          <w:color w:val="auto"/>
          <w:kern w:val="44"/>
          <w:szCs w:val="21"/>
          <w:highlight w:val="none"/>
          <w:lang w:val="zh-CN"/>
        </w:rPr>
        <w:t>协助承包人办理证件和批件</w:t>
      </w:r>
    </w:p>
    <w:p w14:paraId="620BC713">
      <w:pPr>
        <w:pStyle w:val="54"/>
        <w:spacing w:line="400" w:lineRule="atLeast"/>
        <w:rPr>
          <w:rFonts w:ascii="Times New Roman" w:hAnsi="Times New Roman"/>
          <w:color w:val="auto"/>
          <w:szCs w:val="21"/>
          <w:highlight w:val="none"/>
        </w:rPr>
      </w:pPr>
      <w:r>
        <w:rPr>
          <w:rFonts w:ascii="Times New Roman" w:hAnsi="Times New Roman"/>
          <w:color w:val="auto"/>
          <w:szCs w:val="21"/>
          <w:highlight w:val="none"/>
        </w:rPr>
        <w:t xml:space="preserve">    </w:t>
      </w:r>
      <w:r>
        <w:rPr>
          <w:rFonts w:hint="eastAsia" w:ascii="Times New Roman" w:hAnsi="Times New Roman"/>
          <w:color w:val="auto"/>
          <w:szCs w:val="21"/>
          <w:highlight w:val="none"/>
        </w:rPr>
        <w:t>发包人应协助承包人办理法律规定的有关施工证件和批件。</w:t>
      </w:r>
    </w:p>
    <w:p w14:paraId="7DD51BF2">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2.5 </w:t>
      </w:r>
      <w:r>
        <w:rPr>
          <w:rFonts w:hint="eastAsia" w:ascii="Times New Roman" w:hAnsi="Times New Roman" w:eastAsia="黑体"/>
          <w:bCs/>
          <w:color w:val="auto"/>
          <w:kern w:val="44"/>
          <w:szCs w:val="21"/>
          <w:highlight w:val="none"/>
          <w:lang w:val="zh-CN"/>
        </w:rPr>
        <w:t>组织设计交底</w:t>
      </w:r>
    </w:p>
    <w:p w14:paraId="26274F34">
      <w:pPr>
        <w:pStyle w:val="54"/>
        <w:spacing w:line="400" w:lineRule="atLeast"/>
        <w:ind w:firstLine="405"/>
        <w:rPr>
          <w:rFonts w:hint="eastAsia" w:ascii="Times New Roman" w:hAnsi="Times New Roman"/>
          <w:color w:val="auto"/>
          <w:szCs w:val="21"/>
          <w:highlight w:val="none"/>
        </w:rPr>
      </w:pPr>
      <w:r>
        <w:rPr>
          <w:rFonts w:hint="eastAsia" w:ascii="Times New Roman" w:hAnsi="Times New Roman"/>
          <w:color w:val="auto"/>
          <w:szCs w:val="21"/>
          <w:highlight w:val="none"/>
        </w:rPr>
        <w:t>发包人应根据合同进度计划，组织设计单位向承包人进行设计交底。</w:t>
      </w:r>
    </w:p>
    <w:p w14:paraId="38F65402">
      <w:pPr>
        <w:pStyle w:val="54"/>
        <w:spacing w:line="400" w:lineRule="atLeast"/>
        <w:rPr>
          <w:rFonts w:ascii="Times New Roman" w:hAnsi="Times New Roman"/>
          <w:color w:val="auto"/>
          <w:szCs w:val="21"/>
          <w:highlight w:val="none"/>
        </w:rPr>
      </w:pPr>
      <w:r>
        <w:rPr>
          <w:rFonts w:ascii="Times New Roman" w:hAnsi="Times New Roman" w:eastAsia="黑体"/>
          <w:bCs/>
          <w:color w:val="auto"/>
          <w:kern w:val="44"/>
          <w:szCs w:val="21"/>
          <w:highlight w:val="none"/>
          <w:lang w:val="zh-CN"/>
        </w:rPr>
        <w:t xml:space="preserve">2.6 </w:t>
      </w:r>
      <w:r>
        <w:rPr>
          <w:rFonts w:hint="eastAsia" w:ascii="Times New Roman" w:hAnsi="Times New Roman" w:eastAsia="黑体"/>
          <w:bCs/>
          <w:color w:val="auto"/>
          <w:kern w:val="44"/>
          <w:szCs w:val="21"/>
          <w:highlight w:val="none"/>
          <w:lang w:val="zh-CN"/>
        </w:rPr>
        <w:t>支付合同价款</w:t>
      </w:r>
    </w:p>
    <w:p w14:paraId="74F7E6E8">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发包人应按合同约定向承包人及时支付合同价款。</w:t>
      </w:r>
    </w:p>
    <w:p w14:paraId="50CD354F">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2.7 </w:t>
      </w:r>
      <w:r>
        <w:rPr>
          <w:rFonts w:hint="eastAsia" w:ascii="Times New Roman" w:hAnsi="Times New Roman" w:eastAsia="黑体"/>
          <w:bCs/>
          <w:color w:val="auto"/>
          <w:kern w:val="44"/>
          <w:szCs w:val="21"/>
          <w:highlight w:val="none"/>
          <w:lang w:val="zh-CN"/>
        </w:rPr>
        <w:t>组织竣工验收</w:t>
      </w:r>
    </w:p>
    <w:p w14:paraId="1D0FFCD7">
      <w:pPr>
        <w:pStyle w:val="54"/>
        <w:spacing w:line="400" w:lineRule="atLeast"/>
        <w:rPr>
          <w:rFonts w:ascii="Times New Roman" w:hAnsi="Times New Roman"/>
          <w:color w:val="auto"/>
          <w:szCs w:val="21"/>
          <w:highlight w:val="none"/>
        </w:rPr>
      </w:pPr>
      <w:r>
        <w:rPr>
          <w:rFonts w:ascii="Times New Roman" w:hAnsi="Times New Roman"/>
          <w:color w:val="auto"/>
          <w:szCs w:val="21"/>
          <w:highlight w:val="none"/>
        </w:rPr>
        <w:t xml:space="preserve">    </w:t>
      </w:r>
      <w:r>
        <w:rPr>
          <w:rFonts w:hint="eastAsia" w:ascii="Times New Roman" w:hAnsi="Times New Roman"/>
          <w:color w:val="auto"/>
          <w:szCs w:val="21"/>
          <w:highlight w:val="none"/>
        </w:rPr>
        <w:t>发包人应按合同约定及时组织竣工验收。</w:t>
      </w:r>
    </w:p>
    <w:p w14:paraId="412CC35E">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2.8 </w:t>
      </w:r>
      <w:r>
        <w:rPr>
          <w:rFonts w:hint="eastAsia" w:ascii="Times New Roman" w:hAnsi="Times New Roman" w:eastAsia="黑体"/>
          <w:bCs/>
          <w:color w:val="auto"/>
          <w:kern w:val="44"/>
          <w:szCs w:val="21"/>
          <w:highlight w:val="none"/>
          <w:lang w:val="zh-CN"/>
        </w:rPr>
        <w:t>其他义务</w:t>
      </w:r>
    </w:p>
    <w:p w14:paraId="67ADC07B">
      <w:pPr>
        <w:pStyle w:val="54"/>
        <w:spacing w:line="400" w:lineRule="atLeast"/>
        <w:rPr>
          <w:rFonts w:ascii="Times New Roman" w:hAnsi="Times New Roman"/>
          <w:color w:val="auto"/>
          <w:szCs w:val="21"/>
          <w:highlight w:val="none"/>
        </w:rPr>
      </w:pPr>
      <w:r>
        <w:rPr>
          <w:rFonts w:hint="eastAsia" w:ascii="Times New Roman" w:hAnsi="Times New Roman"/>
          <w:color w:val="auto"/>
          <w:szCs w:val="21"/>
          <w:highlight w:val="none"/>
        </w:rPr>
        <w:t>　　发包人应履行合同约定的其他义务。</w:t>
      </w:r>
    </w:p>
    <w:p w14:paraId="380ED543">
      <w:pPr>
        <w:pStyle w:val="54"/>
        <w:keepNext/>
        <w:keepLines/>
        <w:spacing w:before="480" w:after="240" w:line="380" w:lineRule="atLeast"/>
        <w:outlineLvl w:val="2"/>
        <w:rPr>
          <w:rFonts w:ascii="Times New Roman" w:hAnsi="Times New Roman" w:eastAsia="黑体"/>
          <w:bCs/>
          <w:color w:val="auto"/>
          <w:kern w:val="44"/>
          <w:szCs w:val="21"/>
          <w:highlight w:val="none"/>
          <w:lang w:val="zh-CN"/>
        </w:rPr>
      </w:pPr>
      <w:bookmarkStart w:id="109" w:name="_Toc5995"/>
      <w:r>
        <w:rPr>
          <w:rFonts w:ascii="Times New Roman" w:hAnsi="Times New Roman" w:eastAsia="黑体"/>
          <w:bCs/>
          <w:color w:val="auto"/>
          <w:kern w:val="44"/>
          <w:szCs w:val="21"/>
          <w:highlight w:val="none"/>
          <w:lang w:val="zh-CN"/>
        </w:rPr>
        <w:t xml:space="preserve">3. </w:t>
      </w:r>
      <w:r>
        <w:rPr>
          <w:rFonts w:hint="eastAsia" w:ascii="Times New Roman" w:hAnsi="Times New Roman" w:eastAsia="黑体"/>
          <w:bCs/>
          <w:color w:val="auto"/>
          <w:kern w:val="44"/>
          <w:szCs w:val="21"/>
          <w:highlight w:val="none"/>
          <w:lang w:val="zh-CN"/>
        </w:rPr>
        <w:t>监理人</w:t>
      </w:r>
      <w:bookmarkEnd w:id="109"/>
    </w:p>
    <w:p w14:paraId="71B8EE42">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3.1 </w:t>
      </w:r>
      <w:r>
        <w:rPr>
          <w:rFonts w:hint="eastAsia" w:ascii="Times New Roman" w:hAnsi="Times New Roman" w:eastAsia="黑体"/>
          <w:bCs/>
          <w:color w:val="auto"/>
          <w:kern w:val="44"/>
          <w:szCs w:val="21"/>
          <w:highlight w:val="none"/>
          <w:lang w:val="zh-CN"/>
        </w:rPr>
        <w:t>监理人的职责和权力</w:t>
      </w:r>
      <w:r>
        <w:rPr>
          <w:rFonts w:ascii="Times New Roman" w:hAnsi="Times New Roman" w:eastAsia="黑体"/>
          <w:bCs/>
          <w:color w:val="auto"/>
          <w:kern w:val="44"/>
          <w:szCs w:val="21"/>
          <w:highlight w:val="none"/>
          <w:lang w:val="zh-CN"/>
        </w:rPr>
        <w:t xml:space="preserve"> </w:t>
      </w:r>
    </w:p>
    <w:p w14:paraId="712428D2">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3.1.1 </w:t>
      </w:r>
      <w:r>
        <w:rPr>
          <w:rFonts w:hint="eastAsia" w:ascii="Times New Roman" w:hAnsi="Times New Roman"/>
          <w:color w:val="auto"/>
          <w:szCs w:val="21"/>
          <w:highlight w:val="none"/>
        </w:rPr>
        <w:t>监理人受发包人委托，享有合同约定的权力。监理人在行使某项权力前需要经发包人事先批准而通用合同条款没有指明的，应在专用合同条款中指明。</w:t>
      </w:r>
    </w:p>
    <w:p w14:paraId="4D5BF8CF">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3.1.2 </w:t>
      </w:r>
      <w:r>
        <w:rPr>
          <w:rFonts w:hint="eastAsia" w:ascii="Times New Roman" w:hAnsi="Times New Roman"/>
          <w:color w:val="auto"/>
          <w:szCs w:val="21"/>
          <w:highlight w:val="none"/>
        </w:rPr>
        <w:t>监理人发出的任何指示应视为已得到发包人的批准，但监理人无权免除或变更合同约定的发包人和承包人的权利、义务和责任。</w:t>
      </w:r>
    </w:p>
    <w:p w14:paraId="4FF7536E">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3.1.3 </w:t>
      </w:r>
      <w:r>
        <w:rPr>
          <w:rFonts w:hint="eastAsia" w:ascii="Times New Roman" w:hAnsi="Times New Roman"/>
          <w:color w:val="auto"/>
          <w:szCs w:val="21"/>
          <w:highlight w:val="none"/>
        </w:rPr>
        <w:t>合同约定应由承包人承担的义务和责任，不因监理人对承包人提交文件的审查或批准，对工程、材料和设备的检查和检验，以及为实施监理作出的指示等职务行为而减轻或解除。</w:t>
      </w:r>
    </w:p>
    <w:p w14:paraId="2F9C7B50">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3.2 </w:t>
      </w:r>
      <w:r>
        <w:rPr>
          <w:rFonts w:hint="eastAsia" w:ascii="Times New Roman" w:hAnsi="Times New Roman" w:eastAsia="黑体"/>
          <w:bCs/>
          <w:color w:val="auto"/>
          <w:kern w:val="44"/>
          <w:szCs w:val="21"/>
          <w:highlight w:val="none"/>
          <w:lang w:val="zh-CN"/>
        </w:rPr>
        <w:t>总监理工程师</w:t>
      </w:r>
    </w:p>
    <w:p w14:paraId="4A44FD02">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发包人应在发出开工通知前将总监理工程师的任命通知承包人。总监理工程师更换时，应在调离</w:t>
      </w:r>
      <w:r>
        <w:rPr>
          <w:rFonts w:ascii="Times New Roman" w:hAnsi="Times New Roman"/>
          <w:color w:val="auto"/>
          <w:szCs w:val="21"/>
          <w:highlight w:val="none"/>
        </w:rPr>
        <w:t>14</w:t>
      </w:r>
      <w:r>
        <w:rPr>
          <w:rFonts w:hint="eastAsia" w:ascii="Times New Roman" w:hAnsi="Times New Roman"/>
          <w:color w:val="auto"/>
          <w:szCs w:val="21"/>
          <w:highlight w:val="none"/>
        </w:rPr>
        <w:t>天前通知承包人。总监理工程师短期离开施工场地的，应委派代表代行其职责，并通知承包人。</w:t>
      </w:r>
    </w:p>
    <w:p w14:paraId="0F2D281A">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3.3 </w:t>
      </w:r>
      <w:r>
        <w:rPr>
          <w:rFonts w:hint="eastAsia" w:ascii="Times New Roman" w:hAnsi="Times New Roman" w:eastAsia="黑体"/>
          <w:bCs/>
          <w:color w:val="auto"/>
          <w:kern w:val="44"/>
          <w:szCs w:val="21"/>
          <w:highlight w:val="none"/>
          <w:lang w:val="zh-CN"/>
        </w:rPr>
        <w:t>监理人员</w:t>
      </w:r>
    </w:p>
    <w:p w14:paraId="58374DE2">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3.3.1 </w:t>
      </w:r>
      <w:r>
        <w:rPr>
          <w:rFonts w:hint="eastAsia" w:ascii="Times New Roman" w:hAnsi="Times New Roman"/>
          <w:color w:val="auto"/>
          <w:szCs w:val="21"/>
          <w:highlight w:val="none"/>
        </w:rPr>
        <w:t>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399EF8FD">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3.3.2 </w:t>
      </w:r>
      <w:r>
        <w:rPr>
          <w:rFonts w:hint="eastAsia" w:ascii="Times New Roman" w:hAnsi="Times New Roman"/>
          <w:color w:val="auto"/>
          <w:szCs w:val="21"/>
          <w:highlight w:val="none"/>
        </w:rPr>
        <w:t>监理人员对承包人的任何工作、工程或其采用的材料和工程设备未在约定的或合理的期限内提出否定意见的，视为已获批准，但不影响监理人在以后拒绝该项工作、工程、材料或工程设备的权利。</w:t>
      </w:r>
    </w:p>
    <w:p w14:paraId="3FE91CF2">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3.3.3 </w:t>
      </w:r>
      <w:r>
        <w:rPr>
          <w:rFonts w:hint="eastAsia" w:ascii="Times New Roman" w:hAnsi="Times New Roman"/>
          <w:color w:val="auto"/>
          <w:szCs w:val="21"/>
          <w:highlight w:val="none"/>
        </w:rPr>
        <w:t>承包人对总监理工程师授权的监理人员发出的指示有疑问的，可向总监理工程师提出书面异议，总监理工程师应在</w:t>
      </w:r>
      <w:r>
        <w:rPr>
          <w:rFonts w:ascii="Times New Roman" w:hAnsi="Times New Roman"/>
          <w:color w:val="auto"/>
          <w:szCs w:val="21"/>
          <w:highlight w:val="none"/>
        </w:rPr>
        <w:t>48</w:t>
      </w:r>
      <w:r>
        <w:rPr>
          <w:rFonts w:hint="eastAsia" w:ascii="Times New Roman" w:hAnsi="Times New Roman"/>
          <w:color w:val="auto"/>
          <w:szCs w:val="21"/>
          <w:highlight w:val="none"/>
        </w:rPr>
        <w:t>小时内对该指示予以确认、更改或撤销。</w:t>
      </w:r>
    </w:p>
    <w:p w14:paraId="26A72F1E">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3.3.4 </w:t>
      </w:r>
      <w:r>
        <w:rPr>
          <w:rFonts w:hint="eastAsia" w:ascii="Times New Roman" w:hAnsi="Times New Roman"/>
          <w:color w:val="auto"/>
          <w:szCs w:val="21"/>
          <w:highlight w:val="none"/>
        </w:rPr>
        <w:t>除专用合同条款另有约定外，总监理工程师不应将第</w:t>
      </w:r>
      <w:r>
        <w:rPr>
          <w:rFonts w:ascii="Times New Roman" w:hAnsi="Times New Roman"/>
          <w:color w:val="auto"/>
          <w:szCs w:val="21"/>
          <w:highlight w:val="none"/>
        </w:rPr>
        <w:t>3.5</w:t>
      </w:r>
      <w:r>
        <w:rPr>
          <w:rFonts w:hint="eastAsia" w:ascii="Times New Roman" w:hAnsi="Times New Roman"/>
          <w:color w:val="auto"/>
          <w:szCs w:val="21"/>
          <w:highlight w:val="none"/>
        </w:rPr>
        <w:t>款约定应由总监理工程师作出确定的权力授权或委托给其他监理人员。</w:t>
      </w:r>
    </w:p>
    <w:p w14:paraId="63C051DB">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3.4 </w:t>
      </w:r>
      <w:r>
        <w:rPr>
          <w:rFonts w:hint="eastAsia" w:ascii="Times New Roman" w:hAnsi="Times New Roman" w:eastAsia="黑体"/>
          <w:bCs/>
          <w:color w:val="auto"/>
          <w:kern w:val="44"/>
          <w:szCs w:val="21"/>
          <w:highlight w:val="none"/>
          <w:lang w:val="zh-CN"/>
        </w:rPr>
        <w:t>监理人的指示</w:t>
      </w:r>
    </w:p>
    <w:p w14:paraId="0BDB416E">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3.4.1 </w:t>
      </w:r>
      <w:r>
        <w:rPr>
          <w:rFonts w:hint="eastAsia" w:ascii="Times New Roman" w:hAnsi="Times New Roman"/>
          <w:color w:val="auto"/>
          <w:szCs w:val="21"/>
          <w:highlight w:val="none"/>
        </w:rPr>
        <w:t>监理人应按第</w:t>
      </w:r>
      <w:r>
        <w:rPr>
          <w:rFonts w:ascii="Times New Roman" w:hAnsi="Times New Roman"/>
          <w:color w:val="auto"/>
          <w:szCs w:val="21"/>
          <w:highlight w:val="none"/>
        </w:rPr>
        <w:t>3.1</w:t>
      </w:r>
      <w:r>
        <w:rPr>
          <w:rFonts w:hint="eastAsia" w:ascii="Times New Roman" w:hAnsi="Times New Roman"/>
          <w:color w:val="auto"/>
          <w:szCs w:val="21"/>
          <w:highlight w:val="none"/>
        </w:rPr>
        <w:t>款的约定向承包人发出指示，监理人的指示应盖有监理人授权的施工场地机构章，并由总监理工程师或总监理工程师按第</w:t>
      </w:r>
      <w:r>
        <w:rPr>
          <w:rFonts w:ascii="Times New Roman" w:hAnsi="Times New Roman"/>
          <w:color w:val="auto"/>
          <w:szCs w:val="21"/>
          <w:highlight w:val="none"/>
        </w:rPr>
        <w:t>3.3.1</w:t>
      </w:r>
      <w:r>
        <w:rPr>
          <w:rFonts w:hint="eastAsia" w:ascii="Times New Roman" w:hAnsi="Times New Roman"/>
          <w:color w:val="auto"/>
          <w:szCs w:val="21"/>
          <w:highlight w:val="none"/>
        </w:rPr>
        <w:t>项约定授权的监理人员签字。</w:t>
      </w:r>
    </w:p>
    <w:p w14:paraId="4327C1A8">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3.4.2 </w:t>
      </w:r>
      <w:r>
        <w:rPr>
          <w:rFonts w:hint="eastAsia" w:ascii="Times New Roman" w:hAnsi="Times New Roman"/>
          <w:color w:val="auto"/>
          <w:szCs w:val="21"/>
          <w:highlight w:val="none"/>
        </w:rPr>
        <w:t>承包人收到监理人按第</w:t>
      </w:r>
      <w:r>
        <w:rPr>
          <w:rFonts w:ascii="Times New Roman" w:hAnsi="Times New Roman"/>
          <w:color w:val="auto"/>
          <w:szCs w:val="21"/>
          <w:highlight w:val="none"/>
        </w:rPr>
        <w:t>3.4.1</w:t>
      </w:r>
      <w:r>
        <w:rPr>
          <w:rFonts w:hint="eastAsia" w:ascii="Times New Roman" w:hAnsi="Times New Roman"/>
          <w:color w:val="auto"/>
          <w:szCs w:val="21"/>
          <w:highlight w:val="none"/>
        </w:rPr>
        <w:t>项作出的指示后应遵照执行。指示构成变更的，应按第</w:t>
      </w:r>
      <w:r>
        <w:rPr>
          <w:rFonts w:ascii="Times New Roman" w:hAnsi="Times New Roman"/>
          <w:color w:val="auto"/>
          <w:szCs w:val="21"/>
          <w:highlight w:val="none"/>
        </w:rPr>
        <w:t>15</w:t>
      </w:r>
      <w:r>
        <w:rPr>
          <w:rFonts w:hint="eastAsia" w:ascii="Times New Roman" w:hAnsi="Times New Roman"/>
          <w:color w:val="auto"/>
          <w:szCs w:val="21"/>
          <w:highlight w:val="none"/>
        </w:rPr>
        <w:t>条处理。</w:t>
      </w:r>
    </w:p>
    <w:p w14:paraId="494DCB8E">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3.4.3 </w:t>
      </w:r>
      <w:r>
        <w:rPr>
          <w:rFonts w:hint="eastAsia" w:ascii="Times New Roman" w:hAnsi="Times New Roman"/>
          <w:color w:val="auto"/>
          <w:szCs w:val="21"/>
          <w:highlight w:val="none"/>
        </w:rPr>
        <w:t>在紧急情况下，总监理工程师或被授权的监理人员可以当场签发临时书面指示，承包人应遵照执行。承包人应在收到上述临时书面指示后</w:t>
      </w:r>
      <w:r>
        <w:rPr>
          <w:rFonts w:ascii="Times New Roman" w:hAnsi="Times New Roman"/>
          <w:color w:val="auto"/>
          <w:szCs w:val="21"/>
          <w:highlight w:val="none"/>
        </w:rPr>
        <w:t>24</w:t>
      </w:r>
      <w:r>
        <w:rPr>
          <w:rFonts w:hint="eastAsia" w:ascii="Times New Roman" w:hAnsi="Times New Roman"/>
          <w:color w:val="auto"/>
          <w:szCs w:val="21"/>
          <w:highlight w:val="none"/>
        </w:rPr>
        <w:t>小时内，向监理人发出书面确认函。监理人在收到书面确认函后</w:t>
      </w:r>
      <w:r>
        <w:rPr>
          <w:rFonts w:ascii="Times New Roman" w:hAnsi="Times New Roman"/>
          <w:color w:val="auto"/>
          <w:szCs w:val="21"/>
          <w:highlight w:val="none"/>
        </w:rPr>
        <w:t>24</w:t>
      </w:r>
      <w:r>
        <w:rPr>
          <w:rFonts w:hint="eastAsia" w:ascii="Times New Roman" w:hAnsi="Times New Roman"/>
          <w:color w:val="auto"/>
          <w:szCs w:val="21"/>
          <w:highlight w:val="none"/>
        </w:rPr>
        <w:t>小时内未予答复的，该书面确认函应被视为监理人的正式指示。</w:t>
      </w:r>
    </w:p>
    <w:p w14:paraId="0B42DDD4">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3.4.4 </w:t>
      </w:r>
      <w:r>
        <w:rPr>
          <w:rFonts w:hint="eastAsia" w:ascii="Times New Roman" w:hAnsi="Times New Roman"/>
          <w:color w:val="auto"/>
          <w:szCs w:val="21"/>
          <w:highlight w:val="none"/>
        </w:rPr>
        <w:t>除合同另有约定外，承包人只从总监理工程师或按第</w:t>
      </w:r>
      <w:r>
        <w:rPr>
          <w:rFonts w:ascii="Times New Roman" w:hAnsi="Times New Roman"/>
          <w:color w:val="auto"/>
          <w:szCs w:val="21"/>
          <w:highlight w:val="none"/>
        </w:rPr>
        <w:t>3.3.1</w:t>
      </w:r>
      <w:r>
        <w:rPr>
          <w:rFonts w:hint="eastAsia" w:ascii="Times New Roman" w:hAnsi="Times New Roman"/>
          <w:color w:val="auto"/>
          <w:szCs w:val="21"/>
          <w:highlight w:val="none"/>
        </w:rPr>
        <w:t>项被授权的监理人员处取得指示。</w:t>
      </w:r>
    </w:p>
    <w:p w14:paraId="00FE190B">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3.4.5 </w:t>
      </w:r>
      <w:r>
        <w:rPr>
          <w:rFonts w:hint="eastAsia" w:ascii="Times New Roman" w:hAnsi="Times New Roman"/>
          <w:color w:val="auto"/>
          <w:szCs w:val="21"/>
          <w:highlight w:val="none"/>
        </w:rPr>
        <w:t>由于监理人未能按合同约定发出指示、指示延误或指示错误而导致承包人费用增加和（或）工期延误的，由发包人承担赔偿责任。</w:t>
      </w:r>
      <w:r>
        <w:rPr>
          <w:rFonts w:ascii="Times New Roman" w:hAnsi="Times New Roman"/>
          <w:color w:val="auto"/>
          <w:szCs w:val="21"/>
          <w:highlight w:val="none"/>
        </w:rPr>
        <w:t xml:space="preserve"> </w:t>
      </w:r>
    </w:p>
    <w:p w14:paraId="169F368A">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3.5</w:t>
      </w:r>
      <w:r>
        <w:rPr>
          <w:rFonts w:ascii="Times New Roman" w:hAnsi="Times New Roman" w:eastAsia="黑体"/>
          <w:bCs/>
          <w:color w:val="auto"/>
          <w:kern w:val="44"/>
          <w:szCs w:val="21"/>
          <w:highlight w:val="none"/>
          <w:lang w:val="zh-CN"/>
        </w:rPr>
        <w:tab/>
      </w:r>
      <w:r>
        <w:rPr>
          <w:rFonts w:hint="eastAsia" w:ascii="Times New Roman" w:hAnsi="Times New Roman" w:eastAsia="黑体"/>
          <w:bCs/>
          <w:color w:val="auto"/>
          <w:kern w:val="44"/>
          <w:szCs w:val="21"/>
          <w:highlight w:val="none"/>
          <w:lang w:val="zh-CN"/>
        </w:rPr>
        <w:t>商定或确定</w:t>
      </w:r>
    </w:p>
    <w:p w14:paraId="360FAB29">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3.5.1</w:t>
      </w:r>
      <w:r>
        <w:rPr>
          <w:rFonts w:hint="eastAsia" w:ascii="Times New Roman" w:hAnsi="Times New Roman"/>
          <w:color w:val="auto"/>
          <w:szCs w:val="21"/>
          <w:highlight w:val="none"/>
        </w:rPr>
        <w:t>合同约定总监理工程师应按照本款对任何事项进行商定或确定时，总监理工程师应与合同当事人协商，尽量达成一致。不能达成一致的，总监理工程师应认真研究后审慎确定。</w:t>
      </w:r>
    </w:p>
    <w:p w14:paraId="0ECE8DF7">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3.5.2 </w:t>
      </w:r>
      <w:r>
        <w:rPr>
          <w:rFonts w:hint="eastAsia" w:ascii="Times New Roman" w:hAnsi="Times New Roman"/>
          <w:color w:val="auto"/>
          <w:szCs w:val="21"/>
          <w:highlight w:val="none"/>
        </w:rPr>
        <w:t>总监理工程师应将商定或确定的事项通知合同当事人，并附详细依据。对总监理工程师的确定有异议的，</w:t>
      </w:r>
      <w:r>
        <w:rPr>
          <w:rFonts w:hint="eastAsia" w:ascii="Times New Roman" w:hAnsi="Times New Roman"/>
          <w:iCs/>
          <w:color w:val="auto"/>
          <w:szCs w:val="21"/>
          <w:highlight w:val="none"/>
        </w:rPr>
        <w:t>构成争议，</w:t>
      </w:r>
      <w:r>
        <w:rPr>
          <w:rFonts w:hint="eastAsia" w:ascii="Times New Roman" w:hAnsi="Times New Roman"/>
          <w:color w:val="auto"/>
          <w:szCs w:val="21"/>
          <w:highlight w:val="none"/>
        </w:rPr>
        <w:t>按照第</w:t>
      </w:r>
      <w:r>
        <w:rPr>
          <w:rFonts w:ascii="Times New Roman" w:hAnsi="Times New Roman"/>
          <w:color w:val="auto"/>
          <w:szCs w:val="21"/>
          <w:highlight w:val="none"/>
        </w:rPr>
        <w:t>24</w:t>
      </w:r>
      <w:r>
        <w:rPr>
          <w:rFonts w:hint="eastAsia" w:ascii="Times New Roman" w:hAnsi="Times New Roman"/>
          <w:color w:val="auto"/>
          <w:szCs w:val="21"/>
          <w:highlight w:val="none"/>
        </w:rPr>
        <w:t>条的约定处理。在争议解决前，双方应暂按总监理工程师的确定执行，按照第</w:t>
      </w:r>
      <w:r>
        <w:rPr>
          <w:rFonts w:ascii="Times New Roman" w:hAnsi="Times New Roman"/>
          <w:color w:val="auto"/>
          <w:szCs w:val="21"/>
          <w:highlight w:val="none"/>
        </w:rPr>
        <w:t>24</w:t>
      </w:r>
      <w:r>
        <w:rPr>
          <w:rFonts w:hint="eastAsia" w:ascii="Times New Roman" w:hAnsi="Times New Roman"/>
          <w:color w:val="auto"/>
          <w:szCs w:val="21"/>
          <w:highlight w:val="none"/>
        </w:rPr>
        <w:t>条的约定对总监理工程师的确定作出修改的，按修改后的结果执行。</w:t>
      </w:r>
    </w:p>
    <w:p w14:paraId="42FBB216">
      <w:pPr>
        <w:pStyle w:val="54"/>
        <w:keepNext/>
        <w:keepLines/>
        <w:spacing w:before="480" w:after="240" w:line="380" w:lineRule="atLeast"/>
        <w:outlineLvl w:val="2"/>
        <w:rPr>
          <w:rFonts w:ascii="Times New Roman" w:hAnsi="Times New Roman" w:eastAsia="黑体"/>
          <w:bCs/>
          <w:color w:val="auto"/>
          <w:kern w:val="44"/>
          <w:szCs w:val="21"/>
          <w:highlight w:val="none"/>
          <w:lang w:val="zh-CN"/>
        </w:rPr>
      </w:pPr>
      <w:bookmarkStart w:id="110" w:name="_Toc11503"/>
      <w:r>
        <w:rPr>
          <w:rFonts w:ascii="Times New Roman" w:hAnsi="Times New Roman" w:eastAsia="黑体"/>
          <w:bCs/>
          <w:color w:val="auto"/>
          <w:kern w:val="44"/>
          <w:szCs w:val="21"/>
          <w:highlight w:val="none"/>
          <w:lang w:val="zh-CN"/>
        </w:rPr>
        <w:t xml:space="preserve">4. </w:t>
      </w:r>
      <w:r>
        <w:rPr>
          <w:rFonts w:hint="eastAsia" w:ascii="Times New Roman" w:hAnsi="Times New Roman" w:eastAsia="黑体"/>
          <w:bCs/>
          <w:color w:val="auto"/>
          <w:kern w:val="44"/>
          <w:szCs w:val="21"/>
          <w:highlight w:val="none"/>
          <w:lang w:val="zh-CN"/>
        </w:rPr>
        <w:t>承包人</w:t>
      </w:r>
      <w:bookmarkEnd w:id="110"/>
    </w:p>
    <w:p w14:paraId="69A7D62D">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4.1 </w:t>
      </w:r>
      <w:r>
        <w:rPr>
          <w:rFonts w:hint="eastAsia" w:ascii="Times New Roman" w:hAnsi="Times New Roman" w:eastAsia="黑体"/>
          <w:bCs/>
          <w:color w:val="auto"/>
          <w:kern w:val="44"/>
          <w:szCs w:val="21"/>
          <w:highlight w:val="none"/>
          <w:lang w:val="zh-CN"/>
        </w:rPr>
        <w:t>承包人的一般义务</w:t>
      </w:r>
    </w:p>
    <w:p w14:paraId="70295E83">
      <w:pPr>
        <w:pStyle w:val="54"/>
        <w:spacing w:line="400" w:lineRule="atLeast"/>
        <w:ind w:firstLine="409" w:firstLineChars="195"/>
        <w:rPr>
          <w:rFonts w:ascii="Times New Roman" w:hAnsi="Times New Roman"/>
          <w:color w:val="auto"/>
          <w:szCs w:val="21"/>
          <w:highlight w:val="none"/>
        </w:rPr>
      </w:pPr>
      <w:r>
        <w:rPr>
          <w:rFonts w:ascii="Times New Roman" w:hAnsi="Times New Roman"/>
          <w:color w:val="auto"/>
          <w:szCs w:val="21"/>
          <w:highlight w:val="none"/>
        </w:rPr>
        <w:t xml:space="preserve">4.1.1 </w:t>
      </w:r>
      <w:r>
        <w:rPr>
          <w:rFonts w:hint="eastAsia" w:ascii="Times New Roman" w:hAnsi="Times New Roman" w:eastAsia="黑体"/>
          <w:color w:val="auto"/>
          <w:szCs w:val="21"/>
          <w:highlight w:val="none"/>
        </w:rPr>
        <w:t>遵守法律</w:t>
      </w:r>
    </w:p>
    <w:p w14:paraId="0B4D692E">
      <w:pPr>
        <w:pStyle w:val="54"/>
        <w:spacing w:line="400" w:lineRule="atLeast"/>
        <w:ind w:firstLine="409" w:firstLineChars="195"/>
        <w:rPr>
          <w:rFonts w:ascii="Times New Roman" w:hAnsi="Times New Roman"/>
          <w:color w:val="auto"/>
          <w:szCs w:val="21"/>
          <w:highlight w:val="none"/>
        </w:rPr>
      </w:pPr>
      <w:r>
        <w:rPr>
          <w:rFonts w:hint="eastAsia" w:ascii="Times New Roman" w:hAnsi="Times New Roman"/>
          <w:color w:val="auto"/>
          <w:szCs w:val="21"/>
          <w:highlight w:val="none"/>
        </w:rPr>
        <w:t>承包人在履行合同过程中应遵守法律，并保证发包人免于承担因承包人违反法律而引起的任何责任。</w:t>
      </w:r>
    </w:p>
    <w:p w14:paraId="0EEA18CB">
      <w:pPr>
        <w:pStyle w:val="54"/>
        <w:spacing w:line="400" w:lineRule="atLeast"/>
        <w:ind w:firstLine="409" w:firstLineChars="195"/>
        <w:rPr>
          <w:rFonts w:ascii="Times New Roman" w:hAnsi="Times New Roman" w:eastAsia="黑体"/>
          <w:color w:val="auto"/>
          <w:szCs w:val="21"/>
          <w:highlight w:val="none"/>
        </w:rPr>
      </w:pPr>
      <w:r>
        <w:rPr>
          <w:rFonts w:ascii="Times New Roman" w:hAnsi="Times New Roman"/>
          <w:color w:val="auto"/>
          <w:szCs w:val="21"/>
          <w:highlight w:val="none"/>
        </w:rPr>
        <w:t xml:space="preserve">4.1.2 </w:t>
      </w:r>
      <w:r>
        <w:rPr>
          <w:rFonts w:hint="eastAsia" w:ascii="Times New Roman" w:hAnsi="Times New Roman" w:eastAsia="黑体"/>
          <w:color w:val="auto"/>
          <w:szCs w:val="21"/>
          <w:highlight w:val="none"/>
        </w:rPr>
        <w:t>依法纳税</w:t>
      </w:r>
    </w:p>
    <w:p w14:paraId="4A51907E">
      <w:pPr>
        <w:pStyle w:val="54"/>
        <w:spacing w:line="400" w:lineRule="atLeast"/>
        <w:ind w:firstLine="409" w:firstLineChars="195"/>
        <w:rPr>
          <w:rFonts w:ascii="Times New Roman" w:hAnsi="Times New Roman"/>
          <w:color w:val="auto"/>
          <w:szCs w:val="21"/>
          <w:highlight w:val="none"/>
        </w:rPr>
      </w:pPr>
      <w:r>
        <w:rPr>
          <w:rFonts w:hint="eastAsia" w:ascii="Times New Roman" w:hAnsi="Times New Roman"/>
          <w:color w:val="auto"/>
          <w:szCs w:val="21"/>
          <w:highlight w:val="none"/>
        </w:rPr>
        <w:t>承包人应按有关法律规定纳税，应缴纳的税金包括在合同价格内。</w:t>
      </w:r>
    </w:p>
    <w:p w14:paraId="33B511FF">
      <w:pPr>
        <w:pStyle w:val="54"/>
        <w:spacing w:line="400" w:lineRule="atLeast"/>
        <w:ind w:firstLine="409" w:firstLineChars="195"/>
        <w:rPr>
          <w:rFonts w:ascii="Times New Roman" w:hAnsi="Times New Roman" w:eastAsia="黑体"/>
          <w:color w:val="auto"/>
          <w:szCs w:val="21"/>
          <w:highlight w:val="none"/>
        </w:rPr>
      </w:pPr>
      <w:r>
        <w:rPr>
          <w:rFonts w:ascii="Times New Roman" w:hAnsi="Times New Roman"/>
          <w:color w:val="auto"/>
          <w:szCs w:val="21"/>
          <w:highlight w:val="none"/>
        </w:rPr>
        <w:t xml:space="preserve">4.1.3 </w:t>
      </w:r>
      <w:r>
        <w:rPr>
          <w:rFonts w:hint="eastAsia" w:ascii="Times New Roman" w:hAnsi="Times New Roman" w:eastAsia="黑体"/>
          <w:color w:val="auto"/>
          <w:szCs w:val="21"/>
          <w:highlight w:val="none"/>
        </w:rPr>
        <w:t>完成各项承包工作</w:t>
      </w:r>
    </w:p>
    <w:p w14:paraId="4E630637">
      <w:pPr>
        <w:pStyle w:val="54"/>
        <w:spacing w:line="400" w:lineRule="atLeast"/>
        <w:ind w:firstLine="409" w:firstLineChars="195"/>
        <w:rPr>
          <w:rFonts w:ascii="Times New Roman" w:hAnsi="Times New Roman"/>
          <w:color w:val="auto"/>
          <w:szCs w:val="21"/>
          <w:highlight w:val="none"/>
        </w:rPr>
      </w:pPr>
      <w:r>
        <w:rPr>
          <w:rFonts w:hint="eastAsia" w:ascii="Times New Roman" w:hAnsi="Times New Roman"/>
          <w:color w:val="auto"/>
          <w:szCs w:val="21"/>
          <w:highlight w:val="none"/>
        </w:rPr>
        <w:t>承包人应按合同约定以及监理人根据第</w:t>
      </w:r>
      <w:r>
        <w:rPr>
          <w:rFonts w:ascii="Times New Roman" w:hAnsi="Times New Roman"/>
          <w:color w:val="auto"/>
          <w:szCs w:val="21"/>
          <w:highlight w:val="none"/>
        </w:rPr>
        <w:t>3.4</w:t>
      </w:r>
      <w:r>
        <w:rPr>
          <w:rFonts w:hint="eastAsia" w:ascii="Times New Roman" w:hAnsi="Times New Roman"/>
          <w:color w:val="auto"/>
          <w:szCs w:val="21"/>
          <w:highlight w:val="none"/>
        </w:rPr>
        <w:t>款作出的指示，实施、完成全部工程，并修补工程中的任何缺陷。除专用合同条款另有约定外，承包人应提供为完成合同工作所需的劳务、材料、施工设备、工程设备和其他物品，并按合同约定负责临时设施的设计、建造、运行、维护、管理和拆除。</w:t>
      </w:r>
    </w:p>
    <w:p w14:paraId="73DAF551">
      <w:pPr>
        <w:pStyle w:val="54"/>
        <w:spacing w:line="400" w:lineRule="atLeast"/>
        <w:ind w:firstLine="409" w:firstLineChars="195"/>
        <w:rPr>
          <w:rFonts w:ascii="Times New Roman" w:hAnsi="Times New Roman"/>
          <w:color w:val="auto"/>
          <w:szCs w:val="21"/>
          <w:highlight w:val="none"/>
        </w:rPr>
      </w:pPr>
      <w:r>
        <w:rPr>
          <w:rFonts w:ascii="Times New Roman" w:hAnsi="Times New Roman" w:eastAsia="黑体"/>
          <w:color w:val="auto"/>
          <w:szCs w:val="21"/>
          <w:highlight w:val="none"/>
        </w:rPr>
        <w:t xml:space="preserve">4.1.4 </w:t>
      </w:r>
      <w:r>
        <w:rPr>
          <w:rFonts w:hint="eastAsia" w:ascii="Times New Roman" w:hAnsi="Times New Roman" w:eastAsia="黑体"/>
          <w:color w:val="auto"/>
          <w:szCs w:val="21"/>
          <w:highlight w:val="none"/>
        </w:rPr>
        <w:t>对施工作业和施工方法的完备性负责</w:t>
      </w:r>
    </w:p>
    <w:p w14:paraId="5CB5D044">
      <w:pPr>
        <w:pStyle w:val="54"/>
        <w:spacing w:line="400" w:lineRule="atLeast"/>
        <w:ind w:firstLine="409" w:firstLineChars="195"/>
        <w:rPr>
          <w:rFonts w:ascii="Times New Roman" w:hAnsi="Times New Roman"/>
          <w:color w:val="auto"/>
          <w:szCs w:val="21"/>
          <w:highlight w:val="none"/>
        </w:rPr>
      </w:pPr>
      <w:r>
        <w:rPr>
          <w:rFonts w:hint="eastAsia" w:ascii="Times New Roman" w:hAnsi="Times New Roman"/>
          <w:color w:val="auto"/>
          <w:szCs w:val="21"/>
          <w:highlight w:val="none"/>
        </w:rPr>
        <w:t>承包人应按合同约定的工作内容和施工进度要求，编制施工组织设计和施工措施计划，并对所有施工作业和施工方法的完备性和安全可靠性负责。</w:t>
      </w:r>
    </w:p>
    <w:p w14:paraId="3D893B43">
      <w:pPr>
        <w:pStyle w:val="54"/>
        <w:spacing w:line="400" w:lineRule="atLeast"/>
        <w:ind w:firstLine="409" w:firstLineChars="195"/>
        <w:rPr>
          <w:rFonts w:ascii="Times New Roman" w:hAnsi="Times New Roman"/>
          <w:color w:val="auto"/>
          <w:szCs w:val="21"/>
          <w:highlight w:val="none"/>
        </w:rPr>
      </w:pPr>
      <w:r>
        <w:rPr>
          <w:rFonts w:ascii="Times New Roman" w:hAnsi="Times New Roman"/>
          <w:color w:val="auto"/>
          <w:szCs w:val="21"/>
          <w:highlight w:val="none"/>
        </w:rPr>
        <w:t>4.1.5</w:t>
      </w:r>
      <w:r>
        <w:rPr>
          <w:rFonts w:ascii="Times New Roman" w:hAnsi="Times New Roman" w:eastAsia="黑体"/>
          <w:color w:val="auto"/>
          <w:szCs w:val="21"/>
          <w:highlight w:val="none"/>
        </w:rPr>
        <w:t xml:space="preserve"> </w:t>
      </w:r>
      <w:r>
        <w:rPr>
          <w:rFonts w:hint="eastAsia" w:ascii="Times New Roman" w:hAnsi="Times New Roman" w:eastAsia="黑体"/>
          <w:color w:val="auto"/>
          <w:szCs w:val="21"/>
          <w:highlight w:val="none"/>
        </w:rPr>
        <w:t>保证工程施工和人员的安全</w:t>
      </w:r>
    </w:p>
    <w:p w14:paraId="7C35926D">
      <w:pPr>
        <w:pStyle w:val="54"/>
        <w:spacing w:line="400" w:lineRule="atLeast"/>
        <w:ind w:firstLine="409" w:firstLineChars="195"/>
        <w:rPr>
          <w:rFonts w:ascii="Times New Roman" w:hAnsi="Times New Roman"/>
          <w:color w:val="auto"/>
          <w:szCs w:val="21"/>
          <w:highlight w:val="none"/>
        </w:rPr>
      </w:pPr>
      <w:r>
        <w:rPr>
          <w:rFonts w:hint="eastAsia" w:ascii="Times New Roman" w:hAnsi="Times New Roman"/>
          <w:color w:val="auto"/>
          <w:szCs w:val="21"/>
          <w:highlight w:val="none"/>
        </w:rPr>
        <w:t>承包人应按第</w:t>
      </w:r>
      <w:r>
        <w:rPr>
          <w:rFonts w:ascii="Times New Roman" w:hAnsi="Times New Roman"/>
          <w:color w:val="auto"/>
          <w:szCs w:val="21"/>
          <w:highlight w:val="none"/>
        </w:rPr>
        <w:t>9.2</w:t>
      </w:r>
      <w:r>
        <w:rPr>
          <w:rFonts w:hint="eastAsia" w:ascii="Times New Roman" w:hAnsi="Times New Roman"/>
          <w:color w:val="auto"/>
          <w:szCs w:val="21"/>
          <w:highlight w:val="none"/>
        </w:rPr>
        <w:t>款约定采取施工安全措施，确保工程及其人员、材料、设备和设施的安全，防止因工程施工造成的人身伤害和财产损失。</w:t>
      </w:r>
    </w:p>
    <w:p w14:paraId="40950B66">
      <w:pPr>
        <w:pStyle w:val="54"/>
        <w:spacing w:line="400" w:lineRule="atLeast"/>
        <w:ind w:firstLine="409" w:firstLineChars="195"/>
        <w:rPr>
          <w:rFonts w:ascii="Times New Roman" w:hAnsi="Times New Roman" w:eastAsia="黑体"/>
          <w:color w:val="auto"/>
          <w:szCs w:val="21"/>
          <w:highlight w:val="none"/>
        </w:rPr>
      </w:pPr>
      <w:r>
        <w:rPr>
          <w:rFonts w:ascii="Times New Roman" w:hAnsi="Times New Roman"/>
          <w:color w:val="auto"/>
          <w:szCs w:val="21"/>
          <w:highlight w:val="none"/>
        </w:rPr>
        <w:t xml:space="preserve">4.1.6 </w:t>
      </w:r>
      <w:r>
        <w:rPr>
          <w:rFonts w:hint="eastAsia" w:ascii="Times New Roman" w:hAnsi="Times New Roman" w:eastAsia="黑体"/>
          <w:color w:val="auto"/>
          <w:szCs w:val="21"/>
          <w:highlight w:val="none"/>
        </w:rPr>
        <w:t>负责施工场地及其周边环境与生态的保护工作</w:t>
      </w:r>
    </w:p>
    <w:p w14:paraId="6B5EBAA2">
      <w:pPr>
        <w:pStyle w:val="54"/>
        <w:spacing w:line="400" w:lineRule="atLeast"/>
        <w:ind w:firstLine="409" w:firstLineChars="195"/>
        <w:rPr>
          <w:rFonts w:ascii="Times New Roman" w:hAnsi="Times New Roman"/>
          <w:color w:val="auto"/>
          <w:szCs w:val="21"/>
          <w:highlight w:val="none"/>
        </w:rPr>
      </w:pPr>
      <w:r>
        <w:rPr>
          <w:rFonts w:hint="eastAsia" w:ascii="Times New Roman" w:hAnsi="Times New Roman"/>
          <w:color w:val="auto"/>
          <w:szCs w:val="21"/>
          <w:highlight w:val="none"/>
        </w:rPr>
        <w:t>承包人应按照第</w:t>
      </w:r>
      <w:r>
        <w:rPr>
          <w:rFonts w:ascii="Times New Roman" w:hAnsi="Times New Roman"/>
          <w:color w:val="auto"/>
          <w:szCs w:val="21"/>
          <w:highlight w:val="none"/>
        </w:rPr>
        <w:t>9.4</w:t>
      </w:r>
      <w:r>
        <w:rPr>
          <w:rFonts w:hint="eastAsia" w:ascii="Times New Roman" w:hAnsi="Times New Roman"/>
          <w:color w:val="auto"/>
          <w:szCs w:val="21"/>
          <w:highlight w:val="none"/>
        </w:rPr>
        <w:t>款约定负责施工场地及其周边环境与生态的保护工作。</w:t>
      </w:r>
    </w:p>
    <w:p w14:paraId="0940EAEB">
      <w:pPr>
        <w:pStyle w:val="54"/>
        <w:spacing w:line="400" w:lineRule="atLeast"/>
        <w:ind w:firstLine="409" w:firstLineChars="195"/>
        <w:rPr>
          <w:rFonts w:ascii="Times New Roman" w:hAnsi="Times New Roman" w:eastAsia="黑体"/>
          <w:color w:val="auto"/>
          <w:szCs w:val="21"/>
          <w:highlight w:val="none"/>
        </w:rPr>
      </w:pPr>
      <w:r>
        <w:rPr>
          <w:rFonts w:ascii="Times New Roman" w:hAnsi="Times New Roman"/>
          <w:color w:val="auto"/>
          <w:szCs w:val="21"/>
          <w:highlight w:val="none"/>
        </w:rPr>
        <w:t xml:space="preserve">4.1.7 </w:t>
      </w:r>
      <w:r>
        <w:rPr>
          <w:rFonts w:hint="eastAsia" w:ascii="Times New Roman" w:hAnsi="Times New Roman" w:eastAsia="黑体"/>
          <w:color w:val="auto"/>
          <w:szCs w:val="21"/>
          <w:highlight w:val="none"/>
        </w:rPr>
        <w:t>避免施工对公众与他人的利益造成损害</w:t>
      </w:r>
    </w:p>
    <w:p w14:paraId="42CB01CD">
      <w:pPr>
        <w:pStyle w:val="54"/>
        <w:spacing w:line="400" w:lineRule="atLeast"/>
        <w:ind w:firstLine="409" w:firstLineChars="195"/>
        <w:rPr>
          <w:rFonts w:ascii="Times New Roman" w:hAnsi="Times New Roman"/>
          <w:color w:val="auto"/>
          <w:szCs w:val="21"/>
          <w:highlight w:val="none"/>
        </w:rPr>
      </w:pPr>
      <w:r>
        <w:rPr>
          <w:rFonts w:hint="eastAsia" w:ascii="Times New Roman" w:hAnsi="Times New Roman"/>
          <w:color w:val="auto"/>
          <w:szCs w:val="21"/>
          <w:highlight w:val="none"/>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2CAEEEBD">
      <w:pPr>
        <w:pStyle w:val="54"/>
        <w:spacing w:line="400" w:lineRule="atLeast"/>
        <w:ind w:firstLine="409" w:firstLineChars="195"/>
        <w:rPr>
          <w:rFonts w:ascii="Times New Roman" w:hAnsi="Times New Roman"/>
          <w:color w:val="auto"/>
          <w:szCs w:val="21"/>
          <w:highlight w:val="none"/>
        </w:rPr>
      </w:pPr>
      <w:r>
        <w:rPr>
          <w:rFonts w:ascii="Times New Roman" w:hAnsi="Times New Roman"/>
          <w:color w:val="auto"/>
          <w:szCs w:val="21"/>
          <w:highlight w:val="none"/>
        </w:rPr>
        <w:t xml:space="preserve">4.1.8 </w:t>
      </w:r>
      <w:r>
        <w:rPr>
          <w:rFonts w:hint="eastAsia" w:ascii="Times New Roman" w:hAnsi="Times New Roman" w:eastAsia="黑体"/>
          <w:color w:val="auto"/>
          <w:szCs w:val="21"/>
          <w:highlight w:val="none"/>
        </w:rPr>
        <w:t>为他人提供方便</w:t>
      </w:r>
    </w:p>
    <w:p w14:paraId="432A0E52">
      <w:pPr>
        <w:pStyle w:val="54"/>
        <w:spacing w:line="400" w:lineRule="atLeast"/>
        <w:ind w:firstLine="409" w:firstLineChars="195"/>
        <w:rPr>
          <w:rFonts w:ascii="Times New Roman" w:hAnsi="Times New Roman"/>
          <w:color w:val="auto"/>
          <w:szCs w:val="21"/>
          <w:highlight w:val="none"/>
        </w:rPr>
      </w:pPr>
      <w:r>
        <w:rPr>
          <w:rFonts w:hint="eastAsia" w:ascii="Times New Roman" w:hAnsi="Times New Roman"/>
          <w:color w:val="auto"/>
          <w:szCs w:val="21"/>
          <w:highlight w:val="none"/>
        </w:rPr>
        <w:t>承包人应按监理人的指示为他人在施工场地或附近实施与工程有关的其他各项工作提供可能的条件。除合同另有约定外，提供有关条件的内容和可能发生的费用，由监理人按第</w:t>
      </w:r>
      <w:r>
        <w:rPr>
          <w:rFonts w:ascii="Times New Roman" w:hAnsi="Times New Roman"/>
          <w:color w:val="auto"/>
          <w:szCs w:val="21"/>
          <w:highlight w:val="none"/>
        </w:rPr>
        <w:t>3.5</w:t>
      </w:r>
      <w:r>
        <w:rPr>
          <w:rFonts w:hint="eastAsia" w:ascii="Times New Roman" w:hAnsi="Times New Roman"/>
          <w:color w:val="auto"/>
          <w:szCs w:val="21"/>
          <w:highlight w:val="none"/>
        </w:rPr>
        <w:t>款商定或确定。</w:t>
      </w:r>
    </w:p>
    <w:p w14:paraId="77608A64">
      <w:pPr>
        <w:pStyle w:val="54"/>
        <w:spacing w:line="400" w:lineRule="atLeast"/>
        <w:ind w:firstLine="409" w:firstLineChars="195"/>
        <w:rPr>
          <w:rFonts w:ascii="Times New Roman" w:hAnsi="Times New Roman" w:eastAsia="黑体"/>
          <w:color w:val="auto"/>
          <w:szCs w:val="21"/>
          <w:highlight w:val="none"/>
        </w:rPr>
      </w:pPr>
      <w:r>
        <w:rPr>
          <w:rFonts w:ascii="Times New Roman" w:hAnsi="Times New Roman"/>
          <w:color w:val="auto"/>
          <w:szCs w:val="21"/>
          <w:highlight w:val="none"/>
        </w:rPr>
        <w:t xml:space="preserve">4.1.9 </w:t>
      </w:r>
      <w:r>
        <w:rPr>
          <w:rFonts w:hint="eastAsia" w:ascii="Times New Roman" w:hAnsi="Times New Roman" w:eastAsia="黑体"/>
          <w:color w:val="auto"/>
          <w:szCs w:val="21"/>
          <w:highlight w:val="none"/>
        </w:rPr>
        <w:t>工程的维护和照管</w:t>
      </w:r>
    </w:p>
    <w:p w14:paraId="39B43AFE">
      <w:pPr>
        <w:pStyle w:val="54"/>
        <w:spacing w:line="400" w:lineRule="atLeast"/>
        <w:ind w:firstLine="409" w:firstLineChars="195"/>
        <w:rPr>
          <w:rFonts w:ascii="Times New Roman" w:hAnsi="Times New Roman"/>
          <w:color w:val="auto"/>
          <w:szCs w:val="21"/>
          <w:highlight w:val="none"/>
        </w:rPr>
      </w:pPr>
      <w:r>
        <w:rPr>
          <w:rFonts w:hint="eastAsia" w:ascii="Times New Roman" w:hAnsi="Times New Roman"/>
          <w:color w:val="auto"/>
          <w:szCs w:val="21"/>
          <w:highlight w:val="none"/>
        </w:rPr>
        <w:t>工程接收证书颁发前，承包人应负责照管和维护工程。工程接收证书颁发时尚有部分未竣工工程的，承包人还应负责该未竣工工程的照管和维护工作，直至竣工后移交给发包人为止。</w:t>
      </w:r>
    </w:p>
    <w:p w14:paraId="501A2AB2">
      <w:pPr>
        <w:pStyle w:val="54"/>
        <w:spacing w:line="400" w:lineRule="atLeast"/>
        <w:ind w:firstLine="409" w:firstLineChars="195"/>
        <w:rPr>
          <w:rFonts w:ascii="Times New Roman" w:hAnsi="Times New Roman" w:eastAsia="黑体"/>
          <w:color w:val="auto"/>
          <w:szCs w:val="21"/>
          <w:highlight w:val="none"/>
        </w:rPr>
      </w:pPr>
      <w:r>
        <w:rPr>
          <w:rFonts w:ascii="Times New Roman" w:hAnsi="Times New Roman"/>
          <w:color w:val="auto"/>
          <w:szCs w:val="21"/>
          <w:highlight w:val="none"/>
        </w:rPr>
        <w:t xml:space="preserve">4.1.10 </w:t>
      </w:r>
      <w:r>
        <w:rPr>
          <w:rFonts w:hint="eastAsia" w:ascii="Times New Roman" w:hAnsi="Times New Roman" w:eastAsia="黑体"/>
          <w:color w:val="auto"/>
          <w:szCs w:val="21"/>
          <w:highlight w:val="none"/>
        </w:rPr>
        <w:t>其他义务</w:t>
      </w:r>
    </w:p>
    <w:p w14:paraId="1A60ECF5">
      <w:pPr>
        <w:pStyle w:val="54"/>
        <w:spacing w:line="400" w:lineRule="atLeast"/>
        <w:ind w:firstLine="409" w:firstLineChars="195"/>
        <w:rPr>
          <w:rFonts w:ascii="Times New Roman" w:hAnsi="Times New Roman"/>
          <w:color w:val="auto"/>
          <w:szCs w:val="21"/>
          <w:highlight w:val="none"/>
        </w:rPr>
      </w:pPr>
      <w:r>
        <w:rPr>
          <w:rFonts w:hint="eastAsia" w:ascii="Times New Roman" w:hAnsi="Times New Roman"/>
          <w:color w:val="auto"/>
          <w:szCs w:val="21"/>
          <w:highlight w:val="none"/>
        </w:rPr>
        <w:t>承包人应履行合同约定的其他义务。</w:t>
      </w:r>
    </w:p>
    <w:p w14:paraId="40FCC9C4">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4.2 </w:t>
      </w:r>
      <w:r>
        <w:rPr>
          <w:rFonts w:hint="eastAsia" w:ascii="Times New Roman" w:hAnsi="Times New Roman" w:eastAsia="黑体"/>
          <w:bCs/>
          <w:color w:val="auto"/>
          <w:kern w:val="44"/>
          <w:szCs w:val="21"/>
          <w:highlight w:val="none"/>
          <w:lang w:val="zh-CN"/>
        </w:rPr>
        <w:t>履约担保</w:t>
      </w:r>
    </w:p>
    <w:p w14:paraId="46869ABD">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承包人应保证其履约担保在发包人颁发工程接收证书前一直有效。发包人应在工程接收证书颁发后</w:t>
      </w:r>
      <w:r>
        <w:rPr>
          <w:rFonts w:ascii="Times New Roman" w:hAnsi="Times New Roman"/>
          <w:color w:val="auto"/>
          <w:szCs w:val="21"/>
          <w:highlight w:val="none"/>
        </w:rPr>
        <w:t>28</w:t>
      </w:r>
      <w:r>
        <w:rPr>
          <w:rFonts w:hint="eastAsia" w:ascii="Times New Roman" w:hAnsi="Times New Roman"/>
          <w:color w:val="auto"/>
          <w:szCs w:val="21"/>
          <w:highlight w:val="none"/>
        </w:rPr>
        <w:t>天内把履约担保退还给承包人。</w:t>
      </w:r>
    </w:p>
    <w:p w14:paraId="0EFC1C21">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4.3 </w:t>
      </w:r>
      <w:r>
        <w:rPr>
          <w:rFonts w:hint="eastAsia" w:ascii="Times New Roman" w:hAnsi="Times New Roman" w:eastAsia="黑体"/>
          <w:bCs/>
          <w:color w:val="auto"/>
          <w:kern w:val="44"/>
          <w:szCs w:val="21"/>
          <w:highlight w:val="none"/>
          <w:lang w:val="zh-CN"/>
        </w:rPr>
        <w:t>分包</w:t>
      </w:r>
    </w:p>
    <w:p w14:paraId="0916616D">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4.3.1 </w:t>
      </w:r>
      <w:r>
        <w:rPr>
          <w:rFonts w:hint="eastAsia" w:ascii="Times New Roman" w:hAnsi="Times New Roman"/>
          <w:color w:val="auto"/>
          <w:szCs w:val="21"/>
          <w:highlight w:val="none"/>
        </w:rPr>
        <w:t>承包人不得将其承包的全部工程转包给第三人，或将其承包的全部工程肢解后以分包的名义转包给第三人。</w:t>
      </w:r>
    </w:p>
    <w:p w14:paraId="516B6D62">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4.3.2 </w:t>
      </w:r>
      <w:r>
        <w:rPr>
          <w:rFonts w:hint="eastAsia" w:ascii="Times New Roman" w:hAnsi="Times New Roman"/>
          <w:color w:val="auto"/>
          <w:szCs w:val="21"/>
          <w:highlight w:val="none"/>
        </w:rPr>
        <w:t>承包人不得将工程主体、关键性工作分包给第三人。除专用合同条款另有约定外，未经发包人同意，承包人不得将工程的其他部分或工作分包给第三人。</w:t>
      </w:r>
    </w:p>
    <w:p w14:paraId="546B3C9A">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4.3.3</w:t>
      </w:r>
      <w:r>
        <w:rPr>
          <w:rFonts w:hint="eastAsia" w:ascii="Times New Roman" w:hAnsi="Times New Roman"/>
          <w:color w:val="auto"/>
          <w:szCs w:val="21"/>
          <w:highlight w:val="none"/>
        </w:rPr>
        <w:t>分包人的资格能力应与其分包工程的标准和规模相适应。</w:t>
      </w:r>
    </w:p>
    <w:p w14:paraId="0A6DEEB1">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4.3.4</w:t>
      </w:r>
      <w:r>
        <w:rPr>
          <w:rFonts w:hint="eastAsia" w:ascii="Times New Roman" w:hAnsi="Times New Roman"/>
          <w:color w:val="auto"/>
          <w:szCs w:val="21"/>
          <w:highlight w:val="none"/>
        </w:rPr>
        <w:t>按投标函附录约定分包工程的，承包人应向发包人和监理人提交分包合同副本。</w:t>
      </w:r>
    </w:p>
    <w:p w14:paraId="5B0C88AB">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4.3.5</w:t>
      </w:r>
      <w:r>
        <w:rPr>
          <w:rFonts w:hint="eastAsia" w:ascii="Times New Roman" w:hAnsi="Times New Roman"/>
          <w:color w:val="auto"/>
          <w:szCs w:val="21"/>
          <w:highlight w:val="none"/>
        </w:rPr>
        <w:t>承包人应与分包人就分包工程向发包人承担连带责任。</w:t>
      </w:r>
    </w:p>
    <w:p w14:paraId="0F7F73CB">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4.4</w:t>
      </w:r>
      <w:r>
        <w:rPr>
          <w:rFonts w:ascii="Times New Roman" w:hAnsi="Times New Roman" w:eastAsia="黑体"/>
          <w:bCs/>
          <w:color w:val="auto"/>
          <w:kern w:val="44"/>
          <w:szCs w:val="21"/>
          <w:highlight w:val="none"/>
          <w:lang w:val="zh-CN"/>
        </w:rPr>
        <w:tab/>
      </w:r>
      <w:r>
        <w:rPr>
          <w:rFonts w:hint="eastAsia" w:ascii="Times New Roman" w:hAnsi="Times New Roman" w:eastAsia="黑体"/>
          <w:bCs/>
          <w:color w:val="auto"/>
          <w:kern w:val="44"/>
          <w:szCs w:val="21"/>
          <w:highlight w:val="none"/>
          <w:lang w:val="zh-CN"/>
        </w:rPr>
        <w:t>联合体（本项目不适用）</w:t>
      </w:r>
    </w:p>
    <w:p w14:paraId="0E23A5E0">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4.5 </w:t>
      </w:r>
      <w:r>
        <w:rPr>
          <w:rFonts w:hint="eastAsia" w:ascii="Times New Roman" w:hAnsi="Times New Roman" w:eastAsia="黑体"/>
          <w:bCs/>
          <w:color w:val="auto"/>
          <w:kern w:val="44"/>
          <w:szCs w:val="21"/>
          <w:highlight w:val="none"/>
          <w:lang w:val="zh-CN"/>
        </w:rPr>
        <w:t>承包人项目经理</w:t>
      </w:r>
    </w:p>
    <w:p w14:paraId="0671FA55">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4.5.1</w:t>
      </w:r>
      <w:r>
        <w:rPr>
          <w:rFonts w:hint="eastAsia" w:ascii="Times New Roman" w:hAnsi="Times New Roman"/>
          <w:color w:val="auto"/>
          <w:szCs w:val="21"/>
          <w:highlight w:val="none"/>
        </w:rPr>
        <w:t>承包人应按合同约定指派项目经理，并在约定的期限内到职。承包人更换项目经理应事先征得发包人同意，并应在更换</w:t>
      </w:r>
      <w:r>
        <w:rPr>
          <w:rFonts w:ascii="Times New Roman" w:hAnsi="Times New Roman"/>
          <w:color w:val="auto"/>
          <w:szCs w:val="21"/>
          <w:highlight w:val="none"/>
        </w:rPr>
        <w:t>14</w:t>
      </w:r>
      <w:r>
        <w:rPr>
          <w:rFonts w:hint="eastAsia" w:ascii="Times New Roman" w:hAnsi="Times New Roman"/>
          <w:color w:val="auto"/>
          <w:szCs w:val="21"/>
          <w:highlight w:val="none"/>
        </w:rPr>
        <w:t>天前通知发包人和监理人。承包人项目经理短期离开施工场地，应事先征得监理人同意，并委派代表代行其职责。</w:t>
      </w:r>
    </w:p>
    <w:p w14:paraId="34A28B17">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4.5.2 </w:t>
      </w:r>
      <w:r>
        <w:rPr>
          <w:rFonts w:hint="eastAsia" w:ascii="Times New Roman" w:hAnsi="Times New Roman"/>
          <w:color w:val="auto"/>
          <w:szCs w:val="21"/>
          <w:highlight w:val="none"/>
        </w:rPr>
        <w:t>承包人项目经理应按合同约定以及监理人按第</w:t>
      </w:r>
      <w:r>
        <w:rPr>
          <w:rFonts w:ascii="Times New Roman" w:hAnsi="Times New Roman"/>
          <w:color w:val="auto"/>
          <w:szCs w:val="21"/>
          <w:highlight w:val="none"/>
        </w:rPr>
        <w:t>3.4</w:t>
      </w:r>
      <w:r>
        <w:rPr>
          <w:rFonts w:hint="eastAsia" w:ascii="Times New Roman" w:hAnsi="Times New Roman"/>
          <w:color w:val="auto"/>
          <w:szCs w:val="21"/>
          <w:highlight w:val="none"/>
        </w:rPr>
        <w:t>款作出的指示，负责组织合同工程的实施。在情况紧急且无法与监理人取得联系时，可采取保证工程和人员生命财产安全的紧急措施，并在采取措施后</w:t>
      </w:r>
      <w:r>
        <w:rPr>
          <w:rFonts w:ascii="Times New Roman" w:hAnsi="Times New Roman"/>
          <w:color w:val="auto"/>
          <w:szCs w:val="21"/>
          <w:highlight w:val="none"/>
        </w:rPr>
        <w:t>24</w:t>
      </w:r>
      <w:r>
        <w:rPr>
          <w:rFonts w:hint="eastAsia" w:ascii="Times New Roman" w:hAnsi="Times New Roman"/>
          <w:color w:val="auto"/>
          <w:szCs w:val="21"/>
          <w:highlight w:val="none"/>
        </w:rPr>
        <w:t>小时内向监理人提交书面报告。</w:t>
      </w:r>
    </w:p>
    <w:p w14:paraId="1B9D54E5">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4.5.3</w:t>
      </w:r>
      <w:r>
        <w:rPr>
          <w:rFonts w:hint="eastAsia" w:ascii="Times New Roman" w:hAnsi="Times New Roman"/>
          <w:color w:val="auto"/>
          <w:szCs w:val="21"/>
          <w:highlight w:val="none"/>
        </w:rPr>
        <w:t>承包人为履行合同发出的一切函件均应盖有承包人授权的施工场地管理机构章，并由承包人项目经理或其授权代表签字。</w:t>
      </w:r>
    </w:p>
    <w:p w14:paraId="57160D11">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4.5.4 </w:t>
      </w:r>
      <w:r>
        <w:rPr>
          <w:rFonts w:hint="eastAsia" w:ascii="Times New Roman" w:hAnsi="Times New Roman"/>
          <w:color w:val="auto"/>
          <w:szCs w:val="21"/>
          <w:highlight w:val="none"/>
        </w:rPr>
        <w:t>承包人项目经理可以授权其下属人员履行其某项职责，但事先应将这些人员的姓名和授权范围通知监理人。</w:t>
      </w:r>
    </w:p>
    <w:p w14:paraId="49F86FE9">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4.6 </w:t>
      </w:r>
      <w:r>
        <w:rPr>
          <w:rFonts w:hint="eastAsia" w:ascii="Times New Roman" w:hAnsi="Times New Roman" w:eastAsia="黑体"/>
          <w:bCs/>
          <w:color w:val="auto"/>
          <w:kern w:val="44"/>
          <w:szCs w:val="21"/>
          <w:highlight w:val="none"/>
          <w:lang w:val="zh-CN"/>
        </w:rPr>
        <w:t>承包人人员的管理</w:t>
      </w:r>
    </w:p>
    <w:p w14:paraId="0CD921B1">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4.6.1 </w:t>
      </w:r>
      <w:r>
        <w:rPr>
          <w:rFonts w:hint="eastAsia" w:ascii="Times New Roman" w:hAnsi="Times New Roman"/>
          <w:color w:val="auto"/>
          <w:szCs w:val="21"/>
          <w:highlight w:val="none"/>
        </w:rPr>
        <w:t>承包人应在接到开工通知后</w:t>
      </w:r>
      <w:r>
        <w:rPr>
          <w:rFonts w:ascii="Times New Roman" w:hAnsi="Times New Roman"/>
          <w:color w:val="auto"/>
          <w:szCs w:val="21"/>
          <w:highlight w:val="none"/>
        </w:rPr>
        <w:t>28</w:t>
      </w:r>
      <w:r>
        <w:rPr>
          <w:rFonts w:hint="eastAsia" w:ascii="Times New Roman" w:hAnsi="Times New Roman"/>
          <w:color w:val="auto"/>
          <w:szCs w:val="21"/>
          <w:highlight w:val="none"/>
        </w:rPr>
        <w:t>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62DED04A">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4.6.2 </w:t>
      </w:r>
      <w:r>
        <w:rPr>
          <w:rFonts w:hint="eastAsia" w:ascii="Times New Roman" w:hAnsi="Times New Roman"/>
          <w:color w:val="auto"/>
          <w:szCs w:val="21"/>
          <w:highlight w:val="none"/>
        </w:rPr>
        <w:t>为完成合同约定的各项工作，承包人应向施工场地派遣或雇佣足够数量的下列人员：</w:t>
      </w:r>
    </w:p>
    <w:p w14:paraId="2F7C8844">
      <w:pPr>
        <w:pStyle w:val="54"/>
        <w:spacing w:line="400" w:lineRule="atLeast"/>
        <w:ind w:firstLine="630" w:firstLineChars="3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1</w:t>
      </w:r>
      <w:r>
        <w:rPr>
          <w:rFonts w:hint="eastAsia" w:ascii="Times New Roman" w:hAnsi="Times New Roman"/>
          <w:color w:val="auto"/>
          <w:szCs w:val="21"/>
          <w:highlight w:val="none"/>
        </w:rPr>
        <w:t>）具有相应资格的专业技工和合格的普工；</w:t>
      </w:r>
    </w:p>
    <w:p w14:paraId="5B232B2B">
      <w:pPr>
        <w:pStyle w:val="54"/>
        <w:spacing w:line="400" w:lineRule="atLeast"/>
        <w:ind w:firstLine="630" w:firstLineChars="3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2</w:t>
      </w:r>
      <w:r>
        <w:rPr>
          <w:rFonts w:hint="eastAsia" w:ascii="Times New Roman" w:hAnsi="Times New Roman"/>
          <w:color w:val="auto"/>
          <w:szCs w:val="21"/>
          <w:highlight w:val="none"/>
        </w:rPr>
        <w:t>）具有相应施工经验的技术人员；</w:t>
      </w:r>
    </w:p>
    <w:p w14:paraId="02C2DFB7">
      <w:pPr>
        <w:pStyle w:val="54"/>
        <w:spacing w:line="400" w:lineRule="atLeast"/>
        <w:ind w:firstLine="630" w:firstLineChars="3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3</w:t>
      </w:r>
      <w:r>
        <w:rPr>
          <w:rFonts w:hint="eastAsia" w:ascii="Times New Roman" w:hAnsi="Times New Roman"/>
          <w:color w:val="auto"/>
          <w:szCs w:val="21"/>
          <w:highlight w:val="none"/>
        </w:rPr>
        <w:t>）具有相应岗位资格的各级管理人员。</w:t>
      </w:r>
    </w:p>
    <w:p w14:paraId="7562AD59">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4.6.3 </w:t>
      </w:r>
      <w:r>
        <w:rPr>
          <w:rFonts w:hint="eastAsia" w:ascii="Times New Roman" w:hAnsi="Times New Roman"/>
          <w:color w:val="auto"/>
          <w:szCs w:val="21"/>
          <w:highlight w:val="none"/>
        </w:rPr>
        <w:t>承包人安排在施工场地的主要管理人员和技术骨干应相对稳定。承包人更换主要管理人员和技术骨干时，应取得监理人的同意。</w:t>
      </w:r>
    </w:p>
    <w:p w14:paraId="3E03854A">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4.6.4 </w:t>
      </w:r>
      <w:r>
        <w:rPr>
          <w:rFonts w:hint="eastAsia" w:ascii="Times New Roman" w:hAnsi="Times New Roman"/>
          <w:color w:val="auto"/>
          <w:szCs w:val="21"/>
          <w:highlight w:val="none"/>
        </w:rPr>
        <w:t>特殊岗位的工作人员均应持有相应的资格证明，监理人有权随时检查。监理人认为有必要时，可进行现场考核。</w:t>
      </w:r>
    </w:p>
    <w:p w14:paraId="796F4A35">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4.7 </w:t>
      </w:r>
      <w:r>
        <w:rPr>
          <w:rFonts w:hint="eastAsia" w:ascii="Times New Roman" w:hAnsi="Times New Roman" w:eastAsia="黑体"/>
          <w:bCs/>
          <w:color w:val="auto"/>
          <w:kern w:val="44"/>
          <w:szCs w:val="21"/>
          <w:highlight w:val="none"/>
          <w:lang w:val="zh-CN"/>
        </w:rPr>
        <w:t>撤换承包人项目经理和其他人员</w:t>
      </w:r>
    </w:p>
    <w:p w14:paraId="11B33BE4">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承包人应对其项目经理和其他人员进行有效管理。监理人要求撤换不能胜任本职工作、行为不端或玩忽职守的承包人项目经理和其他人员的，承包人应予以撤换。</w:t>
      </w:r>
    </w:p>
    <w:p w14:paraId="06A59FFB">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4.8 </w:t>
      </w:r>
      <w:r>
        <w:rPr>
          <w:rFonts w:hint="eastAsia" w:ascii="Times New Roman" w:hAnsi="Times New Roman" w:eastAsia="黑体"/>
          <w:bCs/>
          <w:color w:val="auto"/>
          <w:kern w:val="44"/>
          <w:szCs w:val="21"/>
          <w:highlight w:val="none"/>
          <w:lang w:val="zh-CN"/>
        </w:rPr>
        <w:t>保障承包人人员的合法权益</w:t>
      </w:r>
    </w:p>
    <w:p w14:paraId="79803113">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4.8.1 </w:t>
      </w:r>
      <w:r>
        <w:rPr>
          <w:rFonts w:hint="eastAsia" w:ascii="Times New Roman" w:hAnsi="Times New Roman"/>
          <w:color w:val="auto"/>
          <w:szCs w:val="21"/>
          <w:highlight w:val="none"/>
        </w:rPr>
        <w:t>承包人应与其雇佣的人员签订劳动合同，并按时发放工资。</w:t>
      </w:r>
    </w:p>
    <w:p w14:paraId="10DBDBC2">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4.8.2 </w:t>
      </w:r>
      <w:r>
        <w:rPr>
          <w:rFonts w:hint="eastAsia" w:ascii="Times New Roman" w:hAnsi="Times New Roman"/>
          <w:color w:val="auto"/>
          <w:szCs w:val="21"/>
          <w:highlight w:val="none"/>
        </w:rPr>
        <w:t>承包人应按劳动法的规定安排工作时间，保证其雇佣人员享有休息和休假的权利。因工程施工的特殊需要占用休假日或延长工作时间的，应不超过法律规定的限度，并按法律规定给予补休或付酬。</w:t>
      </w:r>
    </w:p>
    <w:p w14:paraId="13DB158D">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4.8.3 </w:t>
      </w:r>
      <w:r>
        <w:rPr>
          <w:rFonts w:hint="eastAsia" w:ascii="Times New Roman" w:hAnsi="Times New Roman"/>
          <w:color w:val="auto"/>
          <w:szCs w:val="21"/>
          <w:highlight w:val="none"/>
        </w:rPr>
        <w:t>承包人应为其雇佣人员提供必要的食宿条件，以及符合环境保护和卫生要求的生活环境，在远离城镇的施工场地，还应配备必要的伤病防治和急救的医务人员与医疗设施。</w:t>
      </w:r>
    </w:p>
    <w:p w14:paraId="3E2B33A8">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4.8.4 </w:t>
      </w:r>
      <w:r>
        <w:rPr>
          <w:rFonts w:hint="eastAsia" w:ascii="Times New Roman" w:hAnsi="Times New Roman"/>
          <w:color w:val="auto"/>
          <w:szCs w:val="21"/>
          <w:highlight w:val="none"/>
        </w:rPr>
        <w:t>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0E459E0D">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4.8.5 </w:t>
      </w:r>
      <w:r>
        <w:rPr>
          <w:rFonts w:hint="eastAsia" w:ascii="Times New Roman" w:hAnsi="Times New Roman"/>
          <w:color w:val="auto"/>
          <w:szCs w:val="21"/>
          <w:highlight w:val="none"/>
        </w:rPr>
        <w:t>承包人应按有关法律规定和合同约定，为其雇佣人员办理保险。</w:t>
      </w:r>
    </w:p>
    <w:p w14:paraId="544B4E23">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4.8.6 </w:t>
      </w:r>
      <w:r>
        <w:rPr>
          <w:rFonts w:hint="eastAsia" w:ascii="Times New Roman" w:hAnsi="Times New Roman"/>
          <w:color w:val="auto"/>
          <w:szCs w:val="21"/>
          <w:highlight w:val="none"/>
        </w:rPr>
        <w:t>承包人应负责处理其雇佣人员因工伤亡事故的善后事宜。</w:t>
      </w:r>
    </w:p>
    <w:p w14:paraId="4C829D0B">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4.9 </w:t>
      </w:r>
      <w:r>
        <w:rPr>
          <w:rFonts w:hint="eastAsia" w:ascii="Times New Roman" w:hAnsi="Times New Roman" w:eastAsia="黑体"/>
          <w:bCs/>
          <w:color w:val="auto"/>
          <w:kern w:val="44"/>
          <w:szCs w:val="21"/>
          <w:highlight w:val="none"/>
          <w:lang w:val="zh-CN"/>
        </w:rPr>
        <w:t>工程价款应专款专用</w:t>
      </w:r>
    </w:p>
    <w:p w14:paraId="1C06A33C">
      <w:pPr>
        <w:pStyle w:val="54"/>
        <w:spacing w:line="400" w:lineRule="atLeast"/>
        <w:rPr>
          <w:rFonts w:ascii="Times New Roman" w:hAnsi="Times New Roman"/>
          <w:color w:val="auto"/>
          <w:szCs w:val="21"/>
          <w:highlight w:val="none"/>
        </w:rPr>
      </w:pPr>
      <w:r>
        <w:rPr>
          <w:rFonts w:ascii="Times New Roman" w:hAnsi="Times New Roman"/>
          <w:color w:val="auto"/>
          <w:szCs w:val="21"/>
          <w:highlight w:val="none"/>
        </w:rPr>
        <w:t xml:space="preserve">   </w:t>
      </w:r>
      <w:r>
        <w:rPr>
          <w:rFonts w:hint="eastAsia" w:ascii="Times New Roman" w:hAnsi="Times New Roman"/>
          <w:color w:val="auto"/>
          <w:szCs w:val="21"/>
          <w:highlight w:val="none"/>
        </w:rPr>
        <w:t>发包人按合同约定支付给承包人的各项价款应专用于合同工程。</w:t>
      </w:r>
    </w:p>
    <w:p w14:paraId="7308A066">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4.10 </w:t>
      </w:r>
      <w:r>
        <w:rPr>
          <w:rFonts w:hint="eastAsia" w:ascii="Times New Roman" w:hAnsi="Times New Roman" w:eastAsia="黑体"/>
          <w:bCs/>
          <w:color w:val="auto"/>
          <w:kern w:val="44"/>
          <w:szCs w:val="21"/>
          <w:highlight w:val="none"/>
          <w:lang w:val="zh-CN"/>
        </w:rPr>
        <w:t>承包人现场查勘</w:t>
      </w:r>
      <w:r>
        <w:rPr>
          <w:rFonts w:ascii="Times New Roman" w:hAnsi="Times New Roman" w:eastAsia="黑体"/>
          <w:bCs/>
          <w:color w:val="auto"/>
          <w:kern w:val="44"/>
          <w:szCs w:val="21"/>
          <w:highlight w:val="none"/>
          <w:lang w:val="zh-CN"/>
        </w:rPr>
        <w:t xml:space="preserve">    </w:t>
      </w:r>
    </w:p>
    <w:p w14:paraId="61C347D6">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4.10.1 </w:t>
      </w:r>
      <w:r>
        <w:rPr>
          <w:rFonts w:hint="eastAsia" w:ascii="Times New Roman" w:hAnsi="Times New Roman"/>
          <w:color w:val="auto"/>
          <w:szCs w:val="21"/>
          <w:highlight w:val="none"/>
        </w:rPr>
        <w:t>发包人应将其持有的现场地质勘探资料、水文气象资料提供给承包人，并对其准确性负责。但承包人应对其阅读上述有关资料后所作出的解释和推断负责。</w:t>
      </w:r>
    </w:p>
    <w:p w14:paraId="2FABA22C">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4.10.2 </w:t>
      </w:r>
      <w:r>
        <w:rPr>
          <w:rFonts w:hint="eastAsia" w:ascii="Times New Roman" w:hAnsi="Times New Roman"/>
          <w:color w:val="auto"/>
          <w:szCs w:val="21"/>
          <w:highlight w:val="none"/>
        </w:rPr>
        <w:t>承包人应对施工场地和周围环境进行查勘，并收集有关地质、水文、气象条件、交通条件、风俗习惯以及其他为完成合同工作有关的当地资料。在全部合同工作中，应视为承包人已充分估计了应承担的责任和风险。</w:t>
      </w:r>
    </w:p>
    <w:p w14:paraId="092EDF09">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4.11 </w:t>
      </w:r>
      <w:r>
        <w:rPr>
          <w:rFonts w:hint="eastAsia" w:ascii="Times New Roman" w:hAnsi="Times New Roman" w:eastAsia="黑体"/>
          <w:bCs/>
          <w:color w:val="auto"/>
          <w:kern w:val="44"/>
          <w:szCs w:val="21"/>
          <w:highlight w:val="none"/>
          <w:lang w:val="zh-CN"/>
        </w:rPr>
        <w:t>不利物质条件</w:t>
      </w:r>
    </w:p>
    <w:p w14:paraId="0C76B724">
      <w:pPr>
        <w:pStyle w:val="54"/>
        <w:spacing w:line="400" w:lineRule="atLeast"/>
        <w:ind w:firstLine="420"/>
        <w:rPr>
          <w:rFonts w:ascii="Times New Roman" w:hAnsi="Times New Roman"/>
          <w:color w:val="auto"/>
          <w:szCs w:val="21"/>
          <w:highlight w:val="none"/>
        </w:rPr>
      </w:pPr>
      <w:r>
        <w:rPr>
          <w:rFonts w:ascii="Times New Roman" w:hAnsi="Times New Roman"/>
          <w:color w:val="auto"/>
          <w:szCs w:val="21"/>
          <w:highlight w:val="none"/>
        </w:rPr>
        <w:t>4.11.1</w:t>
      </w:r>
      <w:r>
        <w:rPr>
          <w:rFonts w:hint="eastAsia" w:ascii="Times New Roman" w:hAnsi="Times New Roman"/>
          <w:color w:val="auto"/>
          <w:szCs w:val="21"/>
          <w:highlight w:val="none"/>
        </w:rPr>
        <w:t>不利物质条件，除专用合同条款另有约定外，是指承包人在施工场地遇到的不可预见的自然物质条件、非自然的物质障碍和污染物，包括地下和水文条件，但不包括气候条件。</w:t>
      </w:r>
    </w:p>
    <w:p w14:paraId="16D159FA">
      <w:pPr>
        <w:pStyle w:val="54"/>
        <w:spacing w:line="400" w:lineRule="atLeast"/>
        <w:ind w:firstLine="420"/>
        <w:rPr>
          <w:rFonts w:ascii="Times New Roman" w:hAnsi="Times New Roman"/>
          <w:iCs/>
          <w:color w:val="auto"/>
          <w:szCs w:val="21"/>
          <w:highlight w:val="none"/>
        </w:rPr>
      </w:pPr>
      <w:r>
        <w:rPr>
          <w:rFonts w:ascii="Times New Roman" w:hAnsi="Times New Roman"/>
          <w:iCs/>
          <w:color w:val="auto"/>
          <w:szCs w:val="21"/>
          <w:highlight w:val="none"/>
        </w:rPr>
        <w:t>4.11.2</w:t>
      </w:r>
      <w:r>
        <w:rPr>
          <w:rFonts w:hint="eastAsia" w:ascii="Times New Roman" w:hAnsi="Times New Roman"/>
          <w:iCs/>
          <w:color w:val="auto"/>
          <w:szCs w:val="21"/>
          <w:highlight w:val="none"/>
        </w:rPr>
        <w:t>承包人遇到不利物质条件时，应采取适应不利物质条件的合理措施继续施工，并及时通知监理人。监理人应当及时发出指示，指示构成变更的，按第</w:t>
      </w:r>
      <w:r>
        <w:rPr>
          <w:rFonts w:ascii="Times New Roman" w:hAnsi="Times New Roman"/>
          <w:iCs/>
          <w:color w:val="auto"/>
          <w:szCs w:val="21"/>
          <w:highlight w:val="none"/>
        </w:rPr>
        <w:t>15</w:t>
      </w:r>
      <w:r>
        <w:rPr>
          <w:rFonts w:hint="eastAsia" w:ascii="Times New Roman" w:hAnsi="Times New Roman"/>
          <w:iCs/>
          <w:color w:val="auto"/>
          <w:szCs w:val="21"/>
          <w:highlight w:val="none"/>
        </w:rPr>
        <w:t>条约定办理。监理人没有发出指示的，承包人因采取合理措施而增加的费用和（或）工期延误，由发包人承担。</w:t>
      </w:r>
    </w:p>
    <w:p w14:paraId="3F2C50A4">
      <w:pPr>
        <w:pStyle w:val="54"/>
        <w:keepNext/>
        <w:keepLines/>
        <w:spacing w:before="480" w:after="240" w:line="380" w:lineRule="atLeast"/>
        <w:outlineLvl w:val="2"/>
        <w:rPr>
          <w:rFonts w:ascii="Times New Roman" w:hAnsi="Times New Roman" w:eastAsia="黑体"/>
          <w:bCs/>
          <w:color w:val="auto"/>
          <w:kern w:val="44"/>
          <w:szCs w:val="21"/>
          <w:highlight w:val="none"/>
          <w:lang w:val="zh-CN"/>
        </w:rPr>
      </w:pPr>
      <w:bookmarkStart w:id="111" w:name="_Toc6224"/>
      <w:r>
        <w:rPr>
          <w:rFonts w:ascii="Times New Roman" w:hAnsi="Times New Roman" w:eastAsia="黑体"/>
          <w:bCs/>
          <w:color w:val="auto"/>
          <w:kern w:val="44"/>
          <w:szCs w:val="21"/>
          <w:highlight w:val="none"/>
          <w:lang w:val="zh-CN"/>
        </w:rPr>
        <w:t xml:space="preserve">5. </w:t>
      </w:r>
      <w:r>
        <w:rPr>
          <w:rFonts w:hint="eastAsia" w:ascii="Times New Roman" w:hAnsi="Times New Roman" w:eastAsia="黑体"/>
          <w:bCs/>
          <w:color w:val="auto"/>
          <w:kern w:val="44"/>
          <w:szCs w:val="21"/>
          <w:highlight w:val="none"/>
          <w:lang w:val="zh-CN"/>
        </w:rPr>
        <w:t>材料和工程设备</w:t>
      </w:r>
      <w:bookmarkEnd w:id="111"/>
    </w:p>
    <w:p w14:paraId="6522F14C">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5.1 </w:t>
      </w:r>
      <w:r>
        <w:rPr>
          <w:rFonts w:hint="eastAsia" w:ascii="Times New Roman" w:hAnsi="Times New Roman" w:eastAsia="黑体"/>
          <w:bCs/>
          <w:color w:val="auto"/>
          <w:kern w:val="44"/>
          <w:szCs w:val="21"/>
          <w:highlight w:val="none"/>
          <w:lang w:val="zh-CN"/>
        </w:rPr>
        <w:t>承包人提供的材料和工程设备</w:t>
      </w:r>
    </w:p>
    <w:p w14:paraId="7AB0FB34">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5.1.1 </w:t>
      </w:r>
      <w:r>
        <w:rPr>
          <w:rFonts w:hint="eastAsia" w:ascii="Times New Roman" w:hAnsi="Times New Roman"/>
          <w:color w:val="auto"/>
          <w:szCs w:val="21"/>
          <w:highlight w:val="none"/>
        </w:rPr>
        <w:t>除专用合同条款另有约定外，承包人提供的材料和工程设备均由承包人负责采购、运输和保管。承包人应对其采购的材料和工程设备负责。</w:t>
      </w:r>
    </w:p>
    <w:p w14:paraId="1DF5B8DC">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5.1.2 </w:t>
      </w:r>
      <w:r>
        <w:rPr>
          <w:rFonts w:hint="eastAsia" w:ascii="Times New Roman" w:hAnsi="Times New Roman"/>
          <w:color w:val="auto"/>
          <w:szCs w:val="21"/>
          <w:highlight w:val="none"/>
        </w:rPr>
        <w:t>承包人应按专用合同条款的约定，将各项材料和工程设备的供货人及品种、规格、数量和供货时间等报送监理人审批。承包人应向监理</w:t>
      </w:r>
      <w:r>
        <w:rPr>
          <w:rFonts w:hint="eastAsia" w:ascii="Times New Roman" w:hAnsi="Times New Roman"/>
          <w:iCs/>
          <w:color w:val="auto"/>
          <w:szCs w:val="21"/>
          <w:highlight w:val="none"/>
        </w:rPr>
        <w:t>人</w:t>
      </w:r>
      <w:r>
        <w:rPr>
          <w:rFonts w:hint="eastAsia" w:ascii="Times New Roman" w:hAnsi="Times New Roman"/>
          <w:color w:val="auto"/>
          <w:szCs w:val="21"/>
          <w:highlight w:val="none"/>
        </w:rPr>
        <w:t>提交其负责提供的材料和工程设备的质量证明文件，并满足合同约定的质量标准。</w:t>
      </w:r>
    </w:p>
    <w:p w14:paraId="2D49408B">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5.1.3</w:t>
      </w:r>
      <w:r>
        <w:rPr>
          <w:rFonts w:hint="eastAsia" w:ascii="Times New Roman" w:hAnsi="Times New Roman"/>
          <w:color w:val="auto"/>
          <w:szCs w:val="21"/>
          <w:highlight w:val="none"/>
        </w:rPr>
        <w:t>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14:paraId="1114C947">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5.2 </w:t>
      </w:r>
      <w:r>
        <w:rPr>
          <w:rFonts w:hint="eastAsia" w:ascii="Times New Roman" w:hAnsi="Times New Roman" w:eastAsia="黑体"/>
          <w:bCs/>
          <w:color w:val="auto"/>
          <w:kern w:val="44"/>
          <w:szCs w:val="21"/>
          <w:highlight w:val="none"/>
          <w:lang w:val="zh-CN"/>
        </w:rPr>
        <w:t>发包人提供的材料和工程设备（本项目发包人不提供的材料和工程设备）</w:t>
      </w:r>
    </w:p>
    <w:p w14:paraId="0F2845AF">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5.3 </w:t>
      </w:r>
      <w:r>
        <w:rPr>
          <w:rFonts w:hint="eastAsia" w:ascii="Times New Roman" w:hAnsi="Times New Roman" w:eastAsia="黑体"/>
          <w:bCs/>
          <w:color w:val="auto"/>
          <w:kern w:val="44"/>
          <w:szCs w:val="21"/>
          <w:highlight w:val="none"/>
          <w:lang w:val="zh-CN"/>
        </w:rPr>
        <w:t>材料和工程设备专用于合同工程</w:t>
      </w:r>
    </w:p>
    <w:p w14:paraId="2BA2E94C">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5.3.1</w:t>
      </w:r>
      <w:r>
        <w:rPr>
          <w:rFonts w:hint="eastAsia" w:ascii="Times New Roman" w:hAnsi="Times New Roman"/>
          <w:color w:val="auto"/>
          <w:szCs w:val="21"/>
          <w:highlight w:val="none"/>
        </w:rPr>
        <w:t>运入施工场地的材料、工程设备，包括备品备件、安装专用工器具与随机资料，必须专用于合同工程，未经监理人同意，承包人不得运出施工场地或挪作他用。</w:t>
      </w:r>
    </w:p>
    <w:p w14:paraId="4C130E8B">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5.3.2 </w:t>
      </w:r>
      <w:r>
        <w:rPr>
          <w:rFonts w:hint="eastAsia" w:ascii="Times New Roman" w:hAnsi="Times New Roman"/>
          <w:color w:val="auto"/>
          <w:szCs w:val="21"/>
          <w:highlight w:val="none"/>
        </w:rPr>
        <w:t>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6F286177">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5.4 </w:t>
      </w:r>
      <w:r>
        <w:rPr>
          <w:rFonts w:hint="eastAsia" w:ascii="Times New Roman" w:hAnsi="Times New Roman" w:eastAsia="黑体"/>
          <w:bCs/>
          <w:color w:val="auto"/>
          <w:kern w:val="44"/>
          <w:szCs w:val="21"/>
          <w:highlight w:val="none"/>
          <w:lang w:val="zh-CN"/>
        </w:rPr>
        <w:t>禁止使用不合格的材料和工程设备</w:t>
      </w:r>
      <w:r>
        <w:rPr>
          <w:rFonts w:ascii="Times New Roman" w:hAnsi="Times New Roman" w:eastAsia="黑体"/>
          <w:bCs/>
          <w:color w:val="auto"/>
          <w:kern w:val="44"/>
          <w:szCs w:val="21"/>
          <w:highlight w:val="none"/>
          <w:lang w:val="zh-CN"/>
        </w:rPr>
        <w:t xml:space="preserve"> </w:t>
      </w:r>
    </w:p>
    <w:p w14:paraId="11A197B3">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5.4.1 </w:t>
      </w:r>
      <w:r>
        <w:rPr>
          <w:rFonts w:hint="eastAsia" w:ascii="Times New Roman" w:hAnsi="Times New Roman"/>
          <w:color w:val="auto"/>
          <w:szCs w:val="21"/>
          <w:highlight w:val="none"/>
        </w:rPr>
        <w:t>监理人有权拒绝承包人提供的不合格材料或工程设备，并要求承包人立即进行更换。监理人应在更换后再次进行检查和检验，由此增加的费用和（或）工期延误由承包人承担。</w:t>
      </w:r>
    </w:p>
    <w:p w14:paraId="220B71C0">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5.4.2 </w:t>
      </w:r>
      <w:r>
        <w:rPr>
          <w:rFonts w:hint="eastAsia" w:ascii="Times New Roman" w:hAnsi="Times New Roman"/>
          <w:color w:val="auto"/>
          <w:szCs w:val="21"/>
          <w:highlight w:val="none"/>
        </w:rPr>
        <w:t>监理人发现承包人使用了不合格的材料和工程设备，应即时发出指示要求承包人立即改正，并禁止在工程中继续使用不合格的材料和工程设备。</w:t>
      </w:r>
    </w:p>
    <w:p w14:paraId="40F96D50">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5.4.3 </w:t>
      </w:r>
      <w:r>
        <w:rPr>
          <w:rFonts w:hint="eastAsia" w:ascii="Times New Roman" w:hAnsi="Times New Roman"/>
          <w:color w:val="auto"/>
          <w:szCs w:val="21"/>
          <w:highlight w:val="none"/>
        </w:rPr>
        <w:t>发包人提供的材料或工程设备不符合合同要求的，承包人有权拒绝，并可要求发包人更换，由此增加的费用和（或）工期延误由发包人承担。</w:t>
      </w:r>
    </w:p>
    <w:p w14:paraId="7E1EC2E8">
      <w:pPr>
        <w:pStyle w:val="54"/>
        <w:keepNext/>
        <w:keepLines/>
        <w:spacing w:before="480" w:after="240" w:line="380" w:lineRule="atLeast"/>
        <w:outlineLvl w:val="2"/>
        <w:rPr>
          <w:rFonts w:ascii="Times New Roman" w:hAnsi="Times New Roman" w:eastAsia="黑体"/>
          <w:bCs/>
          <w:color w:val="auto"/>
          <w:kern w:val="44"/>
          <w:szCs w:val="21"/>
          <w:highlight w:val="none"/>
          <w:lang w:val="zh-CN"/>
        </w:rPr>
      </w:pPr>
      <w:bookmarkStart w:id="112" w:name="_Toc22036"/>
      <w:r>
        <w:rPr>
          <w:rFonts w:ascii="Times New Roman" w:hAnsi="Times New Roman" w:eastAsia="黑体"/>
          <w:bCs/>
          <w:color w:val="auto"/>
          <w:kern w:val="44"/>
          <w:szCs w:val="21"/>
          <w:highlight w:val="none"/>
          <w:lang w:val="zh-CN"/>
        </w:rPr>
        <w:t xml:space="preserve">6. </w:t>
      </w:r>
      <w:r>
        <w:rPr>
          <w:rFonts w:hint="eastAsia" w:ascii="Times New Roman" w:hAnsi="Times New Roman" w:eastAsia="黑体"/>
          <w:bCs/>
          <w:color w:val="auto"/>
          <w:kern w:val="44"/>
          <w:szCs w:val="21"/>
          <w:highlight w:val="none"/>
          <w:lang w:val="zh-CN"/>
        </w:rPr>
        <w:t>施工设备和临时设施</w:t>
      </w:r>
      <w:bookmarkEnd w:id="112"/>
      <w:r>
        <w:rPr>
          <w:rFonts w:ascii="Times New Roman" w:hAnsi="Times New Roman" w:eastAsia="黑体"/>
          <w:bCs/>
          <w:color w:val="auto"/>
          <w:kern w:val="44"/>
          <w:szCs w:val="21"/>
          <w:highlight w:val="none"/>
          <w:lang w:val="zh-CN"/>
        </w:rPr>
        <w:t xml:space="preserve"> </w:t>
      </w:r>
    </w:p>
    <w:p w14:paraId="31F33D45">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6.1 </w:t>
      </w:r>
      <w:r>
        <w:rPr>
          <w:rFonts w:hint="eastAsia" w:ascii="Times New Roman" w:hAnsi="Times New Roman" w:eastAsia="黑体"/>
          <w:bCs/>
          <w:color w:val="auto"/>
          <w:kern w:val="44"/>
          <w:szCs w:val="21"/>
          <w:highlight w:val="none"/>
          <w:lang w:val="zh-CN"/>
        </w:rPr>
        <w:t>承包人提供的施工设备和临时设施</w:t>
      </w:r>
    </w:p>
    <w:p w14:paraId="6845A353">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6.1.1 </w:t>
      </w:r>
      <w:r>
        <w:rPr>
          <w:rFonts w:hint="eastAsia" w:ascii="Times New Roman" w:hAnsi="Times New Roman"/>
          <w:color w:val="auto"/>
          <w:szCs w:val="21"/>
          <w:highlight w:val="none"/>
        </w:rPr>
        <w:t>承包人应按合同进度计划的要求，及时配置施工设备和修建临时设施。进入施工场地的承包人设备需经监理人核查后才能投入使用。承包人更换合同约定的承包人设备的，应报监理人批准。</w:t>
      </w:r>
    </w:p>
    <w:p w14:paraId="76F63309">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6.1.2 </w:t>
      </w:r>
      <w:r>
        <w:rPr>
          <w:rFonts w:hint="eastAsia" w:ascii="Times New Roman" w:hAnsi="Times New Roman"/>
          <w:color w:val="auto"/>
          <w:szCs w:val="21"/>
          <w:highlight w:val="none"/>
        </w:rPr>
        <w:t>除专用合同条款另有约定外，承包人应自行承担修建临时设施的费用，需要临时占地的，应由发包人办理申请手续并承担相应费用。</w:t>
      </w:r>
    </w:p>
    <w:p w14:paraId="24BFA032">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6.2 </w:t>
      </w:r>
      <w:r>
        <w:rPr>
          <w:rFonts w:hint="eastAsia" w:ascii="Times New Roman" w:hAnsi="Times New Roman" w:eastAsia="黑体"/>
          <w:bCs/>
          <w:color w:val="auto"/>
          <w:kern w:val="44"/>
          <w:szCs w:val="21"/>
          <w:highlight w:val="none"/>
          <w:lang w:val="zh-CN"/>
        </w:rPr>
        <w:t>发包人提供的施工设备和临时设施（本项目发包人不提供的施工设备和临时设施）</w:t>
      </w:r>
    </w:p>
    <w:p w14:paraId="0A875F7A">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6.3 </w:t>
      </w:r>
      <w:r>
        <w:rPr>
          <w:rFonts w:hint="eastAsia" w:ascii="Times New Roman" w:hAnsi="Times New Roman" w:eastAsia="黑体"/>
          <w:bCs/>
          <w:color w:val="auto"/>
          <w:kern w:val="44"/>
          <w:szCs w:val="21"/>
          <w:highlight w:val="none"/>
          <w:lang w:val="zh-CN"/>
        </w:rPr>
        <w:t>要求承包人增加或更换施工设备</w:t>
      </w:r>
    </w:p>
    <w:p w14:paraId="10EE0738">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承包人使用的施工设备不能满足合同进度计划和（或）质量要求时，监理人有权要求承包人增加或更换施工设备，承包人应及时增加或更换，由此增加的费用和（或）工期延误由承包人承担。</w:t>
      </w:r>
    </w:p>
    <w:p w14:paraId="5A94A1C7">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6.4 </w:t>
      </w:r>
      <w:r>
        <w:rPr>
          <w:rFonts w:hint="eastAsia" w:ascii="Times New Roman" w:hAnsi="Times New Roman" w:eastAsia="黑体"/>
          <w:bCs/>
          <w:color w:val="auto"/>
          <w:kern w:val="44"/>
          <w:szCs w:val="21"/>
          <w:highlight w:val="none"/>
          <w:lang w:val="zh-CN"/>
        </w:rPr>
        <w:t>施工设备和临时设施专用于合同工程</w:t>
      </w:r>
    </w:p>
    <w:p w14:paraId="17502AC9">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6.4.1</w:t>
      </w:r>
      <w:r>
        <w:rPr>
          <w:rFonts w:hint="eastAsia" w:ascii="Times New Roman" w:hAnsi="Times New Roman"/>
          <w:color w:val="auto"/>
          <w:szCs w:val="21"/>
          <w:highlight w:val="none"/>
        </w:rPr>
        <w:t>除合同另有约定外，运入施工场地的所有施工设备以及在施工场地建设的临时设施应专用于合同工程。未经监理人同意，不得将上述施工设备和临时设施中的任何部分运出施工场地或挪作他用。</w:t>
      </w:r>
    </w:p>
    <w:p w14:paraId="1A94DBCD">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6.4.2 </w:t>
      </w:r>
      <w:r>
        <w:rPr>
          <w:rFonts w:hint="eastAsia" w:ascii="Times New Roman" w:hAnsi="Times New Roman"/>
          <w:color w:val="auto"/>
          <w:szCs w:val="21"/>
          <w:highlight w:val="none"/>
        </w:rPr>
        <w:t>经监理人同意，承包人可根据合同进度计划撤走闲置的施工设备。</w:t>
      </w:r>
    </w:p>
    <w:p w14:paraId="19700DF8">
      <w:pPr>
        <w:pStyle w:val="54"/>
        <w:keepNext/>
        <w:keepLines/>
        <w:spacing w:before="480" w:after="240" w:line="380" w:lineRule="atLeast"/>
        <w:outlineLvl w:val="2"/>
        <w:rPr>
          <w:rFonts w:ascii="Times New Roman" w:hAnsi="Times New Roman" w:eastAsia="黑体"/>
          <w:bCs/>
          <w:color w:val="auto"/>
          <w:kern w:val="44"/>
          <w:szCs w:val="21"/>
          <w:highlight w:val="none"/>
          <w:lang w:val="zh-CN"/>
        </w:rPr>
      </w:pPr>
      <w:bookmarkStart w:id="113" w:name="_Toc20991"/>
      <w:r>
        <w:rPr>
          <w:rFonts w:ascii="Times New Roman" w:hAnsi="Times New Roman" w:eastAsia="黑体"/>
          <w:bCs/>
          <w:color w:val="auto"/>
          <w:kern w:val="44"/>
          <w:szCs w:val="21"/>
          <w:highlight w:val="none"/>
          <w:lang w:val="zh-CN"/>
        </w:rPr>
        <w:t xml:space="preserve">7. </w:t>
      </w:r>
      <w:r>
        <w:rPr>
          <w:rFonts w:hint="eastAsia" w:ascii="Times New Roman" w:hAnsi="Times New Roman" w:eastAsia="黑体"/>
          <w:bCs/>
          <w:color w:val="auto"/>
          <w:kern w:val="44"/>
          <w:szCs w:val="21"/>
          <w:highlight w:val="none"/>
          <w:lang w:val="zh-CN"/>
        </w:rPr>
        <w:t>交通运输</w:t>
      </w:r>
      <w:bookmarkEnd w:id="113"/>
      <w:r>
        <w:rPr>
          <w:rFonts w:ascii="Times New Roman" w:hAnsi="Times New Roman" w:eastAsia="黑体"/>
          <w:bCs/>
          <w:color w:val="auto"/>
          <w:kern w:val="44"/>
          <w:szCs w:val="21"/>
          <w:highlight w:val="none"/>
          <w:lang w:val="zh-CN"/>
        </w:rPr>
        <w:t xml:space="preserve"> </w:t>
      </w:r>
    </w:p>
    <w:p w14:paraId="18C5FEB5">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7.1 </w:t>
      </w:r>
      <w:r>
        <w:rPr>
          <w:rFonts w:hint="eastAsia" w:ascii="Times New Roman" w:hAnsi="Times New Roman" w:eastAsia="黑体"/>
          <w:bCs/>
          <w:color w:val="auto"/>
          <w:kern w:val="44"/>
          <w:szCs w:val="21"/>
          <w:highlight w:val="none"/>
          <w:lang w:val="zh-CN"/>
        </w:rPr>
        <w:t>道路通行权和场外设施</w:t>
      </w:r>
    </w:p>
    <w:p w14:paraId="04E912A3">
      <w:pPr>
        <w:pStyle w:val="54"/>
        <w:spacing w:line="400" w:lineRule="atLeast"/>
        <w:ind w:firstLine="420"/>
        <w:rPr>
          <w:rFonts w:ascii="Times New Roman" w:hAnsi="Times New Roman"/>
          <w:i/>
          <w:color w:val="auto"/>
          <w:szCs w:val="21"/>
          <w:highlight w:val="none"/>
        </w:rPr>
      </w:pPr>
      <w:r>
        <w:rPr>
          <w:rFonts w:hint="eastAsia" w:ascii="Times New Roman" w:hAnsi="Times New Roman"/>
          <w:color w:val="auto"/>
          <w:szCs w:val="21"/>
          <w:highlight w:val="none"/>
        </w:rPr>
        <w:t>除专用合同条款另有约定外，发包人应根据合同工程的施工需要，负责办理取得出入施工场地的专用和临时道路的通行权，以及取得为工程建设所需修建场外设施的权利，并承担有关费用。承包人应协助发包人办理上述手续。</w:t>
      </w:r>
    </w:p>
    <w:p w14:paraId="7433F895">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7.2 </w:t>
      </w:r>
      <w:r>
        <w:rPr>
          <w:rFonts w:hint="eastAsia" w:ascii="Times New Roman" w:hAnsi="Times New Roman" w:eastAsia="黑体"/>
          <w:bCs/>
          <w:color w:val="auto"/>
          <w:kern w:val="44"/>
          <w:szCs w:val="21"/>
          <w:highlight w:val="none"/>
          <w:lang w:val="zh-CN"/>
        </w:rPr>
        <w:t>场内施工道路</w:t>
      </w:r>
    </w:p>
    <w:p w14:paraId="6D374E0F">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7.2.1 </w:t>
      </w:r>
      <w:r>
        <w:rPr>
          <w:rFonts w:hint="eastAsia" w:ascii="Times New Roman" w:hAnsi="Times New Roman"/>
          <w:color w:val="auto"/>
          <w:szCs w:val="21"/>
          <w:highlight w:val="none"/>
        </w:rPr>
        <w:t>除专用合同条款另有约定外，承包人应负责修建、维修、养护和管理施工所需的临时道路和交通设施，包括维修、养护和管理发包人提供的道路和交通设施，并承担相应费用。</w:t>
      </w:r>
    </w:p>
    <w:p w14:paraId="06D45CBD">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7.2.2 </w:t>
      </w:r>
      <w:r>
        <w:rPr>
          <w:rFonts w:hint="eastAsia" w:ascii="Times New Roman" w:hAnsi="Times New Roman"/>
          <w:color w:val="auto"/>
          <w:szCs w:val="21"/>
          <w:highlight w:val="none"/>
        </w:rPr>
        <w:t>除专用合同条款另有约定外，承包人修建的临时道路和交通设施应免费提供发包人和监理人使用。</w:t>
      </w:r>
    </w:p>
    <w:p w14:paraId="2231C98F">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7.3 </w:t>
      </w:r>
      <w:r>
        <w:rPr>
          <w:rFonts w:hint="eastAsia" w:ascii="Times New Roman" w:hAnsi="Times New Roman" w:eastAsia="黑体"/>
          <w:bCs/>
          <w:color w:val="auto"/>
          <w:kern w:val="44"/>
          <w:szCs w:val="21"/>
          <w:highlight w:val="none"/>
          <w:lang w:val="zh-CN"/>
        </w:rPr>
        <w:t>场外交通</w:t>
      </w:r>
    </w:p>
    <w:p w14:paraId="4AE8DE8E">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7.3.1 </w:t>
      </w:r>
      <w:r>
        <w:rPr>
          <w:rFonts w:hint="eastAsia" w:ascii="Times New Roman" w:hAnsi="Times New Roman"/>
          <w:color w:val="auto"/>
          <w:szCs w:val="21"/>
          <w:highlight w:val="none"/>
        </w:rPr>
        <w:t>承包人车辆外出行驶所需的场外公共道路的通行费、养路费和税款等由承包人承担。</w:t>
      </w:r>
    </w:p>
    <w:p w14:paraId="591342C7">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7.3.2 </w:t>
      </w:r>
      <w:r>
        <w:rPr>
          <w:rFonts w:hint="eastAsia" w:ascii="Times New Roman" w:hAnsi="Times New Roman"/>
          <w:color w:val="auto"/>
          <w:szCs w:val="21"/>
          <w:highlight w:val="none"/>
        </w:rPr>
        <w:t>承包人应遵守有关交通法规，严格按照道路和桥梁的限制荷重安全行驶，并服从交通管理部门的检查和监督。</w:t>
      </w:r>
    </w:p>
    <w:p w14:paraId="6E1AE91F">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7.4 </w:t>
      </w:r>
      <w:r>
        <w:rPr>
          <w:rFonts w:hint="eastAsia" w:ascii="Times New Roman" w:hAnsi="Times New Roman" w:eastAsia="黑体"/>
          <w:bCs/>
          <w:color w:val="auto"/>
          <w:kern w:val="44"/>
          <w:szCs w:val="21"/>
          <w:highlight w:val="none"/>
          <w:lang w:val="zh-CN"/>
        </w:rPr>
        <w:t>超大件和超重件的运输</w:t>
      </w:r>
    </w:p>
    <w:p w14:paraId="17A13711">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27C0D1BA">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7.5 </w:t>
      </w:r>
      <w:r>
        <w:rPr>
          <w:rFonts w:hint="eastAsia" w:ascii="Times New Roman" w:hAnsi="Times New Roman" w:eastAsia="黑体"/>
          <w:bCs/>
          <w:color w:val="auto"/>
          <w:kern w:val="44"/>
          <w:szCs w:val="21"/>
          <w:highlight w:val="none"/>
          <w:lang w:val="zh-CN"/>
        </w:rPr>
        <w:t>道路和桥梁的损坏责任</w:t>
      </w:r>
    </w:p>
    <w:p w14:paraId="2EE050B8">
      <w:pPr>
        <w:pStyle w:val="54"/>
        <w:spacing w:line="400" w:lineRule="atLeast"/>
        <w:rPr>
          <w:rFonts w:ascii="Times New Roman" w:hAnsi="Times New Roman"/>
          <w:color w:val="auto"/>
          <w:szCs w:val="21"/>
          <w:highlight w:val="none"/>
        </w:rPr>
      </w:pPr>
      <w:r>
        <w:rPr>
          <w:rFonts w:hint="eastAsia" w:ascii="Times New Roman" w:hAnsi="Times New Roman"/>
          <w:color w:val="auto"/>
          <w:szCs w:val="21"/>
          <w:highlight w:val="none"/>
        </w:rPr>
        <w:t>　　因承包人运输造成施工场地内外公共道路和桥梁损坏的，由承包人承担修复损坏的全部费用和可能引起的赔偿。</w:t>
      </w:r>
    </w:p>
    <w:p w14:paraId="592A564F">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7.6 </w:t>
      </w:r>
      <w:r>
        <w:rPr>
          <w:rFonts w:hint="eastAsia" w:ascii="Times New Roman" w:hAnsi="Times New Roman" w:eastAsia="黑体"/>
          <w:bCs/>
          <w:color w:val="auto"/>
          <w:kern w:val="44"/>
          <w:szCs w:val="21"/>
          <w:highlight w:val="none"/>
          <w:lang w:val="zh-CN"/>
        </w:rPr>
        <w:t>水路和航空运输</w:t>
      </w:r>
    </w:p>
    <w:p w14:paraId="79465ADB">
      <w:pPr>
        <w:pStyle w:val="54"/>
        <w:spacing w:line="400" w:lineRule="atLeast"/>
        <w:rPr>
          <w:rFonts w:ascii="Times New Roman" w:hAnsi="Times New Roman"/>
          <w:color w:val="auto"/>
          <w:szCs w:val="21"/>
          <w:highlight w:val="none"/>
        </w:rPr>
      </w:pPr>
      <w:r>
        <w:rPr>
          <w:rFonts w:hint="eastAsia" w:ascii="Times New Roman" w:hAnsi="Times New Roman"/>
          <w:color w:val="auto"/>
          <w:szCs w:val="21"/>
          <w:highlight w:val="none"/>
        </w:rPr>
        <w:t>　　本条上述各款的内容适用于水路运输和航空运输，其中</w:t>
      </w:r>
      <w:r>
        <w:rPr>
          <w:rFonts w:ascii="Times New Roman" w:hAnsi="Times New Roman"/>
          <w:color w:val="auto"/>
          <w:szCs w:val="21"/>
          <w:highlight w:val="none"/>
        </w:rPr>
        <w:t>“</w:t>
      </w:r>
      <w:r>
        <w:rPr>
          <w:rFonts w:hint="eastAsia" w:ascii="Times New Roman" w:hAnsi="Times New Roman"/>
          <w:color w:val="auto"/>
          <w:szCs w:val="21"/>
          <w:highlight w:val="none"/>
        </w:rPr>
        <w:t>道路</w:t>
      </w:r>
      <w:r>
        <w:rPr>
          <w:rFonts w:ascii="Times New Roman" w:hAnsi="Times New Roman"/>
          <w:color w:val="auto"/>
          <w:szCs w:val="21"/>
          <w:highlight w:val="none"/>
        </w:rPr>
        <w:t>”</w:t>
      </w:r>
      <w:r>
        <w:rPr>
          <w:rFonts w:hint="eastAsia" w:ascii="Times New Roman" w:hAnsi="Times New Roman"/>
          <w:color w:val="auto"/>
          <w:szCs w:val="21"/>
          <w:highlight w:val="none"/>
        </w:rPr>
        <w:t>一词的涵义包括河道、航线、船闸、机场、码头、堤防以及水路或航空运输中其他相似结构物；</w:t>
      </w:r>
      <w:r>
        <w:rPr>
          <w:rFonts w:ascii="Times New Roman" w:hAnsi="Times New Roman"/>
          <w:color w:val="auto"/>
          <w:szCs w:val="21"/>
          <w:highlight w:val="none"/>
        </w:rPr>
        <w:t>“</w:t>
      </w:r>
      <w:r>
        <w:rPr>
          <w:rFonts w:hint="eastAsia" w:ascii="Times New Roman" w:hAnsi="Times New Roman"/>
          <w:color w:val="auto"/>
          <w:szCs w:val="21"/>
          <w:highlight w:val="none"/>
        </w:rPr>
        <w:t>车辆</w:t>
      </w:r>
      <w:r>
        <w:rPr>
          <w:rFonts w:ascii="Times New Roman" w:hAnsi="Times New Roman"/>
          <w:color w:val="auto"/>
          <w:szCs w:val="21"/>
          <w:highlight w:val="none"/>
        </w:rPr>
        <w:t>”</w:t>
      </w:r>
      <w:r>
        <w:rPr>
          <w:rFonts w:hint="eastAsia" w:ascii="Times New Roman" w:hAnsi="Times New Roman"/>
          <w:color w:val="auto"/>
          <w:szCs w:val="21"/>
          <w:highlight w:val="none"/>
        </w:rPr>
        <w:t>一词的涵义包括船舶和飞机等。</w:t>
      </w:r>
      <w:r>
        <w:rPr>
          <w:rFonts w:ascii="Times New Roman" w:hAnsi="Times New Roman"/>
          <w:color w:val="auto"/>
          <w:szCs w:val="21"/>
          <w:highlight w:val="none"/>
        </w:rPr>
        <w:t xml:space="preserve"> </w:t>
      </w:r>
    </w:p>
    <w:p w14:paraId="10A7B34A">
      <w:pPr>
        <w:pStyle w:val="54"/>
        <w:keepNext/>
        <w:keepLines/>
        <w:spacing w:before="480" w:after="240" w:line="380" w:lineRule="atLeast"/>
        <w:outlineLvl w:val="2"/>
        <w:rPr>
          <w:rFonts w:ascii="Times New Roman" w:hAnsi="Times New Roman" w:eastAsia="黑体"/>
          <w:bCs/>
          <w:color w:val="auto"/>
          <w:kern w:val="44"/>
          <w:szCs w:val="21"/>
          <w:highlight w:val="none"/>
          <w:lang w:val="zh-CN"/>
        </w:rPr>
      </w:pPr>
      <w:bookmarkStart w:id="114" w:name="_Toc24523"/>
      <w:r>
        <w:rPr>
          <w:rFonts w:ascii="Times New Roman" w:hAnsi="Times New Roman" w:eastAsia="黑体"/>
          <w:bCs/>
          <w:color w:val="auto"/>
          <w:kern w:val="44"/>
          <w:szCs w:val="21"/>
          <w:highlight w:val="none"/>
          <w:lang w:val="zh-CN"/>
        </w:rPr>
        <w:t xml:space="preserve">8. </w:t>
      </w:r>
      <w:r>
        <w:rPr>
          <w:rFonts w:hint="eastAsia" w:ascii="Times New Roman" w:hAnsi="Times New Roman" w:eastAsia="黑体"/>
          <w:bCs/>
          <w:color w:val="auto"/>
          <w:kern w:val="44"/>
          <w:szCs w:val="21"/>
          <w:highlight w:val="none"/>
          <w:lang w:val="zh-CN"/>
        </w:rPr>
        <w:t>测量放线</w:t>
      </w:r>
      <w:bookmarkEnd w:id="114"/>
    </w:p>
    <w:p w14:paraId="023060C7">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8.1 </w:t>
      </w:r>
      <w:r>
        <w:rPr>
          <w:rFonts w:hint="eastAsia" w:ascii="Times New Roman" w:hAnsi="Times New Roman" w:eastAsia="黑体"/>
          <w:bCs/>
          <w:color w:val="auto"/>
          <w:kern w:val="44"/>
          <w:szCs w:val="21"/>
          <w:highlight w:val="none"/>
          <w:lang w:val="zh-CN"/>
        </w:rPr>
        <w:t>施工控制网</w:t>
      </w:r>
    </w:p>
    <w:p w14:paraId="1E6D4F25">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8.1.1</w:t>
      </w:r>
      <w:r>
        <w:rPr>
          <w:rFonts w:hint="eastAsia" w:ascii="Times New Roman" w:hAnsi="Times New Roman"/>
          <w:color w:val="auto"/>
          <w:szCs w:val="21"/>
          <w:highlight w:val="none"/>
        </w:rPr>
        <w:t>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审批。</w:t>
      </w:r>
    </w:p>
    <w:p w14:paraId="1E8776F7">
      <w:pPr>
        <w:pStyle w:val="54"/>
        <w:spacing w:line="400" w:lineRule="atLeast"/>
        <w:rPr>
          <w:rFonts w:ascii="Times New Roman" w:hAnsi="Times New Roman"/>
          <w:color w:val="auto"/>
          <w:szCs w:val="21"/>
          <w:highlight w:val="none"/>
        </w:rPr>
      </w:pPr>
      <w:r>
        <w:rPr>
          <w:rFonts w:hint="eastAsia" w:ascii="Times New Roman" w:hAnsi="Times New Roman"/>
          <w:color w:val="auto"/>
          <w:szCs w:val="21"/>
          <w:highlight w:val="none"/>
        </w:rPr>
        <w:t>　　</w:t>
      </w:r>
      <w:r>
        <w:rPr>
          <w:rFonts w:ascii="Times New Roman" w:hAnsi="Times New Roman"/>
          <w:color w:val="auto"/>
          <w:szCs w:val="21"/>
          <w:highlight w:val="none"/>
        </w:rPr>
        <w:t>8.1.2</w:t>
      </w:r>
      <w:r>
        <w:rPr>
          <w:rFonts w:hint="eastAsia" w:ascii="Times New Roman" w:hAnsi="Times New Roman"/>
          <w:color w:val="auto"/>
          <w:szCs w:val="21"/>
          <w:highlight w:val="none"/>
        </w:rPr>
        <w:t>承包人应负责管理施工控制网点。施工控制网点丢失或损坏的，承包人应及时修复。承包人应承担施工控制网点的管理与修复费用，并在工程竣工后将施工控制网点移交发包人。</w:t>
      </w:r>
    </w:p>
    <w:p w14:paraId="6E464C94">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8.2 </w:t>
      </w:r>
      <w:r>
        <w:rPr>
          <w:rFonts w:hint="eastAsia" w:ascii="Times New Roman" w:hAnsi="Times New Roman" w:eastAsia="黑体"/>
          <w:bCs/>
          <w:color w:val="auto"/>
          <w:kern w:val="44"/>
          <w:szCs w:val="21"/>
          <w:highlight w:val="none"/>
          <w:lang w:val="zh-CN"/>
        </w:rPr>
        <w:t>施工测量</w:t>
      </w:r>
    </w:p>
    <w:p w14:paraId="1B6E0308">
      <w:pPr>
        <w:pStyle w:val="54"/>
        <w:spacing w:line="400" w:lineRule="atLeast"/>
        <w:rPr>
          <w:rFonts w:ascii="Times New Roman" w:hAnsi="Times New Roman"/>
          <w:color w:val="auto"/>
          <w:szCs w:val="21"/>
          <w:highlight w:val="none"/>
        </w:rPr>
      </w:pPr>
      <w:r>
        <w:rPr>
          <w:rFonts w:hint="eastAsia" w:ascii="Times New Roman" w:hAnsi="Times New Roman"/>
          <w:color w:val="auto"/>
          <w:szCs w:val="21"/>
          <w:highlight w:val="none"/>
        </w:rPr>
        <w:t>　　</w:t>
      </w:r>
      <w:r>
        <w:rPr>
          <w:rFonts w:ascii="Times New Roman" w:hAnsi="Times New Roman"/>
          <w:color w:val="auto"/>
          <w:szCs w:val="21"/>
          <w:highlight w:val="none"/>
        </w:rPr>
        <w:t>8.2.1</w:t>
      </w:r>
      <w:r>
        <w:rPr>
          <w:rFonts w:hint="eastAsia" w:ascii="Times New Roman" w:hAnsi="Times New Roman"/>
          <w:color w:val="auto"/>
          <w:szCs w:val="21"/>
          <w:highlight w:val="none"/>
        </w:rPr>
        <w:t>承包人应负责施工过程中的全部施工测量放线工作，并配置合格的人员、仪器、设备和其他物品。</w:t>
      </w:r>
    </w:p>
    <w:p w14:paraId="7D21EA92">
      <w:pPr>
        <w:pStyle w:val="54"/>
        <w:spacing w:line="400" w:lineRule="atLeast"/>
        <w:rPr>
          <w:rFonts w:ascii="Times New Roman" w:hAnsi="Times New Roman"/>
          <w:color w:val="auto"/>
          <w:szCs w:val="21"/>
          <w:highlight w:val="none"/>
        </w:rPr>
      </w:pPr>
      <w:r>
        <w:rPr>
          <w:rFonts w:hint="eastAsia" w:ascii="Times New Roman" w:hAnsi="Times New Roman"/>
          <w:color w:val="auto"/>
          <w:szCs w:val="21"/>
          <w:highlight w:val="none"/>
        </w:rPr>
        <w:t>　　</w:t>
      </w:r>
      <w:r>
        <w:rPr>
          <w:rFonts w:ascii="Times New Roman" w:hAnsi="Times New Roman"/>
          <w:color w:val="auto"/>
          <w:szCs w:val="21"/>
          <w:highlight w:val="none"/>
        </w:rPr>
        <w:t>8.2.2</w:t>
      </w:r>
      <w:r>
        <w:rPr>
          <w:rFonts w:hint="eastAsia" w:ascii="Times New Roman" w:hAnsi="Times New Roman"/>
          <w:color w:val="auto"/>
          <w:szCs w:val="21"/>
          <w:highlight w:val="none"/>
        </w:rPr>
        <w:t>监理人可以指示承包人进行抽样复测，当复测中发现错误或出现超过合同约定的误差时，承包人应按监理人指示进行修正或补测，并承担相应的复测费用。</w:t>
      </w:r>
    </w:p>
    <w:p w14:paraId="3791C4FF">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8.3 </w:t>
      </w:r>
      <w:r>
        <w:rPr>
          <w:rFonts w:hint="eastAsia" w:ascii="Times New Roman" w:hAnsi="Times New Roman" w:eastAsia="黑体"/>
          <w:bCs/>
          <w:color w:val="auto"/>
          <w:kern w:val="44"/>
          <w:szCs w:val="21"/>
          <w:highlight w:val="none"/>
          <w:lang w:val="zh-CN"/>
        </w:rPr>
        <w:t>基准资料错误的责任</w:t>
      </w:r>
    </w:p>
    <w:p w14:paraId="1986311F">
      <w:pPr>
        <w:pStyle w:val="54"/>
        <w:spacing w:line="400" w:lineRule="atLeast"/>
        <w:rPr>
          <w:rFonts w:ascii="Times New Roman" w:hAnsi="Times New Roman"/>
          <w:color w:val="auto"/>
          <w:szCs w:val="21"/>
          <w:highlight w:val="none"/>
        </w:rPr>
      </w:pPr>
      <w:r>
        <w:rPr>
          <w:rFonts w:hint="eastAsia" w:ascii="Times New Roman" w:hAnsi="Times New Roman"/>
          <w:color w:val="auto"/>
          <w:szCs w:val="21"/>
          <w:highlight w:val="none"/>
        </w:rPr>
        <w:t>　　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0E187527">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8.4 </w:t>
      </w:r>
      <w:r>
        <w:rPr>
          <w:rFonts w:hint="eastAsia" w:ascii="Times New Roman" w:hAnsi="Times New Roman" w:eastAsia="黑体"/>
          <w:bCs/>
          <w:color w:val="auto"/>
          <w:kern w:val="44"/>
          <w:szCs w:val="21"/>
          <w:highlight w:val="none"/>
          <w:lang w:val="zh-CN"/>
        </w:rPr>
        <w:t>监理人使用施工控制网</w:t>
      </w:r>
    </w:p>
    <w:p w14:paraId="4627E822">
      <w:pPr>
        <w:pStyle w:val="54"/>
        <w:spacing w:line="400" w:lineRule="atLeast"/>
        <w:ind w:firstLine="390"/>
        <w:rPr>
          <w:rFonts w:ascii="Times New Roman" w:hAnsi="Times New Roman"/>
          <w:color w:val="auto"/>
          <w:szCs w:val="21"/>
          <w:highlight w:val="none"/>
        </w:rPr>
      </w:pPr>
      <w:r>
        <w:rPr>
          <w:rFonts w:hint="eastAsia" w:ascii="Times New Roman" w:hAnsi="Times New Roman"/>
          <w:color w:val="auto"/>
          <w:szCs w:val="21"/>
          <w:highlight w:val="none"/>
        </w:rPr>
        <w:t>监理人需要使用施工控制网的，承包人应提供必要的协助，发包人不再为此支付费用。</w:t>
      </w:r>
    </w:p>
    <w:p w14:paraId="3433F1AE">
      <w:pPr>
        <w:pStyle w:val="54"/>
        <w:keepNext/>
        <w:keepLines/>
        <w:spacing w:before="480" w:after="240" w:line="380" w:lineRule="atLeast"/>
        <w:outlineLvl w:val="2"/>
        <w:rPr>
          <w:rFonts w:ascii="Times New Roman" w:hAnsi="Times New Roman" w:eastAsia="黑体"/>
          <w:bCs/>
          <w:color w:val="auto"/>
          <w:kern w:val="44"/>
          <w:szCs w:val="21"/>
          <w:highlight w:val="none"/>
          <w:lang w:val="zh-CN"/>
        </w:rPr>
      </w:pPr>
      <w:bookmarkStart w:id="115" w:name="_Toc3634"/>
      <w:r>
        <w:rPr>
          <w:rFonts w:ascii="Times New Roman" w:hAnsi="Times New Roman" w:eastAsia="黑体"/>
          <w:bCs/>
          <w:color w:val="auto"/>
          <w:kern w:val="44"/>
          <w:szCs w:val="21"/>
          <w:highlight w:val="none"/>
          <w:lang w:val="zh-CN"/>
        </w:rPr>
        <w:t xml:space="preserve">9. </w:t>
      </w:r>
      <w:r>
        <w:rPr>
          <w:rFonts w:hint="eastAsia" w:ascii="Times New Roman" w:hAnsi="Times New Roman" w:eastAsia="黑体"/>
          <w:bCs/>
          <w:color w:val="auto"/>
          <w:kern w:val="44"/>
          <w:szCs w:val="21"/>
          <w:highlight w:val="none"/>
          <w:lang w:val="zh-CN"/>
        </w:rPr>
        <w:t>施工安全、治安保卫和环境保护</w:t>
      </w:r>
      <w:bookmarkEnd w:id="115"/>
    </w:p>
    <w:p w14:paraId="27AC16E8">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9.1 </w:t>
      </w:r>
      <w:r>
        <w:rPr>
          <w:rFonts w:hint="eastAsia" w:ascii="Times New Roman" w:hAnsi="Times New Roman" w:eastAsia="黑体"/>
          <w:bCs/>
          <w:color w:val="auto"/>
          <w:kern w:val="44"/>
          <w:szCs w:val="21"/>
          <w:highlight w:val="none"/>
          <w:lang w:val="zh-CN"/>
        </w:rPr>
        <w:t>发包人的施工安全责任</w:t>
      </w:r>
    </w:p>
    <w:p w14:paraId="6F3AFC83">
      <w:pPr>
        <w:pStyle w:val="54"/>
        <w:spacing w:line="400" w:lineRule="atLeast"/>
        <w:ind w:firstLine="390"/>
        <w:rPr>
          <w:rFonts w:ascii="Times New Roman" w:hAnsi="Times New Roman"/>
          <w:color w:val="auto"/>
          <w:szCs w:val="21"/>
          <w:highlight w:val="none"/>
        </w:rPr>
      </w:pPr>
      <w:r>
        <w:rPr>
          <w:rFonts w:ascii="Times New Roman" w:hAnsi="Times New Roman"/>
          <w:color w:val="auto"/>
          <w:szCs w:val="21"/>
          <w:highlight w:val="none"/>
        </w:rPr>
        <w:t>9.1.1</w:t>
      </w:r>
      <w:r>
        <w:rPr>
          <w:rFonts w:hint="eastAsia" w:ascii="Times New Roman" w:hAnsi="Times New Roman"/>
          <w:color w:val="auto"/>
          <w:szCs w:val="21"/>
          <w:highlight w:val="none"/>
        </w:rPr>
        <w:t>发包人应按合同约定履行安全职责，授权监理人按合同约定的安全工作内容监督、检查承包人安全工作的实施，组织承包人和有关单位进行安全检查。</w:t>
      </w:r>
    </w:p>
    <w:p w14:paraId="7646E9F1">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9.2 </w:t>
      </w:r>
      <w:r>
        <w:rPr>
          <w:rFonts w:hint="eastAsia" w:ascii="Times New Roman" w:hAnsi="Times New Roman" w:eastAsia="黑体"/>
          <w:bCs/>
          <w:color w:val="auto"/>
          <w:kern w:val="44"/>
          <w:szCs w:val="21"/>
          <w:highlight w:val="none"/>
          <w:lang w:val="zh-CN"/>
        </w:rPr>
        <w:t>承包人的施工安全责任</w:t>
      </w:r>
    </w:p>
    <w:p w14:paraId="3D748F9A">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9.2.1 </w:t>
      </w:r>
      <w:r>
        <w:rPr>
          <w:rFonts w:hint="eastAsia" w:ascii="Times New Roman" w:hAnsi="Times New Roman"/>
          <w:color w:val="auto"/>
          <w:szCs w:val="21"/>
          <w:highlight w:val="none"/>
        </w:rPr>
        <w:t>承包人应按合同约定履行安全职责</w:t>
      </w:r>
      <w:r>
        <w:rPr>
          <w:rFonts w:ascii="Times New Roman" w:hAnsi="Times New Roman"/>
          <w:color w:val="auto"/>
          <w:szCs w:val="21"/>
          <w:highlight w:val="none"/>
        </w:rPr>
        <w:t>,</w:t>
      </w:r>
      <w:r>
        <w:rPr>
          <w:rFonts w:hint="eastAsia" w:ascii="Times New Roman" w:hAnsi="Times New Roman"/>
          <w:color w:val="auto"/>
          <w:szCs w:val="21"/>
          <w:highlight w:val="none"/>
        </w:rPr>
        <w:t>执行监理人有关安全工作的指示</w:t>
      </w:r>
      <w:r>
        <w:rPr>
          <w:rFonts w:ascii="Times New Roman" w:hAnsi="Times New Roman"/>
          <w:color w:val="auto"/>
          <w:szCs w:val="21"/>
          <w:highlight w:val="none"/>
        </w:rPr>
        <w:t>,</w:t>
      </w:r>
      <w:r>
        <w:rPr>
          <w:rFonts w:hint="eastAsia" w:ascii="Times New Roman" w:hAnsi="Times New Roman"/>
          <w:color w:val="auto"/>
          <w:szCs w:val="21"/>
          <w:highlight w:val="none"/>
        </w:rPr>
        <w:t>并在专用合同条款约定的期限内，按合同约定的安全工作内容，编制施工安全措施计划报送监理人审批。</w:t>
      </w:r>
    </w:p>
    <w:p w14:paraId="1EA13731">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9.2.2 </w:t>
      </w:r>
      <w:r>
        <w:rPr>
          <w:rFonts w:hint="eastAsia" w:ascii="Times New Roman" w:hAnsi="Times New Roman"/>
          <w:color w:val="auto"/>
          <w:szCs w:val="21"/>
          <w:highlight w:val="none"/>
        </w:rPr>
        <w:t>承包人应加强施工作业安全管理，特别应加强易燃、易爆材料、火工器材、有毒与腐蚀性材料和其他危险品的管理，以及对爆破作业和地下工程施工等危险作业的管理。</w:t>
      </w:r>
    </w:p>
    <w:p w14:paraId="270CE2B0">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9.2.3 </w:t>
      </w:r>
      <w:r>
        <w:rPr>
          <w:rFonts w:hint="eastAsia" w:ascii="Times New Roman" w:hAnsi="Times New Roman"/>
          <w:color w:val="auto"/>
          <w:szCs w:val="21"/>
          <w:highlight w:val="none"/>
        </w:rPr>
        <w:t>承包人应严格按照国家安全标准制定施工安全操作规程，配备必要的安全生产和劳动保护设施，加强对承包人人员的安全教育，并发放安全工作手册和劳动保护用具。</w:t>
      </w:r>
    </w:p>
    <w:p w14:paraId="24A46A3B">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9.2.4 </w:t>
      </w:r>
      <w:r>
        <w:rPr>
          <w:rFonts w:hint="eastAsia" w:ascii="Times New Roman" w:hAnsi="Times New Roman"/>
          <w:color w:val="auto"/>
          <w:szCs w:val="21"/>
          <w:highlight w:val="none"/>
        </w:rPr>
        <w:t>承包人应按监理人的指示制定应对灾害的紧急预案，报送监理人审批。承包人还应按预案做好安全检查，配置必要的救助物资和器材，切实保护好有关人员的人身和财产安全。</w:t>
      </w:r>
    </w:p>
    <w:p w14:paraId="7A892B56">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9.2.5 </w:t>
      </w:r>
      <w:r>
        <w:rPr>
          <w:rFonts w:hint="eastAsia" w:ascii="Times New Roman" w:hAnsi="Times New Roman"/>
          <w:color w:val="auto"/>
          <w:szCs w:val="21"/>
          <w:highlight w:val="none"/>
        </w:rPr>
        <w:t>合同约定的安全作业环境及安全施工措施所需费用应遵守有关规定，并包括在相关工作的合同价格中。因采取合同未约定的安全作业环境及安全施工措施增加的费用，由监理人按第</w:t>
      </w:r>
      <w:r>
        <w:rPr>
          <w:rFonts w:ascii="Times New Roman" w:hAnsi="Times New Roman"/>
          <w:color w:val="auto"/>
          <w:szCs w:val="21"/>
          <w:highlight w:val="none"/>
        </w:rPr>
        <w:t>3.5</w:t>
      </w:r>
      <w:r>
        <w:rPr>
          <w:rFonts w:hint="eastAsia" w:ascii="Times New Roman" w:hAnsi="Times New Roman"/>
          <w:color w:val="auto"/>
          <w:szCs w:val="21"/>
          <w:highlight w:val="none"/>
        </w:rPr>
        <w:t>款商定或确定。</w:t>
      </w:r>
    </w:p>
    <w:p w14:paraId="30425765">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9.2.6 </w:t>
      </w:r>
      <w:r>
        <w:rPr>
          <w:rFonts w:hint="eastAsia" w:ascii="Times New Roman" w:hAnsi="Times New Roman"/>
          <w:color w:val="auto"/>
          <w:szCs w:val="21"/>
          <w:highlight w:val="none"/>
        </w:rPr>
        <w:t>承包人应对其履行合同所雇佣的全部人员，包括分包人人员的工伤事故承担责任，但由于发包人原因造成承包人人员工伤事故的，应由发包人承担责任。</w:t>
      </w:r>
    </w:p>
    <w:p w14:paraId="58A938DE">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9.2.7 </w:t>
      </w:r>
      <w:r>
        <w:rPr>
          <w:rFonts w:hint="eastAsia" w:ascii="Times New Roman" w:hAnsi="Times New Roman"/>
          <w:color w:val="auto"/>
          <w:szCs w:val="21"/>
          <w:highlight w:val="none"/>
        </w:rPr>
        <w:t>由于承包人原因在施工场地内及其毗邻地带造成的第三者人员伤亡和财产损失，由承包人负责赔偿。</w:t>
      </w:r>
    </w:p>
    <w:p w14:paraId="713BA190">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9.3 </w:t>
      </w:r>
      <w:r>
        <w:rPr>
          <w:rFonts w:hint="eastAsia" w:ascii="Times New Roman" w:hAnsi="Times New Roman" w:eastAsia="黑体"/>
          <w:bCs/>
          <w:color w:val="auto"/>
          <w:kern w:val="44"/>
          <w:szCs w:val="21"/>
          <w:highlight w:val="none"/>
          <w:lang w:val="zh-CN"/>
        </w:rPr>
        <w:t>治安保卫</w:t>
      </w:r>
    </w:p>
    <w:p w14:paraId="77209FD7">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9.3.1 </w:t>
      </w:r>
      <w:r>
        <w:rPr>
          <w:rFonts w:hint="eastAsia" w:ascii="Times New Roman" w:hAnsi="Times New Roman"/>
          <w:color w:val="auto"/>
          <w:szCs w:val="21"/>
          <w:highlight w:val="none"/>
        </w:rPr>
        <w:t>除合同另有约定外，发包人应与当地公安部门协商，在现场建立治安管理机构或联防组织，统一管理施工场地的治安保卫事项，履行合同工程的治安保卫职责。</w:t>
      </w:r>
    </w:p>
    <w:p w14:paraId="02582DA3">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9.3.2 </w:t>
      </w:r>
      <w:r>
        <w:rPr>
          <w:rFonts w:hint="eastAsia" w:ascii="Times New Roman" w:hAnsi="Times New Roman"/>
          <w:color w:val="auto"/>
          <w:szCs w:val="21"/>
          <w:highlight w:val="none"/>
        </w:rPr>
        <w:t>发包人和承包人除应协助现场治安管理机构或联防组织维护施工场地的社会治安外，还应做好包括生活区在内的各自管辖区的治安保卫工作。</w:t>
      </w:r>
    </w:p>
    <w:p w14:paraId="7D1CF94A">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9.3.3 </w:t>
      </w:r>
      <w:r>
        <w:rPr>
          <w:rFonts w:hint="eastAsia" w:ascii="Times New Roman" w:hAnsi="Times New Roman"/>
          <w:color w:val="auto"/>
          <w:szCs w:val="21"/>
          <w:highlight w:val="none"/>
        </w:rPr>
        <w:t>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14:paraId="6D865015">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9.4 </w:t>
      </w:r>
      <w:r>
        <w:rPr>
          <w:rFonts w:hint="eastAsia" w:ascii="Times New Roman" w:hAnsi="Times New Roman" w:eastAsia="黑体"/>
          <w:bCs/>
          <w:color w:val="auto"/>
          <w:kern w:val="44"/>
          <w:szCs w:val="21"/>
          <w:highlight w:val="none"/>
          <w:lang w:val="zh-CN"/>
        </w:rPr>
        <w:t>环境保护</w:t>
      </w:r>
    </w:p>
    <w:p w14:paraId="1BB71A9A">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9.4.1 </w:t>
      </w:r>
      <w:r>
        <w:rPr>
          <w:rFonts w:hint="eastAsia" w:ascii="Times New Roman" w:hAnsi="Times New Roman"/>
          <w:color w:val="auto"/>
          <w:szCs w:val="21"/>
          <w:highlight w:val="none"/>
        </w:rPr>
        <w:t>承包人在施工过程中，应遵守有关环境保护的法律，履行合同约定的环境保护义务，并对违反法律和合同约定义务所造成的环境破坏、人身伤害和财产损失负责。</w:t>
      </w:r>
    </w:p>
    <w:p w14:paraId="515ABFCB">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9.4.2 </w:t>
      </w:r>
      <w:r>
        <w:rPr>
          <w:rFonts w:hint="eastAsia" w:ascii="Times New Roman" w:hAnsi="Times New Roman"/>
          <w:color w:val="auto"/>
          <w:szCs w:val="21"/>
          <w:highlight w:val="none"/>
        </w:rPr>
        <w:t>承包人应按合同约定的环保工作内容，编制施工环保措施计划，报送监理人审批。</w:t>
      </w:r>
    </w:p>
    <w:p w14:paraId="03221653">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9.4.3 </w:t>
      </w:r>
      <w:r>
        <w:rPr>
          <w:rFonts w:hint="eastAsia" w:ascii="Times New Roman" w:hAnsi="Times New Roman"/>
          <w:color w:val="auto"/>
          <w:szCs w:val="21"/>
          <w:highlight w:val="none"/>
        </w:rPr>
        <w:t>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3A6CCDCD">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9.4.4 </w:t>
      </w:r>
      <w:r>
        <w:rPr>
          <w:rFonts w:hint="eastAsia" w:ascii="Times New Roman" w:hAnsi="Times New Roman"/>
          <w:color w:val="auto"/>
          <w:szCs w:val="21"/>
          <w:highlight w:val="none"/>
        </w:rPr>
        <w:t>承包人应按合同约定采取有效措施，对施工开挖的边坡及时进行支护</w:t>
      </w:r>
      <w:r>
        <w:rPr>
          <w:rFonts w:ascii="Times New Roman" w:hAnsi="Times New Roman"/>
          <w:color w:val="auto"/>
          <w:szCs w:val="21"/>
          <w:highlight w:val="none"/>
        </w:rPr>
        <w:t>,</w:t>
      </w:r>
      <w:r>
        <w:rPr>
          <w:rFonts w:hint="eastAsia" w:ascii="Times New Roman" w:hAnsi="Times New Roman"/>
          <w:color w:val="auto"/>
          <w:szCs w:val="21"/>
          <w:highlight w:val="none"/>
        </w:rPr>
        <w:t>维护排水设施，并进行水土保护，避免因施工造成的地质灾害。</w:t>
      </w:r>
    </w:p>
    <w:p w14:paraId="3001AB39">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9.4.5 </w:t>
      </w:r>
      <w:r>
        <w:rPr>
          <w:rFonts w:hint="eastAsia" w:ascii="Times New Roman" w:hAnsi="Times New Roman"/>
          <w:color w:val="auto"/>
          <w:szCs w:val="21"/>
          <w:highlight w:val="none"/>
        </w:rPr>
        <w:t>承包人应按国家饮用水管理标准定期对饮用水源进行监测，防止施工活动污染饮用水源。</w:t>
      </w:r>
    </w:p>
    <w:p w14:paraId="66DE5AFC">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9.4.6 </w:t>
      </w:r>
      <w:r>
        <w:rPr>
          <w:rFonts w:hint="eastAsia" w:ascii="Times New Roman" w:hAnsi="Times New Roman"/>
          <w:color w:val="auto"/>
          <w:szCs w:val="21"/>
          <w:highlight w:val="none"/>
        </w:rPr>
        <w:t>承包人应按合同约定，加强对噪声、粉尘、废气、废水和废油的控制，努力降低噪声，控制粉尘和废气浓度，做好废水和废油的治理和排放。</w:t>
      </w:r>
    </w:p>
    <w:p w14:paraId="5C834811">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9.5 </w:t>
      </w:r>
      <w:r>
        <w:rPr>
          <w:rFonts w:hint="eastAsia" w:ascii="Times New Roman" w:hAnsi="Times New Roman" w:eastAsia="黑体"/>
          <w:bCs/>
          <w:color w:val="auto"/>
          <w:kern w:val="44"/>
          <w:szCs w:val="21"/>
          <w:highlight w:val="none"/>
          <w:lang w:val="zh-CN"/>
        </w:rPr>
        <w:t>事故处理</w:t>
      </w:r>
    </w:p>
    <w:p w14:paraId="728E2AC7">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44FF062D">
      <w:pPr>
        <w:pStyle w:val="54"/>
        <w:keepNext/>
        <w:keepLines/>
        <w:spacing w:before="480" w:after="240" w:line="380" w:lineRule="atLeast"/>
        <w:outlineLvl w:val="2"/>
        <w:rPr>
          <w:rFonts w:ascii="Times New Roman" w:hAnsi="Times New Roman" w:eastAsia="黑体"/>
          <w:bCs/>
          <w:color w:val="auto"/>
          <w:kern w:val="44"/>
          <w:szCs w:val="21"/>
          <w:highlight w:val="none"/>
          <w:lang w:val="zh-CN"/>
        </w:rPr>
      </w:pPr>
      <w:bookmarkStart w:id="116" w:name="_Toc9802"/>
      <w:r>
        <w:rPr>
          <w:rFonts w:ascii="Times New Roman" w:hAnsi="Times New Roman" w:eastAsia="黑体"/>
          <w:bCs/>
          <w:color w:val="auto"/>
          <w:kern w:val="44"/>
          <w:szCs w:val="21"/>
          <w:highlight w:val="none"/>
          <w:lang w:val="zh-CN"/>
        </w:rPr>
        <w:t xml:space="preserve">10. </w:t>
      </w:r>
      <w:r>
        <w:rPr>
          <w:rFonts w:hint="eastAsia" w:ascii="Times New Roman" w:hAnsi="Times New Roman" w:eastAsia="黑体"/>
          <w:bCs/>
          <w:color w:val="auto"/>
          <w:kern w:val="44"/>
          <w:szCs w:val="21"/>
          <w:highlight w:val="none"/>
          <w:lang w:val="zh-CN"/>
        </w:rPr>
        <w:t>进度计划</w:t>
      </w:r>
      <w:bookmarkEnd w:id="116"/>
    </w:p>
    <w:p w14:paraId="6BE9E9CC">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10.1 </w:t>
      </w:r>
      <w:r>
        <w:rPr>
          <w:rFonts w:hint="eastAsia" w:ascii="Times New Roman" w:hAnsi="Times New Roman" w:eastAsia="黑体"/>
          <w:bCs/>
          <w:color w:val="auto"/>
          <w:kern w:val="44"/>
          <w:szCs w:val="21"/>
          <w:highlight w:val="none"/>
          <w:lang w:val="zh-CN"/>
        </w:rPr>
        <w:t>合同进度计划</w:t>
      </w:r>
    </w:p>
    <w:p w14:paraId="2E0BC780">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承包人应按专用合同条款约定的内容和期限，编制详细的施工进度计划和施工方案说明报送监理人。监理人应在专用合同条款约定的期限内批复或提出修改意见，否则该进度计划视为已得到批准。经监理人批准的施工进度计划称合同进度计划，是控制合同工程进度的依据。承包人还应根据合同进度计划，编制更为详细的分阶段或分项进度计划，报监理人审批。</w:t>
      </w:r>
    </w:p>
    <w:p w14:paraId="7BAD7EDF">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10.2 </w:t>
      </w:r>
      <w:r>
        <w:rPr>
          <w:rFonts w:hint="eastAsia" w:ascii="Times New Roman" w:hAnsi="Times New Roman" w:eastAsia="黑体"/>
          <w:bCs/>
          <w:color w:val="auto"/>
          <w:kern w:val="44"/>
          <w:szCs w:val="21"/>
          <w:highlight w:val="none"/>
          <w:lang w:val="zh-CN"/>
        </w:rPr>
        <w:t>合同进度计划的修订</w:t>
      </w:r>
    </w:p>
    <w:p w14:paraId="18897390">
      <w:pPr>
        <w:pStyle w:val="54"/>
        <w:spacing w:line="400" w:lineRule="atLeast"/>
        <w:ind w:firstLine="390"/>
        <w:rPr>
          <w:rFonts w:ascii="Times New Roman" w:hAnsi="Times New Roman"/>
          <w:color w:val="auto"/>
          <w:szCs w:val="21"/>
          <w:highlight w:val="none"/>
        </w:rPr>
      </w:pPr>
      <w:r>
        <w:rPr>
          <w:rFonts w:hint="eastAsia" w:ascii="Times New Roman" w:hAnsi="Times New Roman"/>
          <w:color w:val="auto"/>
          <w:szCs w:val="21"/>
          <w:highlight w:val="none"/>
        </w:rPr>
        <w:t>不论何种原因造成工程的实际进度与第</w:t>
      </w:r>
      <w:r>
        <w:rPr>
          <w:rFonts w:ascii="Times New Roman" w:hAnsi="Times New Roman"/>
          <w:color w:val="auto"/>
          <w:szCs w:val="21"/>
          <w:highlight w:val="none"/>
        </w:rPr>
        <w:t>10.1</w:t>
      </w:r>
      <w:r>
        <w:rPr>
          <w:rFonts w:hint="eastAsia" w:ascii="Times New Roman" w:hAnsi="Times New Roman"/>
          <w:color w:val="auto"/>
          <w:szCs w:val="21"/>
          <w:highlight w:val="none"/>
        </w:rPr>
        <w:t>款的合同进度计划不符时，承包人可以在专用合同条款约定的期限内向监理人提交修订合同进度计划的申请报告，并附有关措施和相关资料，报监理人审批；监理人也可以直接向承包人作出修订合同进度计划的指示，承包人应按该指示修订合同进度计划，报监理人审批。监理人应在专用合同条款约定的期限内批复。监理人在批复前应获得发包人同意。</w:t>
      </w:r>
    </w:p>
    <w:p w14:paraId="65824EBA">
      <w:pPr>
        <w:pStyle w:val="54"/>
        <w:keepNext/>
        <w:keepLines/>
        <w:spacing w:before="480" w:after="240" w:line="380" w:lineRule="atLeast"/>
        <w:outlineLvl w:val="2"/>
        <w:rPr>
          <w:rFonts w:ascii="Times New Roman" w:hAnsi="Times New Roman" w:eastAsia="黑体"/>
          <w:bCs/>
          <w:color w:val="auto"/>
          <w:kern w:val="44"/>
          <w:szCs w:val="21"/>
          <w:highlight w:val="none"/>
          <w:lang w:val="zh-CN"/>
        </w:rPr>
      </w:pPr>
      <w:bookmarkStart w:id="117" w:name="_Toc13316"/>
      <w:r>
        <w:rPr>
          <w:rFonts w:ascii="Times New Roman" w:hAnsi="Times New Roman" w:eastAsia="黑体"/>
          <w:bCs/>
          <w:color w:val="auto"/>
          <w:kern w:val="44"/>
          <w:szCs w:val="21"/>
          <w:highlight w:val="none"/>
          <w:lang w:val="zh-CN"/>
        </w:rPr>
        <w:t xml:space="preserve">11. </w:t>
      </w:r>
      <w:r>
        <w:rPr>
          <w:rFonts w:hint="eastAsia" w:ascii="Times New Roman" w:hAnsi="Times New Roman" w:eastAsia="黑体"/>
          <w:bCs/>
          <w:color w:val="auto"/>
          <w:kern w:val="44"/>
          <w:szCs w:val="21"/>
          <w:highlight w:val="none"/>
          <w:lang w:val="zh-CN"/>
        </w:rPr>
        <w:t>开工和竣工</w:t>
      </w:r>
      <w:bookmarkEnd w:id="117"/>
    </w:p>
    <w:p w14:paraId="1296B1EF">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11.1 </w:t>
      </w:r>
      <w:r>
        <w:rPr>
          <w:rFonts w:hint="eastAsia" w:ascii="Times New Roman" w:hAnsi="Times New Roman" w:eastAsia="黑体"/>
          <w:bCs/>
          <w:color w:val="auto"/>
          <w:kern w:val="44"/>
          <w:szCs w:val="21"/>
          <w:highlight w:val="none"/>
          <w:lang w:val="zh-CN"/>
        </w:rPr>
        <w:t>开工</w:t>
      </w:r>
    </w:p>
    <w:p w14:paraId="4C341730">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11.1.1 </w:t>
      </w:r>
      <w:r>
        <w:rPr>
          <w:rFonts w:hint="eastAsia" w:ascii="Times New Roman" w:hAnsi="Times New Roman"/>
          <w:color w:val="auto"/>
          <w:szCs w:val="21"/>
          <w:highlight w:val="none"/>
        </w:rPr>
        <w:t>监理人应在开工日期</w:t>
      </w:r>
      <w:r>
        <w:rPr>
          <w:rFonts w:ascii="Times New Roman" w:hAnsi="Times New Roman"/>
          <w:color w:val="auto"/>
          <w:szCs w:val="21"/>
          <w:highlight w:val="none"/>
        </w:rPr>
        <w:t>7</w:t>
      </w:r>
      <w:r>
        <w:rPr>
          <w:rFonts w:hint="eastAsia" w:ascii="Times New Roman" w:hAnsi="Times New Roman"/>
          <w:color w:val="auto"/>
          <w:szCs w:val="21"/>
          <w:highlight w:val="none"/>
        </w:rPr>
        <w:t>天前向承包人发出开工通知。监理人在发出开工通知前应获得发包人同意。工期自监理人发出的开工通知中载明的开工日期起计算。承包人应在开工日期后尽快施工。</w:t>
      </w:r>
    </w:p>
    <w:p w14:paraId="17505CEE">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11.1.2 </w:t>
      </w:r>
      <w:r>
        <w:rPr>
          <w:rFonts w:hint="eastAsia" w:ascii="Times New Roman" w:hAnsi="Times New Roman"/>
          <w:color w:val="auto"/>
          <w:szCs w:val="21"/>
          <w:highlight w:val="none"/>
        </w:rPr>
        <w:t>承包人应按第</w:t>
      </w:r>
      <w:r>
        <w:rPr>
          <w:rFonts w:ascii="Times New Roman" w:hAnsi="Times New Roman"/>
          <w:color w:val="auto"/>
          <w:szCs w:val="21"/>
          <w:highlight w:val="none"/>
        </w:rPr>
        <w:t>10.1</w:t>
      </w:r>
      <w:r>
        <w:rPr>
          <w:rFonts w:hint="eastAsia" w:ascii="Times New Roman" w:hAnsi="Times New Roman"/>
          <w:color w:val="auto"/>
          <w:szCs w:val="21"/>
          <w:highlight w:val="none"/>
        </w:rPr>
        <w:t>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14:paraId="6F7FE359">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11.2</w:t>
      </w:r>
      <w:r>
        <w:rPr>
          <w:rFonts w:ascii="Times New Roman" w:hAnsi="Times New Roman" w:eastAsia="黑体"/>
          <w:bCs/>
          <w:color w:val="auto"/>
          <w:kern w:val="44"/>
          <w:szCs w:val="21"/>
          <w:highlight w:val="none"/>
          <w:lang w:val="zh-CN"/>
        </w:rPr>
        <w:tab/>
      </w:r>
      <w:r>
        <w:rPr>
          <w:rFonts w:ascii="Times New Roman" w:hAnsi="Times New Roman" w:eastAsia="黑体"/>
          <w:bCs/>
          <w:color w:val="auto"/>
          <w:kern w:val="44"/>
          <w:szCs w:val="21"/>
          <w:highlight w:val="none"/>
          <w:lang w:val="zh-CN"/>
        </w:rPr>
        <w:t xml:space="preserve"> </w:t>
      </w:r>
      <w:r>
        <w:rPr>
          <w:rFonts w:hint="eastAsia" w:ascii="Times New Roman" w:hAnsi="Times New Roman" w:eastAsia="黑体"/>
          <w:bCs/>
          <w:color w:val="auto"/>
          <w:kern w:val="44"/>
          <w:szCs w:val="21"/>
          <w:highlight w:val="none"/>
          <w:lang w:val="zh-CN"/>
        </w:rPr>
        <w:t>竣工</w:t>
      </w:r>
    </w:p>
    <w:p w14:paraId="71584661">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承包人应在第</w:t>
      </w:r>
      <w:r>
        <w:rPr>
          <w:rFonts w:ascii="Times New Roman" w:hAnsi="Times New Roman"/>
          <w:color w:val="auto"/>
          <w:szCs w:val="21"/>
          <w:highlight w:val="none"/>
        </w:rPr>
        <w:t>1.1.4.3</w:t>
      </w:r>
      <w:r>
        <w:rPr>
          <w:rFonts w:hint="eastAsia" w:ascii="Times New Roman" w:hAnsi="Times New Roman"/>
          <w:color w:val="auto"/>
          <w:szCs w:val="21"/>
          <w:highlight w:val="none"/>
        </w:rPr>
        <w:t>目约定的期限内完成合同工程。实际竣工日期在接收证书中写明。</w:t>
      </w:r>
    </w:p>
    <w:p w14:paraId="70A02814">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11.3 </w:t>
      </w:r>
      <w:r>
        <w:rPr>
          <w:rFonts w:hint="eastAsia" w:ascii="Times New Roman" w:hAnsi="Times New Roman" w:eastAsia="黑体"/>
          <w:bCs/>
          <w:color w:val="auto"/>
          <w:kern w:val="44"/>
          <w:szCs w:val="21"/>
          <w:highlight w:val="none"/>
          <w:lang w:val="zh-CN"/>
        </w:rPr>
        <w:t>发包人的工期延误</w:t>
      </w:r>
    </w:p>
    <w:p w14:paraId="6A6A70EF">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在履行合同过程中，由于发包人的下列原因造成工期延误的，承包人有权要求发包人延长工期和（或）增加费用，并支付合理利润。需要修订合同进度计划的，按照第</w:t>
      </w:r>
      <w:r>
        <w:rPr>
          <w:rFonts w:ascii="Times New Roman" w:hAnsi="Times New Roman"/>
          <w:color w:val="auto"/>
          <w:szCs w:val="21"/>
          <w:highlight w:val="none"/>
        </w:rPr>
        <w:t>10.2</w:t>
      </w:r>
      <w:r>
        <w:rPr>
          <w:rFonts w:hint="eastAsia" w:ascii="Times New Roman" w:hAnsi="Times New Roman"/>
          <w:color w:val="auto"/>
          <w:szCs w:val="21"/>
          <w:highlight w:val="none"/>
        </w:rPr>
        <w:t>款的约定办理。</w:t>
      </w:r>
    </w:p>
    <w:p w14:paraId="138F5D80">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1</w:t>
      </w:r>
      <w:r>
        <w:rPr>
          <w:rFonts w:hint="eastAsia" w:ascii="Times New Roman" w:hAnsi="Times New Roman"/>
          <w:color w:val="auto"/>
          <w:szCs w:val="21"/>
          <w:highlight w:val="none"/>
        </w:rPr>
        <w:t>）增加合同工作内容</w:t>
      </w:r>
      <w:r>
        <w:rPr>
          <w:rFonts w:ascii="Times New Roman" w:hAnsi="Times New Roman"/>
          <w:color w:val="auto"/>
          <w:szCs w:val="21"/>
          <w:highlight w:val="none"/>
        </w:rPr>
        <w:t>;</w:t>
      </w:r>
    </w:p>
    <w:p w14:paraId="1C055FEF">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2</w:t>
      </w:r>
      <w:r>
        <w:rPr>
          <w:rFonts w:hint="eastAsia" w:ascii="Times New Roman" w:hAnsi="Times New Roman"/>
          <w:color w:val="auto"/>
          <w:szCs w:val="21"/>
          <w:highlight w:val="none"/>
        </w:rPr>
        <w:t>）改变合同中任何一项工作的质量要求或其他特性；</w:t>
      </w:r>
    </w:p>
    <w:p w14:paraId="20B9AEF3">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3</w:t>
      </w:r>
      <w:r>
        <w:rPr>
          <w:rFonts w:hint="eastAsia" w:ascii="Times New Roman" w:hAnsi="Times New Roman"/>
          <w:color w:val="auto"/>
          <w:szCs w:val="21"/>
          <w:highlight w:val="none"/>
        </w:rPr>
        <w:t>）发包人迟延提供材料、工程设备或变更交货地点的；</w:t>
      </w:r>
    </w:p>
    <w:p w14:paraId="319A8644">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4</w:t>
      </w:r>
      <w:r>
        <w:rPr>
          <w:rFonts w:hint="eastAsia" w:ascii="Times New Roman" w:hAnsi="Times New Roman"/>
          <w:color w:val="auto"/>
          <w:szCs w:val="21"/>
          <w:highlight w:val="none"/>
        </w:rPr>
        <w:t>）因发包人原因导致的暂停施工；</w:t>
      </w:r>
    </w:p>
    <w:p w14:paraId="6662DC12">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5</w:t>
      </w:r>
      <w:r>
        <w:rPr>
          <w:rFonts w:hint="eastAsia" w:ascii="Times New Roman" w:hAnsi="Times New Roman"/>
          <w:color w:val="auto"/>
          <w:szCs w:val="21"/>
          <w:highlight w:val="none"/>
        </w:rPr>
        <w:t>）提供图纸延误；</w:t>
      </w:r>
    </w:p>
    <w:p w14:paraId="139E9B00">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6</w:t>
      </w:r>
      <w:r>
        <w:rPr>
          <w:rFonts w:hint="eastAsia" w:ascii="Times New Roman" w:hAnsi="Times New Roman"/>
          <w:color w:val="auto"/>
          <w:szCs w:val="21"/>
          <w:highlight w:val="none"/>
        </w:rPr>
        <w:t>）未按合同约定及时支付预付款、进度款；</w:t>
      </w:r>
    </w:p>
    <w:p w14:paraId="13C9A191">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7</w:t>
      </w:r>
      <w:r>
        <w:rPr>
          <w:rFonts w:hint="eastAsia" w:ascii="Times New Roman" w:hAnsi="Times New Roman"/>
          <w:color w:val="auto"/>
          <w:szCs w:val="21"/>
          <w:highlight w:val="none"/>
        </w:rPr>
        <w:t>）发包人造成工期延误的其他原因。</w:t>
      </w:r>
    </w:p>
    <w:p w14:paraId="22574DD1">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11.4</w:t>
      </w:r>
      <w:r>
        <w:rPr>
          <w:rFonts w:hint="eastAsia" w:ascii="Times New Roman" w:hAnsi="Times New Roman" w:eastAsia="黑体"/>
          <w:bCs/>
          <w:color w:val="auto"/>
          <w:kern w:val="44"/>
          <w:szCs w:val="21"/>
          <w:highlight w:val="none"/>
          <w:lang w:val="zh-CN"/>
        </w:rPr>
        <w:t>异常恶劣的气候条件</w:t>
      </w:r>
    </w:p>
    <w:p w14:paraId="7692F7EF">
      <w:pPr>
        <w:pStyle w:val="54"/>
        <w:spacing w:line="400" w:lineRule="atLeast"/>
        <w:rPr>
          <w:rFonts w:ascii="Times New Roman" w:hAnsi="Times New Roman"/>
          <w:color w:val="auto"/>
          <w:szCs w:val="21"/>
          <w:highlight w:val="none"/>
        </w:rPr>
      </w:pPr>
      <w:r>
        <w:rPr>
          <w:rFonts w:ascii="Times New Roman" w:hAnsi="Times New Roman"/>
          <w:color w:val="auto"/>
          <w:szCs w:val="21"/>
          <w:highlight w:val="none"/>
        </w:rPr>
        <w:t xml:space="preserve">    </w:t>
      </w:r>
      <w:r>
        <w:rPr>
          <w:rFonts w:hint="eastAsia" w:ascii="Times New Roman" w:hAnsi="Times New Roman"/>
          <w:color w:val="auto"/>
          <w:szCs w:val="21"/>
          <w:highlight w:val="none"/>
        </w:rPr>
        <w:t>由于出现专用合同条款约定的异常恶劣气候的条件导致工期延误的，承包人有权要求发包人延长工期。</w:t>
      </w:r>
    </w:p>
    <w:p w14:paraId="7A4DE1C7">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11.5 </w:t>
      </w:r>
      <w:r>
        <w:rPr>
          <w:rFonts w:hint="eastAsia" w:ascii="Times New Roman" w:hAnsi="Times New Roman" w:eastAsia="黑体"/>
          <w:bCs/>
          <w:color w:val="auto"/>
          <w:kern w:val="44"/>
          <w:szCs w:val="21"/>
          <w:highlight w:val="none"/>
          <w:lang w:val="zh-CN"/>
        </w:rPr>
        <w:t>承包人的工期延误</w:t>
      </w:r>
    </w:p>
    <w:p w14:paraId="227CEC08">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14:paraId="1CE5FBF7">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11.6 </w:t>
      </w:r>
      <w:r>
        <w:rPr>
          <w:rFonts w:hint="eastAsia" w:ascii="Times New Roman" w:hAnsi="Times New Roman" w:eastAsia="黑体"/>
          <w:bCs/>
          <w:color w:val="auto"/>
          <w:kern w:val="44"/>
          <w:szCs w:val="21"/>
          <w:highlight w:val="none"/>
          <w:lang w:val="zh-CN"/>
        </w:rPr>
        <w:t>工期提前</w:t>
      </w:r>
    </w:p>
    <w:p w14:paraId="25339E94">
      <w:pPr>
        <w:pStyle w:val="54"/>
        <w:spacing w:line="400" w:lineRule="atLeas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发包人要求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w:t>
      </w:r>
      <w:r>
        <w:rPr>
          <w:rFonts w:ascii="Times New Roman" w:hAnsi="Times New Roman"/>
          <w:color w:val="auto"/>
          <w:szCs w:val="21"/>
          <w:highlight w:val="none"/>
        </w:rPr>
        <w:t xml:space="preserve"> </w:t>
      </w:r>
      <w:bookmarkStart w:id="118" w:name="_Toc2304"/>
    </w:p>
    <w:p w14:paraId="5F12698F">
      <w:pPr>
        <w:pStyle w:val="54"/>
        <w:spacing w:line="400" w:lineRule="atLeast"/>
        <w:rPr>
          <w:rFonts w:ascii="Times New Roman" w:hAnsi="Times New Roman"/>
          <w:color w:val="auto"/>
          <w:szCs w:val="21"/>
          <w:highlight w:val="none"/>
        </w:rPr>
      </w:pPr>
      <w:r>
        <w:rPr>
          <w:rFonts w:ascii="Times New Roman" w:hAnsi="Times New Roman" w:eastAsia="黑体"/>
          <w:bCs/>
          <w:color w:val="auto"/>
          <w:kern w:val="44"/>
          <w:szCs w:val="21"/>
          <w:highlight w:val="none"/>
          <w:lang w:val="zh-CN"/>
        </w:rPr>
        <w:t xml:space="preserve">12. </w:t>
      </w:r>
      <w:r>
        <w:rPr>
          <w:rFonts w:hint="eastAsia" w:ascii="Times New Roman" w:hAnsi="Times New Roman" w:eastAsia="黑体"/>
          <w:bCs/>
          <w:color w:val="auto"/>
          <w:kern w:val="44"/>
          <w:szCs w:val="21"/>
          <w:highlight w:val="none"/>
          <w:lang w:val="zh-CN"/>
        </w:rPr>
        <w:t>暂停施工</w:t>
      </w:r>
      <w:bookmarkEnd w:id="118"/>
    </w:p>
    <w:p w14:paraId="3767BE9C">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12.1 </w:t>
      </w:r>
      <w:r>
        <w:rPr>
          <w:rFonts w:hint="eastAsia" w:ascii="Times New Roman" w:hAnsi="Times New Roman" w:eastAsia="黑体"/>
          <w:bCs/>
          <w:color w:val="auto"/>
          <w:kern w:val="44"/>
          <w:szCs w:val="21"/>
          <w:highlight w:val="none"/>
          <w:lang w:val="zh-CN"/>
        </w:rPr>
        <w:t>承包人暂停施工的责任</w:t>
      </w:r>
    </w:p>
    <w:p w14:paraId="04ACC410">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因下列暂停施工增加的费用和（或）工期延误由承包人承担：</w:t>
      </w:r>
    </w:p>
    <w:p w14:paraId="483B3CF3">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1</w:t>
      </w:r>
      <w:r>
        <w:rPr>
          <w:rFonts w:hint="eastAsia" w:ascii="Times New Roman" w:hAnsi="Times New Roman"/>
          <w:color w:val="auto"/>
          <w:szCs w:val="21"/>
          <w:highlight w:val="none"/>
        </w:rPr>
        <w:t>）承包人违约引起的暂停施工；</w:t>
      </w:r>
    </w:p>
    <w:p w14:paraId="5262041E">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2</w:t>
      </w:r>
      <w:r>
        <w:rPr>
          <w:rFonts w:hint="eastAsia" w:ascii="Times New Roman" w:hAnsi="Times New Roman"/>
          <w:color w:val="auto"/>
          <w:szCs w:val="21"/>
          <w:highlight w:val="none"/>
        </w:rPr>
        <w:t>）由于承包人原因为工程合理施工和安全保障所必需的暂停施工；</w:t>
      </w:r>
    </w:p>
    <w:p w14:paraId="35DE07A9">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3</w:t>
      </w:r>
      <w:r>
        <w:rPr>
          <w:rFonts w:hint="eastAsia" w:ascii="Times New Roman" w:hAnsi="Times New Roman"/>
          <w:color w:val="auto"/>
          <w:szCs w:val="21"/>
          <w:highlight w:val="none"/>
        </w:rPr>
        <w:t>）承包人擅自暂停施工；</w:t>
      </w:r>
    </w:p>
    <w:p w14:paraId="0DD0799C">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4</w:t>
      </w:r>
      <w:r>
        <w:rPr>
          <w:rFonts w:hint="eastAsia" w:ascii="Times New Roman" w:hAnsi="Times New Roman"/>
          <w:color w:val="auto"/>
          <w:szCs w:val="21"/>
          <w:highlight w:val="none"/>
        </w:rPr>
        <w:t>）承包人其他原因引起的暂停施工；</w:t>
      </w:r>
    </w:p>
    <w:p w14:paraId="49865FAA">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5</w:t>
      </w:r>
      <w:r>
        <w:rPr>
          <w:rFonts w:hint="eastAsia" w:ascii="Times New Roman" w:hAnsi="Times New Roman"/>
          <w:color w:val="auto"/>
          <w:szCs w:val="21"/>
          <w:highlight w:val="none"/>
        </w:rPr>
        <w:t>）专用合同条款约定由承包人承担的其他暂停施工。</w:t>
      </w:r>
    </w:p>
    <w:p w14:paraId="4366C292">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12.2 </w:t>
      </w:r>
      <w:r>
        <w:rPr>
          <w:rFonts w:hint="eastAsia" w:ascii="Times New Roman" w:hAnsi="Times New Roman" w:eastAsia="黑体"/>
          <w:bCs/>
          <w:color w:val="auto"/>
          <w:kern w:val="44"/>
          <w:szCs w:val="21"/>
          <w:highlight w:val="none"/>
          <w:lang w:val="zh-CN"/>
        </w:rPr>
        <w:t>发包人暂停施工的责任</w:t>
      </w:r>
    </w:p>
    <w:p w14:paraId="13848A11">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由于发包人原因引起的暂停施工造成工期延误的，承包人有权要求发包人延长工期和（或）增加费用，并支付合理利润。</w:t>
      </w:r>
    </w:p>
    <w:p w14:paraId="5695492A">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12.3 </w:t>
      </w:r>
      <w:r>
        <w:rPr>
          <w:rFonts w:hint="eastAsia" w:ascii="Times New Roman" w:hAnsi="Times New Roman" w:eastAsia="黑体"/>
          <w:bCs/>
          <w:color w:val="auto"/>
          <w:kern w:val="44"/>
          <w:szCs w:val="21"/>
          <w:highlight w:val="none"/>
          <w:lang w:val="zh-CN"/>
        </w:rPr>
        <w:t>监理人暂停施工指示</w:t>
      </w:r>
    </w:p>
    <w:p w14:paraId="5BF29EE8">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12.3.1 </w:t>
      </w:r>
      <w:r>
        <w:rPr>
          <w:rFonts w:hint="eastAsia" w:ascii="Times New Roman" w:hAnsi="Times New Roman"/>
          <w:color w:val="auto"/>
          <w:szCs w:val="21"/>
          <w:highlight w:val="none"/>
        </w:rPr>
        <w:t>监理人认为有必要时，可向承包人作出暂停施工的指示，承包人应按监理人指示暂停施工。不论由于何种原因引起的暂停施工，暂停施工期间承包人应负责妥善保护工程并提供安全保障。</w:t>
      </w:r>
    </w:p>
    <w:p w14:paraId="53C29202">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12.3.2 </w:t>
      </w:r>
      <w:r>
        <w:rPr>
          <w:rFonts w:hint="eastAsia" w:ascii="Times New Roman" w:hAnsi="Times New Roman"/>
          <w:color w:val="auto"/>
          <w:szCs w:val="21"/>
          <w:highlight w:val="none"/>
        </w:rPr>
        <w:t>由于发包人的原因发生暂停施工的紧急情况，且监理人未及时下达暂停施工指示的，承包人可先暂停施工，并及时向监理人提出暂停施工的书面请求。监理人应在接到书面请求后的</w:t>
      </w:r>
      <w:r>
        <w:rPr>
          <w:rFonts w:ascii="Times New Roman" w:hAnsi="Times New Roman"/>
          <w:color w:val="auto"/>
          <w:szCs w:val="21"/>
          <w:highlight w:val="none"/>
        </w:rPr>
        <w:t>24</w:t>
      </w:r>
      <w:r>
        <w:rPr>
          <w:rFonts w:hint="eastAsia" w:ascii="Times New Roman" w:hAnsi="Times New Roman"/>
          <w:color w:val="auto"/>
          <w:szCs w:val="21"/>
          <w:highlight w:val="none"/>
        </w:rPr>
        <w:t>小时内予以答复，逾期未答复的，视为同意承包人的暂停施工请求。</w:t>
      </w:r>
    </w:p>
    <w:p w14:paraId="7DFF46A1">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12.4 </w:t>
      </w:r>
      <w:r>
        <w:rPr>
          <w:rFonts w:hint="eastAsia" w:ascii="Times New Roman" w:hAnsi="Times New Roman" w:eastAsia="黑体"/>
          <w:bCs/>
          <w:color w:val="auto"/>
          <w:kern w:val="44"/>
          <w:szCs w:val="21"/>
          <w:highlight w:val="none"/>
          <w:lang w:val="zh-CN"/>
        </w:rPr>
        <w:t>暂停施工后的复工</w:t>
      </w:r>
    </w:p>
    <w:p w14:paraId="288FA767">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12.4.1</w:t>
      </w:r>
      <w:r>
        <w:rPr>
          <w:rFonts w:hint="eastAsia" w:ascii="Times New Roman" w:hAnsi="Times New Roman"/>
          <w:color w:val="auto"/>
          <w:szCs w:val="21"/>
          <w:highlight w:val="none"/>
        </w:rPr>
        <w:t>暂停施工后，监理人应与发包人和承包人协商，采取有效措施积极消除暂停施工的影响。当工程具备复工条件时，监理人应立即向承包人发出复工通知。承包人收到复工通知后，应在监理人指定的期限内复工。</w:t>
      </w:r>
    </w:p>
    <w:p w14:paraId="333367F0">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12.4.2</w:t>
      </w:r>
      <w:r>
        <w:rPr>
          <w:rFonts w:hint="eastAsia" w:ascii="Times New Roman" w:hAnsi="Times New Roman"/>
          <w:color w:val="auto"/>
          <w:szCs w:val="21"/>
          <w:highlight w:val="none"/>
        </w:rPr>
        <w:t>承包人无故拖延和拒绝复工的，由此增加的费用和工期延误由承包人承担；因发包人原因无法按时复工的，承包人有权要求发包人延长工期和（或）增加费用，并支付合理利润。</w:t>
      </w:r>
    </w:p>
    <w:p w14:paraId="338022FD">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12.5 </w:t>
      </w:r>
      <w:r>
        <w:rPr>
          <w:rFonts w:hint="eastAsia" w:ascii="Times New Roman" w:hAnsi="Times New Roman" w:eastAsia="黑体"/>
          <w:bCs/>
          <w:color w:val="auto"/>
          <w:kern w:val="44"/>
          <w:szCs w:val="21"/>
          <w:highlight w:val="none"/>
          <w:lang w:val="zh-CN"/>
        </w:rPr>
        <w:t>暂停施工持续</w:t>
      </w:r>
      <w:r>
        <w:rPr>
          <w:rFonts w:ascii="Times New Roman" w:hAnsi="Times New Roman" w:eastAsia="黑体"/>
          <w:bCs/>
          <w:color w:val="auto"/>
          <w:kern w:val="44"/>
          <w:szCs w:val="21"/>
          <w:highlight w:val="none"/>
          <w:lang w:val="zh-CN"/>
        </w:rPr>
        <w:t>56</w:t>
      </w:r>
      <w:r>
        <w:rPr>
          <w:rFonts w:hint="eastAsia" w:ascii="Times New Roman" w:hAnsi="Times New Roman" w:eastAsia="黑体"/>
          <w:bCs/>
          <w:color w:val="auto"/>
          <w:kern w:val="44"/>
          <w:szCs w:val="21"/>
          <w:highlight w:val="none"/>
          <w:lang w:val="zh-CN"/>
        </w:rPr>
        <w:t>天以上</w:t>
      </w:r>
    </w:p>
    <w:p w14:paraId="74E81F91">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12.5.1</w:t>
      </w:r>
      <w:r>
        <w:rPr>
          <w:rFonts w:hint="eastAsia" w:ascii="Times New Roman" w:hAnsi="Times New Roman"/>
          <w:color w:val="auto"/>
          <w:szCs w:val="21"/>
          <w:highlight w:val="none"/>
        </w:rPr>
        <w:t>监理人发出暂停施工指示后</w:t>
      </w:r>
      <w:r>
        <w:rPr>
          <w:rFonts w:ascii="Times New Roman" w:hAnsi="Times New Roman"/>
          <w:color w:val="auto"/>
          <w:szCs w:val="21"/>
          <w:highlight w:val="none"/>
        </w:rPr>
        <w:t>56</w:t>
      </w:r>
      <w:r>
        <w:rPr>
          <w:rFonts w:hint="eastAsia" w:ascii="Times New Roman" w:hAnsi="Times New Roman"/>
          <w:color w:val="auto"/>
          <w:szCs w:val="21"/>
          <w:highlight w:val="none"/>
        </w:rPr>
        <w:t>天内未向承包人发出复工通知，除了该项停工属于第</w:t>
      </w:r>
      <w:r>
        <w:rPr>
          <w:rFonts w:ascii="Times New Roman" w:hAnsi="Times New Roman"/>
          <w:color w:val="auto"/>
          <w:szCs w:val="21"/>
          <w:highlight w:val="none"/>
        </w:rPr>
        <w:t>12.1</w:t>
      </w:r>
      <w:r>
        <w:rPr>
          <w:rFonts w:hint="eastAsia" w:ascii="Times New Roman" w:hAnsi="Times New Roman"/>
          <w:color w:val="auto"/>
          <w:szCs w:val="21"/>
          <w:highlight w:val="none"/>
        </w:rPr>
        <w:t>款的情况外，承包人可向监理人提交书面通知，要求监理人在收到书面通知后</w:t>
      </w:r>
      <w:r>
        <w:rPr>
          <w:rFonts w:ascii="Times New Roman" w:hAnsi="Times New Roman"/>
          <w:color w:val="auto"/>
          <w:szCs w:val="21"/>
          <w:highlight w:val="none"/>
        </w:rPr>
        <w:t>28</w:t>
      </w:r>
      <w:r>
        <w:rPr>
          <w:rFonts w:hint="eastAsia" w:ascii="Times New Roman" w:hAnsi="Times New Roman"/>
          <w:color w:val="auto"/>
          <w:szCs w:val="21"/>
          <w:highlight w:val="none"/>
        </w:rPr>
        <w:t>天内准许已暂停施工的工程或其中一部分工程继续施工。如监理人逾期不予批准，则承包人可以通知监理人，将工程受影响的部分视为按第</w:t>
      </w:r>
      <w:r>
        <w:rPr>
          <w:rFonts w:ascii="Times New Roman" w:hAnsi="Times New Roman"/>
          <w:color w:val="auto"/>
          <w:szCs w:val="21"/>
          <w:highlight w:val="none"/>
        </w:rPr>
        <w:t>15.1</w:t>
      </w:r>
      <w:r>
        <w:rPr>
          <w:rFonts w:hint="eastAsia" w:ascii="Times New Roman" w:hAnsi="Times New Roman"/>
          <w:color w:val="auto"/>
          <w:szCs w:val="21"/>
          <w:highlight w:val="none"/>
        </w:rPr>
        <w:t>（</w:t>
      </w:r>
      <w:r>
        <w:rPr>
          <w:rFonts w:ascii="Times New Roman" w:hAnsi="Times New Roman"/>
          <w:color w:val="auto"/>
          <w:szCs w:val="21"/>
          <w:highlight w:val="none"/>
        </w:rPr>
        <w:t>1</w:t>
      </w:r>
      <w:r>
        <w:rPr>
          <w:rFonts w:hint="eastAsia" w:ascii="Times New Roman" w:hAnsi="Times New Roman"/>
          <w:color w:val="auto"/>
          <w:szCs w:val="21"/>
          <w:highlight w:val="none"/>
        </w:rPr>
        <w:t>）项的可取消工作。如暂停施工影响到整个工程，可视为发包人违约，应按第</w:t>
      </w:r>
      <w:r>
        <w:rPr>
          <w:rFonts w:ascii="Times New Roman" w:hAnsi="Times New Roman"/>
          <w:color w:val="auto"/>
          <w:szCs w:val="21"/>
          <w:highlight w:val="none"/>
        </w:rPr>
        <w:t>22.2</w:t>
      </w:r>
      <w:r>
        <w:rPr>
          <w:rFonts w:hint="eastAsia" w:ascii="Times New Roman" w:hAnsi="Times New Roman"/>
          <w:color w:val="auto"/>
          <w:szCs w:val="21"/>
          <w:highlight w:val="none"/>
        </w:rPr>
        <w:t>款的约定办理。</w:t>
      </w:r>
    </w:p>
    <w:p w14:paraId="48801124">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12.5.2</w:t>
      </w:r>
      <w:r>
        <w:rPr>
          <w:rFonts w:hint="eastAsia" w:ascii="Times New Roman" w:hAnsi="Times New Roman"/>
          <w:color w:val="auto"/>
          <w:szCs w:val="21"/>
          <w:highlight w:val="none"/>
        </w:rPr>
        <w:t>由于承包人责任引起的暂停施工，如承包人在收到监理人暂停施工指示后</w:t>
      </w:r>
      <w:r>
        <w:rPr>
          <w:rFonts w:ascii="Times New Roman" w:hAnsi="Times New Roman"/>
          <w:color w:val="auto"/>
          <w:szCs w:val="21"/>
          <w:highlight w:val="none"/>
        </w:rPr>
        <w:t>56</w:t>
      </w:r>
      <w:r>
        <w:rPr>
          <w:rFonts w:hint="eastAsia" w:ascii="Times New Roman" w:hAnsi="Times New Roman"/>
          <w:color w:val="auto"/>
          <w:szCs w:val="21"/>
          <w:highlight w:val="none"/>
        </w:rPr>
        <w:t>天内不认真采取有效的复工措施，造成工期延误，可视为承包人违约，应按第</w:t>
      </w:r>
      <w:r>
        <w:rPr>
          <w:rFonts w:ascii="Times New Roman" w:hAnsi="Times New Roman"/>
          <w:color w:val="auto"/>
          <w:szCs w:val="21"/>
          <w:highlight w:val="none"/>
        </w:rPr>
        <w:t>22.1</w:t>
      </w:r>
      <w:r>
        <w:rPr>
          <w:rFonts w:hint="eastAsia" w:ascii="Times New Roman" w:hAnsi="Times New Roman"/>
          <w:color w:val="auto"/>
          <w:szCs w:val="21"/>
          <w:highlight w:val="none"/>
        </w:rPr>
        <w:t>款的约定办理。</w:t>
      </w:r>
    </w:p>
    <w:p w14:paraId="22D3ED2E">
      <w:pPr>
        <w:pStyle w:val="54"/>
        <w:keepNext/>
        <w:keepLines/>
        <w:spacing w:before="480" w:after="240" w:line="380" w:lineRule="atLeast"/>
        <w:outlineLvl w:val="2"/>
        <w:rPr>
          <w:rFonts w:ascii="Times New Roman" w:hAnsi="Times New Roman" w:eastAsia="黑体"/>
          <w:bCs/>
          <w:color w:val="auto"/>
          <w:kern w:val="44"/>
          <w:szCs w:val="21"/>
          <w:highlight w:val="none"/>
          <w:lang w:val="zh-CN"/>
        </w:rPr>
      </w:pPr>
      <w:bookmarkStart w:id="119" w:name="_Toc20226"/>
      <w:r>
        <w:rPr>
          <w:rFonts w:ascii="Times New Roman" w:hAnsi="Times New Roman" w:eastAsia="黑体"/>
          <w:bCs/>
          <w:color w:val="auto"/>
          <w:kern w:val="44"/>
          <w:szCs w:val="21"/>
          <w:highlight w:val="none"/>
          <w:lang w:val="zh-CN"/>
        </w:rPr>
        <w:t xml:space="preserve">13. </w:t>
      </w:r>
      <w:r>
        <w:rPr>
          <w:rFonts w:hint="eastAsia" w:ascii="Times New Roman" w:hAnsi="Times New Roman" w:eastAsia="黑体"/>
          <w:bCs/>
          <w:color w:val="auto"/>
          <w:kern w:val="44"/>
          <w:szCs w:val="21"/>
          <w:highlight w:val="none"/>
          <w:lang w:val="zh-CN"/>
        </w:rPr>
        <w:t>工程质量</w:t>
      </w:r>
      <w:bookmarkEnd w:id="119"/>
    </w:p>
    <w:p w14:paraId="77B47E99">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13.1 </w:t>
      </w:r>
      <w:r>
        <w:rPr>
          <w:rFonts w:hint="eastAsia" w:ascii="Times New Roman" w:hAnsi="Times New Roman" w:eastAsia="黑体"/>
          <w:bCs/>
          <w:color w:val="auto"/>
          <w:kern w:val="44"/>
          <w:szCs w:val="21"/>
          <w:highlight w:val="none"/>
          <w:lang w:val="zh-CN"/>
        </w:rPr>
        <w:t>工程质量要求</w:t>
      </w:r>
    </w:p>
    <w:p w14:paraId="531402D9">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13.1.1 </w:t>
      </w:r>
      <w:r>
        <w:rPr>
          <w:rFonts w:hint="eastAsia" w:ascii="Times New Roman" w:hAnsi="Times New Roman"/>
          <w:color w:val="auto"/>
          <w:szCs w:val="21"/>
          <w:highlight w:val="none"/>
        </w:rPr>
        <w:t>工程质量验收按合同约定验收标准执行。</w:t>
      </w:r>
    </w:p>
    <w:p w14:paraId="3F67ADF4">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13.1.2 </w:t>
      </w:r>
      <w:r>
        <w:rPr>
          <w:rFonts w:hint="eastAsia" w:ascii="Times New Roman" w:hAnsi="Times New Roman"/>
          <w:color w:val="auto"/>
          <w:szCs w:val="21"/>
          <w:highlight w:val="none"/>
        </w:rPr>
        <w:t>因承包人原因造成工程质量达不到合同约定验收标准的，监理人有权要求承包人返工直至符合合同要求为止，由此造成的费用增加和（或）工期延误由承包人承担。</w:t>
      </w:r>
    </w:p>
    <w:p w14:paraId="0F1EA1B2">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13.1.3 </w:t>
      </w:r>
      <w:r>
        <w:rPr>
          <w:rFonts w:hint="eastAsia" w:ascii="Times New Roman" w:hAnsi="Times New Roman"/>
          <w:color w:val="auto"/>
          <w:szCs w:val="21"/>
          <w:highlight w:val="none"/>
        </w:rPr>
        <w:t>因发包人原因造成工程质量达不到合同约定验收标准的，发包人应承担由于承包人返工造成的费用增加和（或）工期延误，并支付承包人合理利润。</w:t>
      </w:r>
    </w:p>
    <w:p w14:paraId="10A9C570">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13.2 </w:t>
      </w:r>
      <w:r>
        <w:rPr>
          <w:rFonts w:hint="eastAsia" w:ascii="Times New Roman" w:hAnsi="Times New Roman" w:eastAsia="黑体"/>
          <w:bCs/>
          <w:color w:val="auto"/>
          <w:kern w:val="44"/>
          <w:szCs w:val="21"/>
          <w:highlight w:val="none"/>
          <w:lang w:val="zh-CN"/>
        </w:rPr>
        <w:t>承包人的质量管理</w:t>
      </w:r>
    </w:p>
    <w:p w14:paraId="101F9D51">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13.2.1 </w:t>
      </w:r>
      <w:r>
        <w:rPr>
          <w:rFonts w:hint="eastAsia" w:ascii="Times New Roman" w:hAnsi="Times New Roman"/>
          <w:color w:val="auto"/>
          <w:szCs w:val="21"/>
          <w:highlight w:val="none"/>
        </w:rPr>
        <w:t>承包人应在施工场地设置专门的质量检查机构，配备专职质量检查人员，建立完善的质量检查制度。承包人应在合同约定的期限内，提交工程质量保证措施文件，包括质量检查机构的组织和岗位责任、质检人员的组成、质量检查程序和实施细则等，报送监理人审批。</w:t>
      </w:r>
    </w:p>
    <w:p w14:paraId="4239EA59">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13.2.2 </w:t>
      </w:r>
      <w:r>
        <w:rPr>
          <w:rFonts w:hint="eastAsia" w:ascii="Times New Roman" w:hAnsi="Times New Roman"/>
          <w:color w:val="auto"/>
          <w:szCs w:val="21"/>
          <w:highlight w:val="none"/>
        </w:rPr>
        <w:t>承包人应加强对施工人员的质量教育和技术培训，定期考核施工人员的劳动技能，严格执行规范和操作规程。</w:t>
      </w:r>
    </w:p>
    <w:p w14:paraId="5C336EE5">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13.3 </w:t>
      </w:r>
      <w:r>
        <w:rPr>
          <w:rFonts w:hint="eastAsia" w:ascii="Times New Roman" w:hAnsi="Times New Roman" w:eastAsia="黑体"/>
          <w:bCs/>
          <w:color w:val="auto"/>
          <w:kern w:val="44"/>
          <w:szCs w:val="21"/>
          <w:highlight w:val="none"/>
          <w:lang w:val="zh-CN"/>
        </w:rPr>
        <w:t>承包人的质量检查</w:t>
      </w:r>
    </w:p>
    <w:p w14:paraId="08D836E7">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承包人应按合同约定对材料、工程设备以及工程的所有部位及其施工工艺进行全过程的质量检查和检验，并作详细记录，编制工程质量报表，报送监理人审查。</w:t>
      </w:r>
    </w:p>
    <w:p w14:paraId="3F01391D">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13.4 </w:t>
      </w:r>
      <w:r>
        <w:rPr>
          <w:rFonts w:hint="eastAsia" w:ascii="Times New Roman" w:hAnsi="Times New Roman" w:eastAsia="黑体"/>
          <w:bCs/>
          <w:color w:val="auto"/>
          <w:kern w:val="44"/>
          <w:szCs w:val="21"/>
          <w:highlight w:val="none"/>
          <w:lang w:val="zh-CN"/>
        </w:rPr>
        <w:t>监理人的质量检查</w:t>
      </w:r>
    </w:p>
    <w:p w14:paraId="47E490D6">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14:paraId="078C925D">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13.5 </w:t>
      </w:r>
      <w:r>
        <w:rPr>
          <w:rFonts w:hint="eastAsia" w:ascii="Times New Roman" w:hAnsi="Times New Roman" w:eastAsia="黑体"/>
          <w:bCs/>
          <w:color w:val="auto"/>
          <w:kern w:val="44"/>
          <w:szCs w:val="21"/>
          <w:highlight w:val="none"/>
          <w:lang w:val="zh-CN"/>
        </w:rPr>
        <w:t>工程隐蔽部位覆盖前的检查</w:t>
      </w:r>
    </w:p>
    <w:p w14:paraId="2CB25001">
      <w:pPr>
        <w:pStyle w:val="54"/>
        <w:spacing w:line="400" w:lineRule="atLeast"/>
        <w:ind w:firstLine="411" w:firstLineChars="196"/>
        <w:rPr>
          <w:rFonts w:ascii="Times New Roman" w:hAnsi="Times New Roman"/>
          <w:color w:val="auto"/>
          <w:szCs w:val="21"/>
          <w:highlight w:val="none"/>
        </w:rPr>
      </w:pPr>
      <w:r>
        <w:rPr>
          <w:rFonts w:ascii="Times New Roman" w:hAnsi="Times New Roman"/>
          <w:color w:val="auto"/>
          <w:szCs w:val="21"/>
          <w:highlight w:val="none"/>
        </w:rPr>
        <w:t xml:space="preserve">13.5.1 </w:t>
      </w:r>
      <w:r>
        <w:rPr>
          <w:rFonts w:hint="eastAsia" w:ascii="Times New Roman" w:hAnsi="Times New Roman" w:eastAsia="黑体"/>
          <w:color w:val="auto"/>
          <w:szCs w:val="21"/>
          <w:highlight w:val="none"/>
        </w:rPr>
        <w:t>通知监理人检查</w:t>
      </w:r>
      <w:r>
        <w:rPr>
          <w:rFonts w:ascii="Times New Roman" w:hAnsi="Times New Roman" w:eastAsia="黑体"/>
          <w:color w:val="auto"/>
          <w:szCs w:val="21"/>
          <w:highlight w:val="none"/>
        </w:rPr>
        <w:t xml:space="preserve"> </w:t>
      </w:r>
    </w:p>
    <w:p w14:paraId="16C7F2E8">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14:paraId="24CCD81C">
      <w:pPr>
        <w:pStyle w:val="54"/>
        <w:spacing w:line="400" w:lineRule="atLeast"/>
        <w:ind w:firstLine="411" w:firstLineChars="196"/>
        <w:rPr>
          <w:rFonts w:ascii="Times New Roman" w:hAnsi="Times New Roman" w:eastAsia="黑体"/>
          <w:color w:val="auto"/>
          <w:szCs w:val="21"/>
          <w:highlight w:val="none"/>
        </w:rPr>
      </w:pPr>
      <w:r>
        <w:rPr>
          <w:rFonts w:ascii="Times New Roman" w:hAnsi="Times New Roman"/>
          <w:color w:val="auto"/>
          <w:szCs w:val="21"/>
          <w:highlight w:val="none"/>
        </w:rPr>
        <w:t>13.5.2</w:t>
      </w:r>
      <w:r>
        <w:rPr>
          <w:rFonts w:ascii="Times New Roman" w:hAnsi="Times New Roman" w:eastAsia="黑体"/>
          <w:color w:val="auto"/>
          <w:szCs w:val="21"/>
          <w:highlight w:val="none"/>
        </w:rPr>
        <w:t xml:space="preserve"> </w:t>
      </w:r>
      <w:r>
        <w:rPr>
          <w:rFonts w:hint="eastAsia" w:ascii="Times New Roman" w:hAnsi="Times New Roman" w:eastAsia="黑体"/>
          <w:color w:val="auto"/>
          <w:szCs w:val="21"/>
          <w:highlight w:val="none"/>
        </w:rPr>
        <w:t>监理人未到场检查</w:t>
      </w:r>
    </w:p>
    <w:p w14:paraId="76BC698E">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监理人未按第</w:t>
      </w:r>
      <w:r>
        <w:rPr>
          <w:rFonts w:ascii="Times New Roman" w:hAnsi="Times New Roman"/>
          <w:color w:val="auto"/>
          <w:szCs w:val="21"/>
          <w:highlight w:val="none"/>
        </w:rPr>
        <w:t>13.5.1</w:t>
      </w:r>
      <w:r>
        <w:rPr>
          <w:rFonts w:hint="eastAsia" w:ascii="Times New Roman" w:hAnsi="Times New Roman"/>
          <w:color w:val="auto"/>
          <w:szCs w:val="21"/>
          <w:highlight w:val="none"/>
        </w:rPr>
        <w:t>项约定的时间进行检查的，除监理人另有指示外，承包人可自行完成覆盖工作，并作相应记录报送监理人，监理人应签字确认。监理人事后对检查记录有疑问的，可按第</w:t>
      </w:r>
      <w:r>
        <w:rPr>
          <w:rFonts w:ascii="Times New Roman" w:hAnsi="Times New Roman"/>
          <w:color w:val="auto"/>
          <w:szCs w:val="21"/>
          <w:highlight w:val="none"/>
        </w:rPr>
        <w:t>13.5.3</w:t>
      </w:r>
      <w:r>
        <w:rPr>
          <w:rFonts w:hint="eastAsia" w:ascii="Times New Roman" w:hAnsi="Times New Roman"/>
          <w:color w:val="auto"/>
          <w:szCs w:val="21"/>
          <w:highlight w:val="none"/>
        </w:rPr>
        <w:t>项的约定重新检查。</w:t>
      </w:r>
    </w:p>
    <w:p w14:paraId="1A5FE555">
      <w:pPr>
        <w:pStyle w:val="54"/>
        <w:spacing w:line="400" w:lineRule="atLeast"/>
        <w:ind w:firstLine="411" w:firstLineChars="196"/>
        <w:rPr>
          <w:rFonts w:ascii="Times New Roman" w:hAnsi="Times New Roman"/>
          <w:color w:val="auto"/>
          <w:szCs w:val="21"/>
          <w:highlight w:val="none"/>
        </w:rPr>
      </w:pPr>
      <w:r>
        <w:rPr>
          <w:rFonts w:ascii="Times New Roman" w:hAnsi="Times New Roman"/>
          <w:color w:val="auto"/>
          <w:szCs w:val="21"/>
          <w:highlight w:val="none"/>
        </w:rPr>
        <w:t>13.5.3</w:t>
      </w:r>
      <w:r>
        <w:rPr>
          <w:rFonts w:ascii="Times New Roman" w:hAnsi="Times New Roman" w:eastAsia="黑体"/>
          <w:color w:val="auto"/>
          <w:szCs w:val="21"/>
          <w:highlight w:val="none"/>
        </w:rPr>
        <w:t xml:space="preserve"> </w:t>
      </w:r>
      <w:r>
        <w:rPr>
          <w:rFonts w:hint="eastAsia" w:ascii="Times New Roman" w:hAnsi="Times New Roman" w:eastAsia="黑体"/>
          <w:color w:val="auto"/>
          <w:szCs w:val="21"/>
          <w:highlight w:val="none"/>
        </w:rPr>
        <w:t>监理人重新检查</w:t>
      </w:r>
    </w:p>
    <w:p w14:paraId="4E46EC70">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承包人按第</w:t>
      </w:r>
      <w:r>
        <w:rPr>
          <w:rFonts w:ascii="Times New Roman" w:hAnsi="Times New Roman"/>
          <w:color w:val="auto"/>
          <w:szCs w:val="21"/>
          <w:highlight w:val="none"/>
        </w:rPr>
        <w:t>13.5.1</w:t>
      </w:r>
      <w:r>
        <w:rPr>
          <w:rFonts w:hint="eastAsia" w:ascii="Times New Roman" w:hAnsi="Times New Roman"/>
          <w:color w:val="auto"/>
          <w:szCs w:val="21"/>
          <w:highlight w:val="none"/>
        </w:rPr>
        <w:t>项或</w:t>
      </w:r>
      <w:r>
        <w:rPr>
          <w:rFonts w:ascii="Times New Roman" w:hAnsi="Times New Roman"/>
          <w:color w:val="auto"/>
          <w:szCs w:val="21"/>
          <w:highlight w:val="none"/>
        </w:rPr>
        <w:t>13.5.2</w:t>
      </w:r>
      <w:r>
        <w:rPr>
          <w:rFonts w:hint="eastAsia" w:ascii="Times New Roman" w:hAnsi="Times New Roman"/>
          <w:color w:val="auto"/>
          <w:szCs w:val="21"/>
          <w:highlight w:val="none"/>
        </w:rPr>
        <w:t>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4A41007B">
      <w:pPr>
        <w:pStyle w:val="54"/>
        <w:spacing w:line="400" w:lineRule="atLeast"/>
        <w:ind w:firstLine="411" w:firstLineChars="196"/>
        <w:rPr>
          <w:rFonts w:ascii="Times New Roman" w:hAnsi="Times New Roman"/>
          <w:color w:val="auto"/>
          <w:szCs w:val="21"/>
          <w:highlight w:val="none"/>
        </w:rPr>
      </w:pPr>
      <w:r>
        <w:rPr>
          <w:rFonts w:ascii="Times New Roman" w:hAnsi="Times New Roman"/>
          <w:color w:val="auto"/>
          <w:szCs w:val="21"/>
          <w:highlight w:val="none"/>
        </w:rPr>
        <w:t xml:space="preserve">13.5.4 </w:t>
      </w:r>
      <w:r>
        <w:rPr>
          <w:rFonts w:hint="eastAsia" w:ascii="Times New Roman" w:hAnsi="Times New Roman" w:eastAsia="黑体"/>
          <w:color w:val="auto"/>
          <w:szCs w:val="21"/>
          <w:highlight w:val="none"/>
        </w:rPr>
        <w:t>承包人私自覆盖</w:t>
      </w:r>
    </w:p>
    <w:p w14:paraId="29A054EC">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承包人未通知监理人到场检查，私自将工程隐蔽部位覆盖的，监理人有权指示承包人钻孔探测或揭开检查，由此增加的费用和（或）工期延误由承包人承担。</w:t>
      </w:r>
    </w:p>
    <w:p w14:paraId="302624E8">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13.6 </w:t>
      </w:r>
      <w:r>
        <w:rPr>
          <w:rFonts w:hint="eastAsia" w:ascii="Times New Roman" w:hAnsi="Times New Roman" w:eastAsia="黑体"/>
          <w:bCs/>
          <w:color w:val="auto"/>
          <w:kern w:val="44"/>
          <w:szCs w:val="21"/>
          <w:highlight w:val="none"/>
          <w:lang w:val="zh-CN"/>
        </w:rPr>
        <w:t>清除不合格工程</w:t>
      </w:r>
    </w:p>
    <w:p w14:paraId="2FBDE7F8">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13.6.1</w:t>
      </w:r>
      <w:r>
        <w:rPr>
          <w:rFonts w:hint="eastAsia" w:ascii="Times New Roman" w:hAnsi="Times New Roman"/>
          <w:color w:val="auto"/>
          <w:szCs w:val="21"/>
          <w:highlight w:val="none"/>
        </w:rPr>
        <w:t>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4D909B13">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13.6.2</w:t>
      </w:r>
      <w:r>
        <w:rPr>
          <w:rFonts w:hint="eastAsia" w:ascii="Times New Roman" w:hAnsi="Times New Roman"/>
          <w:color w:val="auto"/>
          <w:szCs w:val="21"/>
          <w:highlight w:val="none"/>
        </w:rPr>
        <w:t>由于发包人提供的材料或工程设备不合格造成的工程不合格，需要承包人采取措施补救的，发包人应承担由此增加的费用和（或）工期延误，并支付承包人合理利润。</w:t>
      </w:r>
    </w:p>
    <w:p w14:paraId="1AEC9446">
      <w:pPr>
        <w:pStyle w:val="54"/>
        <w:keepNext/>
        <w:keepLines/>
        <w:spacing w:before="480" w:after="240" w:line="380" w:lineRule="atLeast"/>
        <w:outlineLvl w:val="2"/>
        <w:rPr>
          <w:rFonts w:ascii="Times New Roman" w:hAnsi="Times New Roman" w:eastAsia="黑体"/>
          <w:bCs/>
          <w:color w:val="auto"/>
          <w:kern w:val="44"/>
          <w:szCs w:val="21"/>
          <w:highlight w:val="none"/>
          <w:lang w:val="zh-CN"/>
        </w:rPr>
      </w:pPr>
      <w:bookmarkStart w:id="120" w:name="_Toc12237"/>
      <w:r>
        <w:rPr>
          <w:rFonts w:ascii="Times New Roman" w:hAnsi="Times New Roman" w:eastAsia="黑体"/>
          <w:bCs/>
          <w:color w:val="auto"/>
          <w:kern w:val="44"/>
          <w:szCs w:val="21"/>
          <w:highlight w:val="none"/>
          <w:lang w:val="zh-CN"/>
        </w:rPr>
        <w:t xml:space="preserve">14. </w:t>
      </w:r>
      <w:r>
        <w:rPr>
          <w:rFonts w:hint="eastAsia" w:ascii="Times New Roman" w:hAnsi="Times New Roman" w:eastAsia="黑体"/>
          <w:bCs/>
          <w:color w:val="auto"/>
          <w:kern w:val="44"/>
          <w:szCs w:val="21"/>
          <w:highlight w:val="none"/>
          <w:lang w:val="zh-CN"/>
        </w:rPr>
        <w:t>试验和检验</w:t>
      </w:r>
      <w:bookmarkEnd w:id="120"/>
    </w:p>
    <w:p w14:paraId="38C93069">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14.1 </w:t>
      </w:r>
      <w:r>
        <w:rPr>
          <w:rFonts w:hint="eastAsia" w:ascii="Times New Roman" w:hAnsi="Times New Roman" w:eastAsia="黑体"/>
          <w:bCs/>
          <w:color w:val="auto"/>
          <w:kern w:val="44"/>
          <w:szCs w:val="21"/>
          <w:highlight w:val="none"/>
          <w:lang w:val="zh-CN"/>
        </w:rPr>
        <w:t>材料、工程设备和工程的试验和检验</w:t>
      </w:r>
    </w:p>
    <w:p w14:paraId="53ACFA80">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14.1.1 </w:t>
      </w:r>
      <w:r>
        <w:rPr>
          <w:rFonts w:hint="eastAsia" w:ascii="Times New Roman" w:hAnsi="Times New Roman"/>
          <w:color w:val="auto"/>
          <w:szCs w:val="21"/>
          <w:highlight w:val="none"/>
        </w:rPr>
        <w:t>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295DE8A2">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14.1.2 </w:t>
      </w:r>
      <w:r>
        <w:rPr>
          <w:rFonts w:hint="eastAsia" w:ascii="Times New Roman" w:hAnsi="Times New Roman"/>
          <w:color w:val="auto"/>
          <w:szCs w:val="21"/>
          <w:highlight w:val="none"/>
        </w:rPr>
        <w:t>监理人未按合同约定派员参加试验和检验的，除监理人另有指示外，承包人可自行试验和检验，并应立即将试验和检验结果报送监理人，监理人应签字确认。</w:t>
      </w:r>
    </w:p>
    <w:p w14:paraId="41B98084">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14.1.3 </w:t>
      </w:r>
      <w:r>
        <w:rPr>
          <w:rFonts w:hint="eastAsia" w:ascii="Times New Roman" w:hAnsi="Times New Roman"/>
          <w:color w:val="auto"/>
          <w:szCs w:val="21"/>
          <w:highlight w:val="none"/>
        </w:rPr>
        <w:t>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77E136FD">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14.2 </w:t>
      </w:r>
      <w:r>
        <w:rPr>
          <w:rFonts w:hint="eastAsia" w:ascii="Times New Roman" w:hAnsi="Times New Roman" w:eastAsia="黑体"/>
          <w:bCs/>
          <w:color w:val="auto"/>
          <w:kern w:val="44"/>
          <w:szCs w:val="21"/>
          <w:highlight w:val="none"/>
          <w:lang w:val="zh-CN"/>
        </w:rPr>
        <w:t>现场材料试验</w:t>
      </w:r>
    </w:p>
    <w:p w14:paraId="62D3C644">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14.2.1 </w:t>
      </w:r>
      <w:r>
        <w:rPr>
          <w:rFonts w:hint="eastAsia" w:ascii="Times New Roman" w:hAnsi="Times New Roman"/>
          <w:color w:val="auto"/>
          <w:szCs w:val="21"/>
          <w:highlight w:val="none"/>
        </w:rPr>
        <w:t>承包人根据合同约定或监理人指示进行的现场材料试验，应由承包人提供试验场所、试验人员、试验设备器材以及其他必要的试验条件。</w:t>
      </w:r>
    </w:p>
    <w:p w14:paraId="2E96C020">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14.2.2 </w:t>
      </w:r>
      <w:r>
        <w:rPr>
          <w:rFonts w:hint="eastAsia" w:ascii="Times New Roman" w:hAnsi="Times New Roman"/>
          <w:color w:val="auto"/>
          <w:szCs w:val="21"/>
          <w:highlight w:val="none"/>
        </w:rPr>
        <w:t>监理人在必要时可以使用承包人的试验场所、试验设备器材以及其他试验条件，进行以工程质量检查为目的的复核性材料试验，承包人应予以协助。</w:t>
      </w:r>
    </w:p>
    <w:p w14:paraId="7731BD7E">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14.3 </w:t>
      </w:r>
      <w:r>
        <w:rPr>
          <w:rFonts w:hint="eastAsia" w:ascii="Times New Roman" w:hAnsi="Times New Roman" w:eastAsia="黑体"/>
          <w:bCs/>
          <w:color w:val="auto"/>
          <w:kern w:val="44"/>
          <w:szCs w:val="21"/>
          <w:highlight w:val="none"/>
          <w:lang w:val="zh-CN"/>
        </w:rPr>
        <w:t>现场工艺试验</w:t>
      </w:r>
    </w:p>
    <w:p w14:paraId="7494D1C5">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承包人应按合同约定或监理人指示进行现场工艺试验。对大型的现场工艺试验，监理人认为必要时，应由承包人根据监理人提出的工艺试验要求，编制工艺试验措施计划，报送监理人审批。</w:t>
      </w:r>
    </w:p>
    <w:p w14:paraId="22D63203">
      <w:pPr>
        <w:pStyle w:val="54"/>
        <w:keepNext/>
        <w:keepLines/>
        <w:spacing w:before="480" w:after="240" w:line="380" w:lineRule="atLeast"/>
        <w:outlineLvl w:val="2"/>
        <w:rPr>
          <w:rFonts w:ascii="Times New Roman" w:hAnsi="Times New Roman" w:eastAsia="黑体"/>
          <w:bCs/>
          <w:color w:val="auto"/>
          <w:kern w:val="44"/>
          <w:szCs w:val="21"/>
          <w:highlight w:val="none"/>
          <w:lang w:val="zh-CN"/>
        </w:rPr>
      </w:pPr>
      <w:bookmarkStart w:id="121" w:name="_Toc12261"/>
      <w:r>
        <w:rPr>
          <w:rFonts w:ascii="Times New Roman" w:hAnsi="Times New Roman" w:eastAsia="黑体"/>
          <w:bCs/>
          <w:color w:val="auto"/>
          <w:kern w:val="44"/>
          <w:szCs w:val="21"/>
          <w:highlight w:val="none"/>
          <w:lang w:val="zh-CN"/>
        </w:rPr>
        <w:t xml:space="preserve">15. </w:t>
      </w:r>
      <w:r>
        <w:rPr>
          <w:rFonts w:hint="eastAsia" w:ascii="Times New Roman" w:hAnsi="Times New Roman" w:eastAsia="黑体"/>
          <w:bCs/>
          <w:color w:val="auto"/>
          <w:kern w:val="44"/>
          <w:szCs w:val="21"/>
          <w:highlight w:val="none"/>
          <w:lang w:val="zh-CN"/>
        </w:rPr>
        <w:t>变更</w:t>
      </w:r>
      <w:bookmarkEnd w:id="121"/>
    </w:p>
    <w:p w14:paraId="240AB748">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15.1 </w:t>
      </w:r>
      <w:r>
        <w:rPr>
          <w:rFonts w:hint="eastAsia" w:ascii="Times New Roman" w:hAnsi="Times New Roman" w:eastAsia="黑体"/>
          <w:bCs/>
          <w:color w:val="auto"/>
          <w:kern w:val="44"/>
          <w:szCs w:val="21"/>
          <w:highlight w:val="none"/>
          <w:lang w:val="zh-CN"/>
        </w:rPr>
        <w:t>变更的范围和内容</w:t>
      </w:r>
    </w:p>
    <w:p w14:paraId="5D728D8A">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除专用合同条款另有约定外，在履行合同中发生以下情形之一，应按照本条规定进行变更。</w:t>
      </w:r>
    </w:p>
    <w:p w14:paraId="01F29F3E">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1</w:t>
      </w:r>
      <w:r>
        <w:rPr>
          <w:rFonts w:hint="eastAsia" w:ascii="Times New Roman" w:hAnsi="Times New Roman"/>
          <w:color w:val="auto"/>
          <w:szCs w:val="21"/>
          <w:highlight w:val="none"/>
        </w:rPr>
        <w:t>）取消合同中任何一项工作，但被取消的工作不能转由发包人或其他人实施；</w:t>
      </w:r>
    </w:p>
    <w:p w14:paraId="5E049E3E">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2</w:t>
      </w:r>
      <w:r>
        <w:rPr>
          <w:rFonts w:hint="eastAsia" w:ascii="Times New Roman" w:hAnsi="Times New Roman"/>
          <w:color w:val="auto"/>
          <w:szCs w:val="21"/>
          <w:highlight w:val="none"/>
        </w:rPr>
        <w:t>）改变合同中任何一项工作的质量或其他特性；</w:t>
      </w:r>
    </w:p>
    <w:p w14:paraId="5CD69379">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3</w:t>
      </w:r>
      <w:r>
        <w:rPr>
          <w:rFonts w:hint="eastAsia" w:ascii="Times New Roman" w:hAnsi="Times New Roman"/>
          <w:color w:val="auto"/>
          <w:szCs w:val="21"/>
          <w:highlight w:val="none"/>
        </w:rPr>
        <w:t>）改变合同工程的基线、标高、位置或尺寸；</w:t>
      </w:r>
    </w:p>
    <w:p w14:paraId="733E08D5">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4</w:t>
      </w:r>
      <w:r>
        <w:rPr>
          <w:rFonts w:hint="eastAsia" w:ascii="Times New Roman" w:hAnsi="Times New Roman"/>
          <w:color w:val="auto"/>
          <w:szCs w:val="21"/>
          <w:highlight w:val="none"/>
        </w:rPr>
        <w:t>）改变合同中任何一项工作的施工时间或改变已批准的施工工艺或顺序；</w:t>
      </w:r>
    </w:p>
    <w:p w14:paraId="5C3266CF">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5</w:t>
      </w:r>
      <w:r>
        <w:rPr>
          <w:rFonts w:hint="eastAsia" w:ascii="Times New Roman" w:hAnsi="Times New Roman"/>
          <w:color w:val="auto"/>
          <w:szCs w:val="21"/>
          <w:highlight w:val="none"/>
        </w:rPr>
        <w:t>）为完成工程需要追加的额外工作。</w:t>
      </w:r>
    </w:p>
    <w:p w14:paraId="0300C75D">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15.2 </w:t>
      </w:r>
      <w:r>
        <w:rPr>
          <w:rFonts w:hint="eastAsia" w:ascii="Times New Roman" w:hAnsi="Times New Roman" w:eastAsia="黑体"/>
          <w:bCs/>
          <w:color w:val="auto"/>
          <w:kern w:val="44"/>
          <w:szCs w:val="21"/>
          <w:highlight w:val="none"/>
          <w:lang w:val="zh-CN"/>
        </w:rPr>
        <w:t>变更权</w:t>
      </w:r>
    </w:p>
    <w:p w14:paraId="5CA2E795">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在履行合同过程中，经发包人同意，监理人可按第</w:t>
      </w:r>
      <w:r>
        <w:rPr>
          <w:rFonts w:ascii="Times New Roman" w:hAnsi="Times New Roman"/>
          <w:color w:val="auto"/>
          <w:szCs w:val="21"/>
          <w:highlight w:val="none"/>
        </w:rPr>
        <w:t>15.3</w:t>
      </w:r>
      <w:r>
        <w:rPr>
          <w:rFonts w:hint="eastAsia" w:ascii="Times New Roman" w:hAnsi="Times New Roman"/>
          <w:color w:val="auto"/>
          <w:szCs w:val="21"/>
          <w:highlight w:val="none"/>
        </w:rPr>
        <w:t>款约定的变更程序向承包人作出变更指示，承包人应遵照执行。没有监理人的变更指示，承包人不得擅自变更。</w:t>
      </w:r>
    </w:p>
    <w:p w14:paraId="522BF1B5">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15.3 </w:t>
      </w:r>
      <w:r>
        <w:rPr>
          <w:rFonts w:hint="eastAsia" w:ascii="Times New Roman" w:hAnsi="Times New Roman" w:eastAsia="黑体"/>
          <w:bCs/>
          <w:color w:val="auto"/>
          <w:kern w:val="44"/>
          <w:szCs w:val="21"/>
          <w:highlight w:val="none"/>
          <w:lang w:val="zh-CN"/>
        </w:rPr>
        <w:t>变更程序</w:t>
      </w:r>
    </w:p>
    <w:p w14:paraId="5B529FCD">
      <w:pPr>
        <w:pStyle w:val="54"/>
        <w:spacing w:line="400" w:lineRule="atLeast"/>
        <w:ind w:firstLine="411" w:firstLineChars="196"/>
        <w:rPr>
          <w:rFonts w:ascii="Times New Roman" w:hAnsi="Times New Roman"/>
          <w:color w:val="auto"/>
          <w:szCs w:val="21"/>
          <w:highlight w:val="none"/>
        </w:rPr>
      </w:pPr>
      <w:r>
        <w:rPr>
          <w:rFonts w:ascii="Times New Roman" w:hAnsi="Times New Roman"/>
          <w:color w:val="auto"/>
          <w:szCs w:val="21"/>
          <w:highlight w:val="none"/>
        </w:rPr>
        <w:t xml:space="preserve">15.3.1 </w:t>
      </w:r>
      <w:r>
        <w:rPr>
          <w:rFonts w:hint="eastAsia" w:ascii="Times New Roman" w:hAnsi="Times New Roman" w:eastAsia="黑体"/>
          <w:color w:val="auto"/>
          <w:szCs w:val="21"/>
          <w:highlight w:val="none"/>
        </w:rPr>
        <w:t>变更的提出</w:t>
      </w:r>
    </w:p>
    <w:p w14:paraId="2237866E">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1</w:t>
      </w:r>
      <w:r>
        <w:rPr>
          <w:rFonts w:hint="eastAsia" w:ascii="Times New Roman" w:hAnsi="Times New Roman"/>
          <w:color w:val="auto"/>
          <w:szCs w:val="21"/>
          <w:highlight w:val="none"/>
        </w:rPr>
        <w:t>）在合同履行过程中，可能发生第</w:t>
      </w:r>
      <w:r>
        <w:rPr>
          <w:rFonts w:ascii="Times New Roman" w:hAnsi="Times New Roman"/>
          <w:color w:val="auto"/>
          <w:szCs w:val="21"/>
          <w:highlight w:val="none"/>
        </w:rPr>
        <w:t>15.1</w:t>
      </w:r>
      <w:r>
        <w:rPr>
          <w:rFonts w:hint="eastAsia" w:ascii="Times New Roman" w:hAnsi="Times New Roman"/>
          <w:color w:val="auto"/>
          <w:szCs w:val="21"/>
          <w:highlight w:val="none"/>
        </w:rPr>
        <w:t>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w:t>
      </w:r>
      <w:r>
        <w:rPr>
          <w:rFonts w:ascii="Times New Roman" w:hAnsi="Times New Roman"/>
          <w:color w:val="auto"/>
          <w:szCs w:val="21"/>
          <w:highlight w:val="none"/>
        </w:rPr>
        <w:t>15.3.3</w:t>
      </w:r>
      <w:r>
        <w:rPr>
          <w:rFonts w:hint="eastAsia" w:ascii="Times New Roman" w:hAnsi="Times New Roman"/>
          <w:color w:val="auto"/>
          <w:szCs w:val="21"/>
          <w:highlight w:val="none"/>
        </w:rPr>
        <w:t>项约定发出变更指示。</w:t>
      </w:r>
    </w:p>
    <w:p w14:paraId="22CB1BEA">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2</w:t>
      </w:r>
      <w:r>
        <w:rPr>
          <w:rFonts w:hint="eastAsia" w:ascii="Times New Roman" w:hAnsi="Times New Roman"/>
          <w:color w:val="auto"/>
          <w:szCs w:val="21"/>
          <w:highlight w:val="none"/>
        </w:rPr>
        <w:t>）在合同履行过程中，发生第</w:t>
      </w:r>
      <w:r>
        <w:rPr>
          <w:rFonts w:ascii="Times New Roman" w:hAnsi="Times New Roman"/>
          <w:color w:val="auto"/>
          <w:szCs w:val="21"/>
          <w:highlight w:val="none"/>
        </w:rPr>
        <w:t>15.1</w:t>
      </w:r>
      <w:r>
        <w:rPr>
          <w:rFonts w:hint="eastAsia" w:ascii="Times New Roman" w:hAnsi="Times New Roman"/>
          <w:color w:val="auto"/>
          <w:szCs w:val="21"/>
          <w:highlight w:val="none"/>
        </w:rPr>
        <w:t>款约定情形的，监理人应按照第</w:t>
      </w:r>
      <w:r>
        <w:rPr>
          <w:rFonts w:ascii="Times New Roman" w:hAnsi="Times New Roman"/>
          <w:color w:val="auto"/>
          <w:szCs w:val="21"/>
          <w:highlight w:val="none"/>
        </w:rPr>
        <w:t>15.3.3</w:t>
      </w:r>
      <w:r>
        <w:rPr>
          <w:rFonts w:hint="eastAsia" w:ascii="Times New Roman" w:hAnsi="Times New Roman"/>
          <w:color w:val="auto"/>
          <w:szCs w:val="21"/>
          <w:highlight w:val="none"/>
        </w:rPr>
        <w:t>项约定向承包人发出变更指示。</w:t>
      </w:r>
    </w:p>
    <w:p w14:paraId="4C3FA729">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3</w:t>
      </w:r>
      <w:r>
        <w:rPr>
          <w:rFonts w:hint="eastAsia" w:ascii="Times New Roman" w:hAnsi="Times New Roman"/>
          <w:color w:val="auto"/>
          <w:szCs w:val="21"/>
          <w:highlight w:val="none"/>
        </w:rPr>
        <w:t>）承包人收到监理人按合同约定发出的图纸和文件，经检查认为其中存在第</w:t>
      </w:r>
      <w:r>
        <w:rPr>
          <w:rFonts w:ascii="Times New Roman" w:hAnsi="Times New Roman"/>
          <w:color w:val="auto"/>
          <w:szCs w:val="21"/>
          <w:highlight w:val="none"/>
        </w:rPr>
        <w:t>15.1</w:t>
      </w:r>
      <w:r>
        <w:rPr>
          <w:rFonts w:hint="eastAsia" w:ascii="Times New Roman" w:hAnsi="Times New Roman"/>
          <w:color w:val="auto"/>
          <w:szCs w:val="21"/>
          <w:highlight w:val="none"/>
        </w:rPr>
        <w:t>款约定情形的，可向监理人提出书面变更建议。变更建议应阐明要求变更的依据，并附必要的图纸和说明。监理人收到承包人书面建议后，应与发包人共同研究，确认存在变更的，应在收到承包人书面建议后的</w:t>
      </w:r>
      <w:r>
        <w:rPr>
          <w:rFonts w:ascii="Times New Roman" w:hAnsi="Times New Roman"/>
          <w:color w:val="auto"/>
          <w:szCs w:val="21"/>
          <w:highlight w:val="none"/>
        </w:rPr>
        <w:t>14</w:t>
      </w:r>
      <w:r>
        <w:rPr>
          <w:rFonts w:hint="eastAsia" w:ascii="Times New Roman" w:hAnsi="Times New Roman"/>
          <w:color w:val="auto"/>
          <w:szCs w:val="21"/>
          <w:highlight w:val="none"/>
        </w:rPr>
        <w:t>天内作出变更指示。经研究后不同意作为变更的，应由监理人书面答复承包人。</w:t>
      </w:r>
    </w:p>
    <w:p w14:paraId="1875BCBC">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4</w:t>
      </w:r>
      <w:r>
        <w:rPr>
          <w:rFonts w:hint="eastAsia" w:ascii="Times New Roman" w:hAnsi="Times New Roman"/>
          <w:color w:val="auto"/>
          <w:szCs w:val="21"/>
          <w:highlight w:val="none"/>
        </w:rPr>
        <w:t>）若承包人收到监理人的变更意向书后认为难以实施此项变更，应立即通知监理人，说明原因并附详细依据。监理人与承包人和发包人协商后确定撤销、改变或不改变原变更意向书。</w:t>
      </w:r>
    </w:p>
    <w:p w14:paraId="182A534E">
      <w:pPr>
        <w:pStyle w:val="54"/>
        <w:spacing w:line="400" w:lineRule="atLeast"/>
        <w:ind w:firstLine="411" w:firstLineChars="196"/>
        <w:rPr>
          <w:rFonts w:ascii="Times New Roman" w:hAnsi="Times New Roman"/>
          <w:color w:val="auto"/>
          <w:szCs w:val="21"/>
          <w:highlight w:val="none"/>
        </w:rPr>
      </w:pPr>
      <w:r>
        <w:rPr>
          <w:rFonts w:ascii="Times New Roman" w:hAnsi="Times New Roman"/>
          <w:color w:val="auto"/>
          <w:szCs w:val="21"/>
          <w:highlight w:val="none"/>
        </w:rPr>
        <w:t xml:space="preserve">15.3.2 </w:t>
      </w:r>
      <w:r>
        <w:rPr>
          <w:rFonts w:hint="eastAsia" w:ascii="Times New Roman" w:hAnsi="Times New Roman" w:eastAsia="黑体"/>
          <w:color w:val="auto"/>
          <w:szCs w:val="21"/>
          <w:highlight w:val="none"/>
        </w:rPr>
        <w:t>变更估价</w:t>
      </w:r>
    </w:p>
    <w:p w14:paraId="02D281DD">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1</w:t>
      </w:r>
      <w:r>
        <w:rPr>
          <w:rFonts w:hint="eastAsia" w:ascii="Times New Roman" w:hAnsi="Times New Roman"/>
          <w:color w:val="auto"/>
          <w:szCs w:val="21"/>
          <w:highlight w:val="none"/>
        </w:rPr>
        <w:t>）除专用合同条款对期限另有约定外，承包人应在收到变更指示或变更意向书后的</w:t>
      </w:r>
      <w:r>
        <w:rPr>
          <w:rFonts w:ascii="Times New Roman" w:hAnsi="Times New Roman"/>
          <w:color w:val="auto"/>
          <w:szCs w:val="21"/>
          <w:highlight w:val="none"/>
        </w:rPr>
        <w:t>14</w:t>
      </w:r>
      <w:r>
        <w:rPr>
          <w:rFonts w:hint="eastAsia" w:ascii="Times New Roman" w:hAnsi="Times New Roman"/>
          <w:color w:val="auto"/>
          <w:szCs w:val="21"/>
          <w:highlight w:val="none"/>
        </w:rPr>
        <w:t>天内，向监理人提交变更报价书，报价内容应根据第</w:t>
      </w:r>
      <w:r>
        <w:rPr>
          <w:rFonts w:ascii="Times New Roman" w:hAnsi="Times New Roman"/>
          <w:color w:val="auto"/>
          <w:szCs w:val="21"/>
          <w:highlight w:val="none"/>
        </w:rPr>
        <w:t>15.4</w:t>
      </w:r>
      <w:r>
        <w:rPr>
          <w:rFonts w:hint="eastAsia" w:ascii="Times New Roman" w:hAnsi="Times New Roman"/>
          <w:color w:val="auto"/>
          <w:szCs w:val="21"/>
          <w:highlight w:val="none"/>
        </w:rPr>
        <w:t>款约定的估价原则，详细开列变更工作的价格组成及其依据，并附必要的施工方法说明和有关图纸。</w:t>
      </w:r>
    </w:p>
    <w:p w14:paraId="696BBBD0">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2</w:t>
      </w:r>
      <w:r>
        <w:rPr>
          <w:rFonts w:hint="eastAsia" w:ascii="Times New Roman" w:hAnsi="Times New Roman"/>
          <w:color w:val="auto"/>
          <w:szCs w:val="21"/>
          <w:highlight w:val="none"/>
        </w:rPr>
        <w:t>）变更工作影响工期的，承包人应提出调整工期的具体细节。监理人认为有必要时，可要求承包人提交要求提前或延长工期的施工进度计划及相应施工措施等详细资料。</w:t>
      </w:r>
    </w:p>
    <w:p w14:paraId="02F24E3C">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3</w:t>
      </w:r>
      <w:r>
        <w:rPr>
          <w:rFonts w:hint="eastAsia" w:ascii="Times New Roman" w:hAnsi="Times New Roman"/>
          <w:color w:val="auto"/>
          <w:szCs w:val="21"/>
          <w:highlight w:val="none"/>
        </w:rPr>
        <w:t>）除专用合同条款对期限另有约定外，监理人收到承包人变更报价书后的</w:t>
      </w:r>
      <w:r>
        <w:rPr>
          <w:rFonts w:ascii="Times New Roman" w:hAnsi="Times New Roman"/>
          <w:color w:val="auto"/>
          <w:szCs w:val="21"/>
          <w:highlight w:val="none"/>
        </w:rPr>
        <w:t>14</w:t>
      </w:r>
      <w:r>
        <w:rPr>
          <w:rFonts w:hint="eastAsia" w:ascii="Times New Roman" w:hAnsi="Times New Roman"/>
          <w:color w:val="auto"/>
          <w:szCs w:val="21"/>
          <w:highlight w:val="none"/>
        </w:rPr>
        <w:t>天内，根据第</w:t>
      </w:r>
      <w:r>
        <w:rPr>
          <w:rFonts w:ascii="Times New Roman" w:hAnsi="Times New Roman"/>
          <w:color w:val="auto"/>
          <w:szCs w:val="21"/>
          <w:highlight w:val="none"/>
        </w:rPr>
        <w:t>15.4</w:t>
      </w:r>
      <w:r>
        <w:rPr>
          <w:rFonts w:hint="eastAsia" w:ascii="Times New Roman" w:hAnsi="Times New Roman"/>
          <w:color w:val="auto"/>
          <w:szCs w:val="21"/>
          <w:highlight w:val="none"/>
        </w:rPr>
        <w:t>款约定的估价原则，按照第</w:t>
      </w:r>
      <w:r>
        <w:rPr>
          <w:rFonts w:ascii="Times New Roman" w:hAnsi="Times New Roman"/>
          <w:color w:val="auto"/>
          <w:szCs w:val="21"/>
          <w:highlight w:val="none"/>
        </w:rPr>
        <w:t>3.5</w:t>
      </w:r>
      <w:r>
        <w:rPr>
          <w:rFonts w:hint="eastAsia" w:ascii="Times New Roman" w:hAnsi="Times New Roman"/>
          <w:color w:val="auto"/>
          <w:szCs w:val="21"/>
          <w:highlight w:val="none"/>
        </w:rPr>
        <w:t>款商定或确定变更价格。</w:t>
      </w:r>
    </w:p>
    <w:p w14:paraId="3BDECBF7">
      <w:pPr>
        <w:pStyle w:val="54"/>
        <w:spacing w:line="400" w:lineRule="atLeast"/>
        <w:ind w:firstLine="411" w:firstLineChars="196"/>
        <w:rPr>
          <w:rFonts w:ascii="Times New Roman" w:hAnsi="Times New Roman" w:eastAsia="黑体"/>
          <w:color w:val="auto"/>
          <w:szCs w:val="21"/>
          <w:highlight w:val="none"/>
        </w:rPr>
      </w:pPr>
      <w:r>
        <w:rPr>
          <w:rFonts w:ascii="Times New Roman" w:hAnsi="Times New Roman"/>
          <w:color w:val="auto"/>
          <w:szCs w:val="21"/>
          <w:highlight w:val="none"/>
        </w:rPr>
        <w:t>15.3.3</w:t>
      </w:r>
      <w:r>
        <w:rPr>
          <w:rFonts w:ascii="Times New Roman" w:hAnsi="Times New Roman" w:eastAsia="黑体"/>
          <w:color w:val="auto"/>
          <w:szCs w:val="21"/>
          <w:highlight w:val="none"/>
        </w:rPr>
        <w:t xml:space="preserve"> </w:t>
      </w:r>
      <w:r>
        <w:rPr>
          <w:rFonts w:hint="eastAsia" w:ascii="Times New Roman" w:hAnsi="Times New Roman" w:eastAsia="黑体"/>
          <w:color w:val="auto"/>
          <w:szCs w:val="21"/>
          <w:highlight w:val="none"/>
        </w:rPr>
        <w:t>变更指示</w:t>
      </w:r>
    </w:p>
    <w:p w14:paraId="574AED2E">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1</w:t>
      </w:r>
      <w:r>
        <w:rPr>
          <w:rFonts w:hint="eastAsia" w:ascii="Times New Roman" w:hAnsi="Times New Roman"/>
          <w:color w:val="auto"/>
          <w:szCs w:val="21"/>
          <w:highlight w:val="none"/>
        </w:rPr>
        <w:t>）变更指示只能由监理人发出。</w:t>
      </w:r>
    </w:p>
    <w:p w14:paraId="2FF37555">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2</w:t>
      </w:r>
      <w:r>
        <w:rPr>
          <w:rFonts w:hint="eastAsia" w:ascii="Times New Roman" w:hAnsi="Times New Roman"/>
          <w:color w:val="auto"/>
          <w:szCs w:val="21"/>
          <w:highlight w:val="none"/>
        </w:rPr>
        <w:t>）变更指示应说明变更的目的、范围、变更内容以及变更的工程量及其进度和技术要求，并附有关图纸和文件。承包人收到变更指示后，应按变更指示进行变更工作。</w:t>
      </w:r>
    </w:p>
    <w:p w14:paraId="3AC0B807">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15.4 </w:t>
      </w:r>
      <w:r>
        <w:rPr>
          <w:rFonts w:hint="eastAsia" w:ascii="Times New Roman" w:hAnsi="Times New Roman" w:eastAsia="黑体"/>
          <w:bCs/>
          <w:color w:val="auto"/>
          <w:kern w:val="44"/>
          <w:szCs w:val="21"/>
          <w:highlight w:val="none"/>
          <w:lang w:val="zh-CN"/>
        </w:rPr>
        <w:t>变更的估价原则</w:t>
      </w:r>
      <w:r>
        <w:rPr>
          <w:rFonts w:ascii="Times New Roman" w:hAnsi="Times New Roman" w:eastAsia="黑体"/>
          <w:bCs/>
          <w:color w:val="auto"/>
          <w:kern w:val="44"/>
          <w:szCs w:val="21"/>
          <w:highlight w:val="none"/>
          <w:lang w:val="zh-CN"/>
        </w:rPr>
        <w:t xml:space="preserve"> </w:t>
      </w:r>
    </w:p>
    <w:p w14:paraId="102C8204">
      <w:pPr>
        <w:pStyle w:val="54"/>
        <w:spacing w:line="400" w:lineRule="atLeast"/>
        <w:rPr>
          <w:rFonts w:ascii="Times New Roman" w:hAnsi="Times New Roman"/>
          <w:color w:val="auto"/>
          <w:szCs w:val="21"/>
          <w:highlight w:val="none"/>
        </w:rPr>
      </w:pPr>
      <w:r>
        <w:rPr>
          <w:rFonts w:ascii="Times New Roman" w:hAnsi="Times New Roman"/>
          <w:color w:val="auto"/>
          <w:szCs w:val="21"/>
          <w:highlight w:val="none"/>
        </w:rPr>
        <w:t xml:space="preserve">    </w:t>
      </w:r>
      <w:r>
        <w:rPr>
          <w:rFonts w:hint="eastAsia" w:ascii="Times New Roman" w:hAnsi="Times New Roman"/>
          <w:color w:val="auto"/>
          <w:szCs w:val="21"/>
          <w:highlight w:val="none"/>
        </w:rPr>
        <w:t>除专用合同条款另有约定外，因变更引起的价格调整按照本款约定处理。</w:t>
      </w:r>
    </w:p>
    <w:p w14:paraId="653020D7">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15.4.1 </w:t>
      </w:r>
      <w:r>
        <w:rPr>
          <w:rFonts w:hint="eastAsia" w:ascii="Times New Roman" w:hAnsi="Times New Roman"/>
          <w:color w:val="auto"/>
          <w:szCs w:val="21"/>
          <w:highlight w:val="none"/>
        </w:rPr>
        <w:t>已标价工程量清单中有适用于变更工作的子目的，采用该子目的单价。</w:t>
      </w:r>
    </w:p>
    <w:p w14:paraId="43B91206">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15.4.2 </w:t>
      </w:r>
      <w:r>
        <w:rPr>
          <w:rFonts w:hint="eastAsia" w:ascii="Times New Roman" w:hAnsi="Times New Roman"/>
          <w:color w:val="auto"/>
          <w:szCs w:val="21"/>
          <w:highlight w:val="none"/>
        </w:rPr>
        <w:t>已标价工程量清单中无适用于变更工作的子目，但有类似子目的，可在合理范围内参照类似子目的单价，由监理人按第</w:t>
      </w:r>
      <w:r>
        <w:rPr>
          <w:rFonts w:ascii="Times New Roman" w:hAnsi="Times New Roman"/>
          <w:color w:val="auto"/>
          <w:szCs w:val="21"/>
          <w:highlight w:val="none"/>
        </w:rPr>
        <w:t>3.5</w:t>
      </w:r>
      <w:r>
        <w:rPr>
          <w:rFonts w:hint="eastAsia" w:ascii="Times New Roman" w:hAnsi="Times New Roman"/>
          <w:color w:val="auto"/>
          <w:szCs w:val="21"/>
          <w:highlight w:val="none"/>
        </w:rPr>
        <w:t>款商定或确定变更工作的单价。</w:t>
      </w:r>
    </w:p>
    <w:p w14:paraId="7CE9E4C4">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15.4.3 </w:t>
      </w:r>
      <w:r>
        <w:rPr>
          <w:rFonts w:hint="eastAsia" w:ascii="Times New Roman" w:hAnsi="Times New Roman"/>
          <w:color w:val="auto"/>
          <w:szCs w:val="21"/>
          <w:highlight w:val="none"/>
        </w:rPr>
        <w:t>已标价工程量清单中无适用或类似子目的单价，可按照成本加利润的原则，由监理人按第</w:t>
      </w:r>
      <w:r>
        <w:rPr>
          <w:rFonts w:ascii="Times New Roman" w:hAnsi="Times New Roman"/>
          <w:color w:val="auto"/>
          <w:szCs w:val="21"/>
          <w:highlight w:val="none"/>
        </w:rPr>
        <w:t>3.5</w:t>
      </w:r>
      <w:r>
        <w:rPr>
          <w:rFonts w:hint="eastAsia" w:ascii="Times New Roman" w:hAnsi="Times New Roman"/>
          <w:color w:val="auto"/>
          <w:szCs w:val="21"/>
          <w:highlight w:val="none"/>
        </w:rPr>
        <w:t>款商定或确定变更工作的单价。</w:t>
      </w:r>
    </w:p>
    <w:p w14:paraId="48969C60">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15.5 </w:t>
      </w:r>
      <w:r>
        <w:rPr>
          <w:rFonts w:hint="eastAsia" w:ascii="Times New Roman" w:hAnsi="Times New Roman" w:eastAsia="黑体"/>
          <w:bCs/>
          <w:color w:val="auto"/>
          <w:kern w:val="44"/>
          <w:szCs w:val="21"/>
          <w:highlight w:val="none"/>
          <w:lang w:val="zh-CN"/>
        </w:rPr>
        <w:t>承包人的合理化建议</w:t>
      </w:r>
    </w:p>
    <w:p w14:paraId="47765ECD">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15.5.1 </w:t>
      </w:r>
      <w:r>
        <w:rPr>
          <w:rFonts w:hint="eastAsia" w:ascii="Times New Roman" w:hAnsi="Times New Roman"/>
          <w:color w:val="auto"/>
          <w:szCs w:val="21"/>
          <w:highlight w:val="none"/>
        </w:rPr>
        <w:t>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w:t>
      </w:r>
      <w:r>
        <w:rPr>
          <w:rFonts w:ascii="Times New Roman" w:hAnsi="Times New Roman"/>
          <w:color w:val="auto"/>
          <w:szCs w:val="21"/>
          <w:highlight w:val="none"/>
        </w:rPr>
        <w:t>15.3.3</w:t>
      </w:r>
      <w:r>
        <w:rPr>
          <w:rFonts w:hint="eastAsia" w:ascii="Times New Roman" w:hAnsi="Times New Roman"/>
          <w:color w:val="auto"/>
          <w:szCs w:val="21"/>
          <w:highlight w:val="none"/>
        </w:rPr>
        <w:t>项约定向承包人发出变更指示。</w:t>
      </w:r>
    </w:p>
    <w:p w14:paraId="0123B333">
      <w:pPr>
        <w:pStyle w:val="54"/>
        <w:spacing w:line="400" w:lineRule="atLeast"/>
        <w:ind w:firstLine="390"/>
        <w:rPr>
          <w:rFonts w:hint="eastAsia" w:ascii="Times New Roman" w:hAnsi="Times New Roman"/>
          <w:color w:val="auto"/>
          <w:szCs w:val="21"/>
          <w:highlight w:val="none"/>
        </w:rPr>
      </w:pPr>
      <w:r>
        <w:rPr>
          <w:rFonts w:ascii="Times New Roman" w:hAnsi="Times New Roman"/>
          <w:color w:val="auto"/>
          <w:szCs w:val="21"/>
          <w:highlight w:val="none"/>
        </w:rPr>
        <w:t xml:space="preserve">15.5.2 </w:t>
      </w:r>
      <w:r>
        <w:rPr>
          <w:rFonts w:hint="eastAsia" w:ascii="Times New Roman" w:hAnsi="Times New Roman"/>
          <w:color w:val="auto"/>
          <w:szCs w:val="21"/>
          <w:highlight w:val="none"/>
        </w:rPr>
        <w:t>承包人提出的合理化建议降低了合同价格、缩短了工期或者提高了工程经济效益的，发包人可按国家有关规定在专用合同条款中约定给予奖励</w:t>
      </w:r>
    </w:p>
    <w:p w14:paraId="4B9526B8">
      <w:pPr>
        <w:pStyle w:val="54"/>
        <w:spacing w:line="40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15.6 </w:t>
      </w:r>
      <w:r>
        <w:rPr>
          <w:rFonts w:hint="eastAsia" w:ascii="Times New Roman" w:hAnsi="Times New Roman" w:eastAsia="黑体"/>
          <w:bCs/>
          <w:color w:val="auto"/>
          <w:kern w:val="44"/>
          <w:szCs w:val="21"/>
          <w:highlight w:val="none"/>
          <w:lang w:val="zh-CN"/>
        </w:rPr>
        <w:t>暂列金额（本项目无暂列金额）</w:t>
      </w:r>
    </w:p>
    <w:p w14:paraId="78479180">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15.7 </w:t>
      </w:r>
      <w:r>
        <w:rPr>
          <w:rFonts w:hint="eastAsia" w:ascii="Times New Roman" w:hAnsi="Times New Roman" w:eastAsia="黑体"/>
          <w:bCs/>
          <w:color w:val="auto"/>
          <w:kern w:val="44"/>
          <w:szCs w:val="21"/>
          <w:highlight w:val="none"/>
          <w:lang w:val="zh-CN"/>
        </w:rPr>
        <w:t>计日工（本项目无计日工）</w:t>
      </w:r>
    </w:p>
    <w:p w14:paraId="063DFA6B">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15.8</w:t>
      </w:r>
      <w:r>
        <w:rPr>
          <w:rFonts w:hint="eastAsia" w:ascii="Times New Roman" w:hAnsi="Times New Roman" w:eastAsia="黑体"/>
          <w:bCs/>
          <w:color w:val="auto"/>
          <w:kern w:val="44"/>
          <w:szCs w:val="21"/>
          <w:highlight w:val="none"/>
          <w:lang w:val="zh-CN"/>
        </w:rPr>
        <w:t>暂估价（本项目无暂估价）</w:t>
      </w:r>
    </w:p>
    <w:p w14:paraId="2CE13C74">
      <w:pPr>
        <w:pStyle w:val="54"/>
        <w:keepNext/>
        <w:keepLines/>
        <w:spacing w:before="480" w:after="240" w:line="380" w:lineRule="atLeast"/>
        <w:outlineLvl w:val="2"/>
        <w:rPr>
          <w:rFonts w:ascii="Times New Roman" w:hAnsi="Times New Roman" w:eastAsia="黑体"/>
          <w:bCs/>
          <w:color w:val="auto"/>
          <w:kern w:val="44"/>
          <w:szCs w:val="21"/>
          <w:highlight w:val="none"/>
        </w:rPr>
      </w:pPr>
      <w:bookmarkStart w:id="122" w:name="_Toc22367"/>
      <w:r>
        <w:rPr>
          <w:rFonts w:ascii="Times New Roman" w:hAnsi="Times New Roman" w:eastAsia="黑体"/>
          <w:bCs/>
          <w:color w:val="auto"/>
          <w:kern w:val="44"/>
          <w:szCs w:val="21"/>
          <w:highlight w:val="none"/>
          <w:lang w:val="zh-CN"/>
        </w:rPr>
        <w:t xml:space="preserve">16. </w:t>
      </w:r>
      <w:r>
        <w:rPr>
          <w:rFonts w:hint="eastAsia" w:ascii="Times New Roman" w:hAnsi="Times New Roman" w:eastAsia="黑体"/>
          <w:bCs/>
          <w:color w:val="auto"/>
          <w:kern w:val="44"/>
          <w:szCs w:val="21"/>
          <w:highlight w:val="none"/>
          <w:lang w:val="zh-CN"/>
        </w:rPr>
        <w:t>价格调整</w:t>
      </w:r>
      <w:bookmarkEnd w:id="122"/>
      <w:r>
        <w:rPr>
          <w:rFonts w:hint="eastAsia" w:ascii="Times New Roman" w:hAnsi="Times New Roman" w:eastAsia="黑体"/>
          <w:bCs/>
          <w:color w:val="auto"/>
          <w:kern w:val="44"/>
          <w:szCs w:val="21"/>
          <w:highlight w:val="none"/>
          <w:lang w:val="zh-CN"/>
        </w:rPr>
        <w:t>（本工程不作价格调整）</w:t>
      </w:r>
    </w:p>
    <w:p w14:paraId="2655167D">
      <w:pPr>
        <w:pStyle w:val="54"/>
        <w:keepNext/>
        <w:keepLines/>
        <w:spacing w:before="480" w:after="240" w:line="380" w:lineRule="atLeast"/>
        <w:outlineLvl w:val="2"/>
        <w:rPr>
          <w:rFonts w:ascii="Times New Roman" w:hAnsi="Times New Roman" w:eastAsia="黑体"/>
          <w:bCs/>
          <w:color w:val="auto"/>
          <w:kern w:val="44"/>
          <w:szCs w:val="21"/>
          <w:highlight w:val="none"/>
          <w:lang w:val="zh-CN"/>
        </w:rPr>
      </w:pPr>
      <w:bookmarkStart w:id="123" w:name="_Toc31772"/>
      <w:r>
        <w:rPr>
          <w:rFonts w:ascii="Times New Roman" w:hAnsi="Times New Roman" w:eastAsia="黑体"/>
          <w:bCs/>
          <w:color w:val="auto"/>
          <w:kern w:val="44"/>
          <w:szCs w:val="21"/>
          <w:highlight w:val="none"/>
          <w:lang w:val="zh-CN"/>
        </w:rPr>
        <w:t xml:space="preserve">17. </w:t>
      </w:r>
      <w:r>
        <w:rPr>
          <w:rFonts w:hint="eastAsia" w:ascii="Times New Roman" w:hAnsi="Times New Roman" w:eastAsia="黑体"/>
          <w:bCs/>
          <w:color w:val="auto"/>
          <w:kern w:val="44"/>
          <w:szCs w:val="21"/>
          <w:highlight w:val="none"/>
          <w:lang w:val="zh-CN"/>
        </w:rPr>
        <w:t>计量与支付</w:t>
      </w:r>
      <w:bookmarkEnd w:id="123"/>
    </w:p>
    <w:p w14:paraId="4B535512">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17.1 </w:t>
      </w:r>
      <w:r>
        <w:rPr>
          <w:rFonts w:hint="eastAsia" w:ascii="Times New Roman" w:hAnsi="Times New Roman" w:eastAsia="黑体"/>
          <w:bCs/>
          <w:color w:val="auto"/>
          <w:kern w:val="44"/>
          <w:szCs w:val="21"/>
          <w:highlight w:val="none"/>
          <w:lang w:val="zh-CN"/>
        </w:rPr>
        <w:t>计量</w:t>
      </w:r>
      <w:r>
        <w:rPr>
          <w:rFonts w:ascii="Times New Roman" w:hAnsi="Times New Roman" w:eastAsia="黑体"/>
          <w:bCs/>
          <w:color w:val="auto"/>
          <w:kern w:val="44"/>
          <w:szCs w:val="21"/>
          <w:highlight w:val="none"/>
          <w:lang w:val="zh-CN"/>
        </w:rPr>
        <w:t xml:space="preserve"> </w:t>
      </w:r>
    </w:p>
    <w:p w14:paraId="63D3FE1C">
      <w:pPr>
        <w:pStyle w:val="54"/>
        <w:spacing w:line="400" w:lineRule="atLeast"/>
        <w:ind w:firstLine="411" w:firstLineChars="196"/>
        <w:rPr>
          <w:rFonts w:ascii="Times New Roman" w:hAnsi="Times New Roman" w:eastAsia="黑体"/>
          <w:color w:val="auto"/>
          <w:szCs w:val="21"/>
          <w:highlight w:val="none"/>
        </w:rPr>
      </w:pPr>
      <w:r>
        <w:rPr>
          <w:rFonts w:ascii="Times New Roman" w:hAnsi="Times New Roman"/>
          <w:color w:val="auto"/>
          <w:szCs w:val="21"/>
          <w:highlight w:val="none"/>
        </w:rPr>
        <w:t xml:space="preserve">17.1.1 </w:t>
      </w:r>
      <w:r>
        <w:rPr>
          <w:rFonts w:hint="eastAsia" w:ascii="Times New Roman" w:hAnsi="Times New Roman" w:eastAsia="黑体"/>
          <w:color w:val="auto"/>
          <w:szCs w:val="21"/>
          <w:highlight w:val="none"/>
        </w:rPr>
        <w:t>计量单位</w:t>
      </w:r>
    </w:p>
    <w:p w14:paraId="0291748D">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计量采用国家法定的计量单位。</w:t>
      </w:r>
    </w:p>
    <w:p w14:paraId="53FE2B22">
      <w:pPr>
        <w:pStyle w:val="54"/>
        <w:spacing w:line="400" w:lineRule="atLeast"/>
        <w:ind w:firstLine="411" w:firstLineChars="196"/>
        <w:rPr>
          <w:rFonts w:ascii="Times New Roman" w:hAnsi="Times New Roman" w:eastAsia="黑体"/>
          <w:color w:val="auto"/>
          <w:szCs w:val="21"/>
          <w:highlight w:val="none"/>
        </w:rPr>
      </w:pPr>
      <w:r>
        <w:rPr>
          <w:rFonts w:ascii="Times New Roman" w:hAnsi="Times New Roman"/>
          <w:color w:val="auto"/>
          <w:szCs w:val="21"/>
          <w:highlight w:val="none"/>
        </w:rPr>
        <w:t xml:space="preserve">17.1.2 </w:t>
      </w:r>
      <w:r>
        <w:rPr>
          <w:rFonts w:hint="eastAsia" w:ascii="Times New Roman" w:hAnsi="Times New Roman" w:eastAsia="黑体"/>
          <w:color w:val="auto"/>
          <w:szCs w:val="21"/>
          <w:highlight w:val="none"/>
        </w:rPr>
        <w:t>计量方法</w:t>
      </w:r>
    </w:p>
    <w:p w14:paraId="624819D8">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工程量清单中的工程量计算规则应按有关国家标准、行业标准的规定，并在合同中约定执行。</w:t>
      </w:r>
    </w:p>
    <w:p w14:paraId="665074D8">
      <w:pPr>
        <w:pStyle w:val="54"/>
        <w:spacing w:line="400" w:lineRule="atLeast"/>
        <w:ind w:firstLine="411" w:firstLineChars="196"/>
        <w:rPr>
          <w:rFonts w:ascii="Times New Roman" w:hAnsi="Times New Roman"/>
          <w:color w:val="auto"/>
          <w:szCs w:val="21"/>
          <w:highlight w:val="none"/>
        </w:rPr>
      </w:pPr>
      <w:r>
        <w:rPr>
          <w:rFonts w:ascii="Times New Roman" w:hAnsi="Times New Roman"/>
          <w:color w:val="auto"/>
          <w:szCs w:val="21"/>
          <w:highlight w:val="none"/>
        </w:rPr>
        <w:t xml:space="preserve">17.1.3 </w:t>
      </w:r>
      <w:r>
        <w:rPr>
          <w:rFonts w:hint="eastAsia" w:ascii="Times New Roman" w:hAnsi="Times New Roman" w:eastAsia="黑体"/>
          <w:color w:val="auto"/>
          <w:szCs w:val="21"/>
          <w:highlight w:val="none"/>
        </w:rPr>
        <w:t>计量周期</w:t>
      </w:r>
    </w:p>
    <w:p w14:paraId="3F4F74AB">
      <w:pPr>
        <w:pStyle w:val="54"/>
        <w:spacing w:line="400" w:lineRule="atLeast"/>
        <w:rPr>
          <w:rFonts w:ascii="Times New Roman" w:hAnsi="Times New Roman"/>
          <w:color w:val="auto"/>
          <w:szCs w:val="21"/>
          <w:highlight w:val="none"/>
        </w:rPr>
      </w:pPr>
      <w:r>
        <w:rPr>
          <w:rFonts w:ascii="Times New Roman" w:hAnsi="Times New Roman"/>
          <w:color w:val="auto"/>
          <w:szCs w:val="21"/>
          <w:highlight w:val="none"/>
        </w:rPr>
        <w:t xml:space="preserve">    </w:t>
      </w:r>
      <w:r>
        <w:rPr>
          <w:rFonts w:hint="eastAsia" w:ascii="Times New Roman" w:hAnsi="Times New Roman"/>
          <w:color w:val="auto"/>
          <w:szCs w:val="21"/>
          <w:highlight w:val="none"/>
        </w:rPr>
        <w:t>除专用合同条款另有约定外，单价子目已完成工程量按月计量，总价子目的计量周期按批准的支付分解报告确定。</w:t>
      </w:r>
      <w:r>
        <w:rPr>
          <w:rFonts w:ascii="Times New Roman" w:hAnsi="Times New Roman"/>
          <w:color w:val="auto"/>
          <w:szCs w:val="21"/>
          <w:highlight w:val="none"/>
        </w:rPr>
        <w:t xml:space="preserve"> </w:t>
      </w:r>
    </w:p>
    <w:p w14:paraId="0B8520CB">
      <w:pPr>
        <w:pStyle w:val="54"/>
        <w:spacing w:line="400" w:lineRule="atLeast"/>
        <w:ind w:firstLine="411" w:firstLineChars="196"/>
        <w:rPr>
          <w:rFonts w:ascii="Times New Roman" w:hAnsi="Times New Roman" w:eastAsia="黑体"/>
          <w:color w:val="auto"/>
          <w:szCs w:val="21"/>
          <w:highlight w:val="none"/>
        </w:rPr>
      </w:pPr>
      <w:r>
        <w:rPr>
          <w:rFonts w:ascii="Times New Roman" w:hAnsi="Times New Roman"/>
          <w:color w:val="auto"/>
          <w:szCs w:val="21"/>
          <w:highlight w:val="none"/>
        </w:rPr>
        <w:t xml:space="preserve">17.1.4 </w:t>
      </w:r>
      <w:r>
        <w:rPr>
          <w:rFonts w:hint="eastAsia" w:ascii="Times New Roman" w:hAnsi="Times New Roman" w:eastAsia="黑体"/>
          <w:color w:val="auto"/>
          <w:szCs w:val="21"/>
          <w:highlight w:val="none"/>
        </w:rPr>
        <w:t>单价子目的计量</w:t>
      </w:r>
    </w:p>
    <w:p w14:paraId="6784DEB6">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1</w:t>
      </w:r>
      <w:r>
        <w:rPr>
          <w:rFonts w:hint="eastAsia" w:ascii="Times New Roman" w:hAnsi="Times New Roman"/>
          <w:color w:val="auto"/>
          <w:szCs w:val="21"/>
          <w:highlight w:val="none"/>
        </w:rPr>
        <w:t>）已标价工程量清单中的单价子目工程量为估算工程量。结算工程量是承包人实际完成的，并按合同约定的计量方法进行计量的工程量。</w:t>
      </w:r>
    </w:p>
    <w:p w14:paraId="6DF1F906">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2</w:t>
      </w:r>
      <w:r>
        <w:rPr>
          <w:rFonts w:hint="eastAsia" w:ascii="Times New Roman" w:hAnsi="Times New Roman"/>
          <w:color w:val="auto"/>
          <w:szCs w:val="21"/>
          <w:highlight w:val="none"/>
        </w:rPr>
        <w:t>）承包人对已完成的工程进行计量，向监理人提交进度付款申请单、已完成工程量报表和有关计量资料。</w:t>
      </w:r>
    </w:p>
    <w:p w14:paraId="5EDD1BFB">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3</w:t>
      </w:r>
      <w:r>
        <w:rPr>
          <w:rFonts w:hint="eastAsia" w:ascii="Times New Roman" w:hAnsi="Times New Roman"/>
          <w:color w:val="auto"/>
          <w:szCs w:val="21"/>
          <w:highlight w:val="none"/>
        </w:rPr>
        <w:t>）监理人对承包人提交的工程量报表进行复核，以确定实际完成的工程量。对数量有异议的，可要求承包人按第</w:t>
      </w:r>
      <w:r>
        <w:rPr>
          <w:rFonts w:ascii="Times New Roman" w:hAnsi="Times New Roman"/>
          <w:color w:val="auto"/>
          <w:szCs w:val="21"/>
          <w:highlight w:val="none"/>
        </w:rPr>
        <w:t>8.2</w:t>
      </w:r>
      <w:r>
        <w:rPr>
          <w:rFonts w:hint="eastAsia" w:ascii="Times New Roman" w:hAnsi="Times New Roman"/>
          <w:color w:val="auto"/>
          <w:szCs w:val="21"/>
          <w:highlight w:val="none"/>
        </w:rPr>
        <w:t>款约定进行共同复核和抽样复测。承包人应协助监理人进行复核并按监理人要求提供补充计量资料。承包人未按监理人要求参加复核，监理人复核或修正的工程量视为承包人实际完成的工程量。</w:t>
      </w:r>
    </w:p>
    <w:p w14:paraId="22830FA5">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4</w:t>
      </w:r>
      <w:r>
        <w:rPr>
          <w:rFonts w:hint="eastAsia" w:ascii="Times New Roman" w:hAnsi="Times New Roman"/>
          <w:color w:val="auto"/>
          <w:szCs w:val="21"/>
          <w:highlight w:val="none"/>
        </w:rPr>
        <w:t>）监理人认为有必要时，可通知承包人共同进行联合测量、计量，承包人应遵照执行。</w:t>
      </w:r>
    </w:p>
    <w:p w14:paraId="6D5A9DB1">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5</w:t>
      </w:r>
      <w:r>
        <w:rPr>
          <w:rFonts w:hint="eastAsia" w:ascii="Times New Roman" w:hAnsi="Times New Roman"/>
          <w:color w:val="auto"/>
          <w:szCs w:val="21"/>
          <w:highlight w:val="none"/>
        </w:rPr>
        <w:t>）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08B80ADB">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6</w:t>
      </w:r>
      <w:r>
        <w:rPr>
          <w:rFonts w:hint="eastAsia" w:ascii="Times New Roman" w:hAnsi="Times New Roman"/>
          <w:color w:val="auto"/>
          <w:szCs w:val="21"/>
          <w:highlight w:val="none"/>
        </w:rPr>
        <w:t>）监理人应在收到承包人提交的工程量报表后的</w:t>
      </w:r>
      <w:r>
        <w:rPr>
          <w:rFonts w:ascii="Times New Roman" w:hAnsi="Times New Roman"/>
          <w:color w:val="auto"/>
          <w:szCs w:val="21"/>
          <w:highlight w:val="none"/>
        </w:rPr>
        <w:t>7</w:t>
      </w:r>
      <w:r>
        <w:rPr>
          <w:rFonts w:hint="eastAsia" w:ascii="Times New Roman" w:hAnsi="Times New Roman"/>
          <w:color w:val="auto"/>
          <w:szCs w:val="21"/>
          <w:highlight w:val="none"/>
        </w:rPr>
        <w:t>天内进行复核，监理人未在约定时间内复核的，承包人提交的工程量报表中的工程量视为承包人实际完成的工程量，据此计算工程价款。</w:t>
      </w:r>
    </w:p>
    <w:p w14:paraId="75538E27">
      <w:pPr>
        <w:pStyle w:val="54"/>
        <w:spacing w:line="400" w:lineRule="atLeast"/>
        <w:ind w:firstLine="411" w:firstLineChars="196"/>
        <w:rPr>
          <w:rFonts w:ascii="Times New Roman" w:hAnsi="Times New Roman" w:eastAsia="黑体"/>
          <w:color w:val="auto"/>
          <w:szCs w:val="21"/>
          <w:highlight w:val="none"/>
        </w:rPr>
      </w:pPr>
      <w:r>
        <w:rPr>
          <w:rFonts w:ascii="Times New Roman" w:hAnsi="Times New Roman"/>
          <w:color w:val="auto"/>
          <w:szCs w:val="21"/>
          <w:highlight w:val="none"/>
        </w:rPr>
        <w:t xml:space="preserve">17.1.5 </w:t>
      </w:r>
      <w:r>
        <w:rPr>
          <w:rFonts w:hint="eastAsia" w:ascii="Times New Roman" w:hAnsi="Times New Roman" w:eastAsia="黑体"/>
          <w:color w:val="auto"/>
          <w:szCs w:val="21"/>
          <w:highlight w:val="none"/>
        </w:rPr>
        <w:t>总价子目的计量</w:t>
      </w:r>
    </w:p>
    <w:p w14:paraId="58785493">
      <w:pPr>
        <w:pStyle w:val="54"/>
        <w:spacing w:line="400" w:lineRule="atLeast"/>
        <w:ind w:firstLine="411" w:firstLineChars="196"/>
        <w:rPr>
          <w:rFonts w:ascii="Times New Roman" w:hAnsi="Times New Roman"/>
          <w:color w:val="auto"/>
          <w:szCs w:val="21"/>
          <w:highlight w:val="none"/>
        </w:rPr>
      </w:pPr>
      <w:r>
        <w:rPr>
          <w:rFonts w:hint="eastAsia" w:ascii="Times New Roman" w:hAnsi="Times New Roman"/>
          <w:color w:val="auto"/>
          <w:szCs w:val="21"/>
          <w:highlight w:val="none"/>
        </w:rPr>
        <w:t>除专用合同条款另有约定外，总价子目的分解和计量按照下述约定进行。</w:t>
      </w:r>
    </w:p>
    <w:p w14:paraId="2F3F78A7">
      <w:pPr>
        <w:pStyle w:val="54"/>
        <w:spacing w:line="400" w:lineRule="atLeast"/>
        <w:ind w:firstLine="411" w:firstLineChars="196"/>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1</w:t>
      </w:r>
      <w:r>
        <w:rPr>
          <w:rFonts w:hint="eastAsia" w:ascii="Times New Roman" w:hAnsi="Times New Roman"/>
          <w:color w:val="auto"/>
          <w:szCs w:val="21"/>
          <w:highlight w:val="none"/>
        </w:rPr>
        <w:t>）总价子目的计量和支付应以总价为基础，不因第</w:t>
      </w:r>
      <w:r>
        <w:rPr>
          <w:rFonts w:ascii="Times New Roman" w:hAnsi="Times New Roman"/>
          <w:color w:val="auto"/>
          <w:szCs w:val="21"/>
          <w:highlight w:val="none"/>
        </w:rPr>
        <w:t>16.1</w:t>
      </w:r>
      <w:r>
        <w:rPr>
          <w:rFonts w:hint="eastAsia" w:ascii="Times New Roman" w:hAnsi="Times New Roman"/>
          <w:color w:val="auto"/>
          <w:szCs w:val="21"/>
          <w:highlight w:val="none"/>
        </w:rPr>
        <w:t>款中的因素而进行调整。承包人实际完成的工程量，是进行工程目标管理和控制进度支付的依据。</w:t>
      </w:r>
    </w:p>
    <w:p w14:paraId="70BF4FC9">
      <w:pPr>
        <w:pStyle w:val="54"/>
        <w:spacing w:line="400" w:lineRule="atLeast"/>
        <w:ind w:firstLine="411" w:firstLineChars="196"/>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2</w:t>
      </w:r>
      <w:r>
        <w:rPr>
          <w:rFonts w:hint="eastAsia" w:ascii="Times New Roman" w:hAnsi="Times New Roman"/>
          <w:color w:val="auto"/>
          <w:szCs w:val="21"/>
          <w:highlight w:val="none"/>
        </w:rPr>
        <w:t>）承包人在合同约定的每个计量周期内，对已完成的工程进行计量，并向监理人提交进度付款申请单、专用合同条款约定的合同总价支付分解表所表示的阶段性或分项计量的支持性资料，以及所达到工程形象目标或分阶段需完成的工程量和有关计量资料。</w:t>
      </w:r>
    </w:p>
    <w:p w14:paraId="3A6A197F">
      <w:pPr>
        <w:pStyle w:val="54"/>
        <w:spacing w:line="400" w:lineRule="atLeast"/>
        <w:ind w:firstLine="411" w:firstLineChars="196"/>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3</w:t>
      </w:r>
      <w:r>
        <w:rPr>
          <w:rFonts w:hint="eastAsia" w:ascii="Times New Roman" w:hAnsi="Times New Roman"/>
          <w:color w:val="auto"/>
          <w:szCs w:val="21"/>
          <w:highlight w:val="none"/>
        </w:rPr>
        <w:t>）监理人对承包人提交的上述资料进行复核，以确定分阶段实际完成的工程量和工程形象目标。对其有异议的，可要求承包人按第</w:t>
      </w:r>
      <w:r>
        <w:rPr>
          <w:rFonts w:ascii="Times New Roman" w:hAnsi="Times New Roman"/>
          <w:color w:val="auto"/>
          <w:szCs w:val="21"/>
          <w:highlight w:val="none"/>
        </w:rPr>
        <w:t>8.2</w:t>
      </w:r>
      <w:r>
        <w:rPr>
          <w:rFonts w:hint="eastAsia" w:ascii="Times New Roman" w:hAnsi="Times New Roman"/>
          <w:color w:val="auto"/>
          <w:szCs w:val="21"/>
          <w:highlight w:val="none"/>
        </w:rPr>
        <w:t>款约定进行共同复核和抽样复测。</w:t>
      </w:r>
    </w:p>
    <w:p w14:paraId="57B48EF1">
      <w:pPr>
        <w:pStyle w:val="54"/>
        <w:spacing w:line="400" w:lineRule="atLeast"/>
        <w:ind w:firstLine="411" w:firstLineChars="196"/>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4</w:t>
      </w:r>
      <w:r>
        <w:rPr>
          <w:rFonts w:hint="eastAsia" w:ascii="Times New Roman" w:hAnsi="Times New Roman"/>
          <w:color w:val="auto"/>
          <w:szCs w:val="21"/>
          <w:highlight w:val="none"/>
        </w:rPr>
        <w:t>）除按照第</w:t>
      </w:r>
      <w:r>
        <w:rPr>
          <w:rFonts w:ascii="Times New Roman" w:hAnsi="Times New Roman"/>
          <w:color w:val="auto"/>
          <w:szCs w:val="21"/>
          <w:highlight w:val="none"/>
        </w:rPr>
        <w:t>15</w:t>
      </w:r>
      <w:r>
        <w:rPr>
          <w:rFonts w:hint="eastAsia" w:ascii="Times New Roman" w:hAnsi="Times New Roman"/>
          <w:color w:val="auto"/>
          <w:szCs w:val="21"/>
          <w:highlight w:val="none"/>
        </w:rPr>
        <w:t>条约定的变更外，总价子目的工程量是承包人用于结算的最终工程量。</w:t>
      </w:r>
    </w:p>
    <w:p w14:paraId="08DDC008">
      <w:pPr>
        <w:pStyle w:val="54"/>
        <w:keepNext/>
        <w:keepLines/>
        <w:spacing w:before="240" w:after="240" w:line="380" w:lineRule="atLeast"/>
        <w:rPr>
          <w:rFonts w:hint="default" w:ascii="Times New Roman" w:hAnsi="Times New Roman" w:eastAsia="黑体"/>
          <w:bCs/>
          <w:color w:val="auto"/>
          <w:kern w:val="44"/>
          <w:szCs w:val="21"/>
          <w:highlight w:val="none"/>
          <w:lang w:val="en-US" w:eastAsia="zh-CN"/>
        </w:rPr>
      </w:pPr>
      <w:r>
        <w:rPr>
          <w:rFonts w:ascii="Times New Roman" w:hAnsi="Times New Roman" w:eastAsia="黑体"/>
          <w:bCs/>
          <w:color w:val="auto"/>
          <w:kern w:val="44"/>
          <w:szCs w:val="21"/>
          <w:highlight w:val="none"/>
          <w:lang w:val="zh-CN"/>
        </w:rPr>
        <w:t xml:space="preserve">17.2 </w:t>
      </w:r>
      <w:r>
        <w:rPr>
          <w:rFonts w:hint="eastAsia" w:ascii="Times New Roman" w:hAnsi="Times New Roman" w:eastAsia="黑体"/>
          <w:bCs/>
          <w:color w:val="auto"/>
          <w:kern w:val="44"/>
          <w:szCs w:val="21"/>
          <w:highlight w:val="none"/>
          <w:lang w:val="zh-CN"/>
        </w:rPr>
        <w:t>预付款：</w:t>
      </w:r>
      <w:r>
        <w:rPr>
          <w:rFonts w:hint="eastAsia" w:ascii="Times New Roman" w:hAnsi="Times New Roman" w:eastAsia="黑体"/>
          <w:bCs/>
          <w:color w:val="auto"/>
          <w:kern w:val="44"/>
          <w:szCs w:val="21"/>
          <w:highlight w:val="none"/>
          <w:lang w:val="en-US" w:eastAsia="zh-CN"/>
        </w:rPr>
        <w:t>合同金额的30%。</w:t>
      </w:r>
    </w:p>
    <w:p w14:paraId="213CB39B">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17.3 </w:t>
      </w:r>
      <w:r>
        <w:rPr>
          <w:rFonts w:hint="eastAsia" w:ascii="Times New Roman" w:hAnsi="Times New Roman" w:eastAsia="黑体"/>
          <w:bCs/>
          <w:color w:val="auto"/>
          <w:kern w:val="44"/>
          <w:szCs w:val="21"/>
          <w:highlight w:val="none"/>
          <w:lang w:val="zh-CN"/>
        </w:rPr>
        <w:t>工程进度付款</w:t>
      </w:r>
    </w:p>
    <w:p w14:paraId="467A31FB">
      <w:pPr>
        <w:pStyle w:val="54"/>
        <w:spacing w:line="400" w:lineRule="atLeast"/>
        <w:ind w:firstLine="411" w:firstLineChars="196"/>
        <w:rPr>
          <w:rFonts w:ascii="Times New Roman" w:hAnsi="Times New Roman" w:eastAsia="黑体"/>
          <w:color w:val="auto"/>
          <w:szCs w:val="21"/>
          <w:highlight w:val="none"/>
        </w:rPr>
      </w:pPr>
      <w:r>
        <w:rPr>
          <w:rFonts w:ascii="Times New Roman" w:hAnsi="Times New Roman"/>
          <w:color w:val="auto"/>
          <w:szCs w:val="21"/>
          <w:highlight w:val="none"/>
        </w:rPr>
        <w:t xml:space="preserve">17.3.1 </w:t>
      </w:r>
      <w:r>
        <w:rPr>
          <w:rFonts w:hint="eastAsia" w:ascii="Times New Roman" w:hAnsi="Times New Roman" w:eastAsia="黑体"/>
          <w:color w:val="auto"/>
          <w:szCs w:val="21"/>
          <w:highlight w:val="none"/>
        </w:rPr>
        <w:t>付款周期</w:t>
      </w:r>
    </w:p>
    <w:p w14:paraId="23488D07">
      <w:pPr>
        <w:pStyle w:val="54"/>
        <w:spacing w:line="400" w:lineRule="atLeast"/>
        <w:ind w:firstLine="390"/>
        <w:rPr>
          <w:rFonts w:ascii="Times New Roman" w:hAnsi="Times New Roman"/>
          <w:color w:val="auto"/>
          <w:szCs w:val="21"/>
          <w:highlight w:val="none"/>
        </w:rPr>
      </w:pPr>
      <w:r>
        <w:rPr>
          <w:rFonts w:hint="eastAsia" w:ascii="Times New Roman" w:hAnsi="Times New Roman"/>
          <w:color w:val="auto"/>
          <w:szCs w:val="21"/>
          <w:highlight w:val="none"/>
        </w:rPr>
        <w:t>付进度款支付方式：合同内进度款支付限额为已完成工程量的85%，工程变更部分进度款支付限额为已完成工程量的</w:t>
      </w:r>
      <w:r>
        <w:rPr>
          <w:rFonts w:hint="eastAsia" w:ascii="Times New Roman" w:hAnsi="Times New Roman"/>
          <w:color w:val="auto"/>
          <w:szCs w:val="21"/>
          <w:highlight w:val="none"/>
          <w:lang w:val="en-US" w:eastAsia="zh-CN"/>
        </w:rPr>
        <w:t>80</w:t>
      </w:r>
      <w:r>
        <w:rPr>
          <w:rFonts w:hint="eastAsia" w:ascii="Times New Roman" w:hAnsi="Times New Roman"/>
          <w:color w:val="auto"/>
          <w:szCs w:val="21"/>
          <w:highlight w:val="none"/>
        </w:rPr>
        <w:t>%。</w:t>
      </w:r>
    </w:p>
    <w:p w14:paraId="21FD40D3">
      <w:pPr>
        <w:pStyle w:val="54"/>
        <w:spacing w:line="400" w:lineRule="atLeast"/>
        <w:ind w:firstLine="411" w:firstLineChars="196"/>
        <w:rPr>
          <w:rFonts w:ascii="Times New Roman" w:hAnsi="Times New Roman" w:eastAsia="黑体"/>
          <w:color w:val="auto"/>
          <w:szCs w:val="21"/>
          <w:highlight w:val="none"/>
        </w:rPr>
      </w:pPr>
      <w:r>
        <w:rPr>
          <w:rFonts w:ascii="Times New Roman" w:hAnsi="Times New Roman"/>
          <w:color w:val="auto"/>
          <w:szCs w:val="21"/>
          <w:highlight w:val="none"/>
        </w:rPr>
        <w:t xml:space="preserve">17.3.2 </w:t>
      </w:r>
      <w:r>
        <w:rPr>
          <w:rFonts w:hint="eastAsia" w:ascii="Times New Roman" w:hAnsi="Times New Roman" w:eastAsia="黑体"/>
          <w:color w:val="auto"/>
          <w:szCs w:val="21"/>
          <w:highlight w:val="none"/>
        </w:rPr>
        <w:t>进度付款申请单</w:t>
      </w:r>
    </w:p>
    <w:p w14:paraId="3BF6343B">
      <w:pPr>
        <w:pStyle w:val="54"/>
        <w:spacing w:line="400" w:lineRule="atLeast"/>
        <w:ind w:firstLine="390"/>
        <w:rPr>
          <w:rFonts w:ascii="Times New Roman" w:hAnsi="Times New Roman"/>
          <w:color w:val="auto"/>
          <w:szCs w:val="21"/>
          <w:highlight w:val="none"/>
        </w:rPr>
      </w:pPr>
      <w:r>
        <w:rPr>
          <w:rFonts w:hint="eastAsia" w:ascii="Times New Roman" w:hAnsi="Times New Roman"/>
          <w:color w:val="auto"/>
          <w:szCs w:val="21"/>
          <w:highlight w:val="none"/>
        </w:rPr>
        <w:t>承包人应在每个付款周期末，按监理人批准的格式和专用合同条款约定的份数，向监理人提交进度付款申请单，并附相应的支持性证明文件。除专用合同条款另有约定外，进度付款申请单应包括下列内容：</w:t>
      </w:r>
    </w:p>
    <w:p w14:paraId="32A86090">
      <w:pPr>
        <w:pStyle w:val="54"/>
        <w:spacing w:line="400" w:lineRule="atLeast"/>
        <w:ind w:firstLine="39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1</w:t>
      </w:r>
      <w:r>
        <w:rPr>
          <w:rFonts w:hint="eastAsia" w:ascii="Times New Roman" w:hAnsi="Times New Roman"/>
          <w:color w:val="auto"/>
          <w:szCs w:val="21"/>
          <w:highlight w:val="none"/>
        </w:rPr>
        <w:t>）截至本次付款周期末已实施工程的价款；</w:t>
      </w:r>
    </w:p>
    <w:p w14:paraId="52CA17EE">
      <w:pPr>
        <w:pStyle w:val="54"/>
        <w:spacing w:line="400" w:lineRule="atLeast"/>
        <w:ind w:firstLine="39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2</w:t>
      </w:r>
      <w:r>
        <w:rPr>
          <w:rFonts w:hint="eastAsia" w:ascii="Times New Roman" w:hAnsi="Times New Roman"/>
          <w:color w:val="auto"/>
          <w:szCs w:val="21"/>
          <w:highlight w:val="none"/>
        </w:rPr>
        <w:t>）根据第</w:t>
      </w:r>
      <w:r>
        <w:rPr>
          <w:rFonts w:ascii="Times New Roman" w:hAnsi="Times New Roman"/>
          <w:color w:val="auto"/>
          <w:szCs w:val="21"/>
          <w:highlight w:val="none"/>
        </w:rPr>
        <w:t>15</w:t>
      </w:r>
      <w:r>
        <w:rPr>
          <w:rFonts w:hint="eastAsia" w:ascii="Times New Roman" w:hAnsi="Times New Roman"/>
          <w:color w:val="auto"/>
          <w:szCs w:val="21"/>
          <w:highlight w:val="none"/>
        </w:rPr>
        <w:t>条应增加和扣减的变更金额；</w:t>
      </w:r>
    </w:p>
    <w:p w14:paraId="45F15DDC">
      <w:pPr>
        <w:pStyle w:val="54"/>
        <w:spacing w:line="400" w:lineRule="atLeast"/>
        <w:ind w:firstLine="39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3</w:t>
      </w:r>
      <w:r>
        <w:rPr>
          <w:rFonts w:hint="eastAsia" w:ascii="Times New Roman" w:hAnsi="Times New Roman"/>
          <w:color w:val="auto"/>
          <w:szCs w:val="21"/>
          <w:highlight w:val="none"/>
        </w:rPr>
        <w:t>）根据第</w:t>
      </w:r>
      <w:r>
        <w:rPr>
          <w:rFonts w:ascii="Times New Roman" w:hAnsi="Times New Roman"/>
          <w:color w:val="auto"/>
          <w:szCs w:val="21"/>
          <w:highlight w:val="none"/>
        </w:rPr>
        <w:t>23</w:t>
      </w:r>
      <w:r>
        <w:rPr>
          <w:rFonts w:hint="eastAsia" w:ascii="Times New Roman" w:hAnsi="Times New Roman"/>
          <w:color w:val="auto"/>
          <w:szCs w:val="21"/>
          <w:highlight w:val="none"/>
        </w:rPr>
        <w:t>条应增加和扣减的索赔金额；</w:t>
      </w:r>
    </w:p>
    <w:p w14:paraId="4C3996A7">
      <w:pPr>
        <w:pStyle w:val="54"/>
        <w:spacing w:line="400" w:lineRule="atLeast"/>
        <w:ind w:firstLine="39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4</w:t>
      </w:r>
      <w:r>
        <w:rPr>
          <w:rFonts w:hint="eastAsia" w:ascii="Times New Roman" w:hAnsi="Times New Roman"/>
          <w:color w:val="auto"/>
          <w:szCs w:val="21"/>
          <w:highlight w:val="none"/>
        </w:rPr>
        <w:t>）根据第</w:t>
      </w:r>
      <w:r>
        <w:rPr>
          <w:rFonts w:ascii="Times New Roman" w:hAnsi="Times New Roman"/>
          <w:color w:val="auto"/>
          <w:szCs w:val="21"/>
          <w:highlight w:val="none"/>
        </w:rPr>
        <w:t>17.2</w:t>
      </w:r>
      <w:r>
        <w:rPr>
          <w:rFonts w:hint="eastAsia" w:ascii="Times New Roman" w:hAnsi="Times New Roman"/>
          <w:color w:val="auto"/>
          <w:szCs w:val="21"/>
          <w:highlight w:val="none"/>
        </w:rPr>
        <w:t>款约定应支付的预付款和扣减的返还预付款；</w:t>
      </w:r>
    </w:p>
    <w:p w14:paraId="006499F1">
      <w:pPr>
        <w:pStyle w:val="54"/>
        <w:spacing w:line="400" w:lineRule="atLeast"/>
        <w:ind w:firstLine="39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5</w:t>
      </w:r>
      <w:r>
        <w:rPr>
          <w:rFonts w:hint="eastAsia" w:ascii="Times New Roman" w:hAnsi="Times New Roman"/>
          <w:color w:val="auto"/>
          <w:szCs w:val="21"/>
          <w:highlight w:val="none"/>
        </w:rPr>
        <w:t>）根据第</w:t>
      </w:r>
      <w:r>
        <w:rPr>
          <w:rFonts w:ascii="Times New Roman" w:hAnsi="Times New Roman"/>
          <w:color w:val="auto"/>
          <w:szCs w:val="21"/>
          <w:highlight w:val="none"/>
        </w:rPr>
        <w:t>17.4.1</w:t>
      </w:r>
      <w:r>
        <w:rPr>
          <w:rFonts w:hint="eastAsia" w:ascii="Times New Roman" w:hAnsi="Times New Roman"/>
          <w:color w:val="auto"/>
          <w:szCs w:val="21"/>
          <w:highlight w:val="none"/>
        </w:rPr>
        <w:t>项约定应扣减的质量保证金；</w:t>
      </w:r>
    </w:p>
    <w:p w14:paraId="6FB9D235">
      <w:pPr>
        <w:pStyle w:val="54"/>
        <w:spacing w:line="400" w:lineRule="atLeast"/>
        <w:ind w:firstLine="39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6</w:t>
      </w:r>
      <w:r>
        <w:rPr>
          <w:rFonts w:hint="eastAsia" w:ascii="Times New Roman" w:hAnsi="Times New Roman"/>
          <w:color w:val="auto"/>
          <w:szCs w:val="21"/>
          <w:highlight w:val="none"/>
        </w:rPr>
        <w:t>）根据合同应增加和扣减的其他金额。</w:t>
      </w:r>
    </w:p>
    <w:p w14:paraId="5D8F9006">
      <w:pPr>
        <w:pStyle w:val="54"/>
        <w:spacing w:line="400" w:lineRule="atLeast"/>
        <w:ind w:firstLine="411" w:firstLineChars="196"/>
        <w:rPr>
          <w:rFonts w:ascii="Times New Roman" w:hAnsi="Times New Roman" w:eastAsia="黑体"/>
          <w:color w:val="auto"/>
          <w:szCs w:val="21"/>
          <w:highlight w:val="none"/>
        </w:rPr>
      </w:pPr>
      <w:r>
        <w:rPr>
          <w:rFonts w:ascii="Times New Roman" w:hAnsi="Times New Roman"/>
          <w:color w:val="auto"/>
          <w:szCs w:val="21"/>
          <w:highlight w:val="none"/>
        </w:rPr>
        <w:t xml:space="preserve">17.3.3 </w:t>
      </w:r>
      <w:r>
        <w:rPr>
          <w:rFonts w:hint="eastAsia" w:ascii="Times New Roman" w:hAnsi="Times New Roman" w:eastAsia="黑体"/>
          <w:color w:val="auto"/>
          <w:szCs w:val="21"/>
          <w:highlight w:val="none"/>
        </w:rPr>
        <w:t>进度付款证书和支付时间</w:t>
      </w:r>
    </w:p>
    <w:p w14:paraId="3FC17D70">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1</w:t>
      </w:r>
      <w:r>
        <w:rPr>
          <w:rFonts w:hint="eastAsia" w:ascii="Times New Roman" w:hAnsi="Times New Roman"/>
          <w:color w:val="auto"/>
          <w:szCs w:val="21"/>
          <w:highlight w:val="none"/>
        </w:rPr>
        <w:t>）监理人在收到承包人进度付款申请单以及相应的支持性证明文件后的</w:t>
      </w:r>
      <w:r>
        <w:rPr>
          <w:rFonts w:ascii="Times New Roman" w:hAnsi="Times New Roman"/>
          <w:color w:val="auto"/>
          <w:szCs w:val="21"/>
          <w:highlight w:val="none"/>
        </w:rPr>
        <w:t>14</w:t>
      </w:r>
      <w:r>
        <w:rPr>
          <w:rFonts w:hint="eastAsia" w:ascii="Times New Roman" w:hAnsi="Times New Roman"/>
          <w:color w:val="auto"/>
          <w:szCs w:val="21"/>
          <w:highlight w:val="none"/>
        </w:rPr>
        <w:t>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7DAC1832">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2</w:t>
      </w:r>
      <w:r>
        <w:rPr>
          <w:rFonts w:hint="eastAsia" w:ascii="Times New Roman" w:hAnsi="Times New Roman"/>
          <w:color w:val="auto"/>
          <w:szCs w:val="21"/>
          <w:highlight w:val="none"/>
        </w:rPr>
        <w:t>）发包人应在监理人收到进度付款申请单后的</w:t>
      </w:r>
      <w:r>
        <w:rPr>
          <w:rFonts w:ascii="Times New Roman" w:hAnsi="Times New Roman"/>
          <w:color w:val="auto"/>
          <w:szCs w:val="21"/>
          <w:highlight w:val="none"/>
        </w:rPr>
        <w:t>28</w:t>
      </w:r>
      <w:r>
        <w:rPr>
          <w:rFonts w:hint="eastAsia" w:ascii="Times New Roman" w:hAnsi="Times New Roman"/>
          <w:color w:val="auto"/>
          <w:szCs w:val="21"/>
          <w:highlight w:val="none"/>
        </w:rPr>
        <w:t>天内，将进度应付款支付给承包人。发包人不按期支付的，按专用合同条款的约定支付逾期付款违约金。</w:t>
      </w:r>
    </w:p>
    <w:p w14:paraId="060E16C0">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3</w:t>
      </w:r>
      <w:r>
        <w:rPr>
          <w:rFonts w:hint="eastAsia" w:ascii="Times New Roman" w:hAnsi="Times New Roman"/>
          <w:color w:val="auto"/>
          <w:szCs w:val="21"/>
          <w:highlight w:val="none"/>
        </w:rPr>
        <w:t>）监理人出具进度付款证书，不应视为监理人已同意、批准或接受了承包人完成的该部分工作。</w:t>
      </w:r>
    </w:p>
    <w:p w14:paraId="359AF4DF">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4</w:t>
      </w:r>
      <w:r>
        <w:rPr>
          <w:rFonts w:hint="eastAsia" w:ascii="Times New Roman" w:hAnsi="Times New Roman"/>
          <w:color w:val="auto"/>
          <w:szCs w:val="21"/>
          <w:highlight w:val="none"/>
        </w:rPr>
        <w:t>）进度付款涉及政府投资资金的，按照国库集中支付等国家相关规定和专用合同条款的约定办理。</w:t>
      </w:r>
    </w:p>
    <w:p w14:paraId="11B50B98">
      <w:pPr>
        <w:pStyle w:val="54"/>
        <w:spacing w:line="400" w:lineRule="atLeast"/>
        <w:ind w:firstLine="411" w:firstLineChars="196"/>
        <w:rPr>
          <w:rFonts w:ascii="Times New Roman" w:hAnsi="Times New Roman" w:eastAsia="黑体"/>
          <w:color w:val="auto"/>
          <w:szCs w:val="21"/>
          <w:highlight w:val="none"/>
        </w:rPr>
      </w:pPr>
      <w:r>
        <w:rPr>
          <w:rFonts w:ascii="Times New Roman" w:hAnsi="Times New Roman"/>
          <w:color w:val="auto"/>
          <w:szCs w:val="21"/>
          <w:highlight w:val="none"/>
        </w:rPr>
        <w:t>17.3.4</w:t>
      </w:r>
      <w:r>
        <w:rPr>
          <w:rFonts w:ascii="Times New Roman" w:hAnsi="Times New Roman" w:eastAsia="黑体"/>
          <w:color w:val="auto"/>
          <w:szCs w:val="21"/>
          <w:highlight w:val="none"/>
        </w:rPr>
        <w:t xml:space="preserve"> </w:t>
      </w:r>
      <w:r>
        <w:rPr>
          <w:rFonts w:hint="eastAsia" w:ascii="Times New Roman" w:hAnsi="Times New Roman" w:eastAsia="黑体"/>
          <w:color w:val="auto"/>
          <w:szCs w:val="21"/>
          <w:highlight w:val="none"/>
        </w:rPr>
        <w:t>工程进度付款的修正</w:t>
      </w:r>
    </w:p>
    <w:p w14:paraId="0EFA7000">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在对以往历次已签发的进度付款证书进行汇总和复核中发现错、漏或重复的，监理人有权予以修正，承包人也有权提出修正申请。经双方复核同意的修正，应在本次进度付款中支付或扣除。</w:t>
      </w:r>
    </w:p>
    <w:p w14:paraId="423368E6">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17.4 </w:t>
      </w:r>
      <w:r>
        <w:rPr>
          <w:rFonts w:hint="eastAsia" w:ascii="Times New Roman" w:hAnsi="Times New Roman" w:eastAsia="黑体"/>
          <w:bCs/>
          <w:color w:val="auto"/>
          <w:kern w:val="44"/>
          <w:szCs w:val="21"/>
          <w:highlight w:val="none"/>
          <w:lang w:val="zh-CN"/>
        </w:rPr>
        <w:t>质量保证金</w:t>
      </w:r>
    </w:p>
    <w:p w14:paraId="77519CF4">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17.4.1 </w:t>
      </w:r>
      <w:r>
        <w:rPr>
          <w:rFonts w:hint="eastAsia" w:ascii="Times New Roman" w:hAnsi="Times New Roman"/>
          <w:color w:val="auto"/>
          <w:szCs w:val="21"/>
          <w:highlight w:val="none"/>
        </w:rPr>
        <w:t>监理人应从第一个付款周期开始，在发包人的进度付款中，按专用合同条款的约定扣留质量保证金，直至扣留的质量保证金总额达到专用合同条款约定的金额或比例为止。质量保证金的计算额度不包括预付款的支付、扣回以及价格调整的金额。</w:t>
      </w:r>
    </w:p>
    <w:p w14:paraId="13209211">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17.4.2 </w:t>
      </w:r>
      <w:r>
        <w:rPr>
          <w:rFonts w:hint="eastAsia" w:ascii="Times New Roman" w:hAnsi="Times New Roman"/>
          <w:color w:val="auto"/>
          <w:szCs w:val="21"/>
          <w:highlight w:val="none"/>
        </w:rPr>
        <w:t>在第</w:t>
      </w:r>
      <w:r>
        <w:rPr>
          <w:rFonts w:ascii="Times New Roman" w:hAnsi="Times New Roman"/>
          <w:color w:val="auto"/>
          <w:szCs w:val="21"/>
          <w:highlight w:val="none"/>
        </w:rPr>
        <w:t>1.1.4.5</w:t>
      </w:r>
      <w:r>
        <w:rPr>
          <w:rFonts w:hint="eastAsia" w:ascii="Times New Roman" w:hAnsi="Times New Roman"/>
          <w:color w:val="auto"/>
          <w:szCs w:val="21"/>
          <w:highlight w:val="none"/>
        </w:rPr>
        <w:t>目约定的缺陷责任期满时，承包人向发包人申请到期应返还承包人剩余的质量保证金金额，发包人应在</w:t>
      </w:r>
      <w:r>
        <w:rPr>
          <w:rFonts w:ascii="Times New Roman" w:hAnsi="Times New Roman"/>
          <w:color w:val="auto"/>
          <w:szCs w:val="21"/>
          <w:highlight w:val="none"/>
        </w:rPr>
        <w:t>14</w:t>
      </w:r>
      <w:r>
        <w:rPr>
          <w:rFonts w:hint="eastAsia" w:ascii="Times New Roman" w:hAnsi="Times New Roman"/>
          <w:color w:val="auto"/>
          <w:szCs w:val="21"/>
          <w:highlight w:val="none"/>
        </w:rPr>
        <w:t>天内会同承包人按照合同约定的内容核实承包人是否完成缺陷责任。如无异议，发包人应当在核实后将剩余保证金返还承包人。</w:t>
      </w:r>
    </w:p>
    <w:p w14:paraId="582C3838">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17.4.3</w:t>
      </w:r>
      <w:r>
        <w:rPr>
          <w:rFonts w:hint="eastAsia" w:ascii="Times New Roman" w:hAnsi="Times New Roman"/>
          <w:color w:val="auto"/>
          <w:szCs w:val="21"/>
          <w:highlight w:val="none"/>
        </w:rPr>
        <w:t>在第</w:t>
      </w:r>
      <w:r>
        <w:rPr>
          <w:rFonts w:ascii="Times New Roman" w:hAnsi="Times New Roman"/>
          <w:color w:val="auto"/>
          <w:szCs w:val="21"/>
          <w:highlight w:val="none"/>
        </w:rPr>
        <w:t>1.1.4.5</w:t>
      </w:r>
      <w:r>
        <w:rPr>
          <w:rFonts w:hint="eastAsia" w:ascii="Times New Roman" w:hAnsi="Times New Roman"/>
          <w:color w:val="auto"/>
          <w:szCs w:val="21"/>
          <w:highlight w:val="none"/>
        </w:rPr>
        <w:t>目约定的缺陷责任期满时，承包人没有完成缺陷责任的，发包人有权扣留与未履行责任剩余工作所需金额相应的质量保证金余额，并有权根据第</w:t>
      </w:r>
      <w:r>
        <w:rPr>
          <w:rFonts w:ascii="Times New Roman" w:hAnsi="Times New Roman"/>
          <w:color w:val="auto"/>
          <w:szCs w:val="21"/>
          <w:highlight w:val="none"/>
        </w:rPr>
        <w:t>19.3</w:t>
      </w:r>
      <w:r>
        <w:rPr>
          <w:rFonts w:hint="eastAsia" w:ascii="Times New Roman" w:hAnsi="Times New Roman"/>
          <w:color w:val="auto"/>
          <w:szCs w:val="21"/>
          <w:highlight w:val="none"/>
        </w:rPr>
        <w:t>款约定要求延长缺陷责任期，直至完成剩余工作为止。</w:t>
      </w:r>
      <w:r>
        <w:rPr>
          <w:rFonts w:ascii="Times New Roman" w:hAnsi="Times New Roman"/>
          <w:color w:val="auto"/>
          <w:szCs w:val="21"/>
          <w:highlight w:val="none"/>
        </w:rPr>
        <w:t xml:space="preserve"> </w:t>
      </w:r>
    </w:p>
    <w:p w14:paraId="5898187A">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17.5 </w:t>
      </w:r>
      <w:r>
        <w:rPr>
          <w:rFonts w:hint="eastAsia" w:ascii="Times New Roman" w:hAnsi="Times New Roman" w:eastAsia="黑体"/>
          <w:bCs/>
          <w:color w:val="auto"/>
          <w:kern w:val="44"/>
          <w:szCs w:val="21"/>
          <w:highlight w:val="none"/>
          <w:lang w:val="zh-CN"/>
        </w:rPr>
        <w:t>竣工结算</w:t>
      </w:r>
    </w:p>
    <w:p w14:paraId="6D77DF9B">
      <w:pPr>
        <w:pStyle w:val="54"/>
        <w:spacing w:line="400" w:lineRule="atLeast"/>
        <w:ind w:firstLine="411" w:firstLineChars="196"/>
        <w:rPr>
          <w:rFonts w:ascii="Times New Roman" w:hAnsi="Times New Roman" w:eastAsia="黑体"/>
          <w:color w:val="auto"/>
          <w:szCs w:val="21"/>
          <w:highlight w:val="none"/>
        </w:rPr>
      </w:pPr>
      <w:r>
        <w:rPr>
          <w:rFonts w:ascii="Times New Roman" w:hAnsi="Times New Roman"/>
          <w:color w:val="auto"/>
          <w:szCs w:val="21"/>
          <w:highlight w:val="none"/>
        </w:rPr>
        <w:t xml:space="preserve">17.5.1 </w:t>
      </w:r>
      <w:r>
        <w:rPr>
          <w:rFonts w:hint="eastAsia" w:ascii="Times New Roman" w:hAnsi="Times New Roman" w:eastAsia="黑体"/>
          <w:color w:val="auto"/>
          <w:szCs w:val="21"/>
          <w:highlight w:val="none"/>
        </w:rPr>
        <w:t>竣工付款申请单</w:t>
      </w:r>
    </w:p>
    <w:p w14:paraId="0951D150">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1</w:t>
      </w:r>
      <w:r>
        <w:rPr>
          <w:rFonts w:hint="eastAsia" w:ascii="Times New Roman" w:hAnsi="Times New Roman"/>
          <w:color w:val="auto"/>
          <w:szCs w:val="21"/>
          <w:highlight w:val="none"/>
        </w:rPr>
        <w:t>）</w:t>
      </w:r>
      <w:r>
        <w:rPr>
          <w:rFonts w:ascii="Times New Roman" w:hAnsi="Times New Roman"/>
          <w:color w:val="auto"/>
          <w:szCs w:val="21"/>
          <w:highlight w:val="none"/>
        </w:rPr>
        <w:t xml:space="preserve"> </w:t>
      </w:r>
      <w:r>
        <w:rPr>
          <w:rFonts w:hint="eastAsia" w:ascii="Times New Roman" w:hAnsi="Times New Roman"/>
          <w:color w:val="auto"/>
          <w:szCs w:val="21"/>
          <w:highlight w:val="none"/>
        </w:rPr>
        <w:t>工程接收证书颁发后，承包人应按专用合同条款约定的份数和期限向监理人提交竣工付款申请单，并提供相关证明材料。除专用合同条款另有约定外，竣工付款申请单应包括下列内容：竣工结算合同总价、发包人已支付承包人的工程价款、应扣留的质量保证金、应支付的竣工付款金额。</w:t>
      </w:r>
    </w:p>
    <w:p w14:paraId="0A27533A">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2</w:t>
      </w:r>
      <w:r>
        <w:rPr>
          <w:rFonts w:hint="eastAsia" w:ascii="Times New Roman" w:hAnsi="Times New Roman"/>
          <w:color w:val="auto"/>
          <w:szCs w:val="21"/>
          <w:highlight w:val="none"/>
        </w:rPr>
        <w:t>）监理人对竣工付款申请单有异议的，有权要求承包人进行修正和提供补充资料。经监理人和承包人协商后，由承包人向监理人提交修正后的竣工付款申请单。</w:t>
      </w:r>
    </w:p>
    <w:p w14:paraId="067598BD">
      <w:pPr>
        <w:pStyle w:val="54"/>
        <w:spacing w:line="400" w:lineRule="atLeast"/>
        <w:ind w:firstLine="411" w:firstLineChars="196"/>
        <w:rPr>
          <w:rFonts w:ascii="Times New Roman" w:hAnsi="Times New Roman" w:eastAsia="黑体"/>
          <w:color w:val="auto"/>
          <w:szCs w:val="21"/>
          <w:highlight w:val="none"/>
        </w:rPr>
      </w:pPr>
      <w:r>
        <w:rPr>
          <w:rFonts w:ascii="Times New Roman" w:hAnsi="Times New Roman"/>
          <w:color w:val="auto"/>
          <w:szCs w:val="21"/>
          <w:highlight w:val="none"/>
        </w:rPr>
        <w:t xml:space="preserve">17.5.2 </w:t>
      </w:r>
      <w:r>
        <w:rPr>
          <w:rFonts w:hint="eastAsia" w:ascii="Times New Roman" w:hAnsi="Times New Roman" w:eastAsia="黑体"/>
          <w:color w:val="auto"/>
          <w:szCs w:val="21"/>
          <w:highlight w:val="none"/>
        </w:rPr>
        <w:t>竣工付款证书及支付时间</w:t>
      </w:r>
    </w:p>
    <w:p w14:paraId="7C408122">
      <w:pPr>
        <w:pStyle w:val="54"/>
        <w:spacing w:line="400" w:lineRule="atLeast"/>
        <w:ind w:firstLine="411" w:firstLineChars="196"/>
        <w:rPr>
          <w:rFonts w:ascii="Times New Roman" w:hAnsi="Times New Roman" w:eastAsia="黑体"/>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1</w:t>
      </w:r>
      <w:r>
        <w:rPr>
          <w:rFonts w:hint="eastAsia" w:ascii="Times New Roman" w:hAnsi="Times New Roman"/>
          <w:color w:val="auto"/>
          <w:szCs w:val="21"/>
          <w:highlight w:val="none"/>
        </w:rPr>
        <w:t>）监理人在收到承包人提交的竣工付款申请单后的</w:t>
      </w:r>
      <w:r>
        <w:rPr>
          <w:rFonts w:ascii="Times New Roman" w:hAnsi="Times New Roman"/>
          <w:color w:val="auto"/>
          <w:szCs w:val="21"/>
          <w:highlight w:val="none"/>
        </w:rPr>
        <w:t>14</w:t>
      </w:r>
      <w:r>
        <w:rPr>
          <w:rFonts w:hint="eastAsia" w:ascii="Times New Roman" w:hAnsi="Times New Roman"/>
          <w:color w:val="auto"/>
          <w:szCs w:val="21"/>
          <w:highlight w:val="none"/>
        </w:rPr>
        <w:t>天内完成核查，提出发包人到期应支付给承包人的价款送发包人审核并抄送承包人。发包人应在收到后</w:t>
      </w:r>
      <w:r>
        <w:rPr>
          <w:rFonts w:ascii="Times New Roman" w:hAnsi="Times New Roman"/>
          <w:color w:val="auto"/>
          <w:szCs w:val="21"/>
          <w:highlight w:val="none"/>
        </w:rPr>
        <w:t>14</w:t>
      </w:r>
      <w:r>
        <w:rPr>
          <w:rFonts w:hint="eastAsia" w:ascii="Times New Roman" w:hAnsi="Times New Roman"/>
          <w:color w:val="auto"/>
          <w:szCs w:val="21"/>
          <w:highlight w:val="none"/>
        </w:rPr>
        <w:t>天内审核完毕，由监理人向承包人出具经发包人签认的竣工付款证书。监理人未在约定时间内核查，又未提出具体意见的，视为承包人提交的竣工付款申请单已经监理人核查同意；发包人未在约定时间内审核又未提出具体意见的，监理人提出发包人到期应支付给承包人的价款视为已经发包人同意。</w:t>
      </w:r>
    </w:p>
    <w:p w14:paraId="5943CF62">
      <w:pPr>
        <w:pStyle w:val="54"/>
        <w:spacing w:line="400" w:lineRule="atLeast"/>
        <w:ind w:firstLine="6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2</w:t>
      </w:r>
      <w:r>
        <w:rPr>
          <w:rFonts w:hint="eastAsia" w:ascii="Times New Roman" w:hAnsi="Times New Roman"/>
          <w:color w:val="auto"/>
          <w:szCs w:val="21"/>
          <w:highlight w:val="none"/>
        </w:rPr>
        <w:t>）发包人应在监理人出具竣工付款证书后的</w:t>
      </w:r>
      <w:r>
        <w:rPr>
          <w:rFonts w:ascii="Times New Roman" w:hAnsi="Times New Roman"/>
          <w:color w:val="auto"/>
          <w:szCs w:val="21"/>
          <w:highlight w:val="none"/>
        </w:rPr>
        <w:t>14</w:t>
      </w:r>
      <w:r>
        <w:rPr>
          <w:rFonts w:hint="eastAsia" w:ascii="Times New Roman" w:hAnsi="Times New Roman"/>
          <w:color w:val="auto"/>
          <w:szCs w:val="21"/>
          <w:highlight w:val="none"/>
        </w:rPr>
        <w:t>天内，将应支付款支付给承包人。发包人不按期支付的，按第</w:t>
      </w:r>
      <w:r>
        <w:rPr>
          <w:rFonts w:ascii="Times New Roman" w:hAnsi="Times New Roman"/>
          <w:color w:val="auto"/>
          <w:szCs w:val="21"/>
          <w:highlight w:val="none"/>
        </w:rPr>
        <w:t>17.3.3</w:t>
      </w:r>
      <w:r>
        <w:rPr>
          <w:rFonts w:hint="eastAsia" w:ascii="Times New Roman" w:hAnsi="Times New Roman"/>
          <w:color w:val="auto"/>
          <w:szCs w:val="21"/>
          <w:highlight w:val="none"/>
        </w:rPr>
        <w:t>（</w:t>
      </w:r>
      <w:r>
        <w:rPr>
          <w:rFonts w:ascii="Times New Roman" w:hAnsi="Times New Roman"/>
          <w:color w:val="auto"/>
          <w:szCs w:val="21"/>
          <w:highlight w:val="none"/>
        </w:rPr>
        <w:t>2</w:t>
      </w:r>
      <w:r>
        <w:rPr>
          <w:rFonts w:hint="eastAsia" w:ascii="Times New Roman" w:hAnsi="Times New Roman"/>
          <w:color w:val="auto"/>
          <w:szCs w:val="21"/>
          <w:highlight w:val="none"/>
        </w:rPr>
        <w:t>）目的约定，将逾期付款违约金支付给承包人。</w:t>
      </w:r>
    </w:p>
    <w:p w14:paraId="02FCA20F">
      <w:pPr>
        <w:pStyle w:val="54"/>
        <w:spacing w:line="400" w:lineRule="atLeast"/>
        <w:ind w:firstLine="6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3</w:t>
      </w:r>
      <w:r>
        <w:rPr>
          <w:rFonts w:hint="eastAsia" w:ascii="Times New Roman" w:hAnsi="Times New Roman"/>
          <w:color w:val="auto"/>
          <w:szCs w:val="21"/>
          <w:highlight w:val="none"/>
        </w:rPr>
        <w:t>）承包人对发包人签认的竣工付款证书有异议的，发包人可出具竣工付款申请单中承包人已同意部分的临时付款证书。存在争议的部分，按第</w:t>
      </w:r>
      <w:r>
        <w:rPr>
          <w:rFonts w:ascii="Times New Roman" w:hAnsi="Times New Roman"/>
          <w:color w:val="auto"/>
          <w:szCs w:val="21"/>
          <w:highlight w:val="none"/>
        </w:rPr>
        <w:t>24</w:t>
      </w:r>
      <w:r>
        <w:rPr>
          <w:rFonts w:hint="eastAsia" w:ascii="Times New Roman" w:hAnsi="Times New Roman"/>
          <w:color w:val="auto"/>
          <w:szCs w:val="21"/>
          <w:highlight w:val="none"/>
        </w:rPr>
        <w:t>条的约定办理。</w:t>
      </w:r>
    </w:p>
    <w:p w14:paraId="79718213">
      <w:pPr>
        <w:pStyle w:val="54"/>
        <w:spacing w:line="400" w:lineRule="atLeast"/>
        <w:ind w:firstLine="6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4</w:t>
      </w:r>
      <w:r>
        <w:rPr>
          <w:rFonts w:hint="eastAsia" w:ascii="Times New Roman" w:hAnsi="Times New Roman"/>
          <w:color w:val="auto"/>
          <w:szCs w:val="21"/>
          <w:highlight w:val="none"/>
        </w:rPr>
        <w:t>）竣工付款涉及政府投资资金的，按第</w:t>
      </w:r>
      <w:r>
        <w:rPr>
          <w:rFonts w:ascii="Times New Roman" w:hAnsi="Times New Roman"/>
          <w:color w:val="auto"/>
          <w:szCs w:val="21"/>
          <w:highlight w:val="none"/>
        </w:rPr>
        <w:t>17.3.3</w:t>
      </w:r>
      <w:r>
        <w:rPr>
          <w:rFonts w:hint="eastAsia" w:ascii="Times New Roman" w:hAnsi="Times New Roman"/>
          <w:color w:val="auto"/>
          <w:szCs w:val="21"/>
          <w:highlight w:val="none"/>
        </w:rPr>
        <w:t>（</w:t>
      </w:r>
      <w:r>
        <w:rPr>
          <w:rFonts w:ascii="Times New Roman" w:hAnsi="Times New Roman"/>
          <w:color w:val="auto"/>
          <w:szCs w:val="21"/>
          <w:highlight w:val="none"/>
        </w:rPr>
        <w:t>4</w:t>
      </w:r>
      <w:r>
        <w:rPr>
          <w:rFonts w:hint="eastAsia" w:ascii="Times New Roman" w:hAnsi="Times New Roman"/>
          <w:color w:val="auto"/>
          <w:szCs w:val="21"/>
          <w:highlight w:val="none"/>
        </w:rPr>
        <w:t>）目的约定办理。</w:t>
      </w:r>
    </w:p>
    <w:p w14:paraId="50121FE4">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17.6 </w:t>
      </w:r>
      <w:r>
        <w:rPr>
          <w:rFonts w:hint="eastAsia" w:ascii="Times New Roman" w:hAnsi="Times New Roman" w:eastAsia="黑体"/>
          <w:bCs/>
          <w:color w:val="auto"/>
          <w:kern w:val="44"/>
          <w:szCs w:val="21"/>
          <w:highlight w:val="none"/>
          <w:lang w:val="zh-CN"/>
        </w:rPr>
        <w:t>最终结清</w:t>
      </w:r>
    </w:p>
    <w:p w14:paraId="669A594E">
      <w:pPr>
        <w:pStyle w:val="54"/>
        <w:spacing w:line="400" w:lineRule="atLeast"/>
        <w:ind w:firstLine="411" w:firstLineChars="196"/>
        <w:rPr>
          <w:rFonts w:ascii="Times New Roman" w:hAnsi="Times New Roman" w:eastAsia="黑体"/>
          <w:color w:val="auto"/>
          <w:szCs w:val="21"/>
          <w:highlight w:val="none"/>
        </w:rPr>
      </w:pPr>
      <w:r>
        <w:rPr>
          <w:rFonts w:ascii="Times New Roman" w:hAnsi="Times New Roman"/>
          <w:color w:val="auto"/>
          <w:szCs w:val="21"/>
          <w:highlight w:val="none"/>
        </w:rPr>
        <w:t xml:space="preserve">17.6.1 </w:t>
      </w:r>
      <w:r>
        <w:rPr>
          <w:rFonts w:hint="eastAsia" w:ascii="Times New Roman" w:hAnsi="Times New Roman" w:eastAsia="黑体"/>
          <w:color w:val="auto"/>
          <w:szCs w:val="21"/>
          <w:highlight w:val="none"/>
        </w:rPr>
        <w:t>最终结清申请单</w:t>
      </w:r>
    </w:p>
    <w:p w14:paraId="7D9CD601">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1</w:t>
      </w:r>
      <w:r>
        <w:rPr>
          <w:rFonts w:hint="eastAsia" w:ascii="Times New Roman" w:hAnsi="Times New Roman"/>
          <w:color w:val="auto"/>
          <w:szCs w:val="21"/>
          <w:highlight w:val="none"/>
        </w:rPr>
        <w:t>）缺陷责任期终止证书签发后，承包人可按专用合同条款约定的份数和期限向监理人提交最终结清申请单，并提供相关证明材料。</w:t>
      </w:r>
    </w:p>
    <w:p w14:paraId="6C39BB07">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2</w:t>
      </w:r>
      <w:r>
        <w:rPr>
          <w:rFonts w:hint="eastAsia" w:ascii="Times New Roman" w:hAnsi="Times New Roman"/>
          <w:color w:val="auto"/>
          <w:szCs w:val="21"/>
          <w:highlight w:val="none"/>
        </w:rPr>
        <w:t>）发包人对最终结清申请单内容有异议的，有权要求承包人进行修正和提供补充资料，由承包人向监理人提交修正后的最终结清申请单。</w:t>
      </w:r>
    </w:p>
    <w:p w14:paraId="42AC1E94">
      <w:pPr>
        <w:pStyle w:val="54"/>
        <w:spacing w:line="400" w:lineRule="atLeast"/>
        <w:ind w:firstLine="411" w:firstLineChars="196"/>
        <w:rPr>
          <w:rFonts w:ascii="Times New Roman" w:hAnsi="Times New Roman"/>
          <w:color w:val="auto"/>
          <w:szCs w:val="21"/>
          <w:highlight w:val="none"/>
        </w:rPr>
      </w:pPr>
      <w:r>
        <w:rPr>
          <w:rFonts w:ascii="Times New Roman" w:hAnsi="Times New Roman"/>
          <w:color w:val="auto"/>
          <w:szCs w:val="21"/>
          <w:highlight w:val="none"/>
        </w:rPr>
        <w:t xml:space="preserve">17.6.2 </w:t>
      </w:r>
      <w:r>
        <w:rPr>
          <w:rFonts w:hint="eastAsia" w:ascii="Times New Roman" w:hAnsi="Times New Roman" w:eastAsia="黑体"/>
          <w:color w:val="auto"/>
          <w:szCs w:val="21"/>
          <w:highlight w:val="none"/>
        </w:rPr>
        <w:t>最终结清证书和支付时间</w:t>
      </w:r>
      <w:r>
        <w:rPr>
          <w:rFonts w:ascii="Times New Roman" w:hAnsi="Times New Roman"/>
          <w:color w:val="auto"/>
          <w:szCs w:val="21"/>
          <w:highlight w:val="none"/>
        </w:rPr>
        <w:t xml:space="preserve"> </w:t>
      </w:r>
    </w:p>
    <w:p w14:paraId="28E51A2A">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1</w:t>
      </w:r>
      <w:r>
        <w:rPr>
          <w:rFonts w:hint="eastAsia" w:ascii="Times New Roman" w:hAnsi="Times New Roman"/>
          <w:color w:val="auto"/>
          <w:szCs w:val="21"/>
          <w:highlight w:val="none"/>
        </w:rPr>
        <w:t>）监理人收到承包人提交的最终结清申请单后的</w:t>
      </w:r>
      <w:r>
        <w:rPr>
          <w:rFonts w:ascii="Times New Roman" w:hAnsi="Times New Roman"/>
          <w:color w:val="auto"/>
          <w:szCs w:val="21"/>
          <w:highlight w:val="none"/>
        </w:rPr>
        <w:t>14</w:t>
      </w:r>
      <w:r>
        <w:rPr>
          <w:rFonts w:hint="eastAsia" w:ascii="Times New Roman" w:hAnsi="Times New Roman"/>
          <w:color w:val="auto"/>
          <w:szCs w:val="21"/>
          <w:highlight w:val="none"/>
        </w:rPr>
        <w:t>天内，提出发包人应支付给承包人的价款送发包人审核并抄送承包人。发包人应在收到后</w:t>
      </w:r>
      <w:r>
        <w:rPr>
          <w:rFonts w:ascii="Times New Roman" w:hAnsi="Times New Roman"/>
          <w:color w:val="auto"/>
          <w:szCs w:val="21"/>
          <w:highlight w:val="none"/>
        </w:rPr>
        <w:t>14</w:t>
      </w:r>
      <w:r>
        <w:rPr>
          <w:rFonts w:hint="eastAsia" w:ascii="Times New Roman" w:hAnsi="Times New Roman"/>
          <w:color w:val="auto"/>
          <w:szCs w:val="21"/>
          <w:highlight w:val="none"/>
        </w:rPr>
        <w:t>天内审核完毕，由监理人向承包人出具经发包人签认的最终结清证书。监理人未在约定时间内核查，又未提出具体意见的，视为承包人提交的最终结清申请单已经监理人核查同意；发包人未在约定时间内审核又未提出具体意见的，监理人提出应支付给承包人的价款视为已经发包人同意。</w:t>
      </w:r>
    </w:p>
    <w:p w14:paraId="20BB1DA1">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2</w:t>
      </w:r>
      <w:r>
        <w:rPr>
          <w:rFonts w:hint="eastAsia" w:ascii="Times New Roman" w:hAnsi="Times New Roman"/>
          <w:color w:val="auto"/>
          <w:szCs w:val="21"/>
          <w:highlight w:val="none"/>
        </w:rPr>
        <w:t>）发包人应在监理人出具最终结清证书后的</w:t>
      </w:r>
      <w:r>
        <w:rPr>
          <w:rFonts w:ascii="Times New Roman" w:hAnsi="Times New Roman"/>
          <w:color w:val="auto"/>
          <w:szCs w:val="21"/>
          <w:highlight w:val="none"/>
        </w:rPr>
        <w:t>14</w:t>
      </w:r>
      <w:r>
        <w:rPr>
          <w:rFonts w:hint="eastAsia" w:ascii="Times New Roman" w:hAnsi="Times New Roman"/>
          <w:color w:val="auto"/>
          <w:szCs w:val="21"/>
          <w:highlight w:val="none"/>
        </w:rPr>
        <w:t>天内，将应支付款支付给承包人。发包人不按期支付的，按第</w:t>
      </w:r>
      <w:r>
        <w:rPr>
          <w:rFonts w:ascii="Times New Roman" w:hAnsi="Times New Roman"/>
          <w:color w:val="auto"/>
          <w:szCs w:val="21"/>
          <w:highlight w:val="none"/>
        </w:rPr>
        <w:t>17.3.3</w:t>
      </w:r>
      <w:r>
        <w:rPr>
          <w:rFonts w:hint="eastAsia" w:ascii="Times New Roman" w:hAnsi="Times New Roman"/>
          <w:color w:val="auto"/>
          <w:szCs w:val="21"/>
          <w:highlight w:val="none"/>
        </w:rPr>
        <w:t>（</w:t>
      </w:r>
      <w:r>
        <w:rPr>
          <w:rFonts w:ascii="Times New Roman" w:hAnsi="Times New Roman"/>
          <w:color w:val="auto"/>
          <w:szCs w:val="21"/>
          <w:highlight w:val="none"/>
        </w:rPr>
        <w:t>2</w:t>
      </w:r>
      <w:r>
        <w:rPr>
          <w:rFonts w:hint="eastAsia" w:ascii="Times New Roman" w:hAnsi="Times New Roman"/>
          <w:color w:val="auto"/>
          <w:szCs w:val="21"/>
          <w:highlight w:val="none"/>
        </w:rPr>
        <w:t>）目的约定，将逾期付款违约金支付给承包人。</w:t>
      </w:r>
    </w:p>
    <w:p w14:paraId="306C324F">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3</w:t>
      </w:r>
      <w:r>
        <w:rPr>
          <w:rFonts w:hint="eastAsia" w:ascii="Times New Roman" w:hAnsi="Times New Roman"/>
          <w:color w:val="auto"/>
          <w:szCs w:val="21"/>
          <w:highlight w:val="none"/>
        </w:rPr>
        <w:t>）承包人对发包人签认的最终结清证书有异议的，按第</w:t>
      </w:r>
      <w:r>
        <w:rPr>
          <w:rFonts w:ascii="Times New Roman" w:hAnsi="Times New Roman"/>
          <w:color w:val="auto"/>
          <w:szCs w:val="21"/>
          <w:highlight w:val="none"/>
        </w:rPr>
        <w:t>24</w:t>
      </w:r>
      <w:r>
        <w:rPr>
          <w:rFonts w:hint="eastAsia" w:ascii="Times New Roman" w:hAnsi="Times New Roman"/>
          <w:color w:val="auto"/>
          <w:szCs w:val="21"/>
          <w:highlight w:val="none"/>
        </w:rPr>
        <w:t>条的约定办理。</w:t>
      </w:r>
    </w:p>
    <w:p w14:paraId="4B21DC76">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4</w:t>
      </w:r>
      <w:r>
        <w:rPr>
          <w:rFonts w:hint="eastAsia" w:ascii="Times New Roman" w:hAnsi="Times New Roman"/>
          <w:color w:val="auto"/>
          <w:szCs w:val="21"/>
          <w:highlight w:val="none"/>
        </w:rPr>
        <w:t>）最终结清付款涉及政府投资资金的，按第</w:t>
      </w:r>
      <w:r>
        <w:rPr>
          <w:rFonts w:ascii="Times New Roman" w:hAnsi="Times New Roman"/>
          <w:color w:val="auto"/>
          <w:szCs w:val="21"/>
          <w:highlight w:val="none"/>
        </w:rPr>
        <w:t>17.3.3</w:t>
      </w:r>
      <w:r>
        <w:rPr>
          <w:rFonts w:hint="eastAsia" w:ascii="Times New Roman" w:hAnsi="Times New Roman"/>
          <w:color w:val="auto"/>
          <w:szCs w:val="21"/>
          <w:highlight w:val="none"/>
        </w:rPr>
        <w:t>（</w:t>
      </w:r>
      <w:r>
        <w:rPr>
          <w:rFonts w:ascii="Times New Roman" w:hAnsi="Times New Roman"/>
          <w:color w:val="auto"/>
          <w:szCs w:val="21"/>
          <w:highlight w:val="none"/>
        </w:rPr>
        <w:t>4</w:t>
      </w:r>
      <w:r>
        <w:rPr>
          <w:rFonts w:hint="eastAsia" w:ascii="Times New Roman" w:hAnsi="Times New Roman"/>
          <w:color w:val="auto"/>
          <w:szCs w:val="21"/>
          <w:highlight w:val="none"/>
        </w:rPr>
        <w:t>）目的约定办理。</w:t>
      </w:r>
    </w:p>
    <w:p w14:paraId="3AC7652A">
      <w:pPr>
        <w:pStyle w:val="54"/>
        <w:keepNext/>
        <w:keepLines/>
        <w:spacing w:before="480" w:after="240" w:line="380" w:lineRule="atLeast"/>
        <w:outlineLvl w:val="2"/>
        <w:rPr>
          <w:rFonts w:ascii="Times New Roman" w:hAnsi="Times New Roman" w:eastAsia="黑体"/>
          <w:bCs/>
          <w:color w:val="auto"/>
          <w:kern w:val="44"/>
          <w:szCs w:val="21"/>
          <w:highlight w:val="none"/>
          <w:lang w:val="zh-CN"/>
        </w:rPr>
      </w:pPr>
      <w:bookmarkStart w:id="124" w:name="_Toc17688"/>
      <w:r>
        <w:rPr>
          <w:rFonts w:ascii="Times New Roman" w:hAnsi="Times New Roman" w:eastAsia="黑体"/>
          <w:bCs/>
          <w:color w:val="auto"/>
          <w:kern w:val="44"/>
          <w:szCs w:val="21"/>
          <w:highlight w:val="none"/>
          <w:lang w:val="zh-CN"/>
        </w:rPr>
        <w:t xml:space="preserve">18. </w:t>
      </w:r>
      <w:r>
        <w:rPr>
          <w:rFonts w:hint="eastAsia" w:ascii="Times New Roman" w:hAnsi="Times New Roman" w:eastAsia="黑体"/>
          <w:bCs/>
          <w:color w:val="auto"/>
          <w:kern w:val="44"/>
          <w:szCs w:val="21"/>
          <w:highlight w:val="none"/>
          <w:lang w:val="zh-CN"/>
        </w:rPr>
        <w:t>竣工验收</w:t>
      </w:r>
      <w:bookmarkEnd w:id="124"/>
    </w:p>
    <w:p w14:paraId="0C402C8D">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18.1 </w:t>
      </w:r>
      <w:r>
        <w:rPr>
          <w:rFonts w:hint="eastAsia" w:ascii="Times New Roman" w:hAnsi="Times New Roman" w:eastAsia="黑体"/>
          <w:bCs/>
          <w:color w:val="auto"/>
          <w:kern w:val="44"/>
          <w:szCs w:val="21"/>
          <w:highlight w:val="none"/>
          <w:lang w:val="zh-CN"/>
        </w:rPr>
        <w:t>竣工验收的含义</w:t>
      </w:r>
    </w:p>
    <w:p w14:paraId="10E83C65">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18.1.1 </w:t>
      </w:r>
      <w:r>
        <w:rPr>
          <w:rFonts w:hint="eastAsia" w:ascii="Times New Roman" w:hAnsi="Times New Roman"/>
          <w:color w:val="auto"/>
          <w:szCs w:val="21"/>
          <w:highlight w:val="none"/>
        </w:rPr>
        <w:t>竣工验收指承包人完成了全部合同工作后，发包人按合同要求进行的验收。</w:t>
      </w:r>
    </w:p>
    <w:p w14:paraId="4838AB53">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18.1.2 </w:t>
      </w:r>
      <w:r>
        <w:rPr>
          <w:rFonts w:hint="eastAsia" w:ascii="Times New Roman" w:hAnsi="Times New Roman"/>
          <w:color w:val="auto"/>
          <w:szCs w:val="21"/>
          <w:highlight w:val="none"/>
        </w:rPr>
        <w:t>国家验收是政府有关部门根据法律、规范、规程和政策要求，针对发包人全面组织实施的整个工程正式交付投运前的验收。</w:t>
      </w:r>
    </w:p>
    <w:p w14:paraId="251B3536">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18.1.3 </w:t>
      </w:r>
      <w:r>
        <w:rPr>
          <w:rFonts w:hint="eastAsia" w:ascii="Times New Roman" w:hAnsi="Times New Roman"/>
          <w:color w:val="auto"/>
          <w:szCs w:val="21"/>
          <w:highlight w:val="none"/>
        </w:rPr>
        <w:t>需要进行国家验收的，竣工验收是国家验收的一部分。竣工验收所采用的各项验收和评定标准应符合国家验收标准。发包人和承包人为竣工验收提供的各项竣工验收资料应符合国家验收的要求。</w:t>
      </w:r>
      <w:r>
        <w:rPr>
          <w:rFonts w:ascii="Times New Roman" w:hAnsi="Times New Roman"/>
          <w:color w:val="auto"/>
          <w:szCs w:val="21"/>
          <w:highlight w:val="none"/>
        </w:rPr>
        <w:t xml:space="preserve"> </w:t>
      </w:r>
    </w:p>
    <w:p w14:paraId="5BD459B2">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18.2 </w:t>
      </w:r>
      <w:r>
        <w:rPr>
          <w:rFonts w:hint="eastAsia" w:ascii="Times New Roman" w:hAnsi="Times New Roman" w:eastAsia="黑体"/>
          <w:bCs/>
          <w:color w:val="auto"/>
          <w:kern w:val="44"/>
          <w:szCs w:val="21"/>
          <w:highlight w:val="none"/>
          <w:lang w:val="zh-CN"/>
        </w:rPr>
        <w:t>竣工验收申请报告</w:t>
      </w:r>
    </w:p>
    <w:p w14:paraId="4FE7D3DE">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当工程具备以下条件时，承包人即可向监理人报送竣工验收申请报告：</w:t>
      </w:r>
    </w:p>
    <w:p w14:paraId="0902B7AB">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1</w:t>
      </w:r>
      <w:r>
        <w:rPr>
          <w:rFonts w:hint="eastAsia" w:ascii="Times New Roman" w:hAnsi="Times New Roman"/>
          <w:color w:val="auto"/>
          <w:szCs w:val="21"/>
          <w:highlight w:val="none"/>
        </w:rPr>
        <w:t>）除监理人同意列入缺陷责任期内完成的尾工（甩项）工程和缺陷修补工作外，合同范围内的全部单位工程以及有关工作，包括合同要求的试验、试运行以及检验和验收均已完成，并符合合同要求；</w:t>
      </w:r>
    </w:p>
    <w:p w14:paraId="5B2C5CDD">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2</w:t>
      </w:r>
      <w:r>
        <w:rPr>
          <w:rFonts w:hint="eastAsia" w:ascii="Times New Roman" w:hAnsi="Times New Roman"/>
          <w:color w:val="auto"/>
          <w:szCs w:val="21"/>
          <w:highlight w:val="none"/>
        </w:rPr>
        <w:t>）已按合同约定的内容和份数备齐了符合要求的竣工资料；</w:t>
      </w:r>
    </w:p>
    <w:p w14:paraId="00BEFA78">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3</w:t>
      </w:r>
      <w:r>
        <w:rPr>
          <w:rFonts w:hint="eastAsia" w:ascii="Times New Roman" w:hAnsi="Times New Roman"/>
          <w:color w:val="auto"/>
          <w:szCs w:val="21"/>
          <w:highlight w:val="none"/>
        </w:rPr>
        <w:t>）已按监理人的要求编制了在缺陷责任期内完成的尾工（甩项）工程和缺陷修补工作清单以及相应施工计划；</w:t>
      </w:r>
    </w:p>
    <w:p w14:paraId="66900F0F">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4</w:t>
      </w:r>
      <w:r>
        <w:rPr>
          <w:rFonts w:hint="eastAsia" w:ascii="Times New Roman" w:hAnsi="Times New Roman"/>
          <w:color w:val="auto"/>
          <w:szCs w:val="21"/>
          <w:highlight w:val="none"/>
        </w:rPr>
        <w:t>）监理人要求在竣工验收前应完成的其他工作；</w:t>
      </w:r>
    </w:p>
    <w:p w14:paraId="451788E2">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5</w:t>
      </w:r>
      <w:r>
        <w:rPr>
          <w:rFonts w:hint="eastAsia" w:ascii="Times New Roman" w:hAnsi="Times New Roman"/>
          <w:color w:val="auto"/>
          <w:szCs w:val="21"/>
          <w:highlight w:val="none"/>
        </w:rPr>
        <w:t>）监理人要求提交的竣工验收资料清单。</w:t>
      </w:r>
    </w:p>
    <w:p w14:paraId="24DA904E">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18.3 </w:t>
      </w:r>
      <w:r>
        <w:rPr>
          <w:rFonts w:hint="eastAsia" w:ascii="Times New Roman" w:hAnsi="Times New Roman" w:eastAsia="黑体"/>
          <w:bCs/>
          <w:color w:val="auto"/>
          <w:kern w:val="44"/>
          <w:szCs w:val="21"/>
          <w:highlight w:val="none"/>
          <w:lang w:val="zh-CN"/>
        </w:rPr>
        <w:t>验收</w:t>
      </w:r>
    </w:p>
    <w:p w14:paraId="6519ADDB">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监理人收到承包人按第</w:t>
      </w:r>
      <w:r>
        <w:rPr>
          <w:rFonts w:ascii="Times New Roman" w:hAnsi="Times New Roman"/>
          <w:color w:val="auto"/>
          <w:szCs w:val="21"/>
          <w:highlight w:val="none"/>
        </w:rPr>
        <w:t>18.2</w:t>
      </w:r>
      <w:r>
        <w:rPr>
          <w:rFonts w:hint="eastAsia" w:ascii="Times New Roman" w:hAnsi="Times New Roman"/>
          <w:color w:val="auto"/>
          <w:szCs w:val="21"/>
          <w:highlight w:val="none"/>
        </w:rPr>
        <w:t>款约定提交的竣工验收申请报告后，应审查申请报告的各项内容，并按以下不同情况进行处理。</w:t>
      </w:r>
    </w:p>
    <w:p w14:paraId="73832F62">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18.3.1 </w:t>
      </w:r>
      <w:r>
        <w:rPr>
          <w:rFonts w:hint="eastAsia" w:ascii="Times New Roman" w:hAnsi="Times New Roman"/>
          <w:color w:val="auto"/>
          <w:szCs w:val="21"/>
          <w:highlight w:val="none"/>
        </w:rPr>
        <w:t>监理人审查后认为尚不具备竣工验收条件的，应在收到竣工验收申请报告后的</w:t>
      </w:r>
      <w:r>
        <w:rPr>
          <w:rFonts w:ascii="Times New Roman" w:hAnsi="Times New Roman"/>
          <w:color w:val="auto"/>
          <w:szCs w:val="21"/>
          <w:highlight w:val="none"/>
        </w:rPr>
        <w:t>28</w:t>
      </w:r>
      <w:r>
        <w:rPr>
          <w:rFonts w:hint="eastAsia" w:ascii="Times New Roman" w:hAnsi="Times New Roman"/>
          <w:color w:val="auto"/>
          <w:szCs w:val="21"/>
          <w:highlight w:val="none"/>
        </w:rPr>
        <w:t>天内通知承包人，指出在颁发接收证书前承包人还需进行的工作内容。承包人完成监理人通知的全部工作内容后，应再次提交竣工验收申请报告，直至监理人同意为止。</w:t>
      </w:r>
    </w:p>
    <w:p w14:paraId="78C9F54E">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18.3.2 </w:t>
      </w:r>
      <w:r>
        <w:rPr>
          <w:rFonts w:hint="eastAsia" w:ascii="Times New Roman" w:hAnsi="Times New Roman"/>
          <w:color w:val="auto"/>
          <w:szCs w:val="21"/>
          <w:highlight w:val="none"/>
        </w:rPr>
        <w:t>监理人审查后认为已具备竣工验收条件的，应在收到竣工验收申请报告后的</w:t>
      </w:r>
      <w:r>
        <w:rPr>
          <w:rFonts w:ascii="Times New Roman" w:hAnsi="Times New Roman"/>
          <w:color w:val="auto"/>
          <w:szCs w:val="21"/>
          <w:highlight w:val="none"/>
        </w:rPr>
        <w:t>28</w:t>
      </w:r>
      <w:r>
        <w:rPr>
          <w:rFonts w:hint="eastAsia" w:ascii="Times New Roman" w:hAnsi="Times New Roman"/>
          <w:color w:val="auto"/>
          <w:szCs w:val="21"/>
          <w:highlight w:val="none"/>
        </w:rPr>
        <w:t>天内提请发包人进行工程验收。</w:t>
      </w:r>
    </w:p>
    <w:p w14:paraId="56C141CD">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18.3.3</w:t>
      </w:r>
      <w:r>
        <w:rPr>
          <w:rFonts w:hint="eastAsia" w:ascii="Times New Roman" w:hAnsi="Times New Roman"/>
          <w:color w:val="auto"/>
          <w:szCs w:val="21"/>
          <w:highlight w:val="none"/>
        </w:rPr>
        <w:t>发包人经过验收后同意接收工程的，应在监理人收到竣工验收申请报告后的</w:t>
      </w:r>
      <w:r>
        <w:rPr>
          <w:rFonts w:ascii="Times New Roman" w:hAnsi="Times New Roman"/>
          <w:color w:val="auto"/>
          <w:szCs w:val="21"/>
          <w:highlight w:val="none"/>
        </w:rPr>
        <w:t>56</w:t>
      </w:r>
      <w:r>
        <w:rPr>
          <w:rFonts w:hint="eastAsia" w:ascii="Times New Roman" w:hAnsi="Times New Roman"/>
          <w:color w:val="auto"/>
          <w:szCs w:val="21"/>
          <w:highlight w:val="none"/>
        </w:rPr>
        <w:t>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14:paraId="32EBC8C3">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18.3.4 </w:t>
      </w:r>
      <w:r>
        <w:rPr>
          <w:rFonts w:hint="eastAsia" w:ascii="Times New Roman" w:hAnsi="Times New Roman"/>
          <w:color w:val="auto"/>
          <w:szCs w:val="21"/>
          <w:highlight w:val="none"/>
        </w:rPr>
        <w:t>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w:t>
      </w:r>
      <w:r>
        <w:rPr>
          <w:rFonts w:ascii="Times New Roman" w:hAnsi="Times New Roman"/>
          <w:color w:val="auto"/>
          <w:szCs w:val="21"/>
          <w:highlight w:val="none"/>
        </w:rPr>
        <w:t>18.3.1</w:t>
      </w:r>
      <w:r>
        <w:rPr>
          <w:rFonts w:hint="eastAsia" w:ascii="Times New Roman" w:hAnsi="Times New Roman"/>
          <w:color w:val="auto"/>
          <w:szCs w:val="21"/>
          <w:highlight w:val="none"/>
        </w:rPr>
        <w:t>项、第</w:t>
      </w:r>
      <w:r>
        <w:rPr>
          <w:rFonts w:ascii="Times New Roman" w:hAnsi="Times New Roman"/>
          <w:color w:val="auto"/>
          <w:szCs w:val="21"/>
          <w:highlight w:val="none"/>
        </w:rPr>
        <w:t>18.3.2</w:t>
      </w:r>
      <w:r>
        <w:rPr>
          <w:rFonts w:hint="eastAsia" w:ascii="Times New Roman" w:hAnsi="Times New Roman"/>
          <w:color w:val="auto"/>
          <w:szCs w:val="21"/>
          <w:highlight w:val="none"/>
        </w:rPr>
        <w:t>项和第</w:t>
      </w:r>
      <w:r>
        <w:rPr>
          <w:rFonts w:ascii="Times New Roman" w:hAnsi="Times New Roman"/>
          <w:color w:val="auto"/>
          <w:szCs w:val="21"/>
          <w:highlight w:val="none"/>
        </w:rPr>
        <w:t>18.3.3</w:t>
      </w:r>
      <w:r>
        <w:rPr>
          <w:rFonts w:hint="eastAsia" w:ascii="Times New Roman" w:hAnsi="Times New Roman"/>
          <w:color w:val="auto"/>
          <w:szCs w:val="21"/>
          <w:highlight w:val="none"/>
        </w:rPr>
        <w:t>项的约定进行。</w:t>
      </w:r>
    </w:p>
    <w:p w14:paraId="3715056B">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18.3.5 </w:t>
      </w:r>
      <w:r>
        <w:rPr>
          <w:rFonts w:hint="eastAsia" w:ascii="Times New Roman" w:hAnsi="Times New Roman"/>
          <w:color w:val="auto"/>
          <w:szCs w:val="21"/>
          <w:highlight w:val="none"/>
        </w:rPr>
        <w:t>除专用合同条款另有约定外，经验收合格工程的实际竣工日期，以提交竣工验收申请报告的日期为准，并在工程接收证书中写明。</w:t>
      </w:r>
    </w:p>
    <w:p w14:paraId="595BF461">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18.3.6 </w:t>
      </w:r>
      <w:r>
        <w:rPr>
          <w:rFonts w:hint="eastAsia" w:ascii="Times New Roman" w:hAnsi="Times New Roman"/>
          <w:color w:val="auto"/>
          <w:szCs w:val="21"/>
          <w:highlight w:val="none"/>
        </w:rPr>
        <w:t>发包人在收到承包人竣工验收申请报告</w:t>
      </w:r>
      <w:r>
        <w:rPr>
          <w:rFonts w:ascii="Times New Roman" w:hAnsi="Times New Roman"/>
          <w:color w:val="auto"/>
          <w:szCs w:val="21"/>
          <w:highlight w:val="none"/>
        </w:rPr>
        <w:t>56</w:t>
      </w:r>
      <w:r>
        <w:rPr>
          <w:rFonts w:hint="eastAsia" w:ascii="Times New Roman" w:hAnsi="Times New Roman"/>
          <w:color w:val="auto"/>
          <w:szCs w:val="21"/>
          <w:highlight w:val="none"/>
        </w:rPr>
        <w:t>天后未进行验收的，视为验收合格，实际竣工日期以提交竣工验收申请报告的日期为准，但发包人由于不可抗力不能进行验收的除外。</w:t>
      </w:r>
    </w:p>
    <w:p w14:paraId="2275457E">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18.4 </w:t>
      </w:r>
      <w:r>
        <w:rPr>
          <w:rFonts w:hint="eastAsia" w:ascii="Times New Roman" w:hAnsi="Times New Roman" w:eastAsia="黑体"/>
          <w:bCs/>
          <w:color w:val="auto"/>
          <w:kern w:val="44"/>
          <w:szCs w:val="21"/>
          <w:highlight w:val="none"/>
          <w:lang w:val="zh-CN"/>
        </w:rPr>
        <w:t>单位工程验收</w:t>
      </w:r>
    </w:p>
    <w:p w14:paraId="7C91EC14">
      <w:pPr>
        <w:pStyle w:val="54"/>
        <w:spacing w:line="400" w:lineRule="atLeast"/>
        <w:ind w:firstLine="420" w:firstLineChars="200"/>
        <w:rPr>
          <w:rFonts w:ascii="Times New Roman" w:hAnsi="Times New Roman"/>
          <w:color w:val="auto"/>
          <w:szCs w:val="21"/>
          <w:highlight w:val="none"/>
        </w:rPr>
      </w:pPr>
      <w:r>
        <w:rPr>
          <w:rFonts w:ascii="Times New Roman" w:hAnsi="Times New Roman" w:eastAsia="黑体"/>
          <w:color w:val="auto"/>
          <w:szCs w:val="21"/>
          <w:highlight w:val="none"/>
        </w:rPr>
        <w:t>18.4.1</w:t>
      </w:r>
      <w:r>
        <w:rPr>
          <w:rFonts w:hint="eastAsia" w:ascii="Times New Roman" w:hAnsi="Times New Roman"/>
          <w:color w:val="auto"/>
          <w:szCs w:val="21"/>
          <w:highlight w:val="none"/>
        </w:rPr>
        <w:t>发包人根据合同进度计划安排，在全部工程竣工前需要使用已经竣工的单位工程时，或承包人提出经发包人同意时，可进行单位工程验收。验收的程序可参照第</w:t>
      </w:r>
      <w:r>
        <w:rPr>
          <w:rFonts w:ascii="Times New Roman" w:hAnsi="Times New Roman"/>
          <w:color w:val="auto"/>
          <w:szCs w:val="21"/>
          <w:highlight w:val="none"/>
        </w:rPr>
        <w:t>18.2</w:t>
      </w:r>
      <w:r>
        <w:rPr>
          <w:rFonts w:hint="eastAsia" w:ascii="Times New Roman" w:hAnsi="Times New Roman"/>
          <w:color w:val="auto"/>
          <w:szCs w:val="21"/>
          <w:highlight w:val="none"/>
        </w:rPr>
        <w:t>款与第</w:t>
      </w:r>
      <w:r>
        <w:rPr>
          <w:rFonts w:ascii="Times New Roman" w:hAnsi="Times New Roman"/>
          <w:color w:val="auto"/>
          <w:szCs w:val="21"/>
          <w:highlight w:val="none"/>
        </w:rPr>
        <w:t>18.3</w:t>
      </w:r>
      <w:r>
        <w:rPr>
          <w:rFonts w:hint="eastAsia" w:ascii="Times New Roman" w:hAnsi="Times New Roman"/>
          <w:color w:val="auto"/>
          <w:szCs w:val="21"/>
          <w:highlight w:val="none"/>
        </w:rPr>
        <w:t>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14:paraId="44F8FA11">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18.4.2</w:t>
      </w:r>
      <w:r>
        <w:rPr>
          <w:rFonts w:hint="eastAsia" w:ascii="Times New Roman" w:hAnsi="Times New Roman"/>
          <w:color w:val="auto"/>
          <w:szCs w:val="21"/>
          <w:highlight w:val="none"/>
        </w:rPr>
        <w:t>发包人在全部工程竣工前，使用已接收的单位工程导致承包人费用增加的，发包人应承担由此增加的费用和（或）工期延误，并支付承包人合理利润。</w:t>
      </w:r>
    </w:p>
    <w:p w14:paraId="50045566">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18.5</w:t>
      </w:r>
      <w:r>
        <w:rPr>
          <w:rFonts w:hint="eastAsia" w:ascii="Times New Roman" w:hAnsi="Times New Roman" w:eastAsia="黑体"/>
          <w:bCs/>
          <w:color w:val="auto"/>
          <w:kern w:val="44"/>
          <w:szCs w:val="21"/>
          <w:highlight w:val="none"/>
          <w:lang w:val="zh-CN"/>
        </w:rPr>
        <w:t>施工期运行</w:t>
      </w:r>
    </w:p>
    <w:p w14:paraId="34E6B3E1">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18.5.1 </w:t>
      </w:r>
      <w:r>
        <w:rPr>
          <w:rFonts w:hint="eastAsia" w:ascii="Times New Roman" w:hAnsi="Times New Roman"/>
          <w:color w:val="auto"/>
          <w:szCs w:val="21"/>
          <w:highlight w:val="none"/>
        </w:rPr>
        <w:t>施工期运行是指合同工程尚未全部竣工，其中某项或某几项单位工程或工程设备安装已竣工，根据专用合同条款约定，需要投入施工期运行的，经发包人按第</w:t>
      </w:r>
      <w:r>
        <w:rPr>
          <w:rFonts w:ascii="Times New Roman" w:hAnsi="Times New Roman"/>
          <w:color w:val="auto"/>
          <w:szCs w:val="21"/>
          <w:highlight w:val="none"/>
        </w:rPr>
        <w:t>18.4</w:t>
      </w:r>
      <w:r>
        <w:rPr>
          <w:rFonts w:hint="eastAsia" w:ascii="Times New Roman" w:hAnsi="Times New Roman"/>
          <w:color w:val="auto"/>
          <w:szCs w:val="21"/>
          <w:highlight w:val="none"/>
        </w:rPr>
        <w:t>款的约定验收合格，证明能确保安全后，才能在施工期投入运行。</w:t>
      </w:r>
    </w:p>
    <w:p w14:paraId="564F6124">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18.5.2 </w:t>
      </w:r>
      <w:r>
        <w:rPr>
          <w:rFonts w:hint="eastAsia" w:ascii="Times New Roman" w:hAnsi="Times New Roman"/>
          <w:color w:val="auto"/>
          <w:szCs w:val="21"/>
          <w:highlight w:val="none"/>
        </w:rPr>
        <w:t>在施工期运行中发现工程或工程设备损坏或存在缺陷的，由承包人按第</w:t>
      </w:r>
      <w:r>
        <w:rPr>
          <w:rFonts w:ascii="Times New Roman" w:hAnsi="Times New Roman"/>
          <w:color w:val="auto"/>
          <w:szCs w:val="21"/>
          <w:highlight w:val="none"/>
        </w:rPr>
        <w:t>19.2</w:t>
      </w:r>
      <w:r>
        <w:rPr>
          <w:rFonts w:hint="eastAsia" w:ascii="Times New Roman" w:hAnsi="Times New Roman"/>
          <w:color w:val="auto"/>
          <w:szCs w:val="21"/>
          <w:highlight w:val="none"/>
        </w:rPr>
        <w:t>款约定进行修复。</w:t>
      </w:r>
    </w:p>
    <w:p w14:paraId="306FB2D0">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18.6 </w:t>
      </w:r>
      <w:r>
        <w:rPr>
          <w:rFonts w:hint="eastAsia" w:ascii="Times New Roman" w:hAnsi="Times New Roman" w:eastAsia="黑体"/>
          <w:bCs/>
          <w:color w:val="auto"/>
          <w:kern w:val="44"/>
          <w:szCs w:val="21"/>
          <w:highlight w:val="none"/>
          <w:lang w:val="zh-CN"/>
        </w:rPr>
        <w:t>试运行（本项目不适用）</w:t>
      </w:r>
    </w:p>
    <w:p w14:paraId="54698500">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18.7 </w:t>
      </w:r>
      <w:r>
        <w:rPr>
          <w:rFonts w:hint="eastAsia" w:ascii="Times New Roman" w:hAnsi="Times New Roman" w:eastAsia="黑体"/>
          <w:bCs/>
          <w:color w:val="auto"/>
          <w:kern w:val="44"/>
          <w:szCs w:val="21"/>
          <w:highlight w:val="none"/>
          <w:lang w:val="zh-CN"/>
        </w:rPr>
        <w:t>竣工清场</w:t>
      </w:r>
    </w:p>
    <w:p w14:paraId="37983825">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18.7.1</w:t>
      </w:r>
      <w:r>
        <w:rPr>
          <w:rFonts w:hint="eastAsia" w:ascii="Times New Roman" w:hAnsi="Times New Roman"/>
          <w:color w:val="auto"/>
          <w:szCs w:val="21"/>
          <w:highlight w:val="none"/>
        </w:rPr>
        <w:t>除合同另有约定外，工程接收证书颁发后，承包人应按以下要求对施工场地进行清理，直至监理人检验合格为止。竣工清场费用由承包人承担。</w:t>
      </w:r>
    </w:p>
    <w:p w14:paraId="0091CF71">
      <w:pPr>
        <w:pStyle w:val="54"/>
        <w:spacing w:line="400" w:lineRule="atLeast"/>
        <w:ind w:firstLine="569" w:firstLineChars="271"/>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1</w:t>
      </w:r>
      <w:r>
        <w:rPr>
          <w:rFonts w:hint="eastAsia" w:ascii="Times New Roman" w:hAnsi="Times New Roman"/>
          <w:color w:val="auto"/>
          <w:szCs w:val="21"/>
          <w:highlight w:val="none"/>
        </w:rPr>
        <w:t>）施工场地内残留的垃圾已全部清除出场；</w:t>
      </w:r>
    </w:p>
    <w:p w14:paraId="497E74F2">
      <w:pPr>
        <w:pStyle w:val="54"/>
        <w:spacing w:line="400" w:lineRule="atLeast"/>
        <w:ind w:firstLine="569" w:firstLineChars="271"/>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2</w:t>
      </w:r>
      <w:r>
        <w:rPr>
          <w:rFonts w:hint="eastAsia" w:ascii="Times New Roman" w:hAnsi="Times New Roman"/>
          <w:color w:val="auto"/>
          <w:szCs w:val="21"/>
          <w:highlight w:val="none"/>
        </w:rPr>
        <w:t>）临时工程已拆除，场地已按合同要求进行清理、平整或复原；</w:t>
      </w:r>
    </w:p>
    <w:p w14:paraId="1076B1FA">
      <w:pPr>
        <w:pStyle w:val="54"/>
        <w:spacing w:line="400" w:lineRule="atLeast"/>
        <w:ind w:firstLine="569" w:firstLineChars="271"/>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3</w:t>
      </w:r>
      <w:r>
        <w:rPr>
          <w:rFonts w:hint="eastAsia" w:ascii="Times New Roman" w:hAnsi="Times New Roman"/>
          <w:color w:val="auto"/>
          <w:szCs w:val="21"/>
          <w:highlight w:val="none"/>
        </w:rPr>
        <w:t>）按合同约定应撤离的承包人设备和剩余的材料，包括废弃的施工设备和材料，已按计划撤离施工场地；</w:t>
      </w:r>
    </w:p>
    <w:p w14:paraId="23DC6B70">
      <w:pPr>
        <w:pStyle w:val="54"/>
        <w:spacing w:line="400" w:lineRule="atLeast"/>
        <w:ind w:firstLine="569" w:firstLineChars="271"/>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4</w:t>
      </w:r>
      <w:r>
        <w:rPr>
          <w:rFonts w:hint="eastAsia" w:ascii="Times New Roman" w:hAnsi="Times New Roman"/>
          <w:color w:val="auto"/>
          <w:szCs w:val="21"/>
          <w:highlight w:val="none"/>
        </w:rPr>
        <w:t>）工程建筑物周边及其附近道路、河道的施工堆积物，已按监理人指示全部清理；</w:t>
      </w:r>
    </w:p>
    <w:p w14:paraId="00D32938">
      <w:pPr>
        <w:pStyle w:val="54"/>
        <w:spacing w:line="400" w:lineRule="atLeast"/>
        <w:ind w:firstLine="569" w:firstLineChars="271"/>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5</w:t>
      </w:r>
      <w:r>
        <w:rPr>
          <w:rFonts w:hint="eastAsia" w:ascii="Times New Roman" w:hAnsi="Times New Roman"/>
          <w:color w:val="auto"/>
          <w:szCs w:val="21"/>
          <w:highlight w:val="none"/>
        </w:rPr>
        <w:t>）监理人指示的其他场地清理工作已全部完成。</w:t>
      </w:r>
    </w:p>
    <w:p w14:paraId="1E9C72B7">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18.7.2</w:t>
      </w:r>
      <w:r>
        <w:rPr>
          <w:rFonts w:hint="eastAsia" w:ascii="Times New Roman" w:hAnsi="Times New Roman"/>
          <w:color w:val="auto"/>
          <w:szCs w:val="21"/>
          <w:highlight w:val="none"/>
        </w:rPr>
        <w:t>承包人未按监理人的要求恢复临时占地，或者场地清理未达到合同约定的，发包人有权委托其他人恢复或清理，所发生的金额从拟支付给承包人的款项中扣除。</w:t>
      </w:r>
    </w:p>
    <w:p w14:paraId="73D8D89B">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18.8</w:t>
      </w:r>
      <w:r>
        <w:rPr>
          <w:rFonts w:hint="eastAsia" w:ascii="Times New Roman" w:hAnsi="Times New Roman" w:eastAsia="黑体"/>
          <w:bCs/>
          <w:color w:val="auto"/>
          <w:kern w:val="44"/>
          <w:szCs w:val="21"/>
          <w:highlight w:val="none"/>
          <w:lang w:val="zh-CN"/>
        </w:rPr>
        <w:t>施工队伍的撤离</w:t>
      </w:r>
    </w:p>
    <w:p w14:paraId="66739E9C">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工程接收证书颁发后的</w:t>
      </w:r>
      <w:r>
        <w:rPr>
          <w:rFonts w:ascii="Times New Roman" w:hAnsi="Times New Roman"/>
          <w:color w:val="auto"/>
          <w:szCs w:val="21"/>
          <w:highlight w:val="none"/>
        </w:rPr>
        <w:t>56</w:t>
      </w:r>
      <w:r>
        <w:rPr>
          <w:rFonts w:hint="eastAsia" w:ascii="Times New Roman" w:hAnsi="Times New Roman"/>
          <w:color w:val="auto"/>
          <w:szCs w:val="21"/>
          <w:highlight w:val="none"/>
        </w:rPr>
        <w:t>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14:paraId="5B0E3C16">
      <w:pPr>
        <w:pStyle w:val="54"/>
        <w:keepNext/>
        <w:keepLines/>
        <w:spacing w:before="480" w:after="240" w:line="380" w:lineRule="atLeast"/>
        <w:outlineLvl w:val="2"/>
        <w:rPr>
          <w:rFonts w:ascii="Times New Roman" w:hAnsi="Times New Roman" w:eastAsia="黑体"/>
          <w:bCs/>
          <w:color w:val="auto"/>
          <w:kern w:val="44"/>
          <w:szCs w:val="21"/>
          <w:highlight w:val="none"/>
          <w:lang w:val="zh-CN"/>
        </w:rPr>
      </w:pPr>
      <w:bookmarkStart w:id="125" w:name="_Toc27265"/>
      <w:r>
        <w:rPr>
          <w:rFonts w:ascii="Times New Roman" w:hAnsi="Times New Roman" w:eastAsia="黑体"/>
          <w:bCs/>
          <w:color w:val="auto"/>
          <w:kern w:val="44"/>
          <w:szCs w:val="21"/>
          <w:highlight w:val="none"/>
          <w:lang w:val="zh-CN"/>
        </w:rPr>
        <w:t xml:space="preserve">19. </w:t>
      </w:r>
      <w:r>
        <w:rPr>
          <w:rFonts w:hint="eastAsia" w:ascii="Times New Roman" w:hAnsi="Times New Roman" w:eastAsia="黑体"/>
          <w:bCs/>
          <w:color w:val="auto"/>
          <w:kern w:val="44"/>
          <w:szCs w:val="21"/>
          <w:highlight w:val="none"/>
          <w:lang w:val="zh-CN"/>
        </w:rPr>
        <w:t>缺陷责任与保修责任</w:t>
      </w:r>
      <w:bookmarkEnd w:id="125"/>
    </w:p>
    <w:p w14:paraId="72943198">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19.1 </w:t>
      </w:r>
      <w:r>
        <w:rPr>
          <w:rFonts w:hint="eastAsia" w:ascii="Times New Roman" w:hAnsi="Times New Roman" w:eastAsia="黑体"/>
          <w:bCs/>
          <w:color w:val="auto"/>
          <w:kern w:val="44"/>
          <w:szCs w:val="21"/>
          <w:highlight w:val="none"/>
          <w:lang w:val="zh-CN"/>
        </w:rPr>
        <w:t>缺陷责任期的起算时间</w:t>
      </w:r>
    </w:p>
    <w:p w14:paraId="161EC276">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缺陷责任期自实际竣工日期起计算。在全部工程竣工验收前，已经发包人提前验收的单位工程，其缺陷责任期的起算日期相应提前。</w:t>
      </w:r>
    </w:p>
    <w:p w14:paraId="6CE40E70">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19.2 </w:t>
      </w:r>
      <w:r>
        <w:rPr>
          <w:rFonts w:hint="eastAsia" w:ascii="Times New Roman" w:hAnsi="Times New Roman" w:eastAsia="黑体"/>
          <w:bCs/>
          <w:color w:val="auto"/>
          <w:kern w:val="44"/>
          <w:szCs w:val="21"/>
          <w:highlight w:val="none"/>
          <w:lang w:val="zh-CN"/>
        </w:rPr>
        <w:t>缺陷责任</w:t>
      </w:r>
    </w:p>
    <w:p w14:paraId="435C951E">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19.2.1 </w:t>
      </w:r>
      <w:r>
        <w:rPr>
          <w:rFonts w:hint="eastAsia" w:ascii="Times New Roman" w:hAnsi="Times New Roman"/>
          <w:color w:val="auto"/>
          <w:szCs w:val="21"/>
          <w:highlight w:val="none"/>
        </w:rPr>
        <w:t>承包人应在缺陷责任期内对已交付使用的工程承担缺陷责任。</w:t>
      </w:r>
    </w:p>
    <w:p w14:paraId="35907C4E">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19.2.2 </w:t>
      </w:r>
      <w:r>
        <w:rPr>
          <w:rFonts w:hint="eastAsia" w:ascii="Times New Roman" w:hAnsi="Times New Roman"/>
          <w:color w:val="auto"/>
          <w:szCs w:val="21"/>
          <w:highlight w:val="none"/>
        </w:rPr>
        <w:t>缺陷责任期内，发包人对已接收使用的工程负责日常维护工作。发包人在使用过程中，发现已接收的工程存在新的缺陷或已修复的缺陷部位或部件又遭损坏的，承包人应负责修复，直至检验合格为止。</w:t>
      </w:r>
    </w:p>
    <w:p w14:paraId="4240C8E8">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19.2.3 </w:t>
      </w:r>
      <w:r>
        <w:rPr>
          <w:rFonts w:hint="eastAsia" w:ascii="Times New Roman" w:hAnsi="Times New Roman"/>
          <w:color w:val="auto"/>
          <w:szCs w:val="21"/>
          <w:highlight w:val="none"/>
        </w:rPr>
        <w:t>监理人和承包人应共同查清缺陷和（或）损坏的原因。经查明属承包人原因造成的，应由承包人承担修复和查验的费用。经查验属发包人原因造成的，发包人应承担修复和查验的费用，并支付承包人合理利润。</w:t>
      </w:r>
    </w:p>
    <w:p w14:paraId="53C66ED3">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19.2.4 </w:t>
      </w:r>
      <w:r>
        <w:rPr>
          <w:rFonts w:hint="eastAsia" w:ascii="Times New Roman" w:hAnsi="Times New Roman"/>
          <w:color w:val="auto"/>
          <w:szCs w:val="21"/>
          <w:highlight w:val="none"/>
        </w:rPr>
        <w:t>承包人不能在合理时间内修复缺陷的，发包人可自行修复或委托其他人修复，所需费用和利润的承担，按第</w:t>
      </w:r>
      <w:r>
        <w:rPr>
          <w:rFonts w:ascii="Times New Roman" w:hAnsi="Times New Roman"/>
          <w:color w:val="auto"/>
          <w:szCs w:val="21"/>
          <w:highlight w:val="none"/>
        </w:rPr>
        <w:t>19.2.3</w:t>
      </w:r>
      <w:r>
        <w:rPr>
          <w:rFonts w:hint="eastAsia" w:ascii="Times New Roman" w:hAnsi="Times New Roman"/>
          <w:color w:val="auto"/>
          <w:szCs w:val="21"/>
          <w:highlight w:val="none"/>
        </w:rPr>
        <w:t>项约定办理。</w:t>
      </w:r>
    </w:p>
    <w:p w14:paraId="0D28A0CD">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19.3 </w:t>
      </w:r>
      <w:r>
        <w:rPr>
          <w:rFonts w:hint="eastAsia" w:ascii="Times New Roman" w:hAnsi="Times New Roman" w:eastAsia="黑体"/>
          <w:bCs/>
          <w:color w:val="auto"/>
          <w:kern w:val="44"/>
          <w:szCs w:val="21"/>
          <w:highlight w:val="none"/>
          <w:lang w:val="zh-CN"/>
        </w:rPr>
        <w:t>缺陷责任期的延长</w:t>
      </w:r>
    </w:p>
    <w:p w14:paraId="28DAC66F">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由于承包人原因造成某项缺陷或损坏使某项工程或工程设备不能按原定目标使用而需要再次检查、检验和修复的，发包人有权要求承包人相应延长缺陷责任期，但缺陷责任期最长不超过</w:t>
      </w:r>
      <w:r>
        <w:rPr>
          <w:rFonts w:ascii="Times New Roman" w:hAnsi="Times New Roman"/>
          <w:color w:val="auto"/>
          <w:szCs w:val="21"/>
          <w:highlight w:val="none"/>
        </w:rPr>
        <w:t>2</w:t>
      </w:r>
      <w:r>
        <w:rPr>
          <w:rFonts w:hint="eastAsia" w:ascii="Times New Roman" w:hAnsi="Times New Roman"/>
          <w:color w:val="auto"/>
          <w:szCs w:val="21"/>
          <w:highlight w:val="none"/>
        </w:rPr>
        <w:t>年。</w:t>
      </w:r>
    </w:p>
    <w:p w14:paraId="57F4C666">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19.4 </w:t>
      </w:r>
      <w:r>
        <w:rPr>
          <w:rFonts w:hint="eastAsia" w:ascii="Times New Roman" w:hAnsi="Times New Roman" w:eastAsia="黑体"/>
          <w:bCs/>
          <w:color w:val="auto"/>
          <w:kern w:val="44"/>
          <w:szCs w:val="21"/>
          <w:highlight w:val="none"/>
          <w:lang w:val="zh-CN"/>
        </w:rPr>
        <w:t>进一步试验和试运行</w:t>
      </w:r>
    </w:p>
    <w:p w14:paraId="1C5B0983">
      <w:pPr>
        <w:pStyle w:val="54"/>
        <w:spacing w:line="400" w:lineRule="atLeast"/>
        <w:rPr>
          <w:rFonts w:ascii="Times New Roman" w:hAnsi="Times New Roman"/>
          <w:color w:val="auto"/>
          <w:szCs w:val="21"/>
          <w:highlight w:val="none"/>
        </w:rPr>
      </w:pPr>
      <w:r>
        <w:rPr>
          <w:rFonts w:ascii="Times New Roman" w:hAnsi="Times New Roman"/>
          <w:color w:val="auto"/>
          <w:szCs w:val="21"/>
          <w:highlight w:val="none"/>
        </w:rPr>
        <w:t xml:space="preserve">    </w:t>
      </w:r>
      <w:r>
        <w:rPr>
          <w:rFonts w:hint="eastAsia" w:ascii="Times New Roman" w:hAnsi="Times New Roman"/>
          <w:color w:val="auto"/>
          <w:szCs w:val="21"/>
          <w:highlight w:val="none"/>
        </w:rPr>
        <w:t>任何一项缺陷或损坏修复后，经检查证明其影响了工程或工程设备的使用性能，承包人应重新进行合同约定的试验和试运行，试验和试运行的全部费用应由责任方承担。</w:t>
      </w:r>
    </w:p>
    <w:p w14:paraId="0E302539">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19.5 </w:t>
      </w:r>
      <w:r>
        <w:rPr>
          <w:rFonts w:hint="eastAsia" w:ascii="Times New Roman" w:hAnsi="Times New Roman" w:eastAsia="黑体"/>
          <w:bCs/>
          <w:color w:val="auto"/>
          <w:kern w:val="44"/>
          <w:szCs w:val="21"/>
          <w:highlight w:val="none"/>
          <w:lang w:val="zh-CN"/>
        </w:rPr>
        <w:t>承包人的进入权</w:t>
      </w:r>
      <w:r>
        <w:rPr>
          <w:rFonts w:ascii="Times New Roman" w:hAnsi="Times New Roman" w:eastAsia="黑体"/>
          <w:bCs/>
          <w:color w:val="auto"/>
          <w:kern w:val="44"/>
          <w:szCs w:val="21"/>
          <w:highlight w:val="none"/>
          <w:lang w:val="zh-CN"/>
        </w:rPr>
        <w:t xml:space="preserve"> </w:t>
      </w:r>
    </w:p>
    <w:p w14:paraId="391551A5">
      <w:pPr>
        <w:pStyle w:val="54"/>
        <w:spacing w:line="400" w:lineRule="atLeast"/>
        <w:ind w:firstLine="435"/>
        <w:rPr>
          <w:rFonts w:ascii="Times New Roman" w:hAnsi="Times New Roman"/>
          <w:color w:val="auto"/>
          <w:szCs w:val="21"/>
          <w:highlight w:val="none"/>
        </w:rPr>
      </w:pPr>
      <w:r>
        <w:rPr>
          <w:rFonts w:hint="eastAsia" w:ascii="Times New Roman" w:hAnsi="Times New Roman"/>
          <w:color w:val="auto"/>
          <w:szCs w:val="21"/>
          <w:highlight w:val="none"/>
        </w:rPr>
        <w:t>缺陷责任期内承包人为缺陷修复工作需要，有权进入工程现场，但应遵守发包人的保安和保密规定。</w:t>
      </w:r>
    </w:p>
    <w:p w14:paraId="080E8DD4">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19.6 </w:t>
      </w:r>
      <w:r>
        <w:rPr>
          <w:rFonts w:hint="eastAsia" w:ascii="Times New Roman" w:hAnsi="Times New Roman" w:eastAsia="黑体"/>
          <w:bCs/>
          <w:color w:val="auto"/>
          <w:kern w:val="44"/>
          <w:szCs w:val="21"/>
          <w:highlight w:val="none"/>
          <w:lang w:val="zh-CN"/>
        </w:rPr>
        <w:t>缺陷责任期终止证书</w:t>
      </w:r>
    </w:p>
    <w:p w14:paraId="31F5B5AC">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在第</w:t>
      </w:r>
      <w:r>
        <w:rPr>
          <w:rFonts w:ascii="Times New Roman" w:hAnsi="Times New Roman"/>
          <w:color w:val="auto"/>
          <w:szCs w:val="21"/>
          <w:highlight w:val="none"/>
        </w:rPr>
        <w:t>1.1.4.5</w:t>
      </w:r>
      <w:r>
        <w:rPr>
          <w:rFonts w:hint="eastAsia" w:ascii="Times New Roman" w:hAnsi="Times New Roman"/>
          <w:color w:val="auto"/>
          <w:szCs w:val="21"/>
          <w:highlight w:val="none"/>
        </w:rPr>
        <w:t>目约定的缺陷责任期，包括根据第</w:t>
      </w:r>
      <w:r>
        <w:rPr>
          <w:rFonts w:ascii="Times New Roman" w:hAnsi="Times New Roman"/>
          <w:color w:val="auto"/>
          <w:szCs w:val="21"/>
          <w:highlight w:val="none"/>
        </w:rPr>
        <w:t>19.3</w:t>
      </w:r>
      <w:r>
        <w:rPr>
          <w:rFonts w:hint="eastAsia" w:ascii="Times New Roman" w:hAnsi="Times New Roman"/>
          <w:color w:val="auto"/>
          <w:szCs w:val="21"/>
          <w:highlight w:val="none"/>
        </w:rPr>
        <w:t>款延长的期限终止后</w:t>
      </w:r>
      <w:r>
        <w:rPr>
          <w:rFonts w:ascii="Times New Roman" w:hAnsi="Times New Roman"/>
          <w:color w:val="auto"/>
          <w:szCs w:val="21"/>
          <w:highlight w:val="none"/>
        </w:rPr>
        <w:t>14</w:t>
      </w:r>
      <w:r>
        <w:rPr>
          <w:rFonts w:hint="eastAsia" w:ascii="Times New Roman" w:hAnsi="Times New Roman"/>
          <w:color w:val="auto"/>
          <w:szCs w:val="21"/>
          <w:highlight w:val="none"/>
        </w:rPr>
        <w:t>天内，由监理人向承包人出具经发包人签认的缺陷责任期终止证书，并退还剩余的质量保证金。</w:t>
      </w:r>
    </w:p>
    <w:p w14:paraId="7899E1D9">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19.7 </w:t>
      </w:r>
      <w:r>
        <w:rPr>
          <w:rFonts w:hint="eastAsia" w:ascii="Times New Roman" w:hAnsi="Times New Roman" w:eastAsia="黑体"/>
          <w:bCs/>
          <w:color w:val="auto"/>
          <w:kern w:val="44"/>
          <w:szCs w:val="21"/>
          <w:highlight w:val="none"/>
          <w:lang w:val="zh-CN"/>
        </w:rPr>
        <w:t>保修责任</w:t>
      </w:r>
    </w:p>
    <w:p w14:paraId="0C7B2B03">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合同当事人根据有关法律规定，在专用合同条款中约定工程质量保修范围、期限和责任。保修期自实际竣工日期起计算。在全部工程竣工验收前，已经发包人提前验收的单位工程，其保修期的起算日期相应提前。</w:t>
      </w:r>
    </w:p>
    <w:p w14:paraId="50B23A2D">
      <w:pPr>
        <w:pStyle w:val="54"/>
        <w:keepNext/>
        <w:keepLines/>
        <w:spacing w:before="480" w:after="240" w:line="380" w:lineRule="atLeast"/>
        <w:outlineLvl w:val="2"/>
        <w:rPr>
          <w:rFonts w:ascii="Times New Roman" w:hAnsi="Times New Roman" w:eastAsia="黑体"/>
          <w:bCs/>
          <w:color w:val="auto"/>
          <w:kern w:val="44"/>
          <w:szCs w:val="21"/>
          <w:highlight w:val="none"/>
          <w:lang w:val="zh-CN"/>
        </w:rPr>
      </w:pPr>
      <w:bookmarkStart w:id="126" w:name="_Toc18267"/>
      <w:r>
        <w:rPr>
          <w:rFonts w:ascii="Times New Roman" w:hAnsi="Times New Roman" w:eastAsia="黑体"/>
          <w:bCs/>
          <w:color w:val="auto"/>
          <w:kern w:val="44"/>
          <w:szCs w:val="21"/>
          <w:highlight w:val="none"/>
          <w:lang w:val="zh-CN"/>
        </w:rPr>
        <w:t xml:space="preserve">20. </w:t>
      </w:r>
      <w:r>
        <w:rPr>
          <w:rFonts w:hint="eastAsia" w:ascii="Times New Roman" w:hAnsi="Times New Roman" w:eastAsia="黑体"/>
          <w:bCs/>
          <w:color w:val="auto"/>
          <w:kern w:val="44"/>
          <w:szCs w:val="21"/>
          <w:highlight w:val="none"/>
          <w:lang w:val="zh-CN"/>
        </w:rPr>
        <w:t>保险</w:t>
      </w:r>
      <w:bookmarkEnd w:id="126"/>
    </w:p>
    <w:p w14:paraId="6565E803">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20.1</w:t>
      </w:r>
      <w:r>
        <w:rPr>
          <w:rFonts w:hint="eastAsia" w:ascii="Times New Roman" w:hAnsi="Times New Roman" w:eastAsia="黑体"/>
          <w:bCs/>
          <w:color w:val="auto"/>
          <w:kern w:val="44"/>
          <w:szCs w:val="21"/>
          <w:highlight w:val="none"/>
          <w:lang w:val="zh-CN"/>
        </w:rPr>
        <w:t>工程保险</w:t>
      </w:r>
    </w:p>
    <w:p w14:paraId="4D9470D4">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14:paraId="7DB52304">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20.2</w:t>
      </w:r>
      <w:r>
        <w:rPr>
          <w:rFonts w:hint="eastAsia" w:ascii="Times New Roman" w:hAnsi="Times New Roman" w:eastAsia="黑体"/>
          <w:bCs/>
          <w:color w:val="auto"/>
          <w:kern w:val="44"/>
          <w:szCs w:val="21"/>
          <w:highlight w:val="none"/>
          <w:lang w:val="zh-CN"/>
        </w:rPr>
        <w:t>人员工伤事故的保险</w:t>
      </w:r>
    </w:p>
    <w:p w14:paraId="054566B2">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20.2.1 </w:t>
      </w:r>
      <w:r>
        <w:rPr>
          <w:rFonts w:hint="eastAsia" w:ascii="Times New Roman" w:hAnsi="Times New Roman" w:eastAsia="黑体"/>
          <w:color w:val="auto"/>
          <w:szCs w:val="21"/>
          <w:highlight w:val="none"/>
        </w:rPr>
        <w:t>承包人员工伤事故的保险</w:t>
      </w:r>
    </w:p>
    <w:p w14:paraId="2620B638">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承包人应依照有关法律规定参加工伤保险，为其履行合同所雇用的全部人员，缴纳工伤保险费，并要求其分包人也进行此项保险。</w:t>
      </w:r>
    </w:p>
    <w:p w14:paraId="5643613D">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20.2.2</w:t>
      </w:r>
      <w:r>
        <w:rPr>
          <w:rFonts w:hint="eastAsia" w:ascii="Times New Roman" w:hAnsi="Times New Roman" w:eastAsia="黑体"/>
          <w:color w:val="auto"/>
          <w:szCs w:val="21"/>
          <w:highlight w:val="none"/>
        </w:rPr>
        <w:t>发包人员工伤事故的保险</w:t>
      </w:r>
    </w:p>
    <w:p w14:paraId="5FD968C4">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发包人应依照有关法律规定参加工伤保险，为其现场机构雇用的全部人员，缴纳工伤保险费，并要求其监理人也进行此项保险。</w:t>
      </w:r>
    </w:p>
    <w:p w14:paraId="371BB518">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20.3 </w:t>
      </w:r>
      <w:r>
        <w:rPr>
          <w:rFonts w:hint="eastAsia" w:ascii="Times New Roman" w:hAnsi="Times New Roman" w:eastAsia="黑体"/>
          <w:bCs/>
          <w:color w:val="auto"/>
          <w:kern w:val="44"/>
          <w:szCs w:val="21"/>
          <w:highlight w:val="none"/>
          <w:lang w:val="zh-CN"/>
        </w:rPr>
        <w:t>人身意外伤害险</w:t>
      </w:r>
    </w:p>
    <w:p w14:paraId="4BBE231B">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20.3.1</w:t>
      </w:r>
      <w:r>
        <w:rPr>
          <w:rFonts w:hint="eastAsia" w:ascii="Times New Roman" w:hAnsi="Times New Roman"/>
          <w:color w:val="auto"/>
          <w:szCs w:val="21"/>
          <w:highlight w:val="none"/>
        </w:rPr>
        <w:t>发包人应在整个施工期间为其现场机构雇用的全部人员，投保人身意外伤害险，缴纳保险费，并要求其监理人也进行此项保险。</w:t>
      </w:r>
    </w:p>
    <w:p w14:paraId="7A2D6376">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20.3.2 </w:t>
      </w:r>
      <w:r>
        <w:rPr>
          <w:rFonts w:hint="eastAsia" w:ascii="Times New Roman" w:hAnsi="Times New Roman"/>
          <w:color w:val="auto"/>
          <w:szCs w:val="21"/>
          <w:highlight w:val="none"/>
        </w:rPr>
        <w:t>承包人应在整个施工期间为其现场机构雇用的全部人员，投保人身意外伤害险，缴纳保险费，并要求其分包人也进行此项保险。</w:t>
      </w:r>
    </w:p>
    <w:p w14:paraId="640D1D12">
      <w:pPr>
        <w:pStyle w:val="54"/>
        <w:keepNext/>
        <w:keepLines/>
        <w:spacing w:before="480" w:after="240" w:line="380" w:lineRule="atLeast"/>
        <w:outlineLvl w:val="2"/>
        <w:rPr>
          <w:rFonts w:ascii="Times New Roman" w:hAnsi="Times New Roman" w:eastAsia="黑体"/>
          <w:bCs/>
          <w:color w:val="auto"/>
          <w:kern w:val="44"/>
          <w:szCs w:val="21"/>
          <w:highlight w:val="none"/>
          <w:lang w:val="zh-CN"/>
        </w:rPr>
      </w:pPr>
      <w:bookmarkStart w:id="127" w:name="_Toc7931"/>
      <w:r>
        <w:rPr>
          <w:rFonts w:ascii="Times New Roman" w:hAnsi="Times New Roman" w:eastAsia="黑体"/>
          <w:bCs/>
          <w:color w:val="auto"/>
          <w:kern w:val="44"/>
          <w:szCs w:val="21"/>
          <w:highlight w:val="none"/>
          <w:lang w:val="zh-CN"/>
        </w:rPr>
        <w:t xml:space="preserve">21. </w:t>
      </w:r>
      <w:r>
        <w:rPr>
          <w:rFonts w:hint="eastAsia" w:ascii="Times New Roman" w:hAnsi="Times New Roman" w:eastAsia="黑体"/>
          <w:bCs/>
          <w:color w:val="auto"/>
          <w:kern w:val="44"/>
          <w:szCs w:val="21"/>
          <w:highlight w:val="none"/>
          <w:lang w:val="zh-CN"/>
        </w:rPr>
        <w:t>不可抗力</w:t>
      </w:r>
      <w:bookmarkEnd w:id="127"/>
    </w:p>
    <w:p w14:paraId="5C336B68">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21.1 </w:t>
      </w:r>
      <w:r>
        <w:rPr>
          <w:rFonts w:hint="eastAsia" w:ascii="Times New Roman" w:hAnsi="Times New Roman" w:eastAsia="黑体"/>
          <w:bCs/>
          <w:color w:val="auto"/>
          <w:kern w:val="44"/>
          <w:szCs w:val="21"/>
          <w:highlight w:val="none"/>
          <w:lang w:val="zh-CN"/>
        </w:rPr>
        <w:t>不可抗力的确认</w:t>
      </w:r>
    </w:p>
    <w:p w14:paraId="695B17E0">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21.1.1 </w:t>
      </w:r>
      <w:r>
        <w:rPr>
          <w:rFonts w:hint="eastAsia" w:ascii="Times New Roman" w:hAnsi="Times New Roman"/>
          <w:color w:val="auto"/>
          <w:szCs w:val="21"/>
          <w:highlight w:val="none"/>
        </w:rPr>
        <w:t>不可抗力是指承包人和发包人在订立合同时不可预见，在工程施工过程中不可避免发生并不能克服的自然灾害和社会性突发事件，如地震、海啸、瘟疫、水灾、骚乱、暴动、战争和专用合同条款约定的其他情形。</w:t>
      </w:r>
    </w:p>
    <w:p w14:paraId="7296B093">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21.1.2 </w:t>
      </w:r>
      <w:r>
        <w:rPr>
          <w:rFonts w:hint="eastAsia" w:ascii="Times New Roman" w:hAnsi="Times New Roman"/>
          <w:color w:val="auto"/>
          <w:szCs w:val="21"/>
          <w:highlight w:val="none"/>
        </w:rPr>
        <w:t>不可抗力发生后，发包人和承包人应及时认真统计所造成的损失，收集不可抗力造成损失的证据。合同双方对是否属于不可抗力或其损失的意见不一致的，由监理人按第</w:t>
      </w:r>
      <w:r>
        <w:rPr>
          <w:rFonts w:ascii="Times New Roman" w:hAnsi="Times New Roman"/>
          <w:color w:val="auto"/>
          <w:szCs w:val="21"/>
          <w:highlight w:val="none"/>
        </w:rPr>
        <w:t>3.5</w:t>
      </w:r>
      <w:r>
        <w:rPr>
          <w:rFonts w:hint="eastAsia" w:ascii="Times New Roman" w:hAnsi="Times New Roman"/>
          <w:color w:val="auto"/>
          <w:szCs w:val="21"/>
          <w:highlight w:val="none"/>
        </w:rPr>
        <w:t>款商定或确定。发生争议时，按第</w:t>
      </w:r>
      <w:r>
        <w:rPr>
          <w:rFonts w:ascii="Times New Roman" w:hAnsi="Times New Roman"/>
          <w:color w:val="auto"/>
          <w:szCs w:val="21"/>
          <w:highlight w:val="none"/>
        </w:rPr>
        <w:t>24</w:t>
      </w:r>
      <w:r>
        <w:rPr>
          <w:rFonts w:hint="eastAsia" w:ascii="Times New Roman" w:hAnsi="Times New Roman"/>
          <w:color w:val="auto"/>
          <w:szCs w:val="21"/>
          <w:highlight w:val="none"/>
        </w:rPr>
        <w:t>条的约定办理。</w:t>
      </w:r>
    </w:p>
    <w:p w14:paraId="186C88EB">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21.2 </w:t>
      </w:r>
      <w:r>
        <w:rPr>
          <w:rFonts w:hint="eastAsia" w:ascii="Times New Roman" w:hAnsi="Times New Roman" w:eastAsia="黑体"/>
          <w:bCs/>
          <w:color w:val="auto"/>
          <w:kern w:val="44"/>
          <w:szCs w:val="21"/>
          <w:highlight w:val="none"/>
          <w:lang w:val="zh-CN"/>
        </w:rPr>
        <w:t>不可抗力的通知</w:t>
      </w:r>
    </w:p>
    <w:p w14:paraId="57972CB9">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21.2.1 </w:t>
      </w:r>
      <w:r>
        <w:rPr>
          <w:rFonts w:hint="eastAsia" w:ascii="Times New Roman" w:hAnsi="Times New Roman"/>
          <w:color w:val="auto"/>
          <w:szCs w:val="21"/>
          <w:highlight w:val="none"/>
        </w:rPr>
        <w:t>合同一方当事人遇到不可抗力事件，使其履行合同义务受到阻碍时，应立即通知合同另一方当事人和监理人，书面说明不可抗力和受阻碍的详细情况，并提供必要的证明。</w:t>
      </w:r>
    </w:p>
    <w:p w14:paraId="76318CA3">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21.2.2 </w:t>
      </w:r>
      <w:r>
        <w:rPr>
          <w:rFonts w:hint="eastAsia" w:ascii="Times New Roman" w:hAnsi="Times New Roman"/>
          <w:color w:val="auto"/>
          <w:szCs w:val="21"/>
          <w:highlight w:val="none"/>
        </w:rPr>
        <w:t>如不可抗力持续发生，合同一方当事人应及时向合同另一方当事人和监理人提交中间报告，说明不可抗力和履行合同受阻的情况，并于不可抗力事件结束后</w:t>
      </w:r>
      <w:r>
        <w:rPr>
          <w:rFonts w:ascii="Times New Roman" w:hAnsi="Times New Roman"/>
          <w:color w:val="auto"/>
          <w:szCs w:val="21"/>
          <w:highlight w:val="none"/>
        </w:rPr>
        <w:t>28</w:t>
      </w:r>
      <w:r>
        <w:rPr>
          <w:rFonts w:hint="eastAsia" w:ascii="Times New Roman" w:hAnsi="Times New Roman"/>
          <w:color w:val="auto"/>
          <w:szCs w:val="21"/>
          <w:highlight w:val="none"/>
        </w:rPr>
        <w:t>天内提交最终报告及有关资料。</w:t>
      </w:r>
    </w:p>
    <w:p w14:paraId="5749C8EA">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21.3 </w:t>
      </w:r>
      <w:r>
        <w:rPr>
          <w:rFonts w:hint="eastAsia" w:ascii="Times New Roman" w:hAnsi="Times New Roman" w:eastAsia="黑体"/>
          <w:bCs/>
          <w:color w:val="auto"/>
          <w:kern w:val="44"/>
          <w:szCs w:val="21"/>
          <w:highlight w:val="none"/>
          <w:lang w:val="zh-CN"/>
        </w:rPr>
        <w:t>不可抗力后果及其处理</w:t>
      </w:r>
    </w:p>
    <w:p w14:paraId="690F99B5">
      <w:pPr>
        <w:pStyle w:val="54"/>
        <w:spacing w:line="400" w:lineRule="atLeast"/>
        <w:ind w:firstLine="411" w:firstLineChars="196"/>
        <w:rPr>
          <w:rFonts w:ascii="Times New Roman" w:hAnsi="Times New Roman"/>
          <w:color w:val="auto"/>
          <w:szCs w:val="21"/>
          <w:highlight w:val="none"/>
        </w:rPr>
      </w:pPr>
      <w:r>
        <w:rPr>
          <w:rFonts w:ascii="Times New Roman" w:hAnsi="Times New Roman"/>
          <w:color w:val="auto"/>
          <w:szCs w:val="21"/>
          <w:highlight w:val="none"/>
        </w:rPr>
        <w:t xml:space="preserve">21.3.1 </w:t>
      </w:r>
      <w:r>
        <w:rPr>
          <w:rFonts w:hint="eastAsia" w:ascii="Times New Roman" w:hAnsi="Times New Roman" w:eastAsia="黑体"/>
          <w:color w:val="auto"/>
          <w:szCs w:val="21"/>
          <w:highlight w:val="none"/>
        </w:rPr>
        <w:t>不可抗力造成损害的责任</w:t>
      </w:r>
    </w:p>
    <w:p w14:paraId="18EC565F">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除专用合同条款另有约定外，不可抗力导致的人员伤亡、财产损失、费用增加和（或）工期延误等后果，由合同双方按以下原则承担：</w:t>
      </w:r>
    </w:p>
    <w:p w14:paraId="627D848C">
      <w:pPr>
        <w:pStyle w:val="54"/>
        <w:spacing w:line="400" w:lineRule="atLeast"/>
        <w:rPr>
          <w:rFonts w:ascii="Times New Roman" w:hAnsi="Times New Roman"/>
          <w:color w:val="auto"/>
          <w:szCs w:val="21"/>
          <w:highlight w:val="none"/>
        </w:rPr>
      </w:pPr>
      <w:r>
        <w:rPr>
          <w:rFonts w:ascii="Times New Roman" w:hAnsi="Times New Roman"/>
          <w:color w:val="auto"/>
          <w:szCs w:val="21"/>
          <w:highlight w:val="none"/>
        </w:rPr>
        <w:t xml:space="preserve">      </w:t>
      </w:r>
      <w:r>
        <w:rPr>
          <w:rFonts w:hint="eastAsia" w:ascii="Times New Roman" w:hAnsi="Times New Roman"/>
          <w:color w:val="auto"/>
          <w:szCs w:val="21"/>
          <w:highlight w:val="none"/>
        </w:rPr>
        <w:t>（</w:t>
      </w:r>
      <w:r>
        <w:rPr>
          <w:rFonts w:ascii="Times New Roman" w:hAnsi="Times New Roman"/>
          <w:color w:val="auto"/>
          <w:szCs w:val="21"/>
          <w:highlight w:val="none"/>
        </w:rPr>
        <w:t>1</w:t>
      </w:r>
      <w:r>
        <w:rPr>
          <w:rFonts w:hint="eastAsia" w:ascii="Times New Roman" w:hAnsi="Times New Roman"/>
          <w:color w:val="auto"/>
          <w:szCs w:val="21"/>
          <w:highlight w:val="none"/>
        </w:rPr>
        <w:t>）永久工程，包括已运至施工场地的材料和工程设备的损害，以及因工程损害造成的第三者人员伤亡和财产损失由发包人承担；</w:t>
      </w:r>
    </w:p>
    <w:p w14:paraId="692DC886">
      <w:pPr>
        <w:pStyle w:val="54"/>
        <w:spacing w:line="400" w:lineRule="atLeast"/>
        <w:rPr>
          <w:rFonts w:ascii="Times New Roman" w:hAnsi="Times New Roman"/>
          <w:color w:val="auto"/>
          <w:szCs w:val="21"/>
          <w:highlight w:val="none"/>
        </w:rPr>
      </w:pPr>
      <w:r>
        <w:rPr>
          <w:rFonts w:ascii="Times New Roman" w:hAnsi="Times New Roman"/>
          <w:color w:val="auto"/>
          <w:szCs w:val="21"/>
          <w:highlight w:val="none"/>
        </w:rPr>
        <w:t xml:space="preserve">      </w:t>
      </w:r>
      <w:r>
        <w:rPr>
          <w:rFonts w:hint="eastAsia" w:ascii="Times New Roman" w:hAnsi="Times New Roman"/>
          <w:color w:val="auto"/>
          <w:szCs w:val="21"/>
          <w:highlight w:val="none"/>
        </w:rPr>
        <w:t>（</w:t>
      </w:r>
      <w:r>
        <w:rPr>
          <w:rFonts w:ascii="Times New Roman" w:hAnsi="Times New Roman"/>
          <w:color w:val="auto"/>
          <w:szCs w:val="21"/>
          <w:highlight w:val="none"/>
        </w:rPr>
        <w:t>2</w:t>
      </w:r>
      <w:r>
        <w:rPr>
          <w:rFonts w:hint="eastAsia" w:ascii="Times New Roman" w:hAnsi="Times New Roman"/>
          <w:color w:val="auto"/>
          <w:szCs w:val="21"/>
          <w:highlight w:val="none"/>
        </w:rPr>
        <w:t>）承包人设备的损坏由承包人承担；</w:t>
      </w:r>
    </w:p>
    <w:p w14:paraId="0C2F97E4">
      <w:pPr>
        <w:pStyle w:val="54"/>
        <w:spacing w:line="400" w:lineRule="atLeast"/>
        <w:rPr>
          <w:rFonts w:ascii="Times New Roman" w:hAnsi="Times New Roman"/>
          <w:color w:val="auto"/>
          <w:szCs w:val="21"/>
          <w:highlight w:val="none"/>
        </w:rPr>
      </w:pPr>
      <w:r>
        <w:rPr>
          <w:rFonts w:ascii="Times New Roman" w:hAnsi="Times New Roman"/>
          <w:color w:val="auto"/>
          <w:szCs w:val="21"/>
          <w:highlight w:val="none"/>
        </w:rPr>
        <w:t xml:space="preserve">      </w:t>
      </w:r>
      <w:r>
        <w:rPr>
          <w:rFonts w:hint="eastAsia" w:ascii="Times New Roman" w:hAnsi="Times New Roman"/>
          <w:color w:val="auto"/>
          <w:szCs w:val="21"/>
          <w:highlight w:val="none"/>
        </w:rPr>
        <w:t>（</w:t>
      </w:r>
      <w:r>
        <w:rPr>
          <w:rFonts w:ascii="Times New Roman" w:hAnsi="Times New Roman"/>
          <w:color w:val="auto"/>
          <w:szCs w:val="21"/>
          <w:highlight w:val="none"/>
        </w:rPr>
        <w:t>3</w:t>
      </w:r>
      <w:r>
        <w:rPr>
          <w:rFonts w:hint="eastAsia" w:ascii="Times New Roman" w:hAnsi="Times New Roman"/>
          <w:color w:val="auto"/>
          <w:szCs w:val="21"/>
          <w:highlight w:val="none"/>
        </w:rPr>
        <w:t>）发包人和承包人各自承担其人员伤亡和其他财产损失及其相关费用；</w:t>
      </w:r>
    </w:p>
    <w:p w14:paraId="4E906970">
      <w:pPr>
        <w:pStyle w:val="54"/>
        <w:spacing w:line="400" w:lineRule="atLeast"/>
        <w:rPr>
          <w:rFonts w:ascii="Times New Roman" w:hAnsi="Times New Roman"/>
          <w:color w:val="auto"/>
          <w:szCs w:val="21"/>
          <w:highlight w:val="none"/>
        </w:rPr>
      </w:pPr>
      <w:r>
        <w:rPr>
          <w:rFonts w:ascii="Times New Roman" w:hAnsi="Times New Roman"/>
          <w:color w:val="auto"/>
          <w:szCs w:val="21"/>
          <w:highlight w:val="none"/>
        </w:rPr>
        <w:t xml:space="preserve">      </w:t>
      </w:r>
      <w:r>
        <w:rPr>
          <w:rFonts w:hint="eastAsia" w:ascii="Times New Roman" w:hAnsi="Times New Roman"/>
          <w:color w:val="auto"/>
          <w:szCs w:val="21"/>
          <w:highlight w:val="none"/>
        </w:rPr>
        <w:t>（</w:t>
      </w:r>
      <w:r>
        <w:rPr>
          <w:rFonts w:ascii="Times New Roman" w:hAnsi="Times New Roman"/>
          <w:color w:val="auto"/>
          <w:szCs w:val="21"/>
          <w:highlight w:val="none"/>
        </w:rPr>
        <w:t>4</w:t>
      </w:r>
      <w:r>
        <w:rPr>
          <w:rFonts w:hint="eastAsia" w:ascii="Times New Roman" w:hAnsi="Times New Roman"/>
          <w:color w:val="auto"/>
          <w:szCs w:val="21"/>
          <w:highlight w:val="none"/>
        </w:rPr>
        <w:t>）承包人的停工损失由承包人承担，但停工期间应监理人要求照管工程和清理、修复工程的金额由发包人承担；</w:t>
      </w:r>
    </w:p>
    <w:p w14:paraId="0E59E4DE">
      <w:pPr>
        <w:pStyle w:val="54"/>
        <w:spacing w:line="400" w:lineRule="atLeast"/>
        <w:rPr>
          <w:rFonts w:ascii="Times New Roman" w:hAnsi="Times New Roman"/>
          <w:color w:val="auto"/>
          <w:szCs w:val="21"/>
          <w:highlight w:val="none"/>
        </w:rPr>
      </w:pPr>
      <w:r>
        <w:rPr>
          <w:rFonts w:ascii="Times New Roman" w:hAnsi="Times New Roman"/>
          <w:color w:val="auto"/>
          <w:szCs w:val="21"/>
          <w:highlight w:val="none"/>
        </w:rPr>
        <w:t xml:space="preserve">      </w:t>
      </w:r>
      <w:r>
        <w:rPr>
          <w:rFonts w:hint="eastAsia" w:ascii="Times New Roman" w:hAnsi="Times New Roman"/>
          <w:color w:val="auto"/>
          <w:szCs w:val="21"/>
          <w:highlight w:val="none"/>
        </w:rPr>
        <w:t>（</w:t>
      </w:r>
      <w:r>
        <w:rPr>
          <w:rFonts w:ascii="Times New Roman" w:hAnsi="Times New Roman"/>
          <w:color w:val="auto"/>
          <w:szCs w:val="21"/>
          <w:highlight w:val="none"/>
        </w:rPr>
        <w:t>5</w:t>
      </w:r>
      <w:r>
        <w:rPr>
          <w:rFonts w:hint="eastAsia" w:ascii="Times New Roman" w:hAnsi="Times New Roman"/>
          <w:color w:val="auto"/>
          <w:szCs w:val="21"/>
          <w:highlight w:val="none"/>
        </w:rPr>
        <w:t>）不能按期竣工的，应合理延长工期，承包人不需支付逾期竣工违约金。发包人要求赶工的，承包人应采取赶工措施，赶工费用由发包人承担。</w:t>
      </w:r>
    </w:p>
    <w:p w14:paraId="4EEBB6B6">
      <w:pPr>
        <w:pStyle w:val="54"/>
        <w:spacing w:line="400" w:lineRule="atLeast"/>
        <w:ind w:firstLine="411" w:firstLineChars="196"/>
        <w:rPr>
          <w:rFonts w:ascii="Times New Roman" w:hAnsi="Times New Roman"/>
          <w:color w:val="auto"/>
          <w:szCs w:val="21"/>
          <w:highlight w:val="none"/>
        </w:rPr>
      </w:pPr>
      <w:r>
        <w:rPr>
          <w:rFonts w:ascii="Times New Roman" w:hAnsi="Times New Roman"/>
          <w:color w:val="auto"/>
          <w:szCs w:val="21"/>
          <w:highlight w:val="none"/>
        </w:rPr>
        <w:t xml:space="preserve">21.3.2 </w:t>
      </w:r>
      <w:r>
        <w:rPr>
          <w:rFonts w:hint="eastAsia" w:ascii="Times New Roman" w:hAnsi="Times New Roman" w:eastAsia="黑体"/>
          <w:color w:val="auto"/>
          <w:szCs w:val="21"/>
          <w:highlight w:val="none"/>
        </w:rPr>
        <w:t>延迟履行期间发生的不可抗力</w:t>
      </w:r>
    </w:p>
    <w:p w14:paraId="1AC1FEF7">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合同一方当事人延迟履行，在延迟履行期间发生不可抗力的，不免除其责任。</w:t>
      </w:r>
    </w:p>
    <w:p w14:paraId="71BDED8F">
      <w:pPr>
        <w:pStyle w:val="54"/>
        <w:spacing w:line="400" w:lineRule="atLeast"/>
        <w:ind w:firstLine="411" w:firstLineChars="196"/>
        <w:rPr>
          <w:rFonts w:ascii="Times New Roman" w:hAnsi="Times New Roman" w:eastAsia="黑体"/>
          <w:color w:val="auto"/>
          <w:szCs w:val="21"/>
          <w:highlight w:val="none"/>
        </w:rPr>
      </w:pPr>
      <w:r>
        <w:rPr>
          <w:rFonts w:ascii="Times New Roman" w:hAnsi="Times New Roman"/>
          <w:color w:val="auto"/>
          <w:szCs w:val="21"/>
          <w:highlight w:val="none"/>
        </w:rPr>
        <w:t xml:space="preserve">21.3.3 </w:t>
      </w:r>
      <w:r>
        <w:rPr>
          <w:rFonts w:hint="eastAsia" w:ascii="Times New Roman" w:hAnsi="Times New Roman" w:eastAsia="黑体"/>
          <w:color w:val="auto"/>
          <w:szCs w:val="21"/>
          <w:highlight w:val="none"/>
        </w:rPr>
        <w:t>避免和减少不可抗力损失</w:t>
      </w:r>
    </w:p>
    <w:p w14:paraId="471B002F">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不可抗力发生后，发包人和承包人均应采取措施尽量避免和减少损失的扩大，任何一方没有采取有效措施导致损失扩大的，应对扩大的损失承担责任。</w:t>
      </w:r>
    </w:p>
    <w:p w14:paraId="71EEC005">
      <w:pPr>
        <w:pStyle w:val="54"/>
        <w:spacing w:line="400" w:lineRule="atLeast"/>
        <w:ind w:firstLine="411" w:firstLineChars="196"/>
        <w:rPr>
          <w:rFonts w:ascii="Times New Roman" w:hAnsi="Times New Roman"/>
          <w:color w:val="auto"/>
          <w:szCs w:val="21"/>
          <w:highlight w:val="none"/>
        </w:rPr>
      </w:pPr>
      <w:r>
        <w:rPr>
          <w:rFonts w:ascii="Times New Roman" w:hAnsi="Times New Roman"/>
          <w:color w:val="auto"/>
          <w:szCs w:val="21"/>
          <w:highlight w:val="none"/>
        </w:rPr>
        <w:t xml:space="preserve">21.3.4 </w:t>
      </w:r>
      <w:r>
        <w:rPr>
          <w:rFonts w:hint="eastAsia" w:ascii="Times New Roman" w:hAnsi="Times New Roman" w:eastAsia="黑体"/>
          <w:color w:val="auto"/>
          <w:szCs w:val="21"/>
          <w:highlight w:val="none"/>
        </w:rPr>
        <w:t>因不可抗力解除合同</w:t>
      </w:r>
    </w:p>
    <w:p w14:paraId="6757323D">
      <w:pPr>
        <w:pStyle w:val="54"/>
        <w:spacing w:line="400" w:lineRule="atLeas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合同一方当事人因不可抗力不能履行合同的，应当及时通知对方解除合同。合同解除后，承包人应按照第</w:t>
      </w:r>
      <w:r>
        <w:rPr>
          <w:rFonts w:ascii="Times New Roman" w:hAnsi="Times New Roman"/>
          <w:color w:val="auto"/>
          <w:szCs w:val="21"/>
          <w:highlight w:val="none"/>
        </w:rPr>
        <w:t>22.2.5</w:t>
      </w:r>
      <w:r>
        <w:rPr>
          <w:rFonts w:hint="eastAsia" w:ascii="Times New Roman" w:hAnsi="Times New Roman"/>
          <w:color w:val="auto"/>
          <w:szCs w:val="21"/>
          <w:highlight w:val="none"/>
        </w:rPr>
        <w:t>项约定撤离施工场地。已经订货的材料、设备由订货方负责退货或解除订货合同，不能退还的货款和因退货、解除订货合同发生的费用，由发包人承担，因未及时退货造成的损失由责任方承担。合同解除后的付款，参照第</w:t>
      </w:r>
      <w:r>
        <w:rPr>
          <w:rFonts w:ascii="Times New Roman" w:hAnsi="Times New Roman"/>
          <w:color w:val="auto"/>
          <w:szCs w:val="21"/>
          <w:highlight w:val="none"/>
        </w:rPr>
        <w:t>22.2.4</w:t>
      </w:r>
      <w:r>
        <w:rPr>
          <w:rFonts w:hint="eastAsia" w:ascii="Times New Roman" w:hAnsi="Times New Roman"/>
          <w:color w:val="auto"/>
          <w:szCs w:val="21"/>
          <w:highlight w:val="none"/>
        </w:rPr>
        <w:t>项约定，由监理人按第</w:t>
      </w:r>
      <w:r>
        <w:rPr>
          <w:rFonts w:ascii="Times New Roman" w:hAnsi="Times New Roman"/>
          <w:color w:val="auto"/>
          <w:szCs w:val="21"/>
          <w:highlight w:val="none"/>
        </w:rPr>
        <w:t>3.5</w:t>
      </w:r>
      <w:r>
        <w:rPr>
          <w:rFonts w:hint="eastAsia" w:ascii="Times New Roman" w:hAnsi="Times New Roman"/>
          <w:color w:val="auto"/>
          <w:szCs w:val="21"/>
          <w:highlight w:val="none"/>
        </w:rPr>
        <w:t>款商定或确定。</w:t>
      </w:r>
      <w:bookmarkStart w:id="128" w:name="_Toc3398"/>
    </w:p>
    <w:p w14:paraId="6826C378">
      <w:pPr>
        <w:pStyle w:val="54"/>
        <w:spacing w:line="400" w:lineRule="atLeast"/>
        <w:ind w:firstLine="420" w:firstLineChars="200"/>
        <w:rPr>
          <w:rFonts w:ascii="Times New Roman" w:hAnsi="Times New Roman"/>
          <w:color w:val="auto"/>
          <w:szCs w:val="21"/>
          <w:highlight w:val="none"/>
        </w:rPr>
      </w:pPr>
      <w:r>
        <w:rPr>
          <w:rFonts w:ascii="Times New Roman" w:hAnsi="Times New Roman" w:eastAsia="黑体"/>
          <w:bCs/>
          <w:color w:val="auto"/>
          <w:kern w:val="44"/>
          <w:szCs w:val="21"/>
          <w:highlight w:val="none"/>
          <w:lang w:val="zh-CN"/>
        </w:rPr>
        <w:t xml:space="preserve">22. </w:t>
      </w:r>
      <w:r>
        <w:rPr>
          <w:rFonts w:hint="eastAsia" w:ascii="Times New Roman" w:hAnsi="Times New Roman" w:eastAsia="黑体"/>
          <w:bCs/>
          <w:color w:val="auto"/>
          <w:kern w:val="44"/>
          <w:szCs w:val="21"/>
          <w:highlight w:val="none"/>
          <w:lang w:val="zh-CN"/>
        </w:rPr>
        <w:t>违约</w:t>
      </w:r>
      <w:bookmarkEnd w:id="128"/>
    </w:p>
    <w:p w14:paraId="1DBB8D1A">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22.1 </w:t>
      </w:r>
      <w:r>
        <w:rPr>
          <w:rFonts w:hint="eastAsia" w:ascii="Times New Roman" w:hAnsi="Times New Roman" w:eastAsia="黑体"/>
          <w:bCs/>
          <w:color w:val="auto"/>
          <w:kern w:val="44"/>
          <w:szCs w:val="21"/>
          <w:highlight w:val="none"/>
          <w:lang w:val="zh-CN"/>
        </w:rPr>
        <w:t>承包人违约</w:t>
      </w:r>
    </w:p>
    <w:p w14:paraId="0DDEB9E9">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22.1.1 </w:t>
      </w:r>
      <w:r>
        <w:rPr>
          <w:rFonts w:hint="eastAsia" w:ascii="Times New Roman" w:hAnsi="Times New Roman" w:eastAsia="黑体"/>
          <w:color w:val="auto"/>
          <w:szCs w:val="21"/>
          <w:highlight w:val="none"/>
        </w:rPr>
        <w:t>承包人违约的情形</w:t>
      </w:r>
    </w:p>
    <w:p w14:paraId="53BFEC2D">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在履行合同过程中发生的下列情况属承包人违约：</w:t>
      </w:r>
    </w:p>
    <w:p w14:paraId="564A54D4">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1</w:t>
      </w:r>
      <w:r>
        <w:rPr>
          <w:rFonts w:hint="eastAsia" w:ascii="Times New Roman" w:hAnsi="Times New Roman"/>
          <w:color w:val="auto"/>
          <w:szCs w:val="21"/>
          <w:highlight w:val="none"/>
        </w:rPr>
        <w:t>）承包人违反第</w:t>
      </w:r>
      <w:r>
        <w:rPr>
          <w:rFonts w:ascii="Times New Roman" w:hAnsi="Times New Roman"/>
          <w:color w:val="auto"/>
          <w:szCs w:val="21"/>
          <w:highlight w:val="none"/>
        </w:rPr>
        <w:t>1.8</w:t>
      </w:r>
      <w:r>
        <w:rPr>
          <w:rFonts w:hint="eastAsia" w:ascii="Times New Roman" w:hAnsi="Times New Roman"/>
          <w:color w:val="auto"/>
          <w:szCs w:val="21"/>
          <w:highlight w:val="none"/>
        </w:rPr>
        <w:t>款或第</w:t>
      </w:r>
      <w:r>
        <w:rPr>
          <w:rFonts w:ascii="Times New Roman" w:hAnsi="Times New Roman"/>
          <w:color w:val="auto"/>
          <w:szCs w:val="21"/>
          <w:highlight w:val="none"/>
        </w:rPr>
        <w:t>4.3</w:t>
      </w:r>
      <w:r>
        <w:rPr>
          <w:rFonts w:hint="eastAsia" w:ascii="Times New Roman" w:hAnsi="Times New Roman"/>
          <w:color w:val="auto"/>
          <w:szCs w:val="21"/>
          <w:highlight w:val="none"/>
        </w:rPr>
        <w:t>款的约定，私自将合同的全部或部分权利转让给其他人，或私自将合同的全部或部分义务转移给其他人；</w:t>
      </w:r>
    </w:p>
    <w:p w14:paraId="367EC42B">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2</w:t>
      </w:r>
      <w:r>
        <w:rPr>
          <w:rFonts w:hint="eastAsia" w:ascii="Times New Roman" w:hAnsi="Times New Roman"/>
          <w:color w:val="auto"/>
          <w:szCs w:val="21"/>
          <w:highlight w:val="none"/>
        </w:rPr>
        <w:t>）承包人违反第</w:t>
      </w:r>
      <w:r>
        <w:rPr>
          <w:rFonts w:ascii="Times New Roman" w:hAnsi="Times New Roman"/>
          <w:color w:val="auto"/>
          <w:szCs w:val="21"/>
          <w:highlight w:val="none"/>
        </w:rPr>
        <w:t>5.3</w:t>
      </w:r>
      <w:r>
        <w:rPr>
          <w:rFonts w:hint="eastAsia" w:ascii="Times New Roman" w:hAnsi="Times New Roman"/>
          <w:color w:val="auto"/>
          <w:szCs w:val="21"/>
          <w:highlight w:val="none"/>
        </w:rPr>
        <w:t>款或第</w:t>
      </w:r>
      <w:r>
        <w:rPr>
          <w:rFonts w:ascii="Times New Roman" w:hAnsi="Times New Roman"/>
          <w:color w:val="auto"/>
          <w:szCs w:val="21"/>
          <w:highlight w:val="none"/>
        </w:rPr>
        <w:t>6.4</w:t>
      </w:r>
      <w:r>
        <w:rPr>
          <w:rFonts w:hint="eastAsia" w:ascii="Times New Roman" w:hAnsi="Times New Roman"/>
          <w:color w:val="auto"/>
          <w:szCs w:val="21"/>
          <w:highlight w:val="none"/>
        </w:rPr>
        <w:t>款的约定，未经监理人批准，私自将已按合同约定进入施工场地的施工设备、临时设施或材料撤离施工场地；</w:t>
      </w:r>
    </w:p>
    <w:p w14:paraId="6F019E4B">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3</w:t>
      </w:r>
      <w:r>
        <w:rPr>
          <w:rFonts w:hint="eastAsia" w:ascii="Times New Roman" w:hAnsi="Times New Roman"/>
          <w:color w:val="auto"/>
          <w:szCs w:val="21"/>
          <w:highlight w:val="none"/>
        </w:rPr>
        <w:t>）承包人违反第</w:t>
      </w:r>
      <w:r>
        <w:rPr>
          <w:rFonts w:ascii="Times New Roman" w:hAnsi="Times New Roman"/>
          <w:color w:val="auto"/>
          <w:szCs w:val="21"/>
          <w:highlight w:val="none"/>
        </w:rPr>
        <w:t>5.4</w:t>
      </w:r>
      <w:r>
        <w:rPr>
          <w:rFonts w:hint="eastAsia" w:ascii="Times New Roman" w:hAnsi="Times New Roman"/>
          <w:color w:val="auto"/>
          <w:szCs w:val="21"/>
          <w:highlight w:val="none"/>
        </w:rPr>
        <w:t>款的约定使用了不合格材料或工程设备，工程质量达不到标准要求，又拒绝清除不合格工程；</w:t>
      </w:r>
    </w:p>
    <w:p w14:paraId="44FF159F">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4</w:t>
      </w:r>
      <w:r>
        <w:rPr>
          <w:rFonts w:hint="eastAsia" w:ascii="Times New Roman" w:hAnsi="Times New Roman"/>
          <w:color w:val="auto"/>
          <w:szCs w:val="21"/>
          <w:highlight w:val="none"/>
        </w:rPr>
        <w:t>）承包人未能按合同进度计划及时完成合同约定的工作，已造成或预期造成工期延误；</w:t>
      </w:r>
    </w:p>
    <w:p w14:paraId="52267B8B">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5</w:t>
      </w:r>
      <w:r>
        <w:rPr>
          <w:rFonts w:hint="eastAsia" w:ascii="Times New Roman" w:hAnsi="Times New Roman"/>
          <w:color w:val="auto"/>
          <w:szCs w:val="21"/>
          <w:highlight w:val="none"/>
        </w:rPr>
        <w:t>）承包人在缺陷责任期内，未能对工程接收证书所列的缺陷清单的内容或缺陷责任期内发生的缺陷进行修复，而又拒绝按监理人指示再进行修补；</w:t>
      </w:r>
    </w:p>
    <w:p w14:paraId="336C2E2C">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6</w:t>
      </w:r>
      <w:r>
        <w:rPr>
          <w:rFonts w:hint="eastAsia" w:ascii="Times New Roman" w:hAnsi="Times New Roman"/>
          <w:color w:val="auto"/>
          <w:szCs w:val="21"/>
          <w:highlight w:val="none"/>
        </w:rPr>
        <w:t>）承包人无法继续履行或明确表示不履行或实质上已停止履行合同；</w:t>
      </w:r>
    </w:p>
    <w:p w14:paraId="3CD6D13A">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7</w:t>
      </w:r>
      <w:r>
        <w:rPr>
          <w:rFonts w:hint="eastAsia" w:ascii="Times New Roman" w:hAnsi="Times New Roman"/>
          <w:color w:val="auto"/>
          <w:szCs w:val="21"/>
          <w:highlight w:val="none"/>
        </w:rPr>
        <w:t>）承包人不按合同约定履行义务的其他情况。</w:t>
      </w:r>
    </w:p>
    <w:p w14:paraId="66CAEA5C">
      <w:pPr>
        <w:pStyle w:val="54"/>
        <w:spacing w:line="400" w:lineRule="atLeast"/>
        <w:ind w:firstLine="411" w:firstLineChars="196"/>
        <w:rPr>
          <w:rFonts w:ascii="Times New Roman" w:hAnsi="Times New Roman"/>
          <w:color w:val="auto"/>
          <w:szCs w:val="21"/>
          <w:highlight w:val="none"/>
        </w:rPr>
      </w:pPr>
      <w:r>
        <w:rPr>
          <w:rFonts w:ascii="Times New Roman" w:hAnsi="Times New Roman"/>
          <w:color w:val="auto"/>
          <w:szCs w:val="21"/>
          <w:highlight w:val="none"/>
        </w:rPr>
        <w:t xml:space="preserve">22.1.2 </w:t>
      </w:r>
      <w:r>
        <w:rPr>
          <w:rFonts w:hint="eastAsia" w:ascii="Times New Roman" w:hAnsi="Times New Roman" w:eastAsia="黑体"/>
          <w:color w:val="auto"/>
          <w:szCs w:val="21"/>
          <w:highlight w:val="none"/>
        </w:rPr>
        <w:t>对承包人违约的处理</w:t>
      </w:r>
    </w:p>
    <w:p w14:paraId="5931BD95">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1</w:t>
      </w:r>
      <w:r>
        <w:rPr>
          <w:rFonts w:hint="eastAsia" w:ascii="Times New Roman" w:hAnsi="Times New Roman"/>
          <w:color w:val="auto"/>
          <w:szCs w:val="21"/>
          <w:highlight w:val="none"/>
        </w:rPr>
        <w:t>）承包人发生第</w:t>
      </w:r>
      <w:r>
        <w:rPr>
          <w:rFonts w:ascii="Times New Roman" w:hAnsi="Times New Roman"/>
          <w:color w:val="auto"/>
          <w:szCs w:val="21"/>
          <w:highlight w:val="none"/>
        </w:rPr>
        <w:t>22.1.1</w:t>
      </w:r>
      <w:r>
        <w:rPr>
          <w:rFonts w:hint="eastAsia" w:ascii="Times New Roman" w:hAnsi="Times New Roman"/>
          <w:color w:val="auto"/>
          <w:szCs w:val="21"/>
          <w:highlight w:val="none"/>
        </w:rPr>
        <w:t>（</w:t>
      </w:r>
      <w:r>
        <w:rPr>
          <w:rFonts w:ascii="Times New Roman" w:hAnsi="Times New Roman"/>
          <w:color w:val="auto"/>
          <w:szCs w:val="21"/>
          <w:highlight w:val="none"/>
        </w:rPr>
        <w:t>6</w:t>
      </w:r>
      <w:r>
        <w:rPr>
          <w:rFonts w:hint="eastAsia" w:ascii="Times New Roman" w:hAnsi="Times New Roman"/>
          <w:color w:val="auto"/>
          <w:szCs w:val="21"/>
          <w:highlight w:val="none"/>
        </w:rPr>
        <w:t>）目约定的违约情况时，发包人可通知承包人立即解除合同，并按有关法律处理。</w:t>
      </w:r>
    </w:p>
    <w:p w14:paraId="2D27E170">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2</w:t>
      </w:r>
      <w:r>
        <w:rPr>
          <w:rFonts w:hint="eastAsia" w:ascii="Times New Roman" w:hAnsi="Times New Roman"/>
          <w:color w:val="auto"/>
          <w:szCs w:val="21"/>
          <w:highlight w:val="none"/>
        </w:rPr>
        <w:t>）承包人发生除第</w:t>
      </w:r>
      <w:r>
        <w:rPr>
          <w:rFonts w:ascii="Times New Roman" w:hAnsi="Times New Roman"/>
          <w:color w:val="auto"/>
          <w:szCs w:val="21"/>
          <w:highlight w:val="none"/>
        </w:rPr>
        <w:t>22.1.1</w:t>
      </w:r>
      <w:r>
        <w:rPr>
          <w:rFonts w:hint="eastAsia" w:ascii="Times New Roman" w:hAnsi="Times New Roman"/>
          <w:color w:val="auto"/>
          <w:szCs w:val="21"/>
          <w:highlight w:val="none"/>
        </w:rPr>
        <w:t>（</w:t>
      </w:r>
      <w:r>
        <w:rPr>
          <w:rFonts w:ascii="Times New Roman" w:hAnsi="Times New Roman"/>
          <w:color w:val="auto"/>
          <w:szCs w:val="21"/>
          <w:highlight w:val="none"/>
        </w:rPr>
        <w:t>6</w:t>
      </w:r>
      <w:r>
        <w:rPr>
          <w:rFonts w:hint="eastAsia" w:ascii="Times New Roman" w:hAnsi="Times New Roman"/>
          <w:color w:val="auto"/>
          <w:szCs w:val="21"/>
          <w:highlight w:val="none"/>
        </w:rPr>
        <w:t>）目约定以外的其他违约情况时，监理人可向承包人发出整改通知，要求其在指定的期限内改正。承包人应承担其违约所引起的费用增加和（或）工期延误。</w:t>
      </w:r>
    </w:p>
    <w:p w14:paraId="1920093D">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3</w:t>
      </w:r>
      <w:r>
        <w:rPr>
          <w:rFonts w:hint="eastAsia" w:ascii="Times New Roman" w:hAnsi="Times New Roman"/>
          <w:color w:val="auto"/>
          <w:szCs w:val="21"/>
          <w:highlight w:val="none"/>
        </w:rPr>
        <w:t>）经检查证明承包人已采取了有效措施纠正违约行为，具备复工条件的，可由监理人签发复工通知复工。</w:t>
      </w:r>
    </w:p>
    <w:p w14:paraId="384776F6">
      <w:pPr>
        <w:pStyle w:val="54"/>
        <w:spacing w:line="400" w:lineRule="atLeast"/>
        <w:ind w:firstLine="411" w:firstLineChars="196"/>
        <w:rPr>
          <w:rFonts w:ascii="Times New Roman" w:hAnsi="Times New Roman"/>
          <w:color w:val="auto"/>
          <w:szCs w:val="21"/>
          <w:highlight w:val="none"/>
        </w:rPr>
      </w:pPr>
      <w:r>
        <w:rPr>
          <w:rFonts w:ascii="Times New Roman" w:hAnsi="Times New Roman"/>
          <w:color w:val="auto"/>
          <w:szCs w:val="21"/>
          <w:highlight w:val="none"/>
        </w:rPr>
        <w:t xml:space="preserve">22.1.3 </w:t>
      </w:r>
      <w:r>
        <w:rPr>
          <w:rFonts w:hint="eastAsia" w:ascii="Times New Roman" w:hAnsi="Times New Roman" w:eastAsia="黑体"/>
          <w:color w:val="auto"/>
          <w:szCs w:val="21"/>
          <w:highlight w:val="none"/>
        </w:rPr>
        <w:t>承包人违约解除合同</w:t>
      </w:r>
    </w:p>
    <w:p w14:paraId="6B5BAC7F">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监理人发出整改通知</w:t>
      </w:r>
      <w:r>
        <w:rPr>
          <w:rFonts w:ascii="Times New Roman" w:hAnsi="Times New Roman"/>
          <w:color w:val="auto"/>
          <w:szCs w:val="21"/>
          <w:highlight w:val="none"/>
        </w:rPr>
        <w:t>28</w:t>
      </w:r>
      <w:r>
        <w:rPr>
          <w:rFonts w:hint="eastAsia" w:ascii="Times New Roman" w:hAnsi="Times New Roman"/>
          <w:color w:val="auto"/>
          <w:szCs w:val="21"/>
          <w:highlight w:val="none"/>
        </w:rPr>
        <w:t>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14:paraId="1CFB69A8">
      <w:pPr>
        <w:pStyle w:val="54"/>
        <w:spacing w:line="400" w:lineRule="atLeast"/>
        <w:ind w:firstLine="411" w:firstLineChars="196"/>
        <w:rPr>
          <w:rFonts w:ascii="Times New Roman" w:hAnsi="Times New Roman"/>
          <w:color w:val="auto"/>
          <w:szCs w:val="21"/>
          <w:highlight w:val="none"/>
        </w:rPr>
      </w:pPr>
      <w:r>
        <w:rPr>
          <w:rFonts w:ascii="Times New Roman" w:hAnsi="Times New Roman"/>
          <w:color w:val="auto"/>
          <w:szCs w:val="21"/>
          <w:highlight w:val="none"/>
        </w:rPr>
        <w:t xml:space="preserve">22.1.4 </w:t>
      </w:r>
      <w:r>
        <w:rPr>
          <w:rFonts w:hint="eastAsia" w:ascii="Times New Roman" w:hAnsi="Times New Roman" w:eastAsia="黑体"/>
          <w:color w:val="auto"/>
          <w:szCs w:val="21"/>
          <w:highlight w:val="none"/>
        </w:rPr>
        <w:t>合同解除后的估价、付款和结清</w:t>
      </w:r>
    </w:p>
    <w:p w14:paraId="4D2921D4">
      <w:pPr>
        <w:pStyle w:val="54"/>
        <w:tabs>
          <w:tab w:val="left" w:pos="540"/>
        </w:tabs>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1</w:t>
      </w:r>
      <w:r>
        <w:rPr>
          <w:rFonts w:hint="eastAsia" w:ascii="Times New Roman" w:hAnsi="Times New Roman"/>
          <w:color w:val="auto"/>
          <w:szCs w:val="21"/>
          <w:highlight w:val="none"/>
        </w:rPr>
        <w:t>）合同解除后，监理人按第</w:t>
      </w:r>
      <w:r>
        <w:rPr>
          <w:rFonts w:ascii="Times New Roman" w:hAnsi="Times New Roman"/>
          <w:color w:val="auto"/>
          <w:szCs w:val="21"/>
          <w:highlight w:val="none"/>
        </w:rPr>
        <w:t>3.5</w:t>
      </w:r>
      <w:r>
        <w:rPr>
          <w:rFonts w:hint="eastAsia" w:ascii="Times New Roman" w:hAnsi="Times New Roman"/>
          <w:color w:val="auto"/>
          <w:szCs w:val="21"/>
          <w:highlight w:val="none"/>
        </w:rPr>
        <w:t>款商定或确定承包人实际完成工作的价值，以及承包人已提供的材料、施工设备、工程设备和临时工程等的价值。</w:t>
      </w:r>
      <w:r>
        <w:rPr>
          <w:rFonts w:ascii="Times New Roman" w:hAnsi="Times New Roman"/>
          <w:color w:val="auto"/>
          <w:szCs w:val="21"/>
          <w:highlight w:val="none"/>
        </w:rPr>
        <w:t xml:space="preserve"> </w:t>
      </w:r>
    </w:p>
    <w:p w14:paraId="6CE53BD0">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2</w:t>
      </w:r>
      <w:r>
        <w:rPr>
          <w:rFonts w:hint="eastAsia" w:ascii="Times New Roman" w:hAnsi="Times New Roman"/>
          <w:color w:val="auto"/>
          <w:szCs w:val="21"/>
          <w:highlight w:val="none"/>
        </w:rPr>
        <w:t>）合同解除后，发包人应暂停对承包人的一切付款，查清各项付款和已扣款金额，包括承包人应支付的违约金。</w:t>
      </w:r>
      <w:r>
        <w:rPr>
          <w:rFonts w:ascii="Times New Roman" w:hAnsi="Times New Roman"/>
          <w:color w:val="auto"/>
          <w:szCs w:val="21"/>
          <w:highlight w:val="none"/>
        </w:rPr>
        <w:t xml:space="preserve"> </w:t>
      </w:r>
    </w:p>
    <w:p w14:paraId="44733296">
      <w:pPr>
        <w:pStyle w:val="54"/>
        <w:tabs>
          <w:tab w:val="left" w:pos="720"/>
        </w:tabs>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3</w:t>
      </w:r>
      <w:r>
        <w:rPr>
          <w:rFonts w:hint="eastAsia" w:ascii="Times New Roman" w:hAnsi="Times New Roman"/>
          <w:color w:val="auto"/>
          <w:szCs w:val="21"/>
          <w:highlight w:val="none"/>
        </w:rPr>
        <w:t>）合同解除后，发包人应按第</w:t>
      </w:r>
      <w:r>
        <w:rPr>
          <w:rFonts w:ascii="Times New Roman" w:hAnsi="Times New Roman"/>
          <w:color w:val="auto"/>
          <w:szCs w:val="21"/>
          <w:highlight w:val="none"/>
        </w:rPr>
        <w:t>23.4</w:t>
      </w:r>
      <w:r>
        <w:rPr>
          <w:rFonts w:hint="eastAsia" w:ascii="Times New Roman" w:hAnsi="Times New Roman"/>
          <w:color w:val="auto"/>
          <w:szCs w:val="21"/>
          <w:highlight w:val="none"/>
        </w:rPr>
        <w:t>款的约定向承包人索赔由于解除合同给发包人造成的损失。</w:t>
      </w:r>
    </w:p>
    <w:p w14:paraId="240AA7A0">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4</w:t>
      </w:r>
      <w:r>
        <w:rPr>
          <w:rFonts w:hint="eastAsia" w:ascii="Times New Roman" w:hAnsi="Times New Roman"/>
          <w:color w:val="auto"/>
          <w:szCs w:val="21"/>
          <w:highlight w:val="none"/>
        </w:rPr>
        <w:t>）合同双方确认上述往来款项后，出具最终结清付款证书，结清全部合同款项。</w:t>
      </w:r>
    </w:p>
    <w:p w14:paraId="60D28FD8">
      <w:pPr>
        <w:pStyle w:val="54"/>
        <w:spacing w:line="400" w:lineRule="atLeast"/>
        <w:ind w:right="25" w:rightChars="12"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5</w:t>
      </w:r>
      <w:r>
        <w:rPr>
          <w:rFonts w:hint="eastAsia" w:ascii="Times New Roman" w:hAnsi="Times New Roman"/>
          <w:color w:val="auto"/>
          <w:szCs w:val="21"/>
          <w:highlight w:val="none"/>
        </w:rPr>
        <w:t>）发包人和承包人未能就解除合同后的结清达成一致而形成争议的，按第</w:t>
      </w:r>
      <w:r>
        <w:rPr>
          <w:rFonts w:ascii="Times New Roman" w:hAnsi="Times New Roman"/>
          <w:color w:val="auto"/>
          <w:szCs w:val="21"/>
          <w:highlight w:val="none"/>
        </w:rPr>
        <w:t>24</w:t>
      </w:r>
      <w:r>
        <w:rPr>
          <w:rFonts w:hint="eastAsia" w:ascii="Times New Roman" w:hAnsi="Times New Roman"/>
          <w:color w:val="auto"/>
          <w:szCs w:val="21"/>
          <w:highlight w:val="none"/>
        </w:rPr>
        <w:t>条的约定办理。</w:t>
      </w:r>
    </w:p>
    <w:p w14:paraId="7837CD33">
      <w:pPr>
        <w:pStyle w:val="54"/>
        <w:spacing w:line="400" w:lineRule="atLeast"/>
        <w:ind w:firstLine="411" w:firstLineChars="196"/>
        <w:rPr>
          <w:rFonts w:ascii="Times New Roman" w:hAnsi="Times New Roman"/>
          <w:color w:val="auto"/>
          <w:szCs w:val="21"/>
          <w:highlight w:val="none"/>
        </w:rPr>
      </w:pPr>
      <w:r>
        <w:rPr>
          <w:rFonts w:ascii="Times New Roman" w:hAnsi="Times New Roman"/>
          <w:color w:val="auto"/>
          <w:szCs w:val="21"/>
          <w:highlight w:val="none"/>
        </w:rPr>
        <w:t xml:space="preserve">22.1.5 </w:t>
      </w:r>
      <w:r>
        <w:rPr>
          <w:rFonts w:hint="eastAsia" w:ascii="Times New Roman" w:hAnsi="Times New Roman" w:eastAsia="黑体"/>
          <w:color w:val="auto"/>
          <w:szCs w:val="21"/>
          <w:highlight w:val="none"/>
        </w:rPr>
        <w:t>协议利益的转让</w:t>
      </w:r>
    </w:p>
    <w:p w14:paraId="7365AEDE">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因承包人违约解除合同的，发包人有权要求承包人将其为实施合同而签订的材料和设备的订货协议或任何服务协议利益转让给发包人，并在解除合同后的</w:t>
      </w:r>
      <w:r>
        <w:rPr>
          <w:rFonts w:ascii="Times New Roman" w:hAnsi="Times New Roman"/>
          <w:color w:val="auto"/>
          <w:szCs w:val="21"/>
          <w:highlight w:val="none"/>
        </w:rPr>
        <w:t>14</w:t>
      </w:r>
      <w:r>
        <w:rPr>
          <w:rFonts w:hint="eastAsia" w:ascii="Times New Roman" w:hAnsi="Times New Roman"/>
          <w:color w:val="auto"/>
          <w:szCs w:val="21"/>
          <w:highlight w:val="none"/>
        </w:rPr>
        <w:t>天内，依法办理转让手续。</w:t>
      </w:r>
      <w:r>
        <w:rPr>
          <w:rFonts w:ascii="Times New Roman" w:hAnsi="Times New Roman"/>
          <w:color w:val="auto"/>
          <w:szCs w:val="21"/>
          <w:highlight w:val="none"/>
        </w:rPr>
        <w:t xml:space="preserve"> </w:t>
      </w:r>
    </w:p>
    <w:p w14:paraId="71B2C96D">
      <w:pPr>
        <w:pStyle w:val="54"/>
        <w:spacing w:line="400" w:lineRule="atLeast"/>
        <w:ind w:firstLine="411" w:firstLineChars="196"/>
        <w:rPr>
          <w:rFonts w:ascii="Times New Roman" w:hAnsi="Times New Roman"/>
          <w:color w:val="auto"/>
          <w:szCs w:val="21"/>
          <w:highlight w:val="none"/>
        </w:rPr>
      </w:pPr>
      <w:r>
        <w:rPr>
          <w:rFonts w:ascii="Times New Roman" w:hAnsi="Times New Roman"/>
          <w:color w:val="auto"/>
          <w:szCs w:val="21"/>
          <w:highlight w:val="none"/>
        </w:rPr>
        <w:t xml:space="preserve">22.1.6 </w:t>
      </w:r>
      <w:r>
        <w:rPr>
          <w:rFonts w:hint="eastAsia" w:ascii="Times New Roman" w:hAnsi="Times New Roman" w:eastAsia="黑体"/>
          <w:color w:val="auto"/>
          <w:szCs w:val="21"/>
          <w:highlight w:val="none"/>
        </w:rPr>
        <w:t>紧急情况下无能力或不愿进行抢救</w:t>
      </w:r>
    </w:p>
    <w:p w14:paraId="39F79EF5">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58791C32">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22.2 </w:t>
      </w:r>
      <w:r>
        <w:rPr>
          <w:rFonts w:hint="eastAsia" w:ascii="Times New Roman" w:hAnsi="Times New Roman" w:eastAsia="黑体"/>
          <w:bCs/>
          <w:color w:val="auto"/>
          <w:kern w:val="44"/>
          <w:szCs w:val="21"/>
          <w:highlight w:val="none"/>
          <w:lang w:val="zh-CN"/>
        </w:rPr>
        <w:t>发包人违约</w:t>
      </w:r>
    </w:p>
    <w:p w14:paraId="2520A162">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22.2.1</w:t>
      </w:r>
      <w:r>
        <w:rPr>
          <w:rFonts w:hint="eastAsia" w:ascii="Times New Roman" w:hAnsi="Times New Roman" w:eastAsia="黑体"/>
          <w:color w:val="auto"/>
          <w:szCs w:val="21"/>
          <w:highlight w:val="none"/>
        </w:rPr>
        <w:t>发包人违约的情形</w:t>
      </w:r>
    </w:p>
    <w:p w14:paraId="6659E0C8">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在履行合同过程中发生的下列情形，属发包人违约：</w:t>
      </w:r>
    </w:p>
    <w:p w14:paraId="007FA8BA">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1</w:t>
      </w:r>
      <w:r>
        <w:rPr>
          <w:rFonts w:hint="eastAsia" w:ascii="Times New Roman" w:hAnsi="Times New Roman"/>
          <w:color w:val="auto"/>
          <w:szCs w:val="21"/>
          <w:highlight w:val="none"/>
        </w:rPr>
        <w:t>）发包人未能按合同约定支付预付款或合同价款，或拖延、拒绝批准付款申请和支付凭证，导致付款延误的；</w:t>
      </w:r>
      <w:r>
        <w:rPr>
          <w:rFonts w:ascii="Times New Roman" w:hAnsi="Times New Roman"/>
          <w:color w:val="auto"/>
          <w:szCs w:val="21"/>
          <w:highlight w:val="none"/>
        </w:rPr>
        <w:t xml:space="preserve"> </w:t>
      </w:r>
    </w:p>
    <w:p w14:paraId="1C49BDD5">
      <w:pPr>
        <w:pStyle w:val="54"/>
        <w:tabs>
          <w:tab w:val="left" w:pos="720"/>
        </w:tabs>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2</w:t>
      </w:r>
      <w:r>
        <w:rPr>
          <w:rFonts w:hint="eastAsia" w:ascii="Times New Roman" w:hAnsi="Times New Roman"/>
          <w:color w:val="auto"/>
          <w:szCs w:val="21"/>
          <w:highlight w:val="none"/>
        </w:rPr>
        <w:t>）发包人原因造成停工的；</w:t>
      </w:r>
    </w:p>
    <w:p w14:paraId="13FEB1DF">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3</w:t>
      </w:r>
      <w:r>
        <w:rPr>
          <w:rFonts w:hint="eastAsia" w:ascii="Times New Roman" w:hAnsi="Times New Roman"/>
          <w:color w:val="auto"/>
          <w:szCs w:val="21"/>
          <w:highlight w:val="none"/>
        </w:rPr>
        <w:t>）监理人无正当理由没有在约定期限内发出复工指示，导致承包人无法复工的；</w:t>
      </w:r>
    </w:p>
    <w:p w14:paraId="056868A1">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4</w:t>
      </w:r>
      <w:r>
        <w:rPr>
          <w:rFonts w:hint="eastAsia" w:ascii="Times New Roman" w:hAnsi="Times New Roman"/>
          <w:color w:val="auto"/>
          <w:szCs w:val="21"/>
          <w:highlight w:val="none"/>
        </w:rPr>
        <w:t>）发包人无法继续履行或明确表示不履行或实质上已停止履行合同的；</w:t>
      </w:r>
    </w:p>
    <w:p w14:paraId="0429613B">
      <w:pPr>
        <w:pStyle w:val="54"/>
        <w:tabs>
          <w:tab w:val="left" w:pos="720"/>
        </w:tabs>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5</w:t>
      </w:r>
      <w:r>
        <w:rPr>
          <w:rFonts w:hint="eastAsia" w:ascii="Times New Roman" w:hAnsi="Times New Roman"/>
          <w:color w:val="auto"/>
          <w:szCs w:val="21"/>
          <w:highlight w:val="none"/>
        </w:rPr>
        <w:t>）发包人不履行合同约定其他义务的。</w:t>
      </w:r>
    </w:p>
    <w:p w14:paraId="7ECF46BF">
      <w:pPr>
        <w:pStyle w:val="54"/>
        <w:spacing w:line="400" w:lineRule="atLeast"/>
        <w:ind w:firstLine="411" w:firstLineChars="196"/>
        <w:rPr>
          <w:rFonts w:ascii="Times New Roman" w:hAnsi="Times New Roman" w:eastAsia="黑体"/>
          <w:color w:val="auto"/>
          <w:szCs w:val="21"/>
          <w:highlight w:val="none"/>
        </w:rPr>
      </w:pPr>
      <w:r>
        <w:rPr>
          <w:rFonts w:ascii="Times New Roman" w:hAnsi="Times New Roman"/>
          <w:color w:val="auto"/>
          <w:szCs w:val="21"/>
          <w:highlight w:val="none"/>
        </w:rPr>
        <w:t xml:space="preserve">22.2.2 </w:t>
      </w:r>
      <w:r>
        <w:rPr>
          <w:rFonts w:hint="eastAsia" w:ascii="Times New Roman" w:hAnsi="Times New Roman" w:eastAsia="黑体"/>
          <w:color w:val="auto"/>
          <w:szCs w:val="21"/>
          <w:highlight w:val="none"/>
        </w:rPr>
        <w:t>承包人有权暂停施工</w:t>
      </w:r>
    </w:p>
    <w:p w14:paraId="105DBBEF">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发包人发生除第</w:t>
      </w:r>
      <w:r>
        <w:rPr>
          <w:rFonts w:ascii="Times New Roman" w:hAnsi="Times New Roman"/>
          <w:color w:val="auto"/>
          <w:szCs w:val="21"/>
          <w:highlight w:val="none"/>
        </w:rPr>
        <w:t>22.2.1</w:t>
      </w:r>
      <w:r>
        <w:rPr>
          <w:rFonts w:hint="eastAsia" w:ascii="Times New Roman" w:hAnsi="Times New Roman"/>
          <w:color w:val="auto"/>
          <w:szCs w:val="21"/>
          <w:highlight w:val="none"/>
        </w:rPr>
        <w:t>（</w:t>
      </w:r>
      <w:r>
        <w:rPr>
          <w:rFonts w:ascii="Times New Roman" w:hAnsi="Times New Roman"/>
          <w:color w:val="auto"/>
          <w:szCs w:val="21"/>
          <w:highlight w:val="none"/>
        </w:rPr>
        <w:t>4</w:t>
      </w:r>
      <w:r>
        <w:rPr>
          <w:rFonts w:hint="eastAsia" w:ascii="Times New Roman" w:hAnsi="Times New Roman"/>
          <w:color w:val="auto"/>
          <w:szCs w:val="21"/>
          <w:highlight w:val="none"/>
        </w:rPr>
        <w:t>）目以外的违约情况时，承包人可向发包人发出通知，要求发包人采取有效措施纠正违约行为。发包人收到承包人通知后的</w:t>
      </w:r>
      <w:r>
        <w:rPr>
          <w:rFonts w:ascii="Times New Roman" w:hAnsi="Times New Roman"/>
          <w:color w:val="auto"/>
          <w:szCs w:val="21"/>
          <w:highlight w:val="none"/>
        </w:rPr>
        <w:t>28</w:t>
      </w:r>
      <w:r>
        <w:rPr>
          <w:rFonts w:hint="eastAsia" w:ascii="Times New Roman" w:hAnsi="Times New Roman"/>
          <w:color w:val="auto"/>
          <w:szCs w:val="21"/>
          <w:highlight w:val="none"/>
        </w:rPr>
        <w:t>天内仍不履行合同义务，承包人有权暂停施工，并通知监理人，发包人应承担由此增加的费用和（或）工期延误，并支付承包人合理利润。</w:t>
      </w:r>
    </w:p>
    <w:p w14:paraId="77EFEE1D">
      <w:pPr>
        <w:pStyle w:val="54"/>
        <w:spacing w:line="400" w:lineRule="atLeast"/>
        <w:ind w:firstLine="411" w:firstLineChars="196"/>
        <w:rPr>
          <w:rFonts w:ascii="Times New Roman" w:hAnsi="Times New Roman"/>
          <w:color w:val="auto"/>
          <w:szCs w:val="21"/>
          <w:highlight w:val="none"/>
        </w:rPr>
      </w:pPr>
      <w:r>
        <w:rPr>
          <w:rFonts w:ascii="Times New Roman" w:hAnsi="Times New Roman"/>
          <w:color w:val="auto"/>
          <w:szCs w:val="21"/>
          <w:highlight w:val="none"/>
        </w:rPr>
        <w:t xml:space="preserve">22.2.3 </w:t>
      </w:r>
      <w:r>
        <w:rPr>
          <w:rFonts w:hint="eastAsia" w:ascii="Times New Roman" w:hAnsi="Times New Roman" w:eastAsia="黑体"/>
          <w:color w:val="auto"/>
          <w:szCs w:val="21"/>
          <w:highlight w:val="none"/>
        </w:rPr>
        <w:t>发包人违约解除合同</w:t>
      </w:r>
      <w:r>
        <w:rPr>
          <w:rFonts w:ascii="Times New Roman" w:hAnsi="Times New Roman"/>
          <w:color w:val="auto"/>
          <w:szCs w:val="21"/>
          <w:highlight w:val="none"/>
        </w:rPr>
        <w:t xml:space="preserve"> </w:t>
      </w:r>
    </w:p>
    <w:p w14:paraId="263BD424">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1</w:t>
      </w:r>
      <w:r>
        <w:rPr>
          <w:rFonts w:hint="eastAsia" w:ascii="Times New Roman" w:hAnsi="Times New Roman"/>
          <w:color w:val="auto"/>
          <w:szCs w:val="21"/>
          <w:highlight w:val="none"/>
        </w:rPr>
        <w:t>）发生第</w:t>
      </w:r>
      <w:r>
        <w:rPr>
          <w:rFonts w:ascii="Times New Roman" w:hAnsi="Times New Roman"/>
          <w:color w:val="auto"/>
          <w:szCs w:val="21"/>
          <w:highlight w:val="none"/>
        </w:rPr>
        <w:t>22.2.1</w:t>
      </w:r>
      <w:r>
        <w:rPr>
          <w:rFonts w:hint="eastAsia" w:ascii="Times New Roman" w:hAnsi="Times New Roman"/>
          <w:color w:val="auto"/>
          <w:szCs w:val="21"/>
          <w:highlight w:val="none"/>
        </w:rPr>
        <w:t>（</w:t>
      </w:r>
      <w:r>
        <w:rPr>
          <w:rFonts w:ascii="Times New Roman" w:hAnsi="Times New Roman"/>
          <w:color w:val="auto"/>
          <w:szCs w:val="21"/>
          <w:highlight w:val="none"/>
        </w:rPr>
        <w:t>4</w:t>
      </w:r>
      <w:r>
        <w:rPr>
          <w:rFonts w:hint="eastAsia" w:ascii="Times New Roman" w:hAnsi="Times New Roman"/>
          <w:color w:val="auto"/>
          <w:szCs w:val="21"/>
          <w:highlight w:val="none"/>
        </w:rPr>
        <w:t>）目的违约情况时，承包人可书面通知发包人解除合同。</w:t>
      </w:r>
      <w:r>
        <w:rPr>
          <w:rFonts w:ascii="Times New Roman" w:hAnsi="Times New Roman"/>
          <w:color w:val="auto"/>
          <w:szCs w:val="21"/>
          <w:highlight w:val="none"/>
        </w:rPr>
        <w:t xml:space="preserve">   </w:t>
      </w:r>
    </w:p>
    <w:p w14:paraId="458B0236">
      <w:pPr>
        <w:pStyle w:val="54"/>
        <w:tabs>
          <w:tab w:val="left" w:pos="720"/>
          <w:tab w:val="left" w:pos="900"/>
        </w:tabs>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2</w:t>
      </w:r>
      <w:r>
        <w:rPr>
          <w:rFonts w:hint="eastAsia" w:ascii="Times New Roman" w:hAnsi="Times New Roman"/>
          <w:color w:val="auto"/>
          <w:szCs w:val="21"/>
          <w:highlight w:val="none"/>
        </w:rPr>
        <w:t>）承包人按第</w:t>
      </w:r>
      <w:r>
        <w:rPr>
          <w:rFonts w:ascii="Times New Roman" w:hAnsi="Times New Roman"/>
          <w:color w:val="auto"/>
          <w:szCs w:val="21"/>
          <w:highlight w:val="none"/>
        </w:rPr>
        <w:t>22.2.2</w:t>
      </w:r>
      <w:r>
        <w:rPr>
          <w:rFonts w:hint="eastAsia" w:ascii="Times New Roman" w:hAnsi="Times New Roman"/>
          <w:color w:val="auto"/>
          <w:szCs w:val="21"/>
          <w:highlight w:val="none"/>
        </w:rPr>
        <w:t>项暂停施工</w:t>
      </w:r>
      <w:r>
        <w:rPr>
          <w:rFonts w:ascii="Times New Roman" w:hAnsi="Times New Roman"/>
          <w:color w:val="auto"/>
          <w:szCs w:val="21"/>
          <w:highlight w:val="none"/>
        </w:rPr>
        <w:t>28</w:t>
      </w:r>
      <w:r>
        <w:rPr>
          <w:rFonts w:hint="eastAsia" w:ascii="Times New Roman" w:hAnsi="Times New Roman"/>
          <w:color w:val="auto"/>
          <w:szCs w:val="21"/>
          <w:highlight w:val="none"/>
        </w:rPr>
        <w:t>天后，发包人仍不纠正违约行为的，承包人可向发包人发出解除合同通知。但承包人的这一行动不免除发包人承担的违约责任，也不影响承包人根据合同约定享有的索赔权利。</w:t>
      </w:r>
    </w:p>
    <w:p w14:paraId="08445E9E">
      <w:pPr>
        <w:pStyle w:val="54"/>
        <w:spacing w:line="400" w:lineRule="atLeast"/>
        <w:ind w:firstLine="411" w:firstLineChars="196"/>
        <w:rPr>
          <w:rFonts w:ascii="Times New Roman" w:hAnsi="Times New Roman"/>
          <w:color w:val="auto"/>
          <w:szCs w:val="21"/>
          <w:highlight w:val="none"/>
        </w:rPr>
      </w:pPr>
      <w:r>
        <w:rPr>
          <w:rFonts w:ascii="Times New Roman" w:hAnsi="Times New Roman"/>
          <w:color w:val="auto"/>
          <w:szCs w:val="21"/>
          <w:highlight w:val="none"/>
        </w:rPr>
        <w:t>22.2.4</w:t>
      </w:r>
      <w:r>
        <w:rPr>
          <w:rFonts w:ascii="Times New Roman" w:hAnsi="Times New Roman" w:eastAsia="黑体"/>
          <w:color w:val="auto"/>
          <w:szCs w:val="21"/>
          <w:highlight w:val="none"/>
        </w:rPr>
        <w:t xml:space="preserve"> </w:t>
      </w:r>
      <w:r>
        <w:rPr>
          <w:rFonts w:hint="eastAsia" w:ascii="Times New Roman" w:hAnsi="Times New Roman" w:eastAsia="黑体"/>
          <w:color w:val="auto"/>
          <w:szCs w:val="21"/>
          <w:highlight w:val="none"/>
        </w:rPr>
        <w:t>解除合同后的付款</w:t>
      </w:r>
    </w:p>
    <w:p w14:paraId="195FF9BE">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因发包人违约解除合同的，发包人应在解除合同后</w:t>
      </w:r>
      <w:r>
        <w:rPr>
          <w:rFonts w:ascii="Times New Roman" w:hAnsi="Times New Roman"/>
          <w:color w:val="auto"/>
          <w:szCs w:val="21"/>
          <w:highlight w:val="none"/>
        </w:rPr>
        <w:t>28</w:t>
      </w:r>
      <w:r>
        <w:rPr>
          <w:rFonts w:hint="eastAsia" w:ascii="Times New Roman" w:hAnsi="Times New Roman"/>
          <w:color w:val="auto"/>
          <w:szCs w:val="21"/>
          <w:highlight w:val="none"/>
        </w:rPr>
        <w:t>天内向承包人支付下列金额，承包人应在此期限内及时向发包人提交要求支付下列金额的有关资料和凭证：</w:t>
      </w:r>
    </w:p>
    <w:p w14:paraId="0E7766F6">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1</w:t>
      </w:r>
      <w:r>
        <w:rPr>
          <w:rFonts w:hint="eastAsia" w:ascii="Times New Roman" w:hAnsi="Times New Roman"/>
          <w:color w:val="auto"/>
          <w:szCs w:val="21"/>
          <w:highlight w:val="none"/>
        </w:rPr>
        <w:t>）合同解除日以前所完成工作的价款；</w:t>
      </w:r>
    </w:p>
    <w:p w14:paraId="37940316">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2</w:t>
      </w:r>
      <w:r>
        <w:rPr>
          <w:rFonts w:hint="eastAsia" w:ascii="Times New Roman" w:hAnsi="Times New Roman"/>
          <w:color w:val="auto"/>
          <w:szCs w:val="21"/>
          <w:highlight w:val="none"/>
        </w:rPr>
        <w:t>）承包人为该工程施工订购并已付款的材料、工程设备和其他物品的金额。发包人付还后，该材料、工程设备和其他物品归发包人所有；</w:t>
      </w:r>
    </w:p>
    <w:p w14:paraId="3BC402D0">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3</w:t>
      </w:r>
      <w:r>
        <w:rPr>
          <w:rFonts w:hint="eastAsia" w:ascii="Times New Roman" w:hAnsi="Times New Roman"/>
          <w:color w:val="auto"/>
          <w:szCs w:val="21"/>
          <w:highlight w:val="none"/>
        </w:rPr>
        <w:t>）承包人为完成工程所发生的，而发包人未支付的金额；</w:t>
      </w:r>
    </w:p>
    <w:p w14:paraId="79CA3348">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4</w:t>
      </w:r>
      <w:r>
        <w:rPr>
          <w:rFonts w:hint="eastAsia" w:ascii="Times New Roman" w:hAnsi="Times New Roman"/>
          <w:color w:val="auto"/>
          <w:szCs w:val="21"/>
          <w:highlight w:val="none"/>
        </w:rPr>
        <w:t>）承包人撤离施工场地以及遣散承包人人员的金额；</w:t>
      </w:r>
    </w:p>
    <w:p w14:paraId="4F6A4199">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5</w:t>
      </w:r>
      <w:r>
        <w:rPr>
          <w:rFonts w:hint="eastAsia" w:ascii="Times New Roman" w:hAnsi="Times New Roman"/>
          <w:color w:val="auto"/>
          <w:szCs w:val="21"/>
          <w:highlight w:val="none"/>
        </w:rPr>
        <w:t>）由于解除合同应赔偿的承包人损失；</w:t>
      </w:r>
    </w:p>
    <w:p w14:paraId="5661A604">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6</w:t>
      </w:r>
      <w:r>
        <w:rPr>
          <w:rFonts w:hint="eastAsia" w:ascii="Times New Roman" w:hAnsi="Times New Roman"/>
          <w:color w:val="auto"/>
          <w:szCs w:val="21"/>
          <w:highlight w:val="none"/>
        </w:rPr>
        <w:t>）按合同约定在合同解除日前应支付给承包人的其他金额。</w:t>
      </w:r>
    </w:p>
    <w:p w14:paraId="2DFF3587">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发包人应按本项约定支付上述金额并退还质量保证金和履约担保，但有权要求承包人支付应偿还给发包人的各项金额。</w:t>
      </w:r>
    </w:p>
    <w:p w14:paraId="44CF3E16">
      <w:pPr>
        <w:pStyle w:val="54"/>
        <w:spacing w:line="400" w:lineRule="atLeast"/>
        <w:ind w:firstLine="411" w:firstLineChars="196"/>
        <w:rPr>
          <w:rFonts w:ascii="Times New Roman" w:hAnsi="Times New Roman" w:eastAsia="黑体"/>
          <w:color w:val="auto"/>
          <w:szCs w:val="21"/>
          <w:highlight w:val="none"/>
        </w:rPr>
      </w:pPr>
      <w:r>
        <w:rPr>
          <w:rFonts w:ascii="Times New Roman" w:hAnsi="Times New Roman" w:eastAsia="黑体"/>
          <w:color w:val="auto"/>
          <w:szCs w:val="21"/>
          <w:highlight w:val="none"/>
        </w:rPr>
        <w:t xml:space="preserve">22.2.5 </w:t>
      </w:r>
      <w:r>
        <w:rPr>
          <w:rFonts w:hint="eastAsia" w:ascii="Times New Roman" w:hAnsi="Times New Roman" w:eastAsia="黑体"/>
          <w:color w:val="auto"/>
          <w:szCs w:val="21"/>
          <w:highlight w:val="none"/>
        </w:rPr>
        <w:t>解除合同后的承包人撤离</w:t>
      </w:r>
    </w:p>
    <w:p w14:paraId="0E945C4C">
      <w:pPr>
        <w:pStyle w:val="54"/>
        <w:spacing w:line="400" w:lineRule="atLeast"/>
        <w:ind w:firstLine="390"/>
        <w:rPr>
          <w:rFonts w:ascii="Times New Roman" w:hAnsi="Times New Roman"/>
          <w:color w:val="auto"/>
          <w:szCs w:val="21"/>
          <w:highlight w:val="none"/>
        </w:rPr>
      </w:pPr>
      <w:r>
        <w:rPr>
          <w:rFonts w:hint="eastAsia" w:ascii="Times New Roman" w:hAnsi="Times New Roman"/>
          <w:color w:val="auto"/>
          <w:szCs w:val="21"/>
          <w:highlight w:val="none"/>
        </w:rPr>
        <w:t>因发包人违约而解除合同后，承包人应妥善做好已竣工工程和已购材料、设备的保护和移交工作，按发包人要求将承包人设备和人员撤出施工场地。承包人撤出施工场地应遵守第</w:t>
      </w:r>
      <w:r>
        <w:rPr>
          <w:rFonts w:ascii="Times New Roman" w:hAnsi="Times New Roman"/>
          <w:color w:val="auto"/>
          <w:szCs w:val="21"/>
          <w:highlight w:val="none"/>
        </w:rPr>
        <w:t>18.7.1</w:t>
      </w:r>
      <w:r>
        <w:rPr>
          <w:rFonts w:hint="eastAsia" w:ascii="Times New Roman" w:hAnsi="Times New Roman"/>
          <w:color w:val="auto"/>
          <w:szCs w:val="21"/>
          <w:highlight w:val="none"/>
        </w:rPr>
        <w:t>项的约定，发包人应为承包人撤出提供必要条件。</w:t>
      </w:r>
    </w:p>
    <w:p w14:paraId="4C049C31">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22.3</w:t>
      </w:r>
      <w:r>
        <w:rPr>
          <w:rFonts w:hint="eastAsia" w:ascii="Times New Roman" w:hAnsi="Times New Roman" w:eastAsia="黑体"/>
          <w:bCs/>
          <w:color w:val="auto"/>
          <w:kern w:val="44"/>
          <w:szCs w:val="21"/>
          <w:highlight w:val="none"/>
          <w:lang w:val="zh-CN"/>
        </w:rPr>
        <w:t>第三人造成的违约</w:t>
      </w:r>
    </w:p>
    <w:p w14:paraId="0A40E5AE">
      <w:pPr>
        <w:pStyle w:val="54"/>
        <w:spacing w:line="400" w:lineRule="atLeast"/>
        <w:ind w:firstLine="390"/>
        <w:rPr>
          <w:rFonts w:ascii="Times New Roman" w:hAnsi="Times New Roman"/>
          <w:color w:val="auto"/>
          <w:szCs w:val="21"/>
          <w:highlight w:val="none"/>
        </w:rPr>
      </w:pPr>
      <w:r>
        <w:rPr>
          <w:rFonts w:hint="eastAsia" w:ascii="Times New Roman" w:hAnsi="Times New Roman"/>
          <w:color w:val="auto"/>
          <w:szCs w:val="21"/>
          <w:highlight w:val="none"/>
        </w:rPr>
        <w:t>在履行合同过程中，一方当事人因第三人的原因造成违约的，应当向对方当事人承担违约责任。一方当事人和第三人之间的纠纷，依照法律规定或者按照约定解决。</w:t>
      </w:r>
    </w:p>
    <w:p w14:paraId="0CB63596">
      <w:pPr>
        <w:pStyle w:val="54"/>
        <w:keepNext/>
        <w:keepLines/>
        <w:spacing w:before="480" w:after="240" w:line="380" w:lineRule="atLeast"/>
        <w:outlineLvl w:val="2"/>
        <w:rPr>
          <w:rFonts w:ascii="Times New Roman" w:hAnsi="Times New Roman" w:eastAsia="黑体"/>
          <w:bCs/>
          <w:color w:val="auto"/>
          <w:kern w:val="44"/>
          <w:szCs w:val="21"/>
          <w:highlight w:val="none"/>
          <w:lang w:val="zh-CN"/>
        </w:rPr>
      </w:pPr>
      <w:bookmarkStart w:id="129" w:name="_Toc25553"/>
      <w:r>
        <w:rPr>
          <w:rFonts w:ascii="Times New Roman" w:hAnsi="Times New Roman" w:eastAsia="黑体"/>
          <w:bCs/>
          <w:color w:val="auto"/>
          <w:kern w:val="44"/>
          <w:szCs w:val="21"/>
          <w:highlight w:val="none"/>
          <w:lang w:val="zh-CN"/>
        </w:rPr>
        <w:t xml:space="preserve">23. </w:t>
      </w:r>
      <w:r>
        <w:rPr>
          <w:rFonts w:hint="eastAsia" w:ascii="Times New Roman" w:hAnsi="Times New Roman" w:eastAsia="黑体"/>
          <w:bCs/>
          <w:color w:val="auto"/>
          <w:kern w:val="44"/>
          <w:szCs w:val="21"/>
          <w:highlight w:val="none"/>
          <w:lang w:val="zh-CN"/>
        </w:rPr>
        <w:t>索赔</w:t>
      </w:r>
      <w:bookmarkEnd w:id="129"/>
    </w:p>
    <w:p w14:paraId="403DC747">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23.1 </w:t>
      </w:r>
      <w:r>
        <w:rPr>
          <w:rFonts w:hint="eastAsia" w:ascii="Times New Roman" w:hAnsi="Times New Roman" w:eastAsia="黑体"/>
          <w:bCs/>
          <w:color w:val="auto"/>
          <w:kern w:val="44"/>
          <w:szCs w:val="21"/>
          <w:highlight w:val="none"/>
          <w:lang w:val="zh-CN"/>
        </w:rPr>
        <w:t>承包人索赔的提出</w:t>
      </w:r>
    </w:p>
    <w:p w14:paraId="645B73F4">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根据合同约定，承包人认为有权得到追加付款和（或）延长工期的，应按以下程序向发包人提出索赔：</w:t>
      </w:r>
    </w:p>
    <w:p w14:paraId="75055AE0">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1</w:t>
      </w:r>
      <w:r>
        <w:rPr>
          <w:rFonts w:hint="eastAsia" w:ascii="Times New Roman" w:hAnsi="Times New Roman"/>
          <w:color w:val="auto"/>
          <w:szCs w:val="21"/>
          <w:highlight w:val="none"/>
        </w:rPr>
        <w:t>）承包人应在知道或应当知道索赔事件发生后</w:t>
      </w:r>
      <w:r>
        <w:rPr>
          <w:rFonts w:ascii="Times New Roman" w:hAnsi="Times New Roman"/>
          <w:color w:val="auto"/>
          <w:szCs w:val="21"/>
          <w:highlight w:val="none"/>
        </w:rPr>
        <w:t>28</w:t>
      </w:r>
      <w:r>
        <w:rPr>
          <w:rFonts w:hint="eastAsia" w:ascii="Times New Roman" w:hAnsi="Times New Roman"/>
          <w:color w:val="auto"/>
          <w:szCs w:val="21"/>
          <w:highlight w:val="none"/>
        </w:rPr>
        <w:t>天内，向监理人递交索赔意向通知书，并说明发生索赔事件的事由。承包人未在前述</w:t>
      </w:r>
      <w:r>
        <w:rPr>
          <w:rFonts w:ascii="Times New Roman" w:hAnsi="Times New Roman"/>
          <w:color w:val="auto"/>
          <w:szCs w:val="21"/>
          <w:highlight w:val="none"/>
        </w:rPr>
        <w:t>28</w:t>
      </w:r>
      <w:r>
        <w:rPr>
          <w:rFonts w:hint="eastAsia" w:ascii="Times New Roman" w:hAnsi="Times New Roman"/>
          <w:color w:val="auto"/>
          <w:szCs w:val="21"/>
          <w:highlight w:val="none"/>
        </w:rPr>
        <w:t>天内发出索赔意向通知书的，丧失要求追加付款和（或）延长工期的权利；</w:t>
      </w:r>
    </w:p>
    <w:p w14:paraId="77C5F4E7">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2</w:t>
      </w:r>
      <w:r>
        <w:rPr>
          <w:rFonts w:hint="eastAsia" w:ascii="Times New Roman" w:hAnsi="Times New Roman"/>
          <w:color w:val="auto"/>
          <w:szCs w:val="21"/>
          <w:highlight w:val="none"/>
        </w:rPr>
        <w:t>）承包人应在发出索赔意向通知书后</w:t>
      </w:r>
      <w:r>
        <w:rPr>
          <w:rFonts w:ascii="Times New Roman" w:hAnsi="Times New Roman"/>
          <w:color w:val="auto"/>
          <w:szCs w:val="21"/>
          <w:highlight w:val="none"/>
        </w:rPr>
        <w:t>28</w:t>
      </w:r>
      <w:r>
        <w:rPr>
          <w:rFonts w:hint="eastAsia" w:ascii="Times New Roman" w:hAnsi="Times New Roman"/>
          <w:color w:val="auto"/>
          <w:szCs w:val="21"/>
          <w:highlight w:val="none"/>
        </w:rPr>
        <w:t>天内，向监理人正式递交索赔通知书。索赔通知书应详细说明索赔理由以及要求追加的付款金额和（或）延长的工期，并附必要的记录和证明材料；</w:t>
      </w:r>
    </w:p>
    <w:p w14:paraId="5054CA7C">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3</w:t>
      </w:r>
      <w:r>
        <w:rPr>
          <w:rFonts w:hint="eastAsia" w:ascii="Times New Roman" w:hAnsi="Times New Roman"/>
          <w:color w:val="auto"/>
          <w:szCs w:val="21"/>
          <w:highlight w:val="none"/>
        </w:rPr>
        <w:t>）索赔事件具有连续影响的，承包人应按合理时间间隔继续递交延续索赔通知，说明连续影响的实际情况和记录，列出累计的追加付款金额和（或）工期延长天数；</w:t>
      </w:r>
    </w:p>
    <w:p w14:paraId="293ABF4A">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4</w:t>
      </w:r>
      <w:r>
        <w:rPr>
          <w:rFonts w:hint="eastAsia" w:ascii="Times New Roman" w:hAnsi="Times New Roman"/>
          <w:color w:val="auto"/>
          <w:szCs w:val="21"/>
          <w:highlight w:val="none"/>
        </w:rPr>
        <w:t>）在索赔事件影响结束后的</w:t>
      </w:r>
      <w:r>
        <w:rPr>
          <w:rFonts w:ascii="Times New Roman" w:hAnsi="Times New Roman"/>
          <w:color w:val="auto"/>
          <w:szCs w:val="21"/>
          <w:highlight w:val="none"/>
        </w:rPr>
        <w:t>28</w:t>
      </w:r>
      <w:r>
        <w:rPr>
          <w:rFonts w:hint="eastAsia" w:ascii="Times New Roman" w:hAnsi="Times New Roman"/>
          <w:color w:val="auto"/>
          <w:szCs w:val="21"/>
          <w:highlight w:val="none"/>
        </w:rPr>
        <w:t>天内，承包人应向监理人递交最终索赔通知书，说明最终要求索赔的追加付款金额和延长的工期，并附必要的记录和证明材料。</w:t>
      </w:r>
    </w:p>
    <w:p w14:paraId="3A388C70">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23.2 </w:t>
      </w:r>
      <w:r>
        <w:rPr>
          <w:rFonts w:hint="eastAsia" w:ascii="Times New Roman" w:hAnsi="Times New Roman" w:eastAsia="黑体"/>
          <w:bCs/>
          <w:color w:val="auto"/>
          <w:kern w:val="44"/>
          <w:szCs w:val="21"/>
          <w:highlight w:val="none"/>
          <w:lang w:val="zh-CN"/>
        </w:rPr>
        <w:t>承包人索赔处理程序</w:t>
      </w:r>
    </w:p>
    <w:p w14:paraId="3AFC053E">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1</w:t>
      </w:r>
      <w:r>
        <w:rPr>
          <w:rFonts w:hint="eastAsia" w:ascii="Times New Roman" w:hAnsi="Times New Roman"/>
          <w:color w:val="auto"/>
          <w:szCs w:val="21"/>
          <w:highlight w:val="none"/>
        </w:rPr>
        <w:t>）监理人收到承包人提交的索赔通知书后，应及时审查索赔通知书的内容、查验承包人的记录和证明材料，必要时监理人可要求承包人提交全部原始记录副本。</w:t>
      </w:r>
    </w:p>
    <w:p w14:paraId="6AAE1F8B">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2</w:t>
      </w:r>
      <w:r>
        <w:rPr>
          <w:rFonts w:hint="eastAsia" w:ascii="Times New Roman" w:hAnsi="Times New Roman"/>
          <w:color w:val="auto"/>
          <w:szCs w:val="21"/>
          <w:highlight w:val="none"/>
        </w:rPr>
        <w:t>）监理人应按第</w:t>
      </w:r>
      <w:r>
        <w:rPr>
          <w:rFonts w:ascii="Times New Roman" w:hAnsi="Times New Roman"/>
          <w:color w:val="auto"/>
          <w:szCs w:val="21"/>
          <w:highlight w:val="none"/>
        </w:rPr>
        <w:t>3.5</w:t>
      </w:r>
      <w:r>
        <w:rPr>
          <w:rFonts w:hint="eastAsia" w:ascii="Times New Roman" w:hAnsi="Times New Roman"/>
          <w:color w:val="auto"/>
          <w:szCs w:val="21"/>
          <w:highlight w:val="none"/>
        </w:rPr>
        <w:t>款商定或确定追加的付款和（或）延长的工期，并在收到上述索赔通知书或有关索赔的进一步证明材料后的</w:t>
      </w:r>
      <w:r>
        <w:rPr>
          <w:rFonts w:ascii="Times New Roman" w:hAnsi="Times New Roman"/>
          <w:color w:val="auto"/>
          <w:szCs w:val="21"/>
          <w:highlight w:val="none"/>
        </w:rPr>
        <w:t>42</w:t>
      </w:r>
      <w:r>
        <w:rPr>
          <w:rFonts w:hint="eastAsia" w:ascii="Times New Roman" w:hAnsi="Times New Roman"/>
          <w:color w:val="auto"/>
          <w:szCs w:val="21"/>
          <w:highlight w:val="none"/>
        </w:rPr>
        <w:t>天内，将索赔处理结果答复承包人。</w:t>
      </w:r>
    </w:p>
    <w:p w14:paraId="3A0BA971">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3</w:t>
      </w:r>
      <w:r>
        <w:rPr>
          <w:rFonts w:hint="eastAsia" w:ascii="Times New Roman" w:hAnsi="Times New Roman"/>
          <w:color w:val="auto"/>
          <w:szCs w:val="21"/>
          <w:highlight w:val="none"/>
        </w:rPr>
        <w:t>）承包人接受索赔处理结果的，发包人应在作出索赔处理结果答复后</w:t>
      </w:r>
      <w:r>
        <w:rPr>
          <w:rFonts w:ascii="Times New Roman" w:hAnsi="Times New Roman"/>
          <w:color w:val="auto"/>
          <w:szCs w:val="21"/>
          <w:highlight w:val="none"/>
        </w:rPr>
        <w:t>28</w:t>
      </w:r>
      <w:r>
        <w:rPr>
          <w:rFonts w:hint="eastAsia" w:ascii="Times New Roman" w:hAnsi="Times New Roman"/>
          <w:color w:val="auto"/>
          <w:szCs w:val="21"/>
          <w:highlight w:val="none"/>
        </w:rPr>
        <w:t>天内完成赔付。承包人不接受索赔处理结果的，按第</w:t>
      </w:r>
      <w:r>
        <w:rPr>
          <w:rFonts w:ascii="Times New Roman" w:hAnsi="Times New Roman"/>
          <w:color w:val="auto"/>
          <w:szCs w:val="21"/>
          <w:highlight w:val="none"/>
        </w:rPr>
        <w:t>24</w:t>
      </w:r>
      <w:r>
        <w:rPr>
          <w:rFonts w:hint="eastAsia" w:ascii="Times New Roman" w:hAnsi="Times New Roman"/>
          <w:color w:val="auto"/>
          <w:szCs w:val="21"/>
          <w:highlight w:val="none"/>
        </w:rPr>
        <w:t>条的约定办理。</w:t>
      </w:r>
    </w:p>
    <w:p w14:paraId="06FB149C">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23.3 </w:t>
      </w:r>
      <w:r>
        <w:rPr>
          <w:rFonts w:hint="eastAsia" w:ascii="Times New Roman" w:hAnsi="Times New Roman" w:eastAsia="黑体"/>
          <w:bCs/>
          <w:color w:val="auto"/>
          <w:kern w:val="44"/>
          <w:szCs w:val="21"/>
          <w:highlight w:val="none"/>
          <w:lang w:val="zh-CN"/>
        </w:rPr>
        <w:t>承包人提出索赔的期限</w:t>
      </w:r>
    </w:p>
    <w:p w14:paraId="189B2AFF">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23.3.1 </w:t>
      </w:r>
      <w:r>
        <w:rPr>
          <w:rFonts w:hint="eastAsia" w:ascii="Times New Roman" w:hAnsi="Times New Roman"/>
          <w:color w:val="auto"/>
          <w:szCs w:val="21"/>
          <w:highlight w:val="none"/>
        </w:rPr>
        <w:t>承包人按第</w:t>
      </w:r>
      <w:r>
        <w:rPr>
          <w:rFonts w:ascii="Times New Roman" w:hAnsi="Times New Roman"/>
          <w:color w:val="auto"/>
          <w:szCs w:val="21"/>
          <w:highlight w:val="none"/>
        </w:rPr>
        <w:t>17.5</w:t>
      </w:r>
      <w:r>
        <w:rPr>
          <w:rFonts w:hint="eastAsia" w:ascii="Times New Roman" w:hAnsi="Times New Roman"/>
          <w:color w:val="auto"/>
          <w:szCs w:val="21"/>
          <w:highlight w:val="none"/>
        </w:rPr>
        <w:t>款的约定接受了竣工付款证书后，应被认为已无权再提出在合同工程接收证书颁发前所发生的任何索赔。</w:t>
      </w:r>
    </w:p>
    <w:p w14:paraId="59BD41FD">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23.3.2 </w:t>
      </w:r>
      <w:r>
        <w:rPr>
          <w:rFonts w:hint="eastAsia" w:ascii="Times New Roman" w:hAnsi="Times New Roman"/>
          <w:color w:val="auto"/>
          <w:szCs w:val="21"/>
          <w:highlight w:val="none"/>
        </w:rPr>
        <w:t>承包人按第</w:t>
      </w:r>
      <w:r>
        <w:rPr>
          <w:rFonts w:ascii="Times New Roman" w:hAnsi="Times New Roman"/>
          <w:color w:val="auto"/>
          <w:szCs w:val="21"/>
          <w:highlight w:val="none"/>
        </w:rPr>
        <w:t>17.6</w:t>
      </w:r>
      <w:r>
        <w:rPr>
          <w:rFonts w:hint="eastAsia" w:ascii="Times New Roman" w:hAnsi="Times New Roman"/>
          <w:color w:val="auto"/>
          <w:szCs w:val="21"/>
          <w:highlight w:val="none"/>
        </w:rPr>
        <w:t>款的约定提交的最终结清申请单中，只限于提出工程接收证书颁发后发生的索赔。提出索赔的期限自接受最终结清证书时终止。</w:t>
      </w:r>
    </w:p>
    <w:p w14:paraId="6564EBA5">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23.4 </w:t>
      </w:r>
      <w:r>
        <w:rPr>
          <w:rFonts w:hint="eastAsia" w:ascii="Times New Roman" w:hAnsi="Times New Roman" w:eastAsia="黑体"/>
          <w:bCs/>
          <w:color w:val="auto"/>
          <w:kern w:val="44"/>
          <w:szCs w:val="21"/>
          <w:highlight w:val="none"/>
          <w:lang w:val="zh-CN"/>
        </w:rPr>
        <w:t>发包人的索赔</w:t>
      </w:r>
      <w:r>
        <w:rPr>
          <w:rFonts w:ascii="Times New Roman" w:hAnsi="Times New Roman" w:eastAsia="黑体"/>
          <w:bCs/>
          <w:color w:val="auto"/>
          <w:kern w:val="44"/>
          <w:szCs w:val="21"/>
          <w:highlight w:val="none"/>
          <w:lang w:val="zh-CN"/>
        </w:rPr>
        <w:t xml:space="preserve">                            </w:t>
      </w:r>
    </w:p>
    <w:p w14:paraId="249DC73F">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23.4.1 </w:t>
      </w:r>
      <w:r>
        <w:rPr>
          <w:rFonts w:hint="eastAsia" w:ascii="Times New Roman" w:hAnsi="Times New Roman"/>
          <w:color w:val="auto"/>
          <w:szCs w:val="21"/>
          <w:highlight w:val="none"/>
        </w:rPr>
        <w:t>发生索赔事件后，监理人应及时书面通知承包人，详细说明发包人有权得到的索赔金额和（或）延长缺陷责任期的细节和依据。发包人提出索赔的期限和要求与第</w:t>
      </w:r>
      <w:r>
        <w:rPr>
          <w:rFonts w:ascii="Times New Roman" w:hAnsi="Times New Roman"/>
          <w:color w:val="auto"/>
          <w:szCs w:val="21"/>
          <w:highlight w:val="none"/>
        </w:rPr>
        <w:t>23.3</w:t>
      </w:r>
      <w:r>
        <w:rPr>
          <w:rFonts w:hint="eastAsia" w:ascii="Times New Roman" w:hAnsi="Times New Roman"/>
          <w:color w:val="auto"/>
          <w:szCs w:val="21"/>
          <w:highlight w:val="none"/>
        </w:rPr>
        <w:t>款的约定相同，延长缺陷责任期的通知应在缺陷责任期届满前发出。</w:t>
      </w:r>
    </w:p>
    <w:p w14:paraId="5369091B">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23.4.2 </w:t>
      </w:r>
      <w:r>
        <w:rPr>
          <w:rFonts w:hint="eastAsia" w:ascii="Times New Roman" w:hAnsi="Times New Roman"/>
          <w:color w:val="auto"/>
          <w:szCs w:val="21"/>
          <w:highlight w:val="none"/>
        </w:rPr>
        <w:t>监理人按第</w:t>
      </w:r>
      <w:r>
        <w:rPr>
          <w:rFonts w:ascii="Times New Roman" w:hAnsi="Times New Roman"/>
          <w:color w:val="auto"/>
          <w:szCs w:val="21"/>
          <w:highlight w:val="none"/>
        </w:rPr>
        <w:t>3.5</w:t>
      </w:r>
      <w:r>
        <w:rPr>
          <w:rFonts w:hint="eastAsia" w:ascii="Times New Roman" w:hAnsi="Times New Roman"/>
          <w:color w:val="auto"/>
          <w:szCs w:val="21"/>
          <w:highlight w:val="none"/>
        </w:rPr>
        <w:t>款商定或确定发包人从承包人处得到赔付的金额和（或）缺陷责任期的延长期。承包人应付给发包人的金额可从拟支付给承包人的合同价款中扣除，或由承包人以其他方式支付给发包人。</w:t>
      </w:r>
    </w:p>
    <w:p w14:paraId="50D207DD">
      <w:pPr>
        <w:pStyle w:val="54"/>
        <w:keepNext/>
        <w:keepLines/>
        <w:spacing w:before="480" w:after="240" w:line="380" w:lineRule="atLeast"/>
        <w:outlineLvl w:val="2"/>
        <w:rPr>
          <w:rFonts w:ascii="Times New Roman" w:hAnsi="Times New Roman" w:eastAsia="黑体"/>
          <w:bCs/>
          <w:color w:val="auto"/>
          <w:kern w:val="44"/>
          <w:szCs w:val="21"/>
          <w:highlight w:val="none"/>
          <w:lang w:val="zh-CN"/>
        </w:rPr>
      </w:pPr>
      <w:bookmarkStart w:id="130" w:name="_Toc14616"/>
      <w:r>
        <w:rPr>
          <w:rFonts w:ascii="Times New Roman" w:hAnsi="Times New Roman" w:eastAsia="黑体"/>
          <w:bCs/>
          <w:color w:val="auto"/>
          <w:kern w:val="44"/>
          <w:szCs w:val="21"/>
          <w:highlight w:val="none"/>
          <w:lang w:val="zh-CN"/>
        </w:rPr>
        <w:t xml:space="preserve">24. </w:t>
      </w:r>
      <w:r>
        <w:rPr>
          <w:rFonts w:hint="eastAsia" w:ascii="Times New Roman" w:hAnsi="Times New Roman" w:eastAsia="黑体"/>
          <w:bCs/>
          <w:color w:val="auto"/>
          <w:kern w:val="44"/>
          <w:szCs w:val="21"/>
          <w:highlight w:val="none"/>
          <w:lang w:val="zh-CN"/>
        </w:rPr>
        <w:t>争议的解决</w:t>
      </w:r>
      <w:bookmarkEnd w:id="130"/>
    </w:p>
    <w:p w14:paraId="4E207F93">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24.1 </w:t>
      </w:r>
      <w:r>
        <w:rPr>
          <w:rFonts w:hint="eastAsia" w:ascii="Times New Roman" w:hAnsi="Times New Roman" w:eastAsia="黑体"/>
          <w:bCs/>
          <w:color w:val="auto"/>
          <w:kern w:val="44"/>
          <w:szCs w:val="21"/>
          <w:highlight w:val="none"/>
          <w:lang w:val="zh-CN"/>
        </w:rPr>
        <w:t>争议的解决方式</w:t>
      </w:r>
    </w:p>
    <w:p w14:paraId="02F69F4E">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14:paraId="0C99BFC0">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1</w:t>
      </w:r>
      <w:r>
        <w:rPr>
          <w:rFonts w:hint="eastAsia" w:ascii="Times New Roman" w:hAnsi="Times New Roman"/>
          <w:color w:val="auto"/>
          <w:szCs w:val="21"/>
          <w:highlight w:val="none"/>
        </w:rPr>
        <w:t>）向约定的仲裁委员会申请仲裁；</w:t>
      </w:r>
    </w:p>
    <w:p w14:paraId="491E9834">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2</w:t>
      </w:r>
      <w:r>
        <w:rPr>
          <w:rFonts w:hint="eastAsia" w:ascii="Times New Roman" w:hAnsi="Times New Roman"/>
          <w:color w:val="auto"/>
          <w:szCs w:val="21"/>
          <w:highlight w:val="none"/>
        </w:rPr>
        <w:t>）向有管辖权的人民法院提起诉讼。</w:t>
      </w:r>
    </w:p>
    <w:p w14:paraId="358B6C20">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24.2 </w:t>
      </w:r>
      <w:r>
        <w:rPr>
          <w:rFonts w:hint="eastAsia" w:ascii="Times New Roman" w:hAnsi="Times New Roman" w:eastAsia="黑体"/>
          <w:bCs/>
          <w:color w:val="auto"/>
          <w:kern w:val="44"/>
          <w:szCs w:val="21"/>
          <w:highlight w:val="none"/>
          <w:lang w:val="zh-CN"/>
        </w:rPr>
        <w:t>友好解决</w:t>
      </w:r>
    </w:p>
    <w:p w14:paraId="1A1206F5">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在提请争议评审、仲裁或者诉讼前，以及在争议评审、仲裁或诉讼过程中，发包人和承包人均可共同努力友好协商解决争议。</w:t>
      </w:r>
    </w:p>
    <w:p w14:paraId="7AD2496D">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24.3 </w:t>
      </w:r>
      <w:r>
        <w:rPr>
          <w:rFonts w:hint="eastAsia" w:ascii="Times New Roman" w:hAnsi="Times New Roman" w:eastAsia="黑体"/>
          <w:bCs/>
          <w:color w:val="auto"/>
          <w:kern w:val="44"/>
          <w:szCs w:val="21"/>
          <w:highlight w:val="none"/>
          <w:lang w:val="zh-CN"/>
        </w:rPr>
        <w:t>争议评审</w:t>
      </w:r>
    </w:p>
    <w:p w14:paraId="4CE45A82">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24.3.1</w:t>
      </w:r>
      <w:r>
        <w:rPr>
          <w:rFonts w:hint="eastAsia" w:ascii="Times New Roman" w:hAnsi="Times New Roman"/>
          <w:color w:val="auto"/>
          <w:szCs w:val="21"/>
          <w:highlight w:val="none"/>
        </w:rPr>
        <w:t>采用争议评审的，发包人和承包人应在开工日后的</w:t>
      </w:r>
      <w:r>
        <w:rPr>
          <w:rFonts w:ascii="Times New Roman" w:hAnsi="Times New Roman"/>
          <w:color w:val="auto"/>
          <w:szCs w:val="21"/>
          <w:highlight w:val="none"/>
        </w:rPr>
        <w:t>28</w:t>
      </w:r>
      <w:r>
        <w:rPr>
          <w:rFonts w:hint="eastAsia" w:ascii="Times New Roman" w:hAnsi="Times New Roman"/>
          <w:color w:val="auto"/>
          <w:szCs w:val="21"/>
          <w:highlight w:val="none"/>
        </w:rPr>
        <w:t>天内或在争议发生后，协商成立争议评审组。争议评审组由有合同管理和工程实践经验的专家组成。</w:t>
      </w:r>
    </w:p>
    <w:p w14:paraId="63695648">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24.3.2 </w:t>
      </w:r>
      <w:r>
        <w:rPr>
          <w:rFonts w:hint="eastAsia" w:ascii="Times New Roman" w:hAnsi="Times New Roman"/>
          <w:color w:val="auto"/>
          <w:szCs w:val="21"/>
          <w:highlight w:val="none"/>
        </w:rPr>
        <w:t>合同双方的争议，应首先由申请人向争议评审组提交一份详细的评审申请报告，并附必要的文件、图纸和证明材料，申请人还应将上述报告的副本同时提交给被申请人和监理人。</w:t>
      </w:r>
    </w:p>
    <w:p w14:paraId="336D4E17">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24.3.3 </w:t>
      </w:r>
      <w:r>
        <w:rPr>
          <w:rFonts w:hint="eastAsia" w:ascii="Times New Roman" w:hAnsi="Times New Roman"/>
          <w:color w:val="auto"/>
          <w:szCs w:val="21"/>
          <w:highlight w:val="none"/>
        </w:rPr>
        <w:t>被申请人在收到申请人评审申请报告副本后的</w:t>
      </w:r>
      <w:r>
        <w:rPr>
          <w:rFonts w:ascii="Times New Roman" w:hAnsi="Times New Roman"/>
          <w:color w:val="auto"/>
          <w:szCs w:val="21"/>
          <w:highlight w:val="none"/>
        </w:rPr>
        <w:t>28</w:t>
      </w:r>
      <w:r>
        <w:rPr>
          <w:rFonts w:hint="eastAsia" w:ascii="Times New Roman" w:hAnsi="Times New Roman"/>
          <w:color w:val="auto"/>
          <w:szCs w:val="21"/>
          <w:highlight w:val="none"/>
        </w:rPr>
        <w:t>天内，向争议评审组提交一份答辩报告，并附证明材料。被申请人应将答辩报告的副本同时提交给申请人和监理人。</w:t>
      </w:r>
    </w:p>
    <w:p w14:paraId="48BA3D4A">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24.3.4 </w:t>
      </w:r>
      <w:r>
        <w:rPr>
          <w:rFonts w:hint="eastAsia" w:ascii="Times New Roman" w:hAnsi="Times New Roman"/>
          <w:color w:val="auto"/>
          <w:szCs w:val="21"/>
          <w:highlight w:val="none"/>
        </w:rPr>
        <w:t>除专用合同条款另有约定外，争议评审组在收到合同双方报告后的</w:t>
      </w:r>
      <w:r>
        <w:rPr>
          <w:rFonts w:ascii="Times New Roman" w:hAnsi="Times New Roman"/>
          <w:color w:val="auto"/>
          <w:szCs w:val="21"/>
          <w:highlight w:val="none"/>
        </w:rPr>
        <w:t>14</w:t>
      </w:r>
      <w:r>
        <w:rPr>
          <w:rFonts w:hint="eastAsia" w:ascii="Times New Roman" w:hAnsi="Times New Roman"/>
          <w:color w:val="auto"/>
          <w:szCs w:val="21"/>
          <w:highlight w:val="none"/>
        </w:rPr>
        <w:t>天内，邀请双方代表和有关人员举行调查会，向双方调查争议细节；必要时争议评审组可要求双方进一步提供补充材料。</w:t>
      </w:r>
    </w:p>
    <w:p w14:paraId="65AD0265">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24.3.5 </w:t>
      </w:r>
      <w:r>
        <w:rPr>
          <w:rFonts w:hint="eastAsia" w:ascii="Times New Roman" w:hAnsi="Times New Roman"/>
          <w:color w:val="auto"/>
          <w:szCs w:val="21"/>
          <w:highlight w:val="none"/>
        </w:rPr>
        <w:t>除专用合同条款另有约定外，在调查会结束后的</w:t>
      </w:r>
      <w:r>
        <w:rPr>
          <w:rFonts w:ascii="Times New Roman" w:hAnsi="Times New Roman"/>
          <w:color w:val="auto"/>
          <w:szCs w:val="21"/>
          <w:highlight w:val="none"/>
        </w:rPr>
        <w:t>14</w:t>
      </w:r>
      <w:r>
        <w:rPr>
          <w:rFonts w:hint="eastAsia" w:ascii="Times New Roman" w:hAnsi="Times New Roman"/>
          <w:color w:val="auto"/>
          <w:szCs w:val="21"/>
          <w:highlight w:val="none"/>
        </w:rPr>
        <w:t>天内，争议评审组应在不受任何干扰的情况下进行独立、公正的评审，作出书面评审意见，并说明理由。在争议评审期间，争议双方暂按总监理工程师的确定执行。</w:t>
      </w:r>
    </w:p>
    <w:p w14:paraId="665646EF">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24.3.6 </w:t>
      </w:r>
      <w:r>
        <w:rPr>
          <w:rFonts w:hint="eastAsia" w:ascii="Times New Roman" w:hAnsi="Times New Roman"/>
          <w:color w:val="auto"/>
          <w:szCs w:val="21"/>
          <w:highlight w:val="none"/>
        </w:rPr>
        <w:t>发包人和承包人接受评审意见的，由监理人根据评审意见拟定执行协议，经争议双方签字后作为合同的补充文件，并遵照执行。</w:t>
      </w:r>
    </w:p>
    <w:p w14:paraId="0FEA9858">
      <w:pPr>
        <w:pStyle w:val="54"/>
        <w:spacing w:line="360" w:lineRule="auto"/>
        <w:ind w:firstLine="420" w:firstLineChars="200"/>
        <w:rPr>
          <w:rFonts w:hint="eastAsia" w:ascii="宋体" w:hAnsi="宋体" w:eastAsia="宋体" w:cs="宋体"/>
          <w:color w:val="auto"/>
          <w:sz w:val="44"/>
          <w:szCs w:val="44"/>
          <w:highlight w:val="none"/>
        </w:rPr>
      </w:pPr>
      <w:r>
        <w:rPr>
          <w:rFonts w:ascii="Times New Roman" w:hAnsi="Times New Roman"/>
          <w:color w:val="auto"/>
          <w:szCs w:val="21"/>
          <w:highlight w:val="none"/>
        </w:rPr>
        <w:t xml:space="preserve">24.3.7 </w:t>
      </w:r>
      <w:r>
        <w:rPr>
          <w:rFonts w:hint="eastAsia" w:ascii="Times New Roman" w:hAnsi="Times New Roman"/>
          <w:color w:val="auto"/>
          <w:szCs w:val="21"/>
          <w:highlight w:val="none"/>
        </w:rPr>
        <w:t>发包人或承包人不接受评审意见，并要求提交仲裁或提起诉讼的，应在收到评审意见后的</w:t>
      </w:r>
      <w:r>
        <w:rPr>
          <w:rFonts w:ascii="Times New Roman" w:hAnsi="Times New Roman"/>
          <w:color w:val="auto"/>
          <w:szCs w:val="21"/>
          <w:highlight w:val="none"/>
        </w:rPr>
        <w:t>14</w:t>
      </w:r>
      <w:r>
        <w:rPr>
          <w:rFonts w:hint="eastAsia" w:ascii="Times New Roman" w:hAnsi="Times New Roman"/>
          <w:color w:val="auto"/>
          <w:szCs w:val="21"/>
          <w:highlight w:val="none"/>
        </w:rPr>
        <w:t>天内将仲裁或起诉意向书面通知另一方，并抄送监理人，但在仲裁或诉讼结束前应暂按总监理工程师的确定执行。</w:t>
      </w:r>
      <w:bookmarkEnd w:id="106"/>
      <w:bookmarkStart w:id="131" w:name="_Toc256000033"/>
      <w:bookmarkStart w:id="132" w:name="_Toc39866685"/>
      <w:bookmarkStart w:id="133" w:name="_Toc14078"/>
    </w:p>
    <w:p w14:paraId="79EC2BAC">
      <w:pPr>
        <w:pStyle w:val="3"/>
        <w:spacing w:before="108"/>
        <w:jc w:val="center"/>
        <w:rPr>
          <w:rFonts w:ascii="宋体" w:hAnsi="宋体" w:eastAsia="宋体" w:cs="宋体"/>
          <w:color w:val="auto"/>
          <w:sz w:val="44"/>
          <w:szCs w:val="44"/>
          <w:highlight w:val="none"/>
        </w:rPr>
      </w:pPr>
    </w:p>
    <w:p w14:paraId="14DCF3A8">
      <w:pPr>
        <w:pStyle w:val="3"/>
        <w:spacing w:before="108"/>
        <w:jc w:val="center"/>
        <w:rPr>
          <w:rFonts w:ascii="宋体" w:hAnsi="宋体" w:eastAsia="宋体" w:cs="宋体"/>
          <w:color w:val="auto"/>
          <w:sz w:val="44"/>
          <w:szCs w:val="44"/>
          <w:highlight w:val="none"/>
        </w:rPr>
      </w:pPr>
      <w:r>
        <w:rPr>
          <w:rFonts w:ascii="宋体" w:hAnsi="宋体" w:eastAsia="宋体" w:cs="宋体"/>
          <w:color w:val="auto"/>
          <w:sz w:val="44"/>
          <w:szCs w:val="44"/>
          <w:highlight w:val="none"/>
        </w:rPr>
        <w:t>第二节专用合同条款</w:t>
      </w:r>
      <w:bookmarkEnd w:id="131"/>
      <w:bookmarkEnd w:id="132"/>
      <w:bookmarkEnd w:id="133"/>
    </w:p>
    <w:p w14:paraId="51AF9F5A">
      <w:pPr>
        <w:pStyle w:val="54"/>
        <w:keepNext/>
        <w:keepLines/>
        <w:spacing w:before="60" w:after="60" w:line="360" w:lineRule="auto"/>
        <w:ind w:firstLine="422" w:firstLineChars="200"/>
        <w:outlineLvl w:val="1"/>
        <w:rPr>
          <w:rFonts w:hint="eastAsia" w:ascii="宋体" w:hAnsi="宋体" w:eastAsia="宋体" w:cs="宋体"/>
          <w:b/>
          <w:sz w:val="21"/>
          <w:szCs w:val="21"/>
        </w:rPr>
      </w:pPr>
      <w:bookmarkStart w:id="134" w:name="_Toc469010897"/>
      <w:bookmarkStart w:id="135" w:name="_Toc29964"/>
      <w:bookmarkStart w:id="136" w:name="_Toc351203633"/>
      <w:bookmarkStart w:id="137" w:name="_Toc373227692"/>
      <w:bookmarkStart w:id="138" w:name="_Toc389065258"/>
      <w:bookmarkStart w:id="139" w:name="_Toc30061936"/>
      <w:bookmarkStart w:id="140" w:name="_Toc3882744"/>
      <w:bookmarkStart w:id="141" w:name="_Toc373478339"/>
      <w:bookmarkStart w:id="142" w:name="EBcc537ae224c1498fb1393bf426d49d89"/>
      <w:r>
        <w:rPr>
          <w:rFonts w:hint="eastAsia" w:ascii="宋体" w:hAnsi="宋体" w:eastAsia="宋体" w:cs="宋体"/>
          <w:b/>
          <w:sz w:val="21"/>
          <w:szCs w:val="21"/>
        </w:rPr>
        <w:t>1</w:t>
      </w:r>
      <w:bookmarkStart w:id="143" w:name="_Toc296346657"/>
      <w:bookmarkStart w:id="144" w:name="_Toc296503156"/>
      <w:bookmarkStart w:id="145" w:name="_Toc297120456"/>
      <w:bookmarkStart w:id="146" w:name="_Toc296891196"/>
      <w:bookmarkStart w:id="147" w:name="_Toc296944495"/>
      <w:bookmarkStart w:id="148" w:name="_Toc292559866"/>
      <w:bookmarkStart w:id="149" w:name="_Toc296347155"/>
      <w:bookmarkStart w:id="150" w:name="_Toc292559361"/>
      <w:bookmarkStart w:id="151" w:name="_Toc296890984"/>
      <w:bookmarkStart w:id="152" w:name="_Toc297048342"/>
      <w:r>
        <w:rPr>
          <w:rFonts w:hint="eastAsia" w:ascii="宋体" w:hAnsi="宋体" w:eastAsia="宋体" w:cs="宋体"/>
          <w:b/>
          <w:sz w:val="21"/>
          <w:szCs w:val="21"/>
        </w:rPr>
        <w:t>. 一般约定</w:t>
      </w:r>
      <w:bookmarkEnd w:id="134"/>
      <w:bookmarkEnd w:id="135"/>
      <w:bookmarkEnd w:id="136"/>
      <w:bookmarkEnd w:id="137"/>
      <w:bookmarkEnd w:id="138"/>
      <w:bookmarkEnd w:id="139"/>
      <w:bookmarkEnd w:id="140"/>
      <w:bookmarkEnd w:id="141"/>
    </w:p>
    <w:bookmarkEnd w:id="143"/>
    <w:bookmarkEnd w:id="144"/>
    <w:bookmarkEnd w:id="145"/>
    <w:bookmarkEnd w:id="146"/>
    <w:bookmarkEnd w:id="147"/>
    <w:bookmarkEnd w:id="148"/>
    <w:bookmarkEnd w:id="149"/>
    <w:bookmarkEnd w:id="150"/>
    <w:bookmarkEnd w:id="151"/>
    <w:bookmarkEnd w:id="152"/>
    <w:p w14:paraId="058BFE6D">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153" w:name="_Toc373478340"/>
      <w:bookmarkStart w:id="154" w:name="_Toc30061937"/>
      <w:bookmarkStart w:id="155" w:name="_Toc389065259"/>
      <w:bookmarkStart w:id="156" w:name="_Toc469010898"/>
      <w:bookmarkStart w:id="157" w:name="_Toc26642"/>
      <w:bookmarkStart w:id="158" w:name="_Toc3882745"/>
      <w:bookmarkStart w:id="159" w:name="_Toc373227693"/>
      <w:r>
        <w:rPr>
          <w:rFonts w:hint="eastAsia" w:ascii="宋体" w:hAnsi="宋体" w:eastAsia="宋体" w:cs="宋体"/>
          <w:b/>
          <w:kern w:val="0"/>
          <w:sz w:val="21"/>
          <w:szCs w:val="21"/>
        </w:rPr>
        <w:t>1.1 词语定义</w:t>
      </w:r>
      <w:bookmarkEnd w:id="153"/>
      <w:bookmarkEnd w:id="154"/>
      <w:bookmarkEnd w:id="155"/>
      <w:bookmarkEnd w:id="156"/>
      <w:bookmarkEnd w:id="157"/>
      <w:bookmarkEnd w:id="158"/>
      <w:bookmarkEnd w:id="159"/>
    </w:p>
    <w:p w14:paraId="734A06E1">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1.1.1 合同</w:t>
      </w:r>
    </w:p>
    <w:p w14:paraId="06547FC6">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1.1.1.10 其他合同文件包括：</w:t>
      </w:r>
      <w:r>
        <w:rPr>
          <w:rFonts w:hint="eastAsia" w:ascii="宋体" w:hAnsi="宋体" w:eastAsia="宋体" w:cs="宋体"/>
          <w:snapToGrid w:val="0"/>
          <w:color w:val="000000"/>
          <w:kern w:val="28"/>
          <w:sz w:val="21"/>
          <w:szCs w:val="21"/>
          <w:u w:val="single"/>
        </w:rPr>
        <w:t>合同履行中，发包人承包人有关工程的洽商、变更等书面协议或文件视为本合同的组成部分</w:t>
      </w:r>
      <w:r>
        <w:rPr>
          <w:rFonts w:hint="eastAsia" w:ascii="宋体" w:hAnsi="宋体" w:eastAsia="宋体" w:cs="宋体"/>
          <w:color w:val="000000"/>
          <w:kern w:val="0"/>
          <w:sz w:val="21"/>
          <w:szCs w:val="21"/>
        </w:rPr>
        <w:t>。</w:t>
      </w:r>
    </w:p>
    <w:p w14:paraId="77E613E8">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1.1.2 合同当事人及其他相关方</w:t>
      </w:r>
    </w:p>
    <w:p w14:paraId="645AD5A0">
      <w:pPr>
        <w:pStyle w:val="54"/>
        <w:spacing w:line="360" w:lineRule="auto"/>
        <w:ind w:firstLine="420" w:firstLineChars="200"/>
        <w:outlineLvl w:val="0"/>
        <w:rPr>
          <w:rFonts w:hint="eastAsia" w:ascii="宋体" w:hAnsi="宋体" w:eastAsia="宋体" w:cs="宋体"/>
          <w:sz w:val="21"/>
          <w:szCs w:val="21"/>
        </w:rPr>
      </w:pPr>
      <w:bookmarkStart w:id="160" w:name="_Toc3882746"/>
      <w:bookmarkStart w:id="161" w:name="_Toc30061938"/>
      <w:r>
        <w:rPr>
          <w:rFonts w:hint="eastAsia" w:ascii="宋体" w:hAnsi="宋体" w:eastAsia="宋体" w:cs="宋体"/>
          <w:sz w:val="21"/>
          <w:szCs w:val="21"/>
        </w:rPr>
        <w:t>1.1.2.4 监理人：</w:t>
      </w:r>
      <w:bookmarkEnd w:id="160"/>
      <w:bookmarkEnd w:id="161"/>
    </w:p>
    <w:p w14:paraId="35F2775D">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名    称：</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22C1F530">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资质类别和等级：</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66A640DD">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联系电话：</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00A4650E">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电子信箱：</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32915958">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通信地址：</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3761BF89">
      <w:pPr>
        <w:pStyle w:val="54"/>
        <w:spacing w:line="360" w:lineRule="auto"/>
        <w:ind w:firstLine="420" w:firstLineChars="200"/>
        <w:outlineLvl w:val="0"/>
        <w:rPr>
          <w:rFonts w:hint="eastAsia" w:ascii="宋体" w:hAnsi="宋体" w:eastAsia="宋体" w:cs="宋体"/>
          <w:sz w:val="21"/>
          <w:szCs w:val="21"/>
        </w:rPr>
      </w:pPr>
      <w:bookmarkStart w:id="162" w:name="_Toc3882747"/>
      <w:bookmarkStart w:id="163" w:name="_Toc30061939"/>
      <w:r>
        <w:rPr>
          <w:rFonts w:hint="eastAsia" w:ascii="宋体" w:hAnsi="宋体" w:eastAsia="宋体" w:cs="宋体"/>
          <w:sz w:val="21"/>
          <w:szCs w:val="21"/>
        </w:rPr>
        <w:t>1.1.2.5 设计人：</w:t>
      </w:r>
      <w:bookmarkEnd w:id="162"/>
      <w:bookmarkEnd w:id="163"/>
    </w:p>
    <w:p w14:paraId="5CD5E92D">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名    称：</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2F6E7837">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资质类别和等级：</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7392D5A5">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联系电话：</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545C7736">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电子信箱：</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16D621D0">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通信地址：</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54FA549F">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1.1.3 工程和设备</w:t>
      </w:r>
    </w:p>
    <w:p w14:paraId="3A64EB0C">
      <w:pPr>
        <w:pStyle w:val="54"/>
        <w:spacing w:line="360" w:lineRule="auto"/>
        <w:ind w:firstLine="420" w:firstLineChars="200"/>
        <w:rPr>
          <w:rFonts w:hint="eastAsia" w:ascii="宋体" w:hAnsi="宋体" w:eastAsia="宋体" w:cs="宋体"/>
          <w:color w:val="000000"/>
          <w:sz w:val="21"/>
          <w:szCs w:val="21"/>
        </w:rPr>
      </w:pPr>
      <w:bookmarkStart w:id="164" w:name="_Toc373227694"/>
      <w:bookmarkStart w:id="165" w:name="_Toc469010899"/>
      <w:bookmarkStart w:id="166" w:name="_Toc373478341"/>
      <w:bookmarkStart w:id="167" w:name="_Toc389065260"/>
      <w:r>
        <w:rPr>
          <w:rFonts w:hint="eastAsia" w:ascii="宋体" w:hAnsi="宋体" w:eastAsia="宋体" w:cs="宋体"/>
          <w:color w:val="000000"/>
          <w:sz w:val="21"/>
          <w:szCs w:val="21"/>
        </w:rPr>
        <w:t>1.1.3.7 作为施工现场组成部分的其他场所包括：</w:t>
      </w:r>
      <w:r>
        <w:rPr>
          <w:rFonts w:hint="eastAsia" w:ascii="宋体" w:hAnsi="宋体" w:eastAsia="宋体" w:cs="宋体"/>
          <w:color w:val="000000"/>
          <w:sz w:val="21"/>
          <w:szCs w:val="21"/>
          <w:u w:val="single"/>
        </w:rPr>
        <w:t>永久及临时占地、施工道路、工棚、施工办公生活区、加工场等</w:t>
      </w:r>
      <w:r>
        <w:rPr>
          <w:rFonts w:hint="eastAsia" w:ascii="宋体" w:hAnsi="宋体" w:eastAsia="宋体" w:cs="宋体"/>
          <w:color w:val="000000"/>
          <w:sz w:val="21"/>
          <w:szCs w:val="21"/>
        </w:rPr>
        <w:t>。</w:t>
      </w:r>
    </w:p>
    <w:p w14:paraId="37416310">
      <w:pPr>
        <w:pStyle w:val="54"/>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1.1.3.9 永久占地包括：</w:t>
      </w:r>
      <w:r>
        <w:rPr>
          <w:rFonts w:hint="eastAsia" w:ascii="宋体" w:hAnsi="宋体" w:eastAsia="宋体" w:cs="宋体"/>
          <w:color w:val="000000"/>
          <w:sz w:val="21"/>
          <w:szCs w:val="21"/>
          <w:u w:val="single"/>
        </w:rPr>
        <w:t>施工图所示占地线范围，范围、坐标详见施工图</w:t>
      </w:r>
      <w:r>
        <w:rPr>
          <w:rFonts w:hint="eastAsia" w:ascii="宋体" w:hAnsi="宋体" w:eastAsia="宋体" w:cs="宋体"/>
          <w:color w:val="000000"/>
          <w:kern w:val="0"/>
          <w:sz w:val="21"/>
          <w:szCs w:val="21"/>
        </w:rPr>
        <w:t>。</w:t>
      </w:r>
    </w:p>
    <w:p w14:paraId="393A0A66">
      <w:pPr>
        <w:pStyle w:val="54"/>
        <w:spacing w:line="360" w:lineRule="auto"/>
        <w:ind w:firstLine="420" w:firstLineChars="200"/>
        <w:rPr>
          <w:rFonts w:hint="eastAsia" w:ascii="宋体" w:hAnsi="宋体" w:eastAsia="宋体" w:cs="宋体"/>
          <w:color w:val="000000"/>
          <w:sz w:val="21"/>
          <w:szCs w:val="21"/>
          <w:highlight w:val="magenta"/>
        </w:rPr>
      </w:pPr>
      <w:r>
        <w:rPr>
          <w:rFonts w:hint="eastAsia" w:ascii="宋体" w:hAnsi="宋体" w:eastAsia="宋体" w:cs="宋体"/>
          <w:color w:val="000000"/>
          <w:kern w:val="0"/>
          <w:sz w:val="21"/>
          <w:szCs w:val="21"/>
        </w:rPr>
        <w:t>1.1.3.10 临时占地包括：</w:t>
      </w:r>
      <w:r>
        <w:rPr>
          <w:rFonts w:hint="eastAsia" w:ascii="宋体" w:hAnsi="宋体" w:eastAsia="宋体" w:cs="宋体"/>
          <w:bCs/>
          <w:color w:val="000000"/>
          <w:sz w:val="21"/>
          <w:szCs w:val="21"/>
          <w:u w:val="single"/>
        </w:rPr>
        <w:t>（1）合同签订后3日内提交不少于2份的临时占地资料，在不影响施工的前提下，经发包人、监理单位审批，可免费提供红线范围内的场地作为施工临时占地。（2）发包人不保证红线外临时用地在本工程红线附近，承包人要充分考虑该风险，承包人不能因临时用地与本工程红线之间的距离而提出任何增加费用的要求</w:t>
      </w:r>
      <w:r>
        <w:rPr>
          <w:rFonts w:hint="eastAsia" w:ascii="宋体" w:hAnsi="宋体" w:eastAsia="宋体" w:cs="宋体"/>
          <w:bCs/>
          <w:color w:val="000000"/>
          <w:sz w:val="21"/>
          <w:szCs w:val="21"/>
        </w:rPr>
        <w:t>。</w:t>
      </w:r>
    </w:p>
    <w:p w14:paraId="60593127">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168" w:name="_Toc24845"/>
      <w:bookmarkStart w:id="169" w:name="_Toc30061940"/>
      <w:bookmarkStart w:id="170" w:name="_Toc3882748"/>
      <w:r>
        <w:rPr>
          <w:rFonts w:hint="eastAsia" w:ascii="宋体" w:hAnsi="宋体" w:eastAsia="宋体" w:cs="宋体"/>
          <w:b/>
          <w:kern w:val="0"/>
          <w:sz w:val="21"/>
          <w:szCs w:val="21"/>
        </w:rPr>
        <w:t>1.3 法律</w:t>
      </w:r>
      <w:bookmarkEnd w:id="164"/>
      <w:bookmarkEnd w:id="165"/>
      <w:bookmarkEnd w:id="166"/>
      <w:bookmarkEnd w:id="167"/>
      <w:bookmarkEnd w:id="168"/>
      <w:bookmarkEnd w:id="169"/>
      <w:bookmarkEnd w:id="170"/>
    </w:p>
    <w:p w14:paraId="6FC7E16E">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适用于合同的其他规范性文件：</w:t>
      </w:r>
      <w:r>
        <w:rPr>
          <w:rFonts w:hint="eastAsia" w:ascii="宋体" w:hAnsi="宋体" w:eastAsia="宋体" w:cs="宋体"/>
          <w:color w:val="000000"/>
          <w:sz w:val="21"/>
          <w:szCs w:val="21"/>
          <w:u w:val="single"/>
        </w:rPr>
        <w:t>包括中华人民共和国法律、行政法规、部门规章，以及工程所在地的地方法规、自治条例、单行条例和地方政府规章</w:t>
      </w:r>
      <w:r>
        <w:rPr>
          <w:rFonts w:hint="eastAsia" w:ascii="宋体" w:hAnsi="宋体" w:eastAsia="宋体" w:cs="宋体"/>
          <w:sz w:val="21"/>
          <w:szCs w:val="21"/>
        </w:rPr>
        <w:t>。</w:t>
      </w:r>
    </w:p>
    <w:p w14:paraId="308E0CDB">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171" w:name="_Toc373227695"/>
      <w:bookmarkStart w:id="172" w:name="_Toc469010900"/>
      <w:bookmarkStart w:id="173" w:name="_Toc30061941"/>
      <w:bookmarkStart w:id="174" w:name="_Toc389065261"/>
      <w:bookmarkStart w:id="175" w:name="_Toc373478342"/>
      <w:bookmarkStart w:id="176" w:name="_Toc3882749"/>
      <w:bookmarkStart w:id="177" w:name="_Toc10923"/>
      <w:r>
        <w:rPr>
          <w:rFonts w:hint="eastAsia" w:ascii="宋体" w:hAnsi="宋体" w:eastAsia="宋体" w:cs="宋体"/>
          <w:b/>
          <w:kern w:val="0"/>
          <w:sz w:val="21"/>
          <w:szCs w:val="21"/>
        </w:rPr>
        <w:t>1.4 标准和规范</w:t>
      </w:r>
      <w:bookmarkEnd w:id="171"/>
      <w:bookmarkEnd w:id="172"/>
      <w:bookmarkEnd w:id="173"/>
      <w:bookmarkEnd w:id="174"/>
      <w:bookmarkEnd w:id="175"/>
      <w:bookmarkEnd w:id="176"/>
      <w:bookmarkEnd w:id="177"/>
    </w:p>
    <w:p w14:paraId="06785C30">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1.4.1 适用于工程的标准规范包括：</w:t>
      </w:r>
      <w:r>
        <w:rPr>
          <w:rFonts w:hint="eastAsia" w:ascii="宋体" w:hAnsi="宋体" w:eastAsia="宋体" w:cs="宋体"/>
          <w:color w:val="000000"/>
          <w:sz w:val="21"/>
          <w:szCs w:val="21"/>
          <w:u w:val="single"/>
        </w:rPr>
        <w:t>现行国家、地方、部门有关标准规范</w:t>
      </w:r>
      <w:r>
        <w:rPr>
          <w:rFonts w:hint="eastAsia" w:ascii="宋体" w:hAnsi="宋体" w:eastAsia="宋体" w:cs="宋体"/>
          <w:sz w:val="21"/>
          <w:szCs w:val="21"/>
        </w:rPr>
        <w:t>。</w:t>
      </w:r>
    </w:p>
    <w:p w14:paraId="745A4D23">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1.4.2 发包人提供国外标准、规范的名称：</w:t>
      </w:r>
      <w:r>
        <w:rPr>
          <w:rFonts w:hint="eastAsia" w:ascii="宋体" w:hAnsi="宋体" w:eastAsia="宋体" w:cs="宋体"/>
          <w:sz w:val="21"/>
          <w:szCs w:val="21"/>
          <w:u w:val="single"/>
        </w:rPr>
        <w:t>/</w:t>
      </w:r>
      <w:r>
        <w:rPr>
          <w:rFonts w:hint="eastAsia" w:ascii="宋体" w:hAnsi="宋体" w:eastAsia="宋体" w:cs="宋体"/>
          <w:sz w:val="21"/>
          <w:szCs w:val="21"/>
        </w:rPr>
        <w:t>；</w:t>
      </w:r>
    </w:p>
    <w:p w14:paraId="6A7F1D18">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发包人提供国外标准、规范的份数：</w:t>
      </w:r>
      <w:r>
        <w:rPr>
          <w:rFonts w:hint="eastAsia" w:ascii="宋体" w:hAnsi="宋体" w:eastAsia="宋体" w:cs="宋体"/>
          <w:kern w:val="0"/>
          <w:sz w:val="21"/>
          <w:szCs w:val="21"/>
          <w:u w:val="single"/>
        </w:rPr>
        <w:t>/</w:t>
      </w:r>
      <w:r>
        <w:rPr>
          <w:rFonts w:hint="eastAsia" w:ascii="宋体" w:hAnsi="宋体" w:eastAsia="宋体" w:cs="宋体"/>
          <w:kern w:val="0"/>
          <w:sz w:val="21"/>
          <w:szCs w:val="21"/>
        </w:rPr>
        <w:t>；</w:t>
      </w:r>
    </w:p>
    <w:p w14:paraId="15F997D7">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kern w:val="0"/>
          <w:sz w:val="21"/>
          <w:szCs w:val="21"/>
        </w:rPr>
        <w:t>发包人提供国外标准、规范的名称：</w:t>
      </w:r>
      <w:r>
        <w:rPr>
          <w:rFonts w:hint="eastAsia" w:ascii="宋体" w:hAnsi="宋体" w:eastAsia="宋体" w:cs="宋体"/>
          <w:kern w:val="0"/>
          <w:sz w:val="21"/>
          <w:szCs w:val="21"/>
          <w:u w:val="single"/>
        </w:rPr>
        <w:t>/</w:t>
      </w:r>
      <w:r>
        <w:rPr>
          <w:rFonts w:hint="eastAsia" w:ascii="宋体" w:hAnsi="宋体" w:eastAsia="宋体" w:cs="宋体"/>
          <w:kern w:val="0"/>
          <w:sz w:val="21"/>
          <w:szCs w:val="21"/>
        </w:rPr>
        <w:t>。</w:t>
      </w:r>
    </w:p>
    <w:p w14:paraId="74C293A5">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1.4.3 发包人对工程的技术标准和功能要求的特殊要求：</w:t>
      </w:r>
      <w:r>
        <w:rPr>
          <w:rFonts w:hint="eastAsia" w:ascii="宋体" w:hAnsi="宋体" w:eastAsia="宋体" w:cs="宋体"/>
          <w:color w:val="000000"/>
          <w:sz w:val="21"/>
          <w:szCs w:val="21"/>
          <w:u w:val="single"/>
        </w:rPr>
        <w:t xml:space="preserve">  /  </w:t>
      </w:r>
      <w:r>
        <w:rPr>
          <w:rFonts w:hint="eastAsia" w:ascii="宋体" w:hAnsi="宋体" w:eastAsia="宋体" w:cs="宋体"/>
          <w:sz w:val="21"/>
          <w:szCs w:val="21"/>
        </w:rPr>
        <w:t>。</w:t>
      </w:r>
    </w:p>
    <w:p w14:paraId="7BDC05B3">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178" w:name="_Toc373478343"/>
      <w:bookmarkStart w:id="179" w:name="_Toc3882750"/>
      <w:bookmarkStart w:id="180" w:name="_Toc30061942"/>
      <w:bookmarkStart w:id="181" w:name="_Toc373227696"/>
      <w:bookmarkStart w:id="182" w:name="_Toc469010901"/>
      <w:bookmarkStart w:id="183" w:name="_Toc389065262"/>
      <w:bookmarkStart w:id="184" w:name="_Toc28691"/>
      <w:r>
        <w:rPr>
          <w:rFonts w:hint="eastAsia" w:ascii="宋体" w:hAnsi="宋体" w:eastAsia="宋体" w:cs="宋体"/>
          <w:b/>
          <w:kern w:val="0"/>
          <w:sz w:val="21"/>
          <w:szCs w:val="21"/>
        </w:rPr>
        <w:t>1.5 合同文件的优先顺序</w:t>
      </w:r>
      <w:bookmarkEnd w:id="178"/>
      <w:bookmarkEnd w:id="179"/>
      <w:bookmarkEnd w:id="180"/>
      <w:bookmarkEnd w:id="181"/>
      <w:bookmarkEnd w:id="182"/>
      <w:bookmarkEnd w:id="183"/>
      <w:bookmarkEnd w:id="184"/>
    </w:p>
    <w:p w14:paraId="402BE21F">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合同文件组成及优先顺序为：</w:t>
      </w:r>
    </w:p>
    <w:p w14:paraId="3DAEF0CA">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（1）合同协议书；</w:t>
      </w:r>
    </w:p>
    <w:p w14:paraId="61B4E7CB">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（2）中标通知书（如果有）；</w:t>
      </w:r>
    </w:p>
    <w:p w14:paraId="022C4B1B">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（3）投标函及其附录（如果有）；</w:t>
      </w:r>
    </w:p>
    <w:p w14:paraId="0D9425A0">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（4）专用合同条款及其附件；</w:t>
      </w:r>
    </w:p>
    <w:p w14:paraId="019CA6A3">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（5）通用合同条款；</w:t>
      </w:r>
    </w:p>
    <w:p w14:paraId="794730B7">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（6）标准、规范及有关技术文件；</w:t>
      </w:r>
    </w:p>
    <w:p w14:paraId="26D03483">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（7）已标价工程量清单或预算书；</w:t>
      </w:r>
    </w:p>
    <w:p w14:paraId="3A5501EC">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（8）图纸；</w:t>
      </w:r>
    </w:p>
    <w:p w14:paraId="2B4F11A9">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（9）其他合同文件。</w:t>
      </w:r>
    </w:p>
    <w:p w14:paraId="48B638B7">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kern w:val="0"/>
          <w:sz w:val="21"/>
          <w:szCs w:val="21"/>
        </w:rPr>
        <w:t>（10）《公路工程建设项目概算预算编办法》(JTG/T3830-2018)、《公路工程概算定额》(JTG/T3831-2018)、《公路工程预算定额》(JTG/T3832-2018)、《公路工程机械台班费用定额》(JTG/T3833-2018)。</w:t>
      </w:r>
    </w:p>
    <w:p w14:paraId="77B4B030">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185" w:name="_Toc14661"/>
      <w:bookmarkStart w:id="186" w:name="_Toc3882751"/>
      <w:bookmarkStart w:id="187" w:name="_Toc30061943"/>
      <w:bookmarkStart w:id="188" w:name="_Toc373227697"/>
      <w:bookmarkStart w:id="189" w:name="_Toc373478344"/>
      <w:bookmarkStart w:id="190" w:name="_Toc469010902"/>
      <w:bookmarkStart w:id="191" w:name="_Toc389065263"/>
      <w:r>
        <w:rPr>
          <w:rFonts w:hint="eastAsia" w:ascii="宋体" w:hAnsi="宋体" w:eastAsia="宋体" w:cs="宋体"/>
          <w:b/>
          <w:kern w:val="0"/>
          <w:sz w:val="21"/>
          <w:szCs w:val="21"/>
        </w:rPr>
        <w:t>1.6 图纸和承包人文件</w:t>
      </w:r>
      <w:bookmarkEnd w:id="185"/>
      <w:bookmarkEnd w:id="186"/>
      <w:bookmarkEnd w:id="187"/>
      <w:bookmarkEnd w:id="188"/>
      <w:bookmarkEnd w:id="189"/>
      <w:bookmarkEnd w:id="190"/>
      <w:bookmarkEnd w:id="191"/>
      <w:r>
        <w:rPr>
          <w:rFonts w:hint="eastAsia" w:ascii="宋体" w:hAnsi="宋体" w:eastAsia="宋体" w:cs="宋体"/>
          <w:b/>
          <w:kern w:val="0"/>
          <w:sz w:val="21"/>
          <w:szCs w:val="21"/>
        </w:rPr>
        <w:tab/>
      </w:r>
    </w:p>
    <w:p w14:paraId="6C12ED9E">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1.6.1 图纸的提供</w:t>
      </w:r>
    </w:p>
    <w:p w14:paraId="00EAE246">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发包人向承包人提供图纸的期限：</w:t>
      </w:r>
      <w:r>
        <w:rPr>
          <w:rFonts w:hint="eastAsia" w:ascii="宋体" w:hAnsi="宋体" w:eastAsia="宋体" w:cs="宋体"/>
          <w:color w:val="000000"/>
          <w:sz w:val="21"/>
          <w:szCs w:val="21"/>
          <w:u w:val="single"/>
        </w:rPr>
        <w:t>合同生效后7天内</w:t>
      </w:r>
      <w:r>
        <w:rPr>
          <w:rFonts w:hint="eastAsia" w:ascii="宋体" w:hAnsi="宋体" w:eastAsia="宋体" w:cs="宋体"/>
          <w:sz w:val="21"/>
          <w:szCs w:val="21"/>
        </w:rPr>
        <w:t>；</w:t>
      </w:r>
    </w:p>
    <w:p w14:paraId="2DF4A32E">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发包人向承包人提供图纸的数量：</w:t>
      </w:r>
      <w:r>
        <w:rPr>
          <w:rFonts w:hint="eastAsia" w:ascii="宋体" w:hAnsi="宋体" w:eastAsia="宋体" w:cs="宋体"/>
          <w:sz w:val="21"/>
          <w:szCs w:val="21"/>
          <w:u w:val="single"/>
        </w:rPr>
        <w:t>两</w:t>
      </w:r>
      <w:r>
        <w:rPr>
          <w:rFonts w:hint="eastAsia" w:ascii="宋体" w:hAnsi="宋体" w:eastAsia="宋体" w:cs="宋体"/>
          <w:color w:val="000000"/>
          <w:sz w:val="21"/>
          <w:szCs w:val="21"/>
          <w:u w:val="single"/>
        </w:rPr>
        <w:t>套，承包人需要增加图纸套数的，发包人应代为复制，复制费用由承包人承担</w:t>
      </w:r>
      <w:r>
        <w:rPr>
          <w:rFonts w:hint="eastAsia" w:ascii="宋体" w:hAnsi="宋体" w:eastAsia="宋体" w:cs="宋体"/>
          <w:sz w:val="21"/>
          <w:szCs w:val="21"/>
        </w:rPr>
        <w:t>；</w:t>
      </w:r>
    </w:p>
    <w:p w14:paraId="07625765">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发包人向承包人提供图纸的内容：</w:t>
      </w:r>
      <w:r>
        <w:rPr>
          <w:rFonts w:hint="eastAsia" w:ascii="宋体" w:hAnsi="宋体" w:eastAsia="宋体" w:cs="宋体"/>
          <w:color w:val="000000"/>
          <w:sz w:val="21"/>
          <w:szCs w:val="21"/>
          <w:u w:val="single"/>
        </w:rPr>
        <w:t>建筑（若有）、道路（若有）、绿化（若有）、结构（若有）、给排水（若有）、电气（若有）、地质勘察报告及发包内容中的全部图纸。</w:t>
      </w:r>
    </w:p>
    <w:p w14:paraId="76F29A6D">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1.6.4 承包人文件</w:t>
      </w:r>
    </w:p>
    <w:p w14:paraId="403E9457">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需要由承包人提供的文件，包括：</w:t>
      </w:r>
      <w:r>
        <w:rPr>
          <w:rFonts w:hint="eastAsia" w:ascii="宋体" w:hAnsi="宋体" w:eastAsia="宋体" w:cs="宋体"/>
          <w:color w:val="000000"/>
          <w:sz w:val="21"/>
          <w:szCs w:val="21"/>
        </w:rPr>
        <w:t>包括必要的加工图和大样图，均不是合同计量与支付的依据文件。施工组织设计、专项施工方案、安全应急方案、进度报表、次月进度计划等</w:t>
      </w:r>
      <w:r>
        <w:rPr>
          <w:rFonts w:hint="eastAsia" w:ascii="宋体" w:hAnsi="宋体" w:eastAsia="宋体" w:cs="宋体"/>
          <w:sz w:val="21"/>
          <w:szCs w:val="21"/>
        </w:rPr>
        <w:t>；</w:t>
      </w:r>
    </w:p>
    <w:p w14:paraId="5C00F9BE">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承包人提供的文件的期限为：开工前7日；</w:t>
      </w:r>
    </w:p>
    <w:p w14:paraId="25DAEA7C">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承包人提供的文件的数量为：提供施工组织设计和安全应急方案一式三份,专项工程实施前1个月提供专项施工方案一式三份,每月25日提供本月完成进度报表和次月进度计划一式三份；</w:t>
      </w:r>
    </w:p>
    <w:p w14:paraId="39081013">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承包人提供的文件的形式为：书面及电子文件；</w:t>
      </w:r>
    </w:p>
    <w:p w14:paraId="10074001">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发包人审批承包人文件的期限：收到提供的文件后7天内，逾期不确认也不提出书面意见的，视为同意。</w:t>
      </w:r>
    </w:p>
    <w:p w14:paraId="64E660C0">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1.6.5 现场图纸准备</w:t>
      </w:r>
    </w:p>
    <w:p w14:paraId="26F0940B">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关于现场图纸准备的约定：</w:t>
      </w:r>
      <w:r>
        <w:rPr>
          <w:rFonts w:hint="eastAsia" w:ascii="宋体" w:hAnsi="宋体" w:eastAsia="宋体" w:cs="宋体"/>
          <w:sz w:val="21"/>
          <w:szCs w:val="21"/>
          <w:u w:val="single"/>
        </w:rPr>
        <w:t>由承包方准备</w:t>
      </w:r>
      <w:r>
        <w:rPr>
          <w:rFonts w:hint="eastAsia" w:ascii="宋体" w:hAnsi="宋体" w:eastAsia="宋体" w:cs="宋体"/>
          <w:sz w:val="21"/>
          <w:szCs w:val="21"/>
        </w:rPr>
        <w:t>。</w:t>
      </w:r>
    </w:p>
    <w:p w14:paraId="68485BBC">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192" w:name="_Toc389065264"/>
      <w:bookmarkStart w:id="193" w:name="_Toc373478345"/>
      <w:bookmarkStart w:id="194" w:name="_Toc373227698"/>
      <w:bookmarkStart w:id="195" w:name="_Toc469010903"/>
      <w:bookmarkStart w:id="196" w:name="_Toc3882752"/>
      <w:bookmarkStart w:id="197" w:name="_Toc20707"/>
      <w:bookmarkStart w:id="198" w:name="_Toc30061944"/>
      <w:r>
        <w:rPr>
          <w:rFonts w:hint="eastAsia" w:ascii="宋体" w:hAnsi="宋体" w:eastAsia="宋体" w:cs="宋体"/>
          <w:b/>
          <w:kern w:val="0"/>
          <w:sz w:val="21"/>
          <w:szCs w:val="21"/>
        </w:rPr>
        <w:t>1.7 联络</w:t>
      </w:r>
      <w:bookmarkEnd w:id="192"/>
      <w:bookmarkEnd w:id="193"/>
      <w:bookmarkEnd w:id="194"/>
      <w:bookmarkEnd w:id="195"/>
      <w:bookmarkEnd w:id="196"/>
      <w:bookmarkEnd w:id="197"/>
      <w:bookmarkEnd w:id="198"/>
    </w:p>
    <w:p w14:paraId="44BF6EF2">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1.7.1发包人和承包人应当在</w:t>
      </w:r>
      <w:r>
        <w:rPr>
          <w:rFonts w:hint="eastAsia" w:ascii="宋体" w:hAnsi="宋体" w:eastAsia="宋体" w:cs="宋体"/>
          <w:sz w:val="21"/>
          <w:szCs w:val="21"/>
          <w:u w:val="single"/>
        </w:rPr>
        <w:t>7</w:t>
      </w:r>
      <w:r>
        <w:rPr>
          <w:rFonts w:hint="eastAsia" w:ascii="宋体" w:hAnsi="宋体" w:eastAsia="宋体" w:cs="宋体"/>
          <w:kern w:val="0"/>
          <w:sz w:val="21"/>
          <w:szCs w:val="21"/>
        </w:rPr>
        <w:t>天内将与合同有关的通知、批准、证明、证书、指示、指令、要求、请求、同意、意见、确定和决定等书面函件送达对方当事人。</w:t>
      </w:r>
    </w:p>
    <w:p w14:paraId="4A0F6FDB">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1.7.2 发包人接收文件的地点：</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w:t>
      </w:r>
    </w:p>
    <w:p w14:paraId="192318AE">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发包人指定的接收人为：</w:t>
      </w:r>
      <w:r>
        <w:rPr>
          <w:rFonts w:hint="eastAsia" w:ascii="宋体" w:hAnsi="宋体" w:eastAsia="宋体" w:cs="宋体"/>
          <w:sz w:val="21"/>
          <w:szCs w:val="21"/>
          <w:u w:val="single"/>
        </w:rPr>
        <w:t>业主派驻现场代表</w:t>
      </w:r>
      <w:r>
        <w:rPr>
          <w:rFonts w:hint="eastAsia" w:ascii="宋体" w:hAnsi="宋体" w:eastAsia="宋体" w:cs="宋体"/>
          <w:kern w:val="0"/>
          <w:sz w:val="21"/>
          <w:szCs w:val="21"/>
        </w:rPr>
        <w:t>。</w:t>
      </w:r>
    </w:p>
    <w:p w14:paraId="7E072657">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承包人接收文件的地点：</w:t>
      </w:r>
      <w:r>
        <w:rPr>
          <w:rFonts w:hint="eastAsia" w:ascii="宋体" w:hAnsi="宋体" w:eastAsia="宋体" w:cs="宋体"/>
          <w:sz w:val="21"/>
          <w:szCs w:val="21"/>
          <w:u w:val="single"/>
        </w:rPr>
        <w:t>承包人施工现场项目部</w:t>
      </w:r>
      <w:r>
        <w:rPr>
          <w:rFonts w:hint="eastAsia" w:ascii="宋体" w:hAnsi="宋体" w:eastAsia="宋体" w:cs="宋体"/>
          <w:kern w:val="0"/>
          <w:sz w:val="21"/>
          <w:szCs w:val="21"/>
        </w:rPr>
        <w:t>。</w:t>
      </w:r>
    </w:p>
    <w:p w14:paraId="04B40D06">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承包人指定的接收人为：</w:t>
      </w:r>
      <w:r>
        <w:rPr>
          <w:rFonts w:hint="eastAsia" w:ascii="宋体" w:hAnsi="宋体" w:eastAsia="宋体" w:cs="宋体"/>
          <w:sz w:val="21"/>
          <w:szCs w:val="21"/>
          <w:u w:val="single"/>
        </w:rPr>
        <w:t>项目经理或委托代理人</w:t>
      </w:r>
      <w:r>
        <w:rPr>
          <w:rFonts w:hint="eastAsia" w:ascii="宋体" w:hAnsi="宋体" w:eastAsia="宋体" w:cs="宋体"/>
          <w:kern w:val="0"/>
          <w:sz w:val="21"/>
          <w:szCs w:val="21"/>
        </w:rPr>
        <w:t>。</w:t>
      </w:r>
    </w:p>
    <w:p w14:paraId="0FFDB33B">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承包人文件送达的形式：</w:t>
      </w:r>
      <w:r>
        <w:rPr>
          <w:rFonts w:hint="eastAsia" w:ascii="宋体" w:hAnsi="宋体" w:eastAsia="宋体" w:cs="宋体"/>
          <w:kern w:val="0"/>
          <w:sz w:val="21"/>
          <w:szCs w:val="21"/>
          <w:u w:val="single"/>
        </w:rPr>
        <w:t xml:space="preserve">书面文件、电子文件、公证送达 </w:t>
      </w:r>
      <w:r>
        <w:rPr>
          <w:rFonts w:hint="eastAsia" w:ascii="宋体" w:hAnsi="宋体" w:eastAsia="宋体" w:cs="宋体"/>
          <w:kern w:val="0"/>
          <w:sz w:val="21"/>
          <w:szCs w:val="21"/>
        </w:rPr>
        <w:t>。</w:t>
      </w:r>
    </w:p>
    <w:p w14:paraId="7AA8BBC1">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监理人接收文件的地点：</w:t>
      </w:r>
      <w:r>
        <w:rPr>
          <w:rFonts w:hint="eastAsia" w:ascii="宋体" w:hAnsi="宋体" w:eastAsia="宋体" w:cs="宋体"/>
          <w:sz w:val="21"/>
          <w:szCs w:val="21"/>
          <w:u w:val="single"/>
        </w:rPr>
        <w:t>监理人施工现场监理办公室</w:t>
      </w:r>
      <w:r>
        <w:rPr>
          <w:rFonts w:hint="eastAsia" w:ascii="宋体" w:hAnsi="宋体" w:eastAsia="宋体" w:cs="宋体"/>
          <w:kern w:val="0"/>
          <w:sz w:val="21"/>
          <w:szCs w:val="21"/>
        </w:rPr>
        <w:t>。</w:t>
      </w:r>
    </w:p>
    <w:p w14:paraId="56284113">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监理人指定的接收人为：</w:t>
      </w:r>
      <w:r>
        <w:rPr>
          <w:rFonts w:hint="eastAsia" w:ascii="宋体" w:hAnsi="宋体" w:eastAsia="宋体" w:cs="宋体"/>
          <w:sz w:val="21"/>
          <w:szCs w:val="21"/>
          <w:u w:val="single"/>
        </w:rPr>
        <w:t>总监理工程师</w:t>
      </w:r>
    </w:p>
    <w:p w14:paraId="7DBF050E">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199" w:name="_Toc3882753"/>
      <w:bookmarkStart w:id="200" w:name="_Toc469010904"/>
      <w:bookmarkStart w:id="201" w:name="_Toc12826"/>
      <w:bookmarkStart w:id="202" w:name="_Toc30061945"/>
      <w:bookmarkStart w:id="203" w:name="_Toc373227699"/>
      <w:bookmarkStart w:id="204" w:name="_Toc389065265"/>
      <w:bookmarkStart w:id="205" w:name="_Toc373478346"/>
      <w:r>
        <w:rPr>
          <w:rFonts w:hint="eastAsia" w:ascii="宋体" w:hAnsi="宋体" w:eastAsia="宋体" w:cs="宋体"/>
          <w:b/>
          <w:kern w:val="0"/>
          <w:sz w:val="21"/>
          <w:szCs w:val="21"/>
        </w:rPr>
        <w:t>1.10 交通运输</w:t>
      </w:r>
      <w:bookmarkEnd w:id="199"/>
      <w:bookmarkEnd w:id="200"/>
      <w:bookmarkEnd w:id="201"/>
      <w:bookmarkEnd w:id="202"/>
      <w:bookmarkEnd w:id="203"/>
      <w:bookmarkEnd w:id="204"/>
      <w:bookmarkEnd w:id="205"/>
    </w:p>
    <w:p w14:paraId="3685ACFD">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bookmarkStart w:id="206" w:name="_Toc303539100"/>
      <w:bookmarkStart w:id="207" w:name="_Toc304295521"/>
      <w:bookmarkStart w:id="208" w:name="_Toc318581155"/>
      <w:bookmarkStart w:id="209" w:name="_Toc312677986"/>
      <w:bookmarkStart w:id="210" w:name="_Toc300934943"/>
      <w:r>
        <w:rPr>
          <w:rFonts w:hint="eastAsia" w:ascii="宋体" w:hAnsi="宋体" w:eastAsia="宋体" w:cs="宋体"/>
          <w:sz w:val="21"/>
          <w:szCs w:val="21"/>
        </w:rPr>
        <w:t>.10.1 出入现场的权利</w:t>
      </w:r>
    </w:p>
    <w:p w14:paraId="20CEDDAC">
      <w:pPr>
        <w:pStyle w:val="54"/>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rPr>
        <w:t>关于出入现场的权利的约定：</w:t>
      </w:r>
      <w:r>
        <w:rPr>
          <w:rFonts w:hint="eastAsia" w:ascii="宋体" w:hAnsi="宋体" w:eastAsia="宋体" w:cs="宋体"/>
          <w:sz w:val="21"/>
          <w:szCs w:val="21"/>
          <w:u w:val="single"/>
        </w:rPr>
        <w:t>与施工无关的人员出入现场须经承发包双方同意。</w:t>
      </w:r>
    </w:p>
    <w:bookmarkEnd w:id="206"/>
    <w:bookmarkEnd w:id="207"/>
    <w:bookmarkEnd w:id="208"/>
    <w:bookmarkEnd w:id="209"/>
    <w:bookmarkEnd w:id="210"/>
    <w:p w14:paraId="4AA051ED">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w:t>
      </w:r>
      <w:bookmarkStart w:id="211" w:name="_Toc300934944"/>
      <w:bookmarkStart w:id="212" w:name="_Toc312677987"/>
      <w:bookmarkStart w:id="213" w:name="_Toc304295522"/>
      <w:bookmarkStart w:id="214" w:name="_Toc303539101"/>
      <w:bookmarkStart w:id="215" w:name="_Toc318581156"/>
      <w:r>
        <w:rPr>
          <w:rFonts w:hint="eastAsia" w:ascii="宋体" w:hAnsi="宋体" w:eastAsia="宋体" w:cs="宋体"/>
          <w:sz w:val="21"/>
          <w:szCs w:val="21"/>
        </w:rPr>
        <w:t>.10.3 场内交通</w:t>
      </w:r>
    </w:p>
    <w:p w14:paraId="6C262396">
      <w:pPr>
        <w:pStyle w:val="54"/>
        <w:spacing w:line="360" w:lineRule="auto"/>
        <w:ind w:firstLine="420" w:firstLineChars="200"/>
        <w:jc w:val="left"/>
        <w:rPr>
          <w:rFonts w:hint="eastAsia" w:ascii="宋体" w:hAnsi="宋体" w:eastAsia="宋体" w:cs="宋体"/>
          <w:kern w:val="0"/>
          <w:sz w:val="21"/>
          <w:szCs w:val="21"/>
          <w:highlight w:val="red"/>
        </w:rPr>
      </w:pPr>
      <w:r>
        <w:rPr>
          <w:rFonts w:hint="eastAsia" w:ascii="宋体" w:hAnsi="宋体" w:eastAsia="宋体" w:cs="宋体"/>
          <w:kern w:val="0"/>
          <w:sz w:val="21"/>
          <w:szCs w:val="21"/>
        </w:rPr>
        <w:t>关于场外交通和场内交通的边界的约定：以征地红线为界限。</w:t>
      </w:r>
    </w:p>
    <w:p w14:paraId="544AC882">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kern w:val="0"/>
          <w:sz w:val="21"/>
          <w:szCs w:val="21"/>
        </w:rPr>
        <w:t>关于发包人向承包人免费提供满足工程施工需要的场内道路和交通设施的约定：按经批准的施工组织设计规定，工程竣工后承包人须恢复</w:t>
      </w:r>
      <w:bookmarkEnd w:id="211"/>
      <w:bookmarkEnd w:id="212"/>
      <w:bookmarkEnd w:id="213"/>
      <w:bookmarkEnd w:id="214"/>
      <w:bookmarkEnd w:id="215"/>
      <w:bookmarkStart w:id="216" w:name="_Toc318581157"/>
      <w:r>
        <w:rPr>
          <w:rFonts w:hint="eastAsia" w:ascii="宋体" w:hAnsi="宋体" w:eastAsia="宋体" w:cs="宋体"/>
          <w:sz w:val="21"/>
          <w:szCs w:val="21"/>
        </w:rPr>
        <w:t>，施工现场内临时道路由承包人负责建设并承担相关费用。</w:t>
      </w:r>
    </w:p>
    <w:p w14:paraId="7CCF650A">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1.10.4 超大件和超重件的运输</w:t>
      </w:r>
    </w:p>
    <w:p w14:paraId="148E92F9">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运输超大件或超重件所需的道路和桥梁临时加固改造费用和其他有关费用由</w:t>
      </w:r>
      <w:r>
        <w:rPr>
          <w:rFonts w:hint="eastAsia" w:ascii="宋体" w:hAnsi="宋体" w:eastAsia="宋体" w:cs="宋体"/>
          <w:sz w:val="21"/>
          <w:szCs w:val="21"/>
          <w:u w:val="single"/>
        </w:rPr>
        <w:t>承包人</w:t>
      </w:r>
      <w:r>
        <w:rPr>
          <w:rFonts w:hint="eastAsia" w:ascii="宋体" w:hAnsi="宋体" w:eastAsia="宋体" w:cs="宋体"/>
          <w:sz w:val="21"/>
          <w:szCs w:val="21"/>
        </w:rPr>
        <w:t>承担。</w:t>
      </w:r>
    </w:p>
    <w:bookmarkEnd w:id="216"/>
    <w:p w14:paraId="077266B9">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217" w:name="_Toc469010905"/>
      <w:bookmarkStart w:id="218" w:name="_Toc389065266"/>
      <w:bookmarkStart w:id="219" w:name="_Toc3882754"/>
      <w:bookmarkStart w:id="220" w:name="_Toc373478347"/>
      <w:bookmarkStart w:id="221" w:name="_Toc373227700"/>
      <w:bookmarkStart w:id="222" w:name="_Toc20784"/>
      <w:bookmarkStart w:id="223" w:name="_Toc30061946"/>
      <w:r>
        <w:rPr>
          <w:rFonts w:hint="eastAsia" w:ascii="宋体" w:hAnsi="宋体" w:eastAsia="宋体" w:cs="宋体"/>
          <w:b/>
          <w:kern w:val="0"/>
          <w:sz w:val="21"/>
          <w:szCs w:val="21"/>
        </w:rPr>
        <w:t>1.11 知识产权</w:t>
      </w:r>
      <w:bookmarkEnd w:id="217"/>
      <w:bookmarkEnd w:id="218"/>
      <w:bookmarkEnd w:id="219"/>
      <w:bookmarkEnd w:id="220"/>
      <w:bookmarkEnd w:id="221"/>
      <w:bookmarkEnd w:id="222"/>
      <w:bookmarkEnd w:id="223"/>
    </w:p>
    <w:p w14:paraId="4286631D">
      <w:pPr>
        <w:pStyle w:val="54"/>
        <w:spacing w:line="360" w:lineRule="auto"/>
        <w:ind w:firstLine="420" w:firstLineChars="200"/>
        <w:outlineLvl w:val="0"/>
        <w:rPr>
          <w:rFonts w:hint="eastAsia" w:ascii="宋体" w:hAnsi="宋体" w:eastAsia="宋体" w:cs="宋体"/>
          <w:sz w:val="21"/>
          <w:szCs w:val="21"/>
        </w:rPr>
      </w:pPr>
      <w:bookmarkStart w:id="224" w:name="_Toc30061947"/>
      <w:bookmarkStart w:id="225" w:name="_Toc3882755"/>
      <w:r>
        <w:rPr>
          <w:rFonts w:hint="eastAsia" w:ascii="宋体" w:hAnsi="宋体" w:eastAsia="宋体" w:cs="宋体"/>
          <w:sz w:val="21"/>
          <w:szCs w:val="21"/>
        </w:rPr>
        <w:t>1.11.1 关于发包人提供给承包人的图纸、发包人为实施工程自行编制或委托编制的技术规范以及反映发包人关于合同要求或其他类似性质的文件的著作权的归属：发包人。</w:t>
      </w:r>
      <w:bookmarkEnd w:id="224"/>
      <w:bookmarkEnd w:id="225"/>
    </w:p>
    <w:p w14:paraId="2F0419EF">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关于发包人提供的上述文件的使用限制的要求：只能用于本工地，未经发包人同意不得向第三方提供图纸。</w:t>
      </w:r>
    </w:p>
    <w:p w14:paraId="2750DAC1">
      <w:pPr>
        <w:pStyle w:val="54"/>
        <w:spacing w:line="360" w:lineRule="auto"/>
        <w:ind w:firstLine="420" w:firstLineChars="200"/>
        <w:outlineLvl w:val="0"/>
        <w:rPr>
          <w:rFonts w:hint="eastAsia" w:ascii="宋体" w:hAnsi="宋体" w:eastAsia="宋体" w:cs="宋体"/>
          <w:sz w:val="21"/>
          <w:szCs w:val="21"/>
        </w:rPr>
      </w:pPr>
      <w:bookmarkStart w:id="226" w:name="_Toc3882756"/>
      <w:bookmarkStart w:id="227" w:name="_Toc30061948"/>
      <w:r>
        <w:rPr>
          <w:rFonts w:hint="eastAsia" w:ascii="宋体" w:hAnsi="宋体" w:eastAsia="宋体" w:cs="宋体"/>
          <w:sz w:val="21"/>
          <w:szCs w:val="21"/>
        </w:rPr>
        <w:t>1.11.2 关于承包人为实施工程所编制文件的著作权的归属：承包人、发包人。</w:t>
      </w:r>
      <w:bookmarkEnd w:id="226"/>
      <w:bookmarkEnd w:id="227"/>
    </w:p>
    <w:p w14:paraId="392E9932">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关于承包人提供的上述文件的使用限制的要求：只能用于本工地施工、保修，未经承包人同意不得向第三方提供。</w:t>
      </w:r>
    </w:p>
    <w:p w14:paraId="7E4B443D">
      <w:pPr>
        <w:pStyle w:val="54"/>
        <w:spacing w:line="360" w:lineRule="auto"/>
        <w:ind w:firstLine="420" w:firstLineChars="200"/>
        <w:outlineLvl w:val="0"/>
        <w:rPr>
          <w:rFonts w:hint="eastAsia" w:ascii="宋体" w:hAnsi="宋体" w:eastAsia="宋体" w:cs="宋体"/>
          <w:kern w:val="0"/>
          <w:sz w:val="21"/>
          <w:szCs w:val="21"/>
        </w:rPr>
      </w:pPr>
      <w:bookmarkStart w:id="228" w:name="_Toc3882757"/>
      <w:bookmarkStart w:id="229" w:name="_Toc30061949"/>
      <w:r>
        <w:rPr>
          <w:rFonts w:hint="eastAsia" w:ascii="宋体" w:hAnsi="宋体" w:eastAsia="宋体" w:cs="宋体"/>
          <w:sz w:val="21"/>
          <w:szCs w:val="21"/>
        </w:rPr>
        <w:t>1.11.4 承包人在施工过程中所采用的专利、专有技术、技术秘密的使用费的承担方式：承包人负责</w:t>
      </w:r>
      <w:r>
        <w:rPr>
          <w:rFonts w:hint="eastAsia" w:ascii="宋体" w:hAnsi="宋体" w:eastAsia="宋体" w:cs="宋体"/>
          <w:kern w:val="0"/>
          <w:sz w:val="21"/>
          <w:szCs w:val="21"/>
        </w:rPr>
        <w:t>。</w:t>
      </w:r>
      <w:bookmarkEnd w:id="228"/>
      <w:bookmarkEnd w:id="229"/>
    </w:p>
    <w:p w14:paraId="28ED9BDE">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230" w:name="_Toc3882758"/>
      <w:bookmarkStart w:id="231" w:name="_Toc389065267"/>
      <w:bookmarkStart w:id="232" w:name="_Toc373478348"/>
      <w:bookmarkStart w:id="233" w:name="_Toc15086"/>
      <w:bookmarkStart w:id="234" w:name="_Toc373227701"/>
      <w:bookmarkStart w:id="235" w:name="_Toc30061950"/>
      <w:bookmarkStart w:id="236" w:name="_Toc469010906"/>
      <w:r>
        <w:rPr>
          <w:rFonts w:hint="eastAsia" w:ascii="宋体" w:hAnsi="宋体" w:eastAsia="宋体" w:cs="宋体"/>
          <w:b/>
          <w:kern w:val="0"/>
          <w:sz w:val="21"/>
          <w:szCs w:val="21"/>
        </w:rPr>
        <w:t>1.13工程量清单错误的修正</w:t>
      </w:r>
      <w:bookmarkEnd w:id="230"/>
      <w:bookmarkEnd w:id="231"/>
      <w:bookmarkEnd w:id="232"/>
      <w:bookmarkEnd w:id="233"/>
      <w:bookmarkEnd w:id="234"/>
      <w:bookmarkEnd w:id="235"/>
      <w:bookmarkEnd w:id="236"/>
    </w:p>
    <w:p w14:paraId="5B4EA219">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出现工程量清单工程量偏差时，是否调整合同价格：☑是  □否</w:t>
      </w:r>
    </w:p>
    <w:p w14:paraId="70A163D8">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允许调整合同价格的工程量偏差范围及其调整办法：</w:t>
      </w:r>
    </w:p>
    <w:p w14:paraId="04D83EF1">
      <w:pPr>
        <w:pStyle w:val="54"/>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rPr>
        <w:t>按《公路工程建设项目概算预算编办法》(JTG/T3830-2018)、《公路工程概算定额》(JTG/T3831-2018)、《公路工程预算定额》(JTG/T3832-2018)、《公路工程机械台班费用定额》(JTG/T3833-2018)；及其广西实施细则等规定</w:t>
      </w:r>
      <w:r>
        <w:rPr>
          <w:rFonts w:hint="eastAsia" w:ascii="宋体" w:hAnsi="宋体" w:eastAsia="宋体" w:cs="宋体"/>
          <w:kern w:val="0"/>
          <w:sz w:val="21"/>
          <w:szCs w:val="21"/>
        </w:rPr>
        <w:t>。</w:t>
      </w:r>
    </w:p>
    <w:p w14:paraId="2DEC40B8">
      <w:pPr>
        <w:pStyle w:val="54"/>
        <w:keepNext/>
        <w:keepLines/>
        <w:spacing w:before="60" w:after="60" w:line="360" w:lineRule="auto"/>
        <w:ind w:firstLine="422" w:firstLineChars="200"/>
        <w:outlineLvl w:val="1"/>
        <w:rPr>
          <w:rFonts w:hint="eastAsia" w:ascii="宋体" w:hAnsi="宋体" w:eastAsia="宋体" w:cs="宋体"/>
          <w:b/>
          <w:sz w:val="21"/>
          <w:szCs w:val="21"/>
        </w:rPr>
      </w:pPr>
      <w:bookmarkStart w:id="237" w:name="_Toc351203634"/>
      <w:bookmarkStart w:id="238" w:name="_Toc30061951"/>
      <w:bookmarkStart w:id="239" w:name="_Toc389065268"/>
      <w:bookmarkStart w:id="240" w:name="_Toc373227702"/>
      <w:bookmarkStart w:id="241" w:name="_Toc469010907"/>
      <w:bookmarkStart w:id="242" w:name="_Toc373478349"/>
      <w:bookmarkStart w:id="243" w:name="_Toc3882759"/>
      <w:bookmarkStart w:id="244" w:name="_Toc15136"/>
      <w:r>
        <w:rPr>
          <w:rFonts w:hint="eastAsia" w:ascii="宋体" w:hAnsi="宋体" w:eastAsia="宋体" w:cs="宋体"/>
          <w:b/>
          <w:sz w:val="21"/>
          <w:szCs w:val="21"/>
        </w:rPr>
        <w:t>2</w:t>
      </w:r>
      <w:bookmarkStart w:id="245" w:name="_Toc292559867"/>
      <w:bookmarkStart w:id="246" w:name="_Toc296347156"/>
      <w:bookmarkStart w:id="247" w:name="_Toc296944496"/>
      <w:bookmarkStart w:id="248" w:name="_Toc296346658"/>
      <w:bookmarkStart w:id="249" w:name="_Toc297120457"/>
      <w:bookmarkStart w:id="250" w:name="_Toc296890985"/>
      <w:bookmarkStart w:id="251" w:name="_Toc292559362"/>
      <w:bookmarkStart w:id="252" w:name="_Toc297048343"/>
      <w:bookmarkStart w:id="253" w:name="_Toc296891197"/>
      <w:bookmarkStart w:id="254" w:name="_Toc296503157"/>
      <w:r>
        <w:rPr>
          <w:rFonts w:hint="eastAsia" w:ascii="宋体" w:hAnsi="宋体" w:eastAsia="宋体" w:cs="宋体"/>
          <w:b/>
          <w:sz w:val="21"/>
          <w:szCs w:val="21"/>
        </w:rPr>
        <w:t>. 发包人</w:t>
      </w:r>
      <w:bookmarkEnd w:id="237"/>
      <w:bookmarkEnd w:id="238"/>
      <w:bookmarkEnd w:id="239"/>
      <w:bookmarkEnd w:id="240"/>
      <w:bookmarkEnd w:id="241"/>
      <w:bookmarkEnd w:id="242"/>
      <w:bookmarkEnd w:id="243"/>
      <w:bookmarkEnd w:id="244"/>
    </w:p>
    <w:bookmarkEnd w:id="245"/>
    <w:bookmarkEnd w:id="246"/>
    <w:bookmarkEnd w:id="247"/>
    <w:bookmarkEnd w:id="248"/>
    <w:bookmarkEnd w:id="249"/>
    <w:bookmarkEnd w:id="250"/>
    <w:bookmarkEnd w:id="251"/>
    <w:bookmarkEnd w:id="252"/>
    <w:bookmarkEnd w:id="253"/>
    <w:bookmarkEnd w:id="254"/>
    <w:p w14:paraId="1740BC73">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255" w:name="_Toc373227703"/>
      <w:bookmarkStart w:id="256" w:name="_Toc373478350"/>
      <w:bookmarkStart w:id="257" w:name="_Toc469010908"/>
      <w:bookmarkStart w:id="258" w:name="_Toc2812"/>
      <w:bookmarkStart w:id="259" w:name="_Toc389065269"/>
      <w:bookmarkStart w:id="260" w:name="_Toc3882760"/>
      <w:bookmarkStart w:id="261" w:name="_Toc30061952"/>
      <w:r>
        <w:rPr>
          <w:rFonts w:hint="eastAsia" w:ascii="宋体" w:hAnsi="宋体" w:eastAsia="宋体" w:cs="宋体"/>
          <w:b/>
          <w:kern w:val="0"/>
          <w:sz w:val="21"/>
          <w:szCs w:val="21"/>
        </w:rPr>
        <w:t>2.2 发包人代表</w:t>
      </w:r>
      <w:bookmarkEnd w:id="255"/>
      <w:bookmarkEnd w:id="256"/>
      <w:bookmarkEnd w:id="257"/>
      <w:bookmarkEnd w:id="258"/>
      <w:bookmarkEnd w:id="259"/>
      <w:bookmarkEnd w:id="260"/>
      <w:bookmarkEnd w:id="261"/>
    </w:p>
    <w:p w14:paraId="44E1CC64">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发包人代表：</w:t>
      </w:r>
    </w:p>
    <w:p w14:paraId="57E0F056">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姓    名：</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555341A0">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身份证号：</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0B51A8FC">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职    务：</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5FDF0EFE">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联系电话：</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272347D5">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电子信箱：</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3D1D1767">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通信地址：</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0CF95B51">
      <w:pPr>
        <w:pStyle w:val="54"/>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rPr>
        <w:t>发包人对发包人代表的授权范围如下：</w:t>
      </w:r>
      <w:r>
        <w:rPr>
          <w:rFonts w:hint="eastAsia" w:ascii="宋体" w:hAnsi="宋体" w:eastAsia="宋体" w:cs="宋体"/>
          <w:sz w:val="21"/>
          <w:szCs w:val="21"/>
          <w:u w:val="single"/>
        </w:rPr>
        <w:t>对工程进度、质量进行监督，办理中间交工工程验收手续，负责现场签证，解决由发包人授权处理的事宜</w:t>
      </w:r>
      <w:r>
        <w:rPr>
          <w:rFonts w:hint="eastAsia" w:ascii="宋体" w:hAnsi="宋体" w:eastAsia="宋体" w:cs="宋体"/>
          <w:sz w:val="21"/>
          <w:szCs w:val="21"/>
        </w:rPr>
        <w:t>。</w:t>
      </w:r>
    </w:p>
    <w:p w14:paraId="07A12B39">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262" w:name="_Toc3882761"/>
      <w:bookmarkStart w:id="263" w:name="_Toc373227704"/>
      <w:bookmarkStart w:id="264" w:name="_Toc373478351"/>
      <w:bookmarkStart w:id="265" w:name="_Toc389065270"/>
      <w:bookmarkStart w:id="266" w:name="_Toc30061953"/>
      <w:bookmarkStart w:id="267" w:name="_Toc20485"/>
      <w:bookmarkStart w:id="268" w:name="_Toc469010909"/>
      <w:r>
        <w:rPr>
          <w:rFonts w:hint="eastAsia" w:ascii="宋体" w:hAnsi="宋体" w:eastAsia="宋体" w:cs="宋体"/>
          <w:b/>
          <w:kern w:val="0"/>
          <w:sz w:val="21"/>
          <w:szCs w:val="21"/>
        </w:rPr>
        <w:t>2.4 施工现场、施工条件和基础资料的提供</w:t>
      </w:r>
      <w:bookmarkEnd w:id="262"/>
      <w:bookmarkEnd w:id="263"/>
      <w:bookmarkEnd w:id="264"/>
      <w:bookmarkEnd w:id="265"/>
      <w:bookmarkEnd w:id="266"/>
      <w:bookmarkEnd w:id="267"/>
      <w:bookmarkEnd w:id="268"/>
    </w:p>
    <w:p w14:paraId="54EDD55A">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2.4.1 提供施工现场</w:t>
      </w:r>
    </w:p>
    <w:p w14:paraId="536452C2">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关于发包人移交施工现场的期限要求：施工场地应当在监理人发出的开工通知中载明的开工日期前 7 天具备施工条件并移交给承包人。</w:t>
      </w:r>
    </w:p>
    <w:p w14:paraId="7FA917B8">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2.4.2 提供施工条件</w:t>
      </w:r>
    </w:p>
    <w:p w14:paraId="46A8FDF7">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关于发包人应负责提供施工所需要的条件，包括：</w:t>
      </w:r>
    </w:p>
    <w:p w14:paraId="1E24A322">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⑴ 施工场地具备施工条件的要求及完成的时间：开工3日前完成。</w:t>
      </w:r>
    </w:p>
    <w:p w14:paraId="59DCF2E8">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⑵ 将施工所需的水、电线路接接至施工现场的时间、地点和供应要求：发包人按承包人的施工现场总平面布置图的要求于开工3日前将水、电接至施工现场。电讯线路的接通由承包人自费解决。水、电、通讯费用由承包人支付。若供电部门的原因造成停电，承包人必须自行解决施工用电，费用自理。</w:t>
      </w:r>
    </w:p>
    <w:p w14:paraId="3F050E27">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⑶ 施工场地与公共道路的通道开通时间和要求：本工程施工现场周围道路通畅。</w:t>
      </w:r>
    </w:p>
    <w:p w14:paraId="6FD292F1">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⑷ 工程地质和地下管线资料的提供时间： 开工3日前提供，并保证资料的真实、准确和完整。</w:t>
      </w:r>
    </w:p>
    <w:p w14:paraId="25D0EFB6">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⑸ 由发包人办理的施工所需证件、批件的名称：发包人办好施工许可证。</w:t>
      </w:r>
    </w:p>
    <w:p w14:paraId="0A6CB916">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⑹ 水准点和坐标控制点交验要求：开工3日前以书面形式交验，并于交付施工现场时，在现场实际交验，同时做交验记录，并保证资料的真实、准确和完整。</w:t>
      </w:r>
    </w:p>
    <w:p w14:paraId="5B2D253A">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⑺ 图纸会审和设计交底时间：开工3日前。</w:t>
      </w:r>
    </w:p>
    <w:p w14:paraId="3557AE58">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⑻ 协调处理施工场地周围地下管线和邻近建筑物、构筑物（含文物保护建筑）、古树名木的保护工作：</w:t>
      </w:r>
    </w:p>
    <w:p w14:paraId="09F385D8">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① 施工中发现古墓、古建筑遗址等文物及化石或其他有考古、地质研究等价值的物品时，承包人应立即保护好现场并于4小时内以书面形式通知发包人，发包人应于收到书面通知后24小时内报告当地文物管理部门，发包人、承包人按文物管理部门的要求采取妥善保护措施。发包人承担由此发生的费用，顺延延误的工期。</w:t>
      </w:r>
    </w:p>
    <w:p w14:paraId="18187DB1">
      <w:pPr>
        <w:pStyle w:val="54"/>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rPr>
        <w:t>② 施工中发现影响施工的地下障碍物时，承包人应于8小时内以书面形式通知发包人，同时提出处置方案，发包人收到处置方案后24小时内予以认可或提出修正方案。发包人承担由此发生的费用，顺延延误的工期 。</w:t>
      </w:r>
    </w:p>
    <w:p w14:paraId="4A5A445C">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269" w:name="_Toc469010910"/>
      <w:bookmarkStart w:id="270" w:name="_Toc30061954"/>
      <w:bookmarkStart w:id="271" w:name="_Toc3882762"/>
      <w:bookmarkStart w:id="272" w:name="_Toc389065271"/>
      <w:bookmarkStart w:id="273" w:name="_Toc373478352"/>
      <w:bookmarkStart w:id="274" w:name="_Toc373227705"/>
      <w:bookmarkStart w:id="275" w:name="_Toc12607"/>
      <w:r>
        <w:rPr>
          <w:rFonts w:hint="eastAsia" w:ascii="宋体" w:hAnsi="宋体" w:eastAsia="宋体" w:cs="宋体"/>
          <w:b/>
          <w:kern w:val="0"/>
          <w:sz w:val="21"/>
          <w:szCs w:val="21"/>
        </w:rPr>
        <w:t>2.5 资金来源证明及支付担保</w:t>
      </w:r>
      <w:bookmarkEnd w:id="269"/>
      <w:bookmarkEnd w:id="270"/>
      <w:bookmarkEnd w:id="271"/>
      <w:bookmarkEnd w:id="272"/>
      <w:bookmarkEnd w:id="273"/>
      <w:bookmarkEnd w:id="274"/>
      <w:bookmarkEnd w:id="275"/>
    </w:p>
    <w:p w14:paraId="5584D1ED">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发包人提供资金来源证明的期限要求：</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14:paraId="2A3C8350">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发包人是否提供支付担保：否。</w:t>
      </w:r>
    </w:p>
    <w:p w14:paraId="3710C55C">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发包人提供支付担保的形式：/  。</w:t>
      </w:r>
    </w:p>
    <w:p w14:paraId="541AFF75">
      <w:pPr>
        <w:pStyle w:val="54"/>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rPr>
        <w:t>发包人提供的支付担保格式见合同附件2。</w:t>
      </w:r>
    </w:p>
    <w:p w14:paraId="6A999DF1">
      <w:pPr>
        <w:pStyle w:val="54"/>
        <w:keepNext/>
        <w:keepLines/>
        <w:spacing w:before="60" w:after="60" w:line="360" w:lineRule="auto"/>
        <w:ind w:firstLine="422" w:firstLineChars="200"/>
        <w:outlineLvl w:val="1"/>
        <w:rPr>
          <w:rFonts w:hint="eastAsia" w:ascii="宋体" w:hAnsi="宋体" w:eastAsia="宋体" w:cs="宋体"/>
          <w:b/>
          <w:sz w:val="21"/>
          <w:szCs w:val="21"/>
        </w:rPr>
      </w:pPr>
      <w:bookmarkStart w:id="276" w:name="_Toc373478353"/>
      <w:bookmarkStart w:id="277" w:name="_Toc30061955"/>
      <w:bookmarkStart w:id="278" w:name="_Toc351203635"/>
      <w:bookmarkStart w:id="279" w:name="_Toc389065272"/>
      <w:bookmarkStart w:id="280" w:name="_Toc373227706"/>
      <w:bookmarkStart w:id="281" w:name="_Toc3882763"/>
      <w:bookmarkStart w:id="282" w:name="_Toc20989"/>
      <w:bookmarkStart w:id="283" w:name="_Toc469010911"/>
      <w:r>
        <w:rPr>
          <w:rFonts w:hint="eastAsia" w:ascii="宋体" w:hAnsi="宋体" w:eastAsia="宋体" w:cs="宋体"/>
          <w:b/>
          <w:sz w:val="21"/>
          <w:szCs w:val="21"/>
        </w:rPr>
        <w:t>3</w:t>
      </w:r>
      <w:bookmarkStart w:id="284" w:name="_Toc296503158"/>
      <w:bookmarkStart w:id="285" w:name="_Toc292559868"/>
      <w:bookmarkStart w:id="286" w:name="_Toc296891198"/>
      <w:bookmarkStart w:id="287" w:name="_Toc296346659"/>
      <w:bookmarkStart w:id="288" w:name="_Toc297048344"/>
      <w:bookmarkStart w:id="289" w:name="_Toc292559363"/>
      <w:bookmarkStart w:id="290" w:name="_Toc296944497"/>
      <w:bookmarkStart w:id="291" w:name="_Toc296347157"/>
      <w:bookmarkStart w:id="292" w:name="_Toc296890986"/>
      <w:bookmarkStart w:id="293" w:name="_Toc297120458"/>
      <w:r>
        <w:rPr>
          <w:rFonts w:hint="eastAsia" w:ascii="宋体" w:hAnsi="宋体" w:eastAsia="宋体" w:cs="宋体"/>
          <w:b/>
          <w:sz w:val="21"/>
          <w:szCs w:val="21"/>
        </w:rPr>
        <w:t>. 承包人</w:t>
      </w:r>
      <w:bookmarkEnd w:id="276"/>
      <w:bookmarkEnd w:id="277"/>
      <w:bookmarkEnd w:id="278"/>
      <w:bookmarkEnd w:id="279"/>
      <w:bookmarkEnd w:id="280"/>
      <w:bookmarkEnd w:id="281"/>
      <w:bookmarkEnd w:id="282"/>
      <w:bookmarkEnd w:id="283"/>
    </w:p>
    <w:bookmarkEnd w:id="284"/>
    <w:bookmarkEnd w:id="285"/>
    <w:bookmarkEnd w:id="286"/>
    <w:bookmarkEnd w:id="287"/>
    <w:bookmarkEnd w:id="288"/>
    <w:bookmarkEnd w:id="289"/>
    <w:bookmarkEnd w:id="290"/>
    <w:bookmarkEnd w:id="291"/>
    <w:bookmarkEnd w:id="292"/>
    <w:bookmarkEnd w:id="293"/>
    <w:p w14:paraId="6BF6A061">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294" w:name="_Toc3882764"/>
      <w:bookmarkStart w:id="295" w:name="_Toc373227707"/>
      <w:bookmarkStart w:id="296" w:name="_Toc25134"/>
      <w:bookmarkStart w:id="297" w:name="_Toc469010912"/>
      <w:bookmarkStart w:id="298" w:name="_Toc389065273"/>
      <w:bookmarkStart w:id="299" w:name="_Toc373478354"/>
      <w:bookmarkStart w:id="300" w:name="_Toc30061956"/>
      <w:r>
        <w:rPr>
          <w:rFonts w:hint="eastAsia" w:ascii="宋体" w:hAnsi="宋体" w:eastAsia="宋体" w:cs="宋体"/>
          <w:b/>
          <w:kern w:val="0"/>
          <w:sz w:val="21"/>
          <w:szCs w:val="21"/>
        </w:rPr>
        <w:t>3.1 承包人的一般义务</w:t>
      </w:r>
      <w:bookmarkEnd w:id="294"/>
      <w:bookmarkEnd w:id="295"/>
      <w:bookmarkEnd w:id="296"/>
      <w:bookmarkEnd w:id="297"/>
      <w:bookmarkEnd w:id="298"/>
      <w:bookmarkEnd w:id="299"/>
      <w:bookmarkEnd w:id="300"/>
    </w:p>
    <w:p w14:paraId="5E914416">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（9）承包人提交的竣工资料的内容：按照法律规定和合同约定编制竣工资料，完成竣工资料立卷及归档，并按如下约定的竣工资料的套数、内容、时间等要求移交发包人；</w:t>
      </w:r>
    </w:p>
    <w:p w14:paraId="2182A72E">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承包人提交的竣工资料的内容：按竣工资料移交的有关规定办理。</w:t>
      </w:r>
    </w:p>
    <w:p w14:paraId="4ECB9F38">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承包人提交竣工资料份数：陆份。</w:t>
      </w:r>
    </w:p>
    <w:p w14:paraId="30B86B7A">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承包人提交的竣工资料的费用承担：由承包人承担。</w:t>
      </w:r>
    </w:p>
    <w:p w14:paraId="790BA43D">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承包人提交的竣工资料移交时间：竣工验收正式通过后15天内。</w:t>
      </w:r>
    </w:p>
    <w:p w14:paraId="65378691">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承包人提交的竣工资料形式要求：按竣工资料移交的有关规定办理。</w:t>
      </w:r>
    </w:p>
    <w:p w14:paraId="06776697">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（10）承包人应履行的其他义务：</w:t>
      </w:r>
    </w:p>
    <w:p w14:paraId="60893413">
      <w:pPr>
        <w:pStyle w:val="54"/>
        <w:spacing w:line="360" w:lineRule="auto"/>
        <w:ind w:firstLine="420" w:firstLineChars="200"/>
        <w:rPr>
          <w:rFonts w:hint="eastAsia" w:ascii="宋体" w:hAnsi="宋体" w:eastAsia="宋体" w:cs="宋体"/>
          <w:kern w:val="0"/>
          <w:sz w:val="21"/>
          <w:szCs w:val="21"/>
          <w:shd w:val="clear" w:color="FFFFFF" w:fill="D9D9D9"/>
        </w:rPr>
      </w:pPr>
      <w:r>
        <w:rPr>
          <w:rFonts w:hint="eastAsia" w:ascii="宋体" w:hAnsi="宋体" w:eastAsia="宋体" w:cs="宋体"/>
          <w:kern w:val="0"/>
          <w:sz w:val="21"/>
          <w:szCs w:val="21"/>
        </w:rPr>
        <w:t> ①取土场及弃土场由承包人自行解决，但不得违反相关管理规定，并承担相关费用。</w:t>
      </w:r>
    </w:p>
    <w:p w14:paraId="4C17B22A">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②全面完成合同约定的有关承包人的义务。</w:t>
      </w:r>
    </w:p>
    <w:p w14:paraId="23ECA6A6">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301" w:name="_Toc30061957"/>
      <w:bookmarkStart w:id="302" w:name="_Toc389065274"/>
      <w:bookmarkStart w:id="303" w:name="_Toc469010913"/>
      <w:bookmarkStart w:id="304" w:name="_Toc373478355"/>
      <w:bookmarkStart w:id="305" w:name="_Toc3882765"/>
      <w:bookmarkStart w:id="306" w:name="_Toc23370"/>
      <w:bookmarkStart w:id="307" w:name="_Toc373227708"/>
      <w:r>
        <w:rPr>
          <w:rFonts w:hint="eastAsia" w:ascii="宋体" w:hAnsi="宋体" w:eastAsia="宋体" w:cs="宋体"/>
          <w:b/>
          <w:kern w:val="0"/>
          <w:sz w:val="21"/>
          <w:szCs w:val="21"/>
        </w:rPr>
        <w:t>3.2 项目经理</w:t>
      </w:r>
      <w:bookmarkEnd w:id="301"/>
      <w:bookmarkEnd w:id="302"/>
      <w:bookmarkEnd w:id="303"/>
      <w:bookmarkEnd w:id="304"/>
      <w:bookmarkEnd w:id="305"/>
      <w:bookmarkEnd w:id="306"/>
      <w:bookmarkEnd w:id="307"/>
    </w:p>
    <w:p w14:paraId="4990B048">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kern w:val="0"/>
          <w:sz w:val="21"/>
          <w:szCs w:val="21"/>
        </w:rPr>
        <w:t xml:space="preserve">3.2.1 </w:t>
      </w:r>
      <w:r>
        <w:rPr>
          <w:rFonts w:hint="eastAsia" w:ascii="宋体" w:hAnsi="宋体" w:eastAsia="宋体" w:cs="宋体"/>
          <w:sz w:val="21"/>
          <w:szCs w:val="21"/>
        </w:rPr>
        <w:t>项目经理：</w:t>
      </w:r>
    </w:p>
    <w:p w14:paraId="22D3D0ED">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姓    名：</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367B6436">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身份证号：</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175DA48B">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身份证号：</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6C4474BE">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建造师执业资格等级：</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6DF4FE3B">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建造师注册证书号：</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6B6A9ABD">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建造师执业印章号：</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495A35C9">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安全生产考核合格证书号：</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0A99AB36">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联系电话：</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342AE25E">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电子信箱：</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003558A9">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通信地址：</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73E0BB08">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承包人对项目经理的授权范围如下：</w:t>
      </w:r>
      <w:r>
        <w:rPr>
          <w:rFonts w:hint="eastAsia" w:ascii="宋体" w:hAnsi="宋体" w:eastAsia="宋体" w:cs="宋体"/>
          <w:sz w:val="21"/>
          <w:szCs w:val="21"/>
          <w:u w:val="single"/>
        </w:rPr>
        <w:t>1.对施工现场的日常施工管理，如需具体授权以授权委托书为准；2.因本工程施工必须签订其他合同或产生债权债务文书的，合同应加盖承包人在公安及工商部门登记备案的法人公章，不可由项目经理或他人私自签订</w:t>
      </w:r>
      <w:r>
        <w:rPr>
          <w:rFonts w:hint="eastAsia" w:ascii="宋体" w:hAnsi="宋体" w:eastAsia="宋体" w:cs="宋体"/>
          <w:sz w:val="21"/>
          <w:szCs w:val="21"/>
        </w:rPr>
        <w:t>。</w:t>
      </w:r>
    </w:p>
    <w:p w14:paraId="1D09C934">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关于项目经理每月在施工现场的时间要求：</w:t>
      </w:r>
      <w:r>
        <w:rPr>
          <w:rFonts w:hint="eastAsia" w:ascii="宋体" w:hAnsi="宋体" w:eastAsia="宋体" w:cs="宋体"/>
          <w:sz w:val="21"/>
          <w:szCs w:val="21"/>
          <w:u w:val="single"/>
        </w:rPr>
        <w:t>项目经理每月在现场时间不得少于22日历天</w:t>
      </w:r>
      <w:r>
        <w:rPr>
          <w:rFonts w:hint="eastAsia" w:ascii="宋体" w:hAnsi="宋体" w:eastAsia="宋体" w:cs="宋体"/>
          <w:sz w:val="21"/>
          <w:szCs w:val="21"/>
        </w:rPr>
        <w:t>。</w:t>
      </w:r>
    </w:p>
    <w:p w14:paraId="36D9EF78">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承包人未提交劳动合同，以及没有为项目经理缴纳社会保险证明的违约责任：</w:t>
      </w:r>
      <w:r>
        <w:rPr>
          <w:rFonts w:hint="eastAsia" w:ascii="宋体" w:hAnsi="宋体" w:eastAsia="宋体" w:cs="宋体"/>
          <w:color w:val="000000"/>
          <w:sz w:val="21"/>
          <w:szCs w:val="21"/>
          <w:u w:val="single"/>
        </w:rPr>
        <w:t>项目经理无权履行职责，由此影响工程进度或发生其它问题的，由承包人承担责任</w:t>
      </w:r>
      <w:r>
        <w:rPr>
          <w:rFonts w:hint="eastAsia" w:ascii="宋体" w:hAnsi="宋体" w:eastAsia="宋体" w:cs="宋体"/>
          <w:sz w:val="21"/>
          <w:szCs w:val="21"/>
        </w:rPr>
        <w:t>。</w:t>
      </w:r>
    </w:p>
    <w:p w14:paraId="0F95F4D0">
      <w:pPr>
        <w:pStyle w:val="54"/>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kern w:val="0"/>
          <w:sz w:val="21"/>
          <w:szCs w:val="21"/>
        </w:rPr>
        <w:t>项目经理未经批准，擅自离开施工现场的违约责任：</w:t>
      </w:r>
      <w:r>
        <w:rPr>
          <w:rFonts w:hint="eastAsia" w:ascii="宋体" w:hAnsi="宋体" w:eastAsia="宋体" w:cs="宋体"/>
          <w:sz w:val="21"/>
          <w:szCs w:val="21"/>
          <w:u w:val="single"/>
        </w:rPr>
        <w:t>项目经理每月在岗带班时间不得少于当月施工时间的80%。未经发包人同意或正当理由，项目经理每月在岗带班时间少于当月施工时间80%的，少在岗带班一天，发包人有权处违约金</w:t>
      </w:r>
      <w:r>
        <w:rPr>
          <w:rFonts w:hint="eastAsia" w:ascii="宋体" w:hAnsi="宋体" w:eastAsia="宋体" w:cs="宋体"/>
          <w:color w:val="000000"/>
          <w:sz w:val="21"/>
          <w:szCs w:val="21"/>
          <w:u w:val="single"/>
        </w:rPr>
        <w:t>5000元/</w:t>
      </w:r>
      <w:r>
        <w:rPr>
          <w:rFonts w:hint="eastAsia" w:ascii="宋体" w:hAnsi="宋体" w:eastAsia="宋体" w:cs="宋体"/>
          <w:sz w:val="21"/>
          <w:szCs w:val="21"/>
          <w:u w:val="single"/>
        </w:rPr>
        <w:t>日（人民币）。</w:t>
      </w:r>
    </w:p>
    <w:p w14:paraId="6D49283B">
      <w:pPr>
        <w:pStyle w:val="54"/>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u w:val="single"/>
        </w:rPr>
        <w:t>3.2.3 承包人擅自更换项目经理的违约责任：承包人项目经理必须与承包人投标时所承诺的人员一致，并在开工日期前到任。在监理人向承包人颁发竣工证明材料名称前，项目经理不得同时兼任其他任何项目的项目经理（符合桂建管﹝2013﹞17号和桂建管﹝2014﹞25号文除外）。未经发包人书面同意，承包人擅自更换项目经理的视为违约，违约金处50000元/人•次（人民币）。</w:t>
      </w:r>
    </w:p>
    <w:p w14:paraId="068EB838">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u w:val="single"/>
        </w:rPr>
        <w:t>3.2.4 承包人无正当理由拒绝更换项目经理的违约责任：因承包人项目经理不称职，发包人要求调换而未及时调换的，视为承包人违约，必须向发包人交纳处罚金50000元/人•次（人民币）</w:t>
      </w:r>
      <w:r>
        <w:rPr>
          <w:rFonts w:hint="eastAsia" w:ascii="宋体" w:hAnsi="宋体" w:eastAsia="宋体" w:cs="宋体"/>
          <w:sz w:val="21"/>
          <w:szCs w:val="21"/>
        </w:rPr>
        <w:t>。</w:t>
      </w:r>
    </w:p>
    <w:p w14:paraId="7EE4161E">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308" w:name="_Toc469010914"/>
      <w:bookmarkStart w:id="309" w:name="_Toc373478356"/>
      <w:bookmarkStart w:id="310" w:name="_Toc3882766"/>
      <w:bookmarkStart w:id="311" w:name="_Toc30061958"/>
      <w:bookmarkStart w:id="312" w:name="_Toc12318"/>
      <w:bookmarkStart w:id="313" w:name="_Toc389065275"/>
      <w:bookmarkStart w:id="314" w:name="_Toc373227709"/>
      <w:r>
        <w:rPr>
          <w:rFonts w:hint="eastAsia" w:ascii="宋体" w:hAnsi="宋体" w:eastAsia="宋体" w:cs="宋体"/>
          <w:b/>
          <w:kern w:val="0"/>
          <w:sz w:val="21"/>
          <w:szCs w:val="21"/>
        </w:rPr>
        <w:t>3.3 承包人人员</w:t>
      </w:r>
      <w:bookmarkEnd w:id="308"/>
      <w:bookmarkEnd w:id="309"/>
      <w:bookmarkEnd w:id="310"/>
      <w:bookmarkEnd w:id="311"/>
      <w:bookmarkEnd w:id="312"/>
      <w:bookmarkEnd w:id="313"/>
      <w:bookmarkEnd w:id="314"/>
    </w:p>
    <w:p w14:paraId="0C1BA9AA">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3.3.1 承包人提交项目管理机构及施工现场管理人员安排报告（格式见合同附件3）的期限：</w:t>
      </w:r>
      <w:r>
        <w:rPr>
          <w:rFonts w:hint="eastAsia" w:ascii="宋体" w:hAnsi="宋体" w:eastAsia="宋体" w:cs="宋体"/>
          <w:sz w:val="21"/>
          <w:szCs w:val="21"/>
          <w:u w:val="single"/>
        </w:rPr>
        <w:t>合同签订后14天内</w:t>
      </w:r>
      <w:r>
        <w:rPr>
          <w:rFonts w:hint="eastAsia" w:ascii="宋体" w:hAnsi="宋体" w:eastAsia="宋体" w:cs="宋体"/>
          <w:sz w:val="21"/>
          <w:szCs w:val="21"/>
        </w:rPr>
        <w:t>。</w:t>
      </w:r>
    </w:p>
    <w:p w14:paraId="1A984F5E">
      <w:pPr>
        <w:pStyle w:val="54"/>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rPr>
        <w:t>3.3.3 承包人无正当理由拒绝撤换主要施工管理人员的违约责任：</w:t>
      </w:r>
      <w:bookmarkStart w:id="315" w:name="_Toc373478357"/>
      <w:bookmarkStart w:id="316" w:name="_Toc373227710"/>
      <w:bookmarkStart w:id="317" w:name="_Toc469010915"/>
      <w:bookmarkStart w:id="318" w:name="_Toc389065276"/>
      <w:r>
        <w:rPr>
          <w:rFonts w:hint="eastAsia" w:ascii="宋体" w:hAnsi="宋体" w:eastAsia="宋体" w:cs="宋体"/>
          <w:sz w:val="21"/>
          <w:szCs w:val="21"/>
          <w:u w:val="single"/>
        </w:rPr>
        <w:t>因承包人主要施工管理人员不称职，发包人要求调换而无正当理由拒绝撤换或未能及时调换完毕的，视为承包人违约，必须向发包人交纳处罚金，处罚标准：技术负责人30000元/人•次（人民币）；专业工程师20000元/人•次（人民币）。</w:t>
      </w:r>
    </w:p>
    <w:p w14:paraId="767E6E35">
      <w:pPr>
        <w:pStyle w:val="54"/>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u w:val="single"/>
        </w:rPr>
        <w:t>3.3.4 承包人主要施工管理人员离开施工现场的批准要求：应经发包人和监理工程师批准。</w:t>
      </w:r>
    </w:p>
    <w:p w14:paraId="78C5EFE7">
      <w:pPr>
        <w:pStyle w:val="54"/>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u w:val="single"/>
        </w:rPr>
        <w:t>3.3.5 承包人擅自更换主要施工管理人员的违约责任：项目技术负责人、专职安全员及其承诺的其它在场管理人员未经发包人书面同意不准擅自更换，擅自更换项目技术负责人处30000元/人•次（人民币）违约金；擅自更换专职安全员处20000元/人•次（人民币）违约金；擅自更换其它在场管理人员处10000 元/人•次（人民币）违约金。</w:t>
      </w:r>
    </w:p>
    <w:p w14:paraId="446FDC98">
      <w:pPr>
        <w:pStyle w:val="54"/>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u w:val="single"/>
        </w:rPr>
        <w:t>承包人主要施工管理人员擅自离开施工现场的违约责任：未经发包人同意，项目技术负责人擅自离岗的，视为承包人违约，发包人有权处违约金30000元/人•次（人民币）；未经发包人同意，专职安全员擅自离岗的，视为承包人违约，发包人有权处违约金20000 元/人•次（人民币）；其它在场管理人员擅自离岗的，视为承包人违约，发包人有权处违约金10000 元/人•次（人民币）。</w:t>
      </w:r>
    </w:p>
    <w:p w14:paraId="68F972C1">
      <w:pPr>
        <w:pStyle w:val="54"/>
        <w:spacing w:line="360" w:lineRule="auto"/>
        <w:ind w:firstLine="420" w:firstLineChars="200"/>
        <w:outlineLvl w:val="0"/>
        <w:rPr>
          <w:rFonts w:hint="eastAsia" w:ascii="宋体" w:hAnsi="宋体" w:eastAsia="宋体" w:cs="宋体"/>
          <w:sz w:val="21"/>
          <w:szCs w:val="21"/>
        </w:rPr>
      </w:pPr>
      <w:bookmarkStart w:id="319" w:name="_Toc30061959"/>
      <w:bookmarkStart w:id="320" w:name="_Toc3882767"/>
      <w:r>
        <w:rPr>
          <w:rFonts w:hint="eastAsia" w:ascii="宋体" w:hAnsi="宋体" w:eastAsia="宋体" w:cs="宋体"/>
          <w:sz w:val="21"/>
          <w:szCs w:val="21"/>
        </w:rPr>
        <w:t>3</w:t>
      </w:r>
      <w:bookmarkStart w:id="321" w:name="_Toc303539102"/>
      <w:bookmarkStart w:id="322" w:name="_Toc296891199"/>
      <w:bookmarkStart w:id="323" w:name="_Toc312677988"/>
      <w:bookmarkStart w:id="324" w:name="_Toc297048345"/>
      <w:bookmarkStart w:id="325" w:name="_Toc300934945"/>
      <w:bookmarkStart w:id="326" w:name="_Toc296890987"/>
      <w:bookmarkStart w:id="327" w:name="_Toc304295523"/>
      <w:bookmarkStart w:id="328" w:name="_Toc296346660"/>
      <w:bookmarkStart w:id="329" w:name="_Toc296503159"/>
      <w:bookmarkStart w:id="330" w:name="_Toc292559869"/>
      <w:bookmarkStart w:id="331" w:name="_Toc297123492"/>
      <w:bookmarkStart w:id="332" w:name="_Toc296944498"/>
      <w:bookmarkStart w:id="333" w:name="_Toc297216151"/>
      <w:bookmarkStart w:id="334" w:name="_Toc296347158"/>
      <w:bookmarkStart w:id="335" w:name="_Toc297120459"/>
      <w:bookmarkStart w:id="336" w:name="_Toc292559364"/>
      <w:r>
        <w:rPr>
          <w:rFonts w:hint="eastAsia" w:ascii="宋体" w:hAnsi="宋体" w:eastAsia="宋体" w:cs="宋体"/>
          <w:sz w:val="21"/>
          <w:szCs w:val="21"/>
        </w:rPr>
        <w:t>.5 分包</w:t>
      </w:r>
      <w:bookmarkEnd w:id="315"/>
      <w:bookmarkEnd w:id="316"/>
      <w:bookmarkEnd w:id="317"/>
      <w:bookmarkEnd w:id="318"/>
      <w:bookmarkEnd w:id="319"/>
      <w:bookmarkEnd w:id="320"/>
    </w:p>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14:paraId="315BC82D">
      <w:pPr>
        <w:pStyle w:val="54"/>
        <w:spacing w:line="360" w:lineRule="auto"/>
        <w:ind w:firstLine="420" w:firstLineChars="200"/>
        <w:rPr>
          <w:rFonts w:hint="eastAsia" w:ascii="宋体" w:hAnsi="宋体" w:eastAsia="宋体" w:cs="宋体"/>
          <w:sz w:val="21"/>
          <w:szCs w:val="21"/>
        </w:rPr>
      </w:pPr>
      <w:bookmarkStart w:id="337" w:name="_Toc389065277"/>
      <w:bookmarkStart w:id="338" w:name="_Toc373227711"/>
      <w:bookmarkStart w:id="339" w:name="_Toc373478358"/>
      <w:r>
        <w:rPr>
          <w:rFonts w:hint="eastAsia" w:ascii="宋体" w:hAnsi="宋体" w:eastAsia="宋体" w:cs="宋体"/>
          <w:sz w:val="21"/>
          <w:szCs w:val="21"/>
        </w:rPr>
        <w:t>3.5.1 分包的一般约定</w:t>
      </w:r>
    </w:p>
    <w:p w14:paraId="5A734481">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禁止分包的工程包括：本工程不得分包。</w:t>
      </w:r>
    </w:p>
    <w:p w14:paraId="4AC770D5">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主体结构、关键性工作的范围：/  。</w:t>
      </w:r>
    </w:p>
    <w:p w14:paraId="55486EE2">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3.5.2 分包的确定</w:t>
      </w:r>
    </w:p>
    <w:p w14:paraId="6A6B01E1">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允许分包的专业工程包括：/  。</w:t>
      </w:r>
    </w:p>
    <w:p w14:paraId="4636F956">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其他关于分包的约定：</w:t>
      </w:r>
    </w:p>
    <w:p w14:paraId="3B4C8779">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4。</w:t>
      </w:r>
    </w:p>
    <w:p w14:paraId="0605DC64">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（2）在相关分包合同签订并报送有关建设行政主管部门备案后7天内，承包人应当将一份副本提交给监理人，承包人应保障分包工作不得再次分包。</w:t>
      </w:r>
    </w:p>
    <w:p w14:paraId="047D690A">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（3）未经承包人和监理人审批同意的分包工程和分包人，承包人有权拒绝验收分包工程和支付相应款项，由此引起的发包人费用增加和(或)延误的工期由发包人承担。</w:t>
      </w:r>
    </w:p>
    <w:p w14:paraId="001C2673">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（4）承包人有以下情况之一者，发包人有权解除合同，并视情况扣除其履约保证金：</w:t>
      </w:r>
    </w:p>
    <w:p w14:paraId="2EC04BB6">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①个人承包工程，包括本人单位及外单位人员承包，发包人不承认其个人拥有任何资质等级及营业许可资格。没收全部履约保证金。</w:t>
      </w:r>
    </w:p>
    <w:p w14:paraId="75137EFB">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②几个人联合承包工程，就地组织暗分包队伍，不具备完成本工程的技术、机械能力，被发包人判定为没有能力履行的承包人。没收全部履约保证金。</w:t>
      </w:r>
    </w:p>
    <w:p w14:paraId="2D4B74E3">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③就地转包全部的工程，以谋取高额转让费、管理费的承包人。没收全部履约保证金。</w:t>
      </w:r>
    </w:p>
    <w:p w14:paraId="77B4E703">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④承包人有部分分包现象（其中包括冒充承包人下属单位的挂勾单位，凭口头协议参与施工的分包人及其他暗分包个体户），一经发现核实，发包人将采取驱逐该暗分包人措施。没收全部履约保证金。</w:t>
      </w:r>
    </w:p>
    <w:p w14:paraId="1DBDF6C0">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3.5.4 分包合同价款</w:t>
      </w:r>
    </w:p>
    <w:p w14:paraId="5358EDF1">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关于分包合同价款支付的约定：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31C5FCF3">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340" w:name="_Toc3882768"/>
      <w:bookmarkStart w:id="341" w:name="_Toc30061960"/>
      <w:bookmarkStart w:id="342" w:name="_Toc31132"/>
      <w:bookmarkStart w:id="343" w:name="_Toc469010916"/>
      <w:r>
        <w:rPr>
          <w:rFonts w:hint="eastAsia" w:ascii="宋体" w:hAnsi="宋体" w:eastAsia="宋体" w:cs="宋体"/>
          <w:b/>
          <w:kern w:val="0"/>
          <w:sz w:val="21"/>
          <w:szCs w:val="21"/>
        </w:rPr>
        <w:t>3.6 工程照管与成品、半成品保护</w:t>
      </w:r>
      <w:bookmarkEnd w:id="337"/>
      <w:bookmarkEnd w:id="338"/>
      <w:bookmarkEnd w:id="339"/>
      <w:bookmarkEnd w:id="340"/>
      <w:bookmarkEnd w:id="341"/>
      <w:bookmarkEnd w:id="342"/>
      <w:bookmarkEnd w:id="343"/>
    </w:p>
    <w:p w14:paraId="1B0CEED3">
      <w:pPr>
        <w:pStyle w:val="54"/>
        <w:spacing w:line="360" w:lineRule="auto"/>
        <w:ind w:firstLine="420" w:firstLineChars="200"/>
        <w:rPr>
          <w:rFonts w:hint="eastAsia" w:ascii="宋体" w:hAnsi="宋体" w:eastAsia="宋体" w:cs="宋体"/>
          <w:kern w:val="0"/>
          <w:sz w:val="21"/>
          <w:szCs w:val="21"/>
          <w:u w:val="single"/>
        </w:rPr>
      </w:pPr>
      <w:r>
        <w:rPr>
          <w:rFonts w:hint="eastAsia" w:ascii="宋体" w:hAnsi="宋体" w:eastAsia="宋体" w:cs="宋体"/>
          <w:kern w:val="0"/>
          <w:sz w:val="21"/>
          <w:szCs w:val="21"/>
        </w:rPr>
        <w:t>承包人负责照管工程及工程相关的材料、工程设备的起始时间：</w:t>
      </w:r>
      <w:r>
        <w:rPr>
          <w:rFonts w:hint="eastAsia" w:ascii="宋体" w:hAnsi="宋体" w:eastAsia="宋体" w:cs="宋体"/>
          <w:kern w:val="0"/>
          <w:sz w:val="21"/>
          <w:szCs w:val="21"/>
          <w:u w:val="single"/>
        </w:rPr>
        <w:t>从承包人进场到工程竣工验收合格并交付发包人后</w:t>
      </w:r>
      <w:r>
        <w:rPr>
          <w:rFonts w:hint="eastAsia" w:ascii="宋体" w:hAnsi="宋体" w:eastAsia="宋体" w:cs="宋体"/>
          <w:kern w:val="0"/>
          <w:sz w:val="21"/>
          <w:szCs w:val="21"/>
        </w:rPr>
        <w:t>。</w:t>
      </w:r>
    </w:p>
    <w:p w14:paraId="1CCC05CA">
      <w:pPr>
        <w:pStyle w:val="54"/>
        <w:keepNext/>
        <w:keepLines/>
        <w:spacing w:before="260" w:after="260" w:line="360" w:lineRule="auto"/>
        <w:ind w:firstLine="422" w:firstLineChars="200"/>
        <w:outlineLvl w:val="2"/>
        <w:rPr>
          <w:rFonts w:hint="eastAsia" w:ascii="宋体" w:hAnsi="宋体" w:eastAsia="宋体" w:cs="宋体"/>
          <w:b/>
          <w:bCs/>
          <w:kern w:val="0"/>
          <w:sz w:val="21"/>
          <w:szCs w:val="21"/>
          <w:highlight w:val="yellow"/>
        </w:rPr>
      </w:pPr>
      <w:bookmarkStart w:id="344" w:name="_Toc389065278"/>
      <w:bookmarkStart w:id="345" w:name="_Toc373227712"/>
      <w:bookmarkStart w:id="346" w:name="_Toc373478359"/>
      <w:bookmarkStart w:id="347" w:name="_Toc30061961"/>
      <w:bookmarkStart w:id="348" w:name="_Toc469010917"/>
      <w:bookmarkStart w:id="349" w:name="_Toc27620"/>
      <w:bookmarkStart w:id="350" w:name="_Toc3882769"/>
      <w:r>
        <w:rPr>
          <w:rFonts w:hint="eastAsia" w:ascii="宋体" w:hAnsi="宋体" w:eastAsia="宋体" w:cs="宋体"/>
          <w:b/>
          <w:bCs/>
          <w:kern w:val="0"/>
          <w:sz w:val="21"/>
          <w:szCs w:val="21"/>
        </w:rPr>
        <w:t>3.7 履约</w:t>
      </w:r>
      <w:bookmarkEnd w:id="344"/>
      <w:bookmarkEnd w:id="345"/>
      <w:bookmarkEnd w:id="346"/>
      <w:r>
        <w:rPr>
          <w:rFonts w:hint="eastAsia" w:ascii="宋体" w:hAnsi="宋体" w:eastAsia="宋体" w:cs="宋体"/>
          <w:b/>
          <w:bCs/>
          <w:kern w:val="0"/>
          <w:sz w:val="21"/>
          <w:szCs w:val="21"/>
        </w:rPr>
        <w:t>保证金</w:t>
      </w:r>
      <w:bookmarkEnd w:id="347"/>
      <w:bookmarkEnd w:id="348"/>
      <w:bookmarkEnd w:id="349"/>
      <w:bookmarkEnd w:id="350"/>
    </w:p>
    <w:p w14:paraId="67359F51">
      <w:pPr>
        <w:pStyle w:val="54"/>
        <w:spacing w:line="360" w:lineRule="auto"/>
        <w:ind w:firstLine="420" w:firstLineChars="200"/>
        <w:rPr>
          <w:rFonts w:hint="eastAsia" w:ascii="宋体" w:hAnsi="宋体" w:eastAsia="宋体" w:cs="宋体"/>
          <w:kern w:val="0"/>
          <w:sz w:val="21"/>
          <w:szCs w:val="21"/>
          <w:highlight w:val="red"/>
          <w:u w:val="single"/>
        </w:rPr>
      </w:pPr>
      <w:bookmarkStart w:id="351" w:name="_Toc29876"/>
      <w:bookmarkStart w:id="352" w:name="_Toc389065279"/>
      <w:bookmarkStart w:id="353" w:name="_Toc373478360"/>
      <w:bookmarkStart w:id="354" w:name="_Toc469010918"/>
      <w:bookmarkStart w:id="355" w:name="_Toc30061962"/>
      <w:bookmarkStart w:id="356" w:name="_Toc351203636"/>
      <w:bookmarkStart w:id="357" w:name="_Toc3882770"/>
      <w:bookmarkStart w:id="358" w:name="_Toc373227713"/>
      <w:r>
        <w:rPr>
          <w:rFonts w:hint="eastAsia" w:ascii="宋体" w:hAnsi="宋体" w:eastAsia="宋体" w:cs="宋体"/>
          <w:kern w:val="0"/>
          <w:sz w:val="21"/>
          <w:szCs w:val="21"/>
        </w:rPr>
        <w:t>承包人是否提供履约担保：</w:t>
      </w:r>
      <w:r>
        <w:rPr>
          <w:rFonts w:hint="eastAsia" w:ascii="宋体" w:hAnsi="宋体" w:eastAsia="宋体" w:cs="宋体"/>
          <w:kern w:val="0"/>
          <w:sz w:val="21"/>
          <w:szCs w:val="21"/>
          <w:u w:val="single"/>
        </w:rPr>
        <w:t xml:space="preserve">  否  </w:t>
      </w:r>
    </w:p>
    <w:p w14:paraId="62F364A2">
      <w:pPr>
        <w:pStyle w:val="54"/>
        <w:keepNext/>
        <w:keepLines/>
        <w:spacing w:before="60" w:after="60" w:line="360" w:lineRule="auto"/>
        <w:ind w:firstLine="422" w:firstLineChars="200"/>
        <w:outlineLvl w:val="1"/>
        <w:rPr>
          <w:rFonts w:hint="eastAsia" w:ascii="宋体" w:hAnsi="宋体" w:eastAsia="宋体" w:cs="宋体"/>
          <w:b/>
          <w:sz w:val="21"/>
          <w:szCs w:val="21"/>
        </w:rPr>
      </w:pPr>
      <w:r>
        <w:rPr>
          <w:rFonts w:hint="eastAsia" w:ascii="宋体" w:hAnsi="宋体" w:eastAsia="宋体" w:cs="宋体"/>
          <w:b/>
          <w:sz w:val="21"/>
          <w:szCs w:val="21"/>
        </w:rPr>
        <w:t>4</w:t>
      </w:r>
      <w:bookmarkStart w:id="359" w:name="_Toc297120462"/>
      <w:bookmarkStart w:id="360" w:name="_Toc296503162"/>
      <w:bookmarkStart w:id="361" w:name="_Toc267251413"/>
      <w:bookmarkStart w:id="362" w:name="_Toc296890990"/>
      <w:bookmarkStart w:id="363" w:name="_Toc292559366"/>
      <w:bookmarkStart w:id="364" w:name="_Toc296891202"/>
      <w:bookmarkStart w:id="365" w:name="_Toc297048348"/>
      <w:bookmarkStart w:id="366" w:name="_Toc296346663"/>
      <w:bookmarkStart w:id="367" w:name="_Toc296347161"/>
      <w:bookmarkStart w:id="368" w:name="_Toc296944501"/>
      <w:bookmarkStart w:id="369" w:name="_Toc292559871"/>
      <w:r>
        <w:rPr>
          <w:rFonts w:hint="eastAsia" w:ascii="宋体" w:hAnsi="宋体" w:eastAsia="宋体" w:cs="宋体"/>
          <w:b/>
          <w:sz w:val="21"/>
          <w:szCs w:val="21"/>
        </w:rPr>
        <w:t>. 监</w:t>
      </w:r>
      <w:bookmarkEnd w:id="359"/>
      <w:bookmarkEnd w:id="360"/>
      <w:bookmarkEnd w:id="361"/>
      <w:bookmarkEnd w:id="362"/>
      <w:bookmarkEnd w:id="363"/>
      <w:bookmarkEnd w:id="364"/>
      <w:bookmarkEnd w:id="365"/>
      <w:bookmarkEnd w:id="366"/>
      <w:bookmarkEnd w:id="367"/>
      <w:bookmarkEnd w:id="368"/>
      <w:bookmarkEnd w:id="369"/>
      <w:r>
        <w:rPr>
          <w:rFonts w:hint="eastAsia" w:ascii="宋体" w:hAnsi="宋体" w:eastAsia="宋体" w:cs="宋体"/>
          <w:b/>
          <w:sz w:val="21"/>
          <w:szCs w:val="21"/>
        </w:rPr>
        <w:t>理人</w:t>
      </w:r>
      <w:bookmarkEnd w:id="351"/>
      <w:bookmarkEnd w:id="352"/>
      <w:bookmarkEnd w:id="353"/>
      <w:bookmarkEnd w:id="354"/>
      <w:bookmarkEnd w:id="355"/>
      <w:bookmarkEnd w:id="356"/>
      <w:bookmarkEnd w:id="357"/>
      <w:bookmarkEnd w:id="358"/>
    </w:p>
    <w:p w14:paraId="7D9C7FE7">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370" w:name="_Toc373227714"/>
      <w:bookmarkStart w:id="371" w:name="_Toc6008"/>
      <w:bookmarkStart w:id="372" w:name="_Toc3882771"/>
      <w:bookmarkStart w:id="373" w:name="_Toc469010919"/>
      <w:bookmarkStart w:id="374" w:name="_Toc373478361"/>
      <w:bookmarkStart w:id="375" w:name="_Toc389065280"/>
      <w:bookmarkStart w:id="376" w:name="_Toc30061963"/>
      <w:r>
        <w:rPr>
          <w:rFonts w:hint="eastAsia" w:ascii="宋体" w:hAnsi="宋体" w:eastAsia="宋体" w:cs="宋体"/>
          <w:b/>
          <w:kern w:val="0"/>
          <w:sz w:val="21"/>
          <w:szCs w:val="21"/>
        </w:rPr>
        <w:t>4.1 监理人的一般规定</w:t>
      </w:r>
      <w:bookmarkEnd w:id="370"/>
      <w:bookmarkEnd w:id="371"/>
      <w:bookmarkEnd w:id="372"/>
      <w:bookmarkEnd w:id="373"/>
      <w:bookmarkEnd w:id="374"/>
      <w:bookmarkEnd w:id="375"/>
      <w:bookmarkEnd w:id="376"/>
    </w:p>
    <w:p w14:paraId="0F5BAD45">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关于监理人的监理内容：详见监理合同。</w:t>
      </w:r>
    </w:p>
    <w:p w14:paraId="1F26B719">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关于监理人的监理权限：详见监理合同。 </w:t>
      </w:r>
    </w:p>
    <w:p w14:paraId="3A1A2840">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关于监理人在施工现场的办公场所、生活场所的提供和费用承担的约定：详见监理合同，由承包人提供。</w:t>
      </w:r>
    </w:p>
    <w:p w14:paraId="4BF11115">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377" w:name="_Toc373478362"/>
      <w:bookmarkStart w:id="378" w:name="_Toc30061964"/>
      <w:bookmarkStart w:id="379" w:name="_Toc8961"/>
      <w:bookmarkStart w:id="380" w:name="_Toc3882772"/>
      <w:bookmarkStart w:id="381" w:name="_Toc389065281"/>
      <w:bookmarkStart w:id="382" w:name="_Toc469010920"/>
      <w:bookmarkStart w:id="383" w:name="_Toc373227715"/>
      <w:r>
        <w:rPr>
          <w:rFonts w:hint="eastAsia" w:ascii="宋体" w:hAnsi="宋体" w:eastAsia="宋体" w:cs="宋体"/>
          <w:b/>
          <w:kern w:val="0"/>
          <w:sz w:val="21"/>
          <w:szCs w:val="21"/>
        </w:rPr>
        <w:t>4.2 监理人员</w:t>
      </w:r>
      <w:bookmarkEnd w:id="377"/>
      <w:bookmarkEnd w:id="378"/>
      <w:bookmarkEnd w:id="379"/>
      <w:bookmarkEnd w:id="380"/>
      <w:bookmarkEnd w:id="381"/>
      <w:bookmarkEnd w:id="382"/>
      <w:bookmarkEnd w:id="383"/>
    </w:p>
    <w:p w14:paraId="16ED0FCF">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总监理工程师：</w:t>
      </w:r>
    </w:p>
    <w:p w14:paraId="51F74624">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姓    名：</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156DD3AD">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职    务：</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47B6BD34">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监理工程师执业资格证书号：</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1DDFDC84">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联系电话：</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09285B49">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电子信箱：</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07084EDF">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通信地址：</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269A9300">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关于监理人的其他约定：</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03FFF76B">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384" w:name="_Toc25244"/>
      <w:bookmarkStart w:id="385" w:name="_Toc30061965"/>
      <w:bookmarkStart w:id="386" w:name="_Toc469010921"/>
      <w:bookmarkStart w:id="387" w:name="_Toc373227716"/>
      <w:bookmarkStart w:id="388" w:name="_Toc3882773"/>
      <w:bookmarkStart w:id="389" w:name="_Toc373478363"/>
      <w:bookmarkStart w:id="390" w:name="_Toc389065282"/>
      <w:r>
        <w:rPr>
          <w:rFonts w:hint="eastAsia" w:ascii="宋体" w:hAnsi="宋体" w:eastAsia="宋体" w:cs="宋体"/>
          <w:b/>
          <w:kern w:val="0"/>
          <w:sz w:val="21"/>
          <w:szCs w:val="21"/>
        </w:rPr>
        <w:t>4.4 商定或确定</w:t>
      </w:r>
      <w:bookmarkEnd w:id="384"/>
      <w:bookmarkEnd w:id="385"/>
      <w:bookmarkEnd w:id="386"/>
      <w:bookmarkEnd w:id="387"/>
      <w:bookmarkEnd w:id="388"/>
      <w:bookmarkEnd w:id="389"/>
      <w:bookmarkEnd w:id="390"/>
    </w:p>
    <w:p w14:paraId="561553A7">
      <w:pPr>
        <w:pStyle w:val="54"/>
        <w:spacing w:line="360" w:lineRule="auto"/>
        <w:ind w:firstLine="420" w:firstLineChars="200"/>
        <w:rPr>
          <w:rFonts w:hint="eastAsia" w:ascii="宋体" w:hAnsi="宋体" w:eastAsia="宋体" w:cs="宋体"/>
          <w:sz w:val="21"/>
          <w:szCs w:val="21"/>
        </w:rPr>
      </w:pPr>
      <w:bookmarkStart w:id="391" w:name="_Toc267251418"/>
      <w:r>
        <w:rPr>
          <w:rFonts w:hint="eastAsia" w:ascii="宋体" w:hAnsi="宋体" w:eastAsia="宋体" w:cs="宋体"/>
          <w:sz w:val="21"/>
          <w:szCs w:val="21"/>
        </w:rPr>
        <w:t>在发包人和承包人不能通过协商达成一致意见时，发包人授权监理人对以下事项进行确定：</w:t>
      </w:r>
    </w:p>
    <w:p w14:paraId="40848CF9">
      <w:pPr>
        <w:pStyle w:val="54"/>
        <w:autoSpaceDE w:val="0"/>
        <w:autoSpaceDN w:val="0"/>
        <w:adjustRightIn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（1）工程质量的鉴定、验收；</w:t>
      </w:r>
    </w:p>
    <w:p w14:paraId="72E9CD9B">
      <w:pPr>
        <w:pStyle w:val="54"/>
        <w:autoSpaceDE w:val="0"/>
        <w:autoSpaceDN w:val="0"/>
        <w:adjustRightIn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（2）中间验收</w:t>
      </w:r>
      <w:r>
        <w:rPr>
          <w:rFonts w:hint="eastAsia" w:ascii="宋体" w:hAnsi="宋体" w:eastAsia="宋体" w:cs="宋体"/>
          <w:sz w:val="21"/>
          <w:szCs w:val="21"/>
        </w:rPr>
        <w:t>。</w:t>
      </w:r>
    </w:p>
    <w:p w14:paraId="3956971E">
      <w:pPr>
        <w:pStyle w:val="54"/>
        <w:keepNext/>
        <w:keepLines/>
        <w:spacing w:before="60" w:after="60" w:line="360" w:lineRule="auto"/>
        <w:ind w:firstLine="422" w:firstLineChars="200"/>
        <w:outlineLvl w:val="1"/>
        <w:rPr>
          <w:rFonts w:hint="eastAsia" w:ascii="宋体" w:hAnsi="宋体" w:eastAsia="宋体" w:cs="宋体"/>
          <w:b/>
          <w:sz w:val="21"/>
          <w:szCs w:val="21"/>
        </w:rPr>
      </w:pPr>
      <w:bookmarkStart w:id="392" w:name="_Toc389065283"/>
      <w:bookmarkStart w:id="393" w:name="_Toc3882774"/>
      <w:bookmarkStart w:id="394" w:name="_Toc1052"/>
      <w:bookmarkStart w:id="395" w:name="_Toc373478364"/>
      <w:bookmarkStart w:id="396" w:name="_Toc30061966"/>
      <w:bookmarkStart w:id="397" w:name="_Toc351203637"/>
      <w:bookmarkStart w:id="398" w:name="_Toc469010922"/>
      <w:bookmarkStart w:id="399" w:name="_Toc373227717"/>
      <w:r>
        <w:rPr>
          <w:rFonts w:hint="eastAsia" w:ascii="宋体" w:hAnsi="宋体" w:eastAsia="宋体" w:cs="宋体"/>
          <w:b/>
          <w:sz w:val="21"/>
          <w:szCs w:val="21"/>
        </w:rPr>
        <w:t>5</w:t>
      </w:r>
      <w:bookmarkEnd w:id="391"/>
      <w:bookmarkStart w:id="400" w:name="_Toc296944502"/>
      <w:bookmarkStart w:id="401" w:name="_Toc296890991"/>
      <w:bookmarkStart w:id="402" w:name="_Toc296891203"/>
      <w:bookmarkStart w:id="403" w:name="_Toc297120463"/>
      <w:bookmarkStart w:id="404" w:name="_Toc292559367"/>
      <w:bookmarkStart w:id="405" w:name="_Toc296347162"/>
      <w:bookmarkStart w:id="406" w:name="_Toc296346664"/>
      <w:bookmarkStart w:id="407" w:name="_Toc297048349"/>
      <w:bookmarkStart w:id="408" w:name="_Toc296503163"/>
      <w:bookmarkStart w:id="409" w:name="_Toc292559872"/>
      <w:r>
        <w:rPr>
          <w:rFonts w:hint="eastAsia" w:ascii="宋体" w:hAnsi="宋体" w:eastAsia="宋体" w:cs="宋体"/>
          <w:b/>
          <w:sz w:val="21"/>
          <w:szCs w:val="21"/>
        </w:rPr>
        <w:t>. 工程质量</w:t>
      </w:r>
      <w:bookmarkEnd w:id="392"/>
      <w:bookmarkEnd w:id="393"/>
      <w:bookmarkEnd w:id="394"/>
      <w:bookmarkEnd w:id="395"/>
      <w:bookmarkEnd w:id="396"/>
      <w:bookmarkEnd w:id="397"/>
      <w:bookmarkEnd w:id="398"/>
      <w:bookmarkEnd w:id="399"/>
    </w:p>
    <w:p w14:paraId="293A00AC">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410" w:name="_Toc373478365"/>
      <w:bookmarkStart w:id="411" w:name="_Toc3882775"/>
      <w:bookmarkStart w:id="412" w:name="_Toc10712"/>
      <w:bookmarkStart w:id="413" w:name="_Toc30061967"/>
      <w:bookmarkStart w:id="414" w:name="_Toc373227718"/>
      <w:bookmarkStart w:id="415" w:name="_Toc469010923"/>
      <w:bookmarkStart w:id="416" w:name="_Toc389065284"/>
      <w:r>
        <w:rPr>
          <w:rFonts w:hint="eastAsia" w:ascii="宋体" w:hAnsi="宋体" w:eastAsia="宋体" w:cs="宋体"/>
          <w:b/>
          <w:kern w:val="0"/>
          <w:sz w:val="21"/>
          <w:szCs w:val="21"/>
        </w:rPr>
        <w:t>5.1 质量要求</w:t>
      </w:r>
      <w:bookmarkEnd w:id="410"/>
      <w:bookmarkEnd w:id="411"/>
      <w:bookmarkEnd w:id="412"/>
      <w:bookmarkEnd w:id="413"/>
      <w:bookmarkEnd w:id="414"/>
      <w:bookmarkEnd w:id="415"/>
      <w:bookmarkEnd w:id="416"/>
    </w:p>
    <w:p w14:paraId="0E4A3CCF">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5</w:t>
      </w:r>
      <w:bookmarkStart w:id="417" w:name="_Toc304295527"/>
      <w:bookmarkStart w:id="418" w:name="_Toc297216155"/>
      <w:bookmarkStart w:id="419" w:name="_Toc300934949"/>
      <w:bookmarkStart w:id="420" w:name="_Toc303539106"/>
      <w:bookmarkStart w:id="421" w:name="_Toc318581164"/>
      <w:bookmarkStart w:id="422" w:name="_Toc297123496"/>
      <w:bookmarkStart w:id="423" w:name="_Toc312677997"/>
      <w:r>
        <w:rPr>
          <w:rFonts w:hint="eastAsia" w:ascii="宋体" w:hAnsi="宋体" w:eastAsia="宋体" w:cs="宋体"/>
          <w:sz w:val="21"/>
          <w:szCs w:val="21"/>
        </w:rPr>
        <w:t>.1.1 特殊质量标准和要求：</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14:paraId="341D4D71">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关于工程奖项的约定：</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14:paraId="5679E7D0">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5.3 隐蔽工程检查</w:t>
      </w:r>
    </w:p>
    <w:p w14:paraId="311A354D">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5.3.2承包人提前通知监理人隐蔽工程检查的期限的约定：</w:t>
      </w:r>
      <w:r>
        <w:rPr>
          <w:rFonts w:hint="eastAsia" w:ascii="宋体" w:hAnsi="宋体" w:eastAsia="宋体" w:cs="宋体"/>
          <w:bCs/>
          <w:sz w:val="21"/>
          <w:szCs w:val="21"/>
        </w:rPr>
        <w:t>工程隐蔽或中间验收前48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3C2AD3CA">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监理人不能按时进行检查时，应提前</w:t>
      </w:r>
      <w:r>
        <w:rPr>
          <w:rFonts w:hint="eastAsia" w:ascii="宋体" w:hAnsi="宋体" w:eastAsia="宋体" w:cs="宋体"/>
          <w:sz w:val="21"/>
          <w:szCs w:val="21"/>
          <w:u w:val="single"/>
        </w:rPr>
        <w:t xml:space="preserve"> 24</w:t>
      </w:r>
      <w:r>
        <w:rPr>
          <w:rFonts w:hint="eastAsia" w:ascii="宋体" w:hAnsi="宋体" w:eastAsia="宋体" w:cs="宋体"/>
          <w:sz w:val="21"/>
          <w:szCs w:val="21"/>
        </w:rPr>
        <w:t>小时提交书面延期要求。</w:t>
      </w:r>
    </w:p>
    <w:p w14:paraId="23AE3FBC">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关于延期最长不得超过：</w:t>
      </w:r>
      <w:r>
        <w:rPr>
          <w:rFonts w:hint="eastAsia" w:ascii="宋体" w:hAnsi="宋体" w:eastAsia="宋体" w:cs="宋体"/>
          <w:sz w:val="21"/>
          <w:szCs w:val="21"/>
          <w:u w:val="single"/>
        </w:rPr>
        <w:t xml:space="preserve"> 48 </w:t>
      </w:r>
      <w:r>
        <w:rPr>
          <w:rFonts w:hint="eastAsia" w:ascii="宋体" w:hAnsi="宋体" w:eastAsia="宋体" w:cs="宋体"/>
          <w:sz w:val="21"/>
          <w:szCs w:val="21"/>
        </w:rPr>
        <w:t>小时。</w:t>
      </w:r>
    </w:p>
    <w:p w14:paraId="3661E92F">
      <w:pPr>
        <w:pStyle w:val="54"/>
        <w:keepNext/>
        <w:keepLines/>
        <w:spacing w:before="60" w:after="60" w:line="360" w:lineRule="auto"/>
        <w:ind w:firstLine="422" w:firstLineChars="200"/>
        <w:outlineLvl w:val="1"/>
        <w:rPr>
          <w:rFonts w:hint="eastAsia" w:ascii="宋体" w:hAnsi="宋体" w:eastAsia="宋体" w:cs="宋体"/>
          <w:b/>
          <w:sz w:val="21"/>
          <w:szCs w:val="21"/>
        </w:rPr>
      </w:pPr>
      <w:bookmarkStart w:id="424" w:name="_Toc30061968"/>
      <w:bookmarkStart w:id="425" w:name="_Toc389065285"/>
      <w:bookmarkStart w:id="426" w:name="_Toc373227719"/>
      <w:bookmarkStart w:id="427" w:name="_Toc351203638"/>
      <w:bookmarkStart w:id="428" w:name="_Toc3882776"/>
      <w:bookmarkStart w:id="429" w:name="_Toc373478366"/>
      <w:bookmarkStart w:id="430" w:name="_Toc22622"/>
      <w:bookmarkStart w:id="431" w:name="_Toc469010924"/>
      <w:r>
        <w:rPr>
          <w:rFonts w:hint="eastAsia" w:ascii="宋体" w:hAnsi="宋体" w:eastAsia="宋体" w:cs="宋体"/>
          <w:b/>
          <w:sz w:val="21"/>
          <w:szCs w:val="21"/>
        </w:rPr>
        <w:t>6. 安全文明施工与环境保护</w:t>
      </w:r>
      <w:bookmarkEnd w:id="424"/>
      <w:bookmarkEnd w:id="425"/>
      <w:bookmarkEnd w:id="426"/>
      <w:bookmarkEnd w:id="427"/>
      <w:bookmarkEnd w:id="428"/>
      <w:bookmarkEnd w:id="429"/>
      <w:bookmarkEnd w:id="430"/>
      <w:bookmarkEnd w:id="431"/>
    </w:p>
    <w:p w14:paraId="6687AFFC">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432" w:name="_Toc469010925"/>
      <w:bookmarkStart w:id="433" w:name="_Toc373227720"/>
      <w:bookmarkStart w:id="434" w:name="_Toc30061969"/>
      <w:bookmarkStart w:id="435" w:name="_Toc389065286"/>
      <w:bookmarkStart w:id="436" w:name="_Toc373478367"/>
      <w:bookmarkStart w:id="437" w:name="_Toc3882777"/>
      <w:bookmarkStart w:id="438" w:name="_Toc29264"/>
      <w:r>
        <w:rPr>
          <w:rFonts w:hint="eastAsia" w:ascii="宋体" w:hAnsi="宋体" w:eastAsia="宋体" w:cs="宋体"/>
          <w:b/>
          <w:kern w:val="0"/>
          <w:sz w:val="21"/>
          <w:szCs w:val="21"/>
        </w:rPr>
        <w:t>6.1 安全文明施工</w:t>
      </w:r>
      <w:bookmarkEnd w:id="432"/>
      <w:bookmarkEnd w:id="433"/>
      <w:bookmarkEnd w:id="434"/>
      <w:bookmarkEnd w:id="435"/>
      <w:bookmarkEnd w:id="436"/>
      <w:bookmarkEnd w:id="437"/>
      <w:bookmarkEnd w:id="438"/>
    </w:p>
    <w:p w14:paraId="5CFD01C5">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6.1.1 项目安全生产的达标目标及相应事项的约定：要求达到《建筑施工安全检查标准》（JGJ59-2011）的标准和符合《广西壮族自治区建设工程安全文明施工费使用管理细则》（桂建质〔2015〕16号）的要求；</w:t>
      </w:r>
    </w:p>
    <w:p w14:paraId="60E40F29">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关于安全文明施工奖项的约定： / 。</w:t>
      </w:r>
    </w:p>
    <w:p w14:paraId="49584E89">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6.1.4 关于治安保卫的特别约定：承包人应承担施工安全保卫工作及非夜间施工照明的责任，承包人应采取一切合理的预防措施，防止人员伤亡、财产损失事故，费用由承包人承担。承包人生活设施及施工场应自费配备消防设备，防止火灾发生。</w:t>
      </w:r>
    </w:p>
    <w:p w14:paraId="7DBAEE1E">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关于编制施工场地治安管理计划的约定：执行通用条款6.1.4。</w:t>
      </w:r>
    </w:p>
    <w:p w14:paraId="3B88B218">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6.1.5 文明施工</w:t>
      </w:r>
    </w:p>
    <w:p w14:paraId="480D02EB">
      <w:pPr>
        <w:pStyle w:val="54"/>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合同当事人对文明施工的要求：</w:t>
      </w:r>
      <w:r>
        <w:rPr>
          <w:rFonts w:hint="eastAsia" w:ascii="宋体" w:hAnsi="宋体" w:eastAsia="宋体" w:cs="宋体"/>
          <w:color w:val="000000"/>
          <w:sz w:val="21"/>
          <w:szCs w:val="21"/>
          <w:u w:val="single"/>
        </w:rPr>
        <w:t>要求达到《建筑施工安全检查标准》（JGJ59-2011）的标准和符合</w:t>
      </w:r>
      <w:r>
        <w:rPr>
          <w:rFonts w:hint="eastAsia" w:ascii="宋体" w:hAnsi="宋体" w:eastAsia="宋体" w:cs="宋体"/>
          <w:color w:val="000000"/>
          <w:kern w:val="0"/>
          <w:sz w:val="21"/>
          <w:szCs w:val="21"/>
          <w:u w:val="single"/>
        </w:rPr>
        <w:t>《广西壮族自治区建设工程安全文明施工费使用管理细则》（桂建质〔2015〕16号）</w:t>
      </w:r>
      <w:r>
        <w:rPr>
          <w:rFonts w:hint="eastAsia" w:ascii="宋体" w:hAnsi="宋体" w:eastAsia="宋体" w:cs="宋体"/>
          <w:color w:val="000000"/>
          <w:sz w:val="21"/>
          <w:szCs w:val="21"/>
          <w:u w:val="single"/>
        </w:rPr>
        <w:t>的要求</w:t>
      </w:r>
      <w:r>
        <w:rPr>
          <w:rFonts w:hint="eastAsia" w:ascii="宋体" w:hAnsi="宋体" w:eastAsia="宋体" w:cs="宋体"/>
          <w:color w:val="000000"/>
          <w:sz w:val="21"/>
          <w:szCs w:val="21"/>
        </w:rPr>
        <w:t>。</w:t>
      </w:r>
    </w:p>
    <w:p w14:paraId="67B1A075">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6.1.6 关于安全文明施工费支付比例和支付期限的约定：</w:t>
      </w:r>
    </w:p>
    <w:p w14:paraId="182DF1FA">
      <w:pPr>
        <w:pStyle w:val="54"/>
        <w:autoSpaceDE w:val="0"/>
        <w:autoSpaceDN w:val="0"/>
        <w:adjustRightIn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（1）本合同价款已包含安全文明施工费</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元。</w:t>
      </w:r>
    </w:p>
    <w:p w14:paraId="3D50E02B">
      <w:pPr>
        <w:pStyle w:val="54"/>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（2）使用要求：专款专用。具体按《广西壮族自治区建设工程安全文明施工费使用管理细则》（桂建质〔2015〕16号）和贺州市相关规定执行。</w:t>
      </w:r>
    </w:p>
    <w:p w14:paraId="1A9D9A4B">
      <w:pPr>
        <w:pStyle w:val="54"/>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（3）支付约定：按《关于印发&lt;贺州市建设工程安全文明施工费使用管理规定&gt;的通知》（贺住建发〔2016〕196号）文件执行</w:t>
      </w:r>
    </w:p>
    <w:p w14:paraId="74705AA1">
      <w:pPr>
        <w:pStyle w:val="54"/>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（4）工程施工完成后安全生产费用尚有结余的，结余部分由建设单位收回。</w:t>
      </w:r>
    </w:p>
    <w:p w14:paraId="75848309">
      <w:pPr>
        <w:pStyle w:val="54"/>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（5）施工单位将安全生产费用使用情况定期报告建设单位和监理单位，并提供相应的材料接受建设行政主管部门对此事项监管。    </w:t>
      </w:r>
      <w:bookmarkStart w:id="439" w:name="_Toc389065287"/>
      <w:bookmarkStart w:id="440" w:name="_Toc373227721"/>
      <w:bookmarkStart w:id="441" w:name="_Toc373478368"/>
    </w:p>
    <w:p w14:paraId="42A4979A">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r>
        <w:rPr>
          <w:rFonts w:hint="eastAsia" w:ascii="宋体" w:hAnsi="宋体" w:eastAsia="宋体" w:cs="宋体"/>
          <w:b/>
          <w:kern w:val="0"/>
          <w:sz w:val="21"/>
          <w:szCs w:val="21"/>
        </w:rPr>
        <w:t>6.3 环境保护</w:t>
      </w:r>
      <w:bookmarkEnd w:id="439"/>
      <w:bookmarkEnd w:id="440"/>
      <w:bookmarkEnd w:id="441"/>
    </w:p>
    <w:p w14:paraId="46605E9F">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u w:val="single"/>
        </w:rPr>
        <w:t>因施工需要，经发包人批准，由承包人办理有关施工场地交通、环卫和施工噪音管理等手续，费用由承包人负责。</w:t>
      </w:r>
    </w:p>
    <w:p w14:paraId="017CB750">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u w:val="single"/>
        </w:rPr>
        <w:t>经过城市道路的施工车辆，必须按交警、城管、运输等部门相关规定执行。由于施工车辆造成的道路、环境等污染，其责任和费用均由承包人承担。</w:t>
      </w:r>
    </w:p>
    <w:bookmarkEnd w:id="417"/>
    <w:bookmarkEnd w:id="418"/>
    <w:bookmarkEnd w:id="419"/>
    <w:bookmarkEnd w:id="420"/>
    <w:bookmarkEnd w:id="421"/>
    <w:bookmarkEnd w:id="422"/>
    <w:bookmarkEnd w:id="423"/>
    <w:p w14:paraId="74BD50E1">
      <w:pPr>
        <w:pStyle w:val="54"/>
        <w:keepNext/>
        <w:keepLines/>
        <w:spacing w:before="60" w:after="60" w:line="360" w:lineRule="auto"/>
        <w:ind w:firstLine="422" w:firstLineChars="200"/>
        <w:outlineLvl w:val="1"/>
        <w:rPr>
          <w:rFonts w:hint="eastAsia" w:ascii="宋体" w:hAnsi="宋体" w:eastAsia="宋体" w:cs="宋体"/>
          <w:b/>
          <w:sz w:val="21"/>
          <w:szCs w:val="21"/>
        </w:rPr>
      </w:pPr>
      <w:bookmarkStart w:id="442" w:name="_Toc30061970"/>
      <w:bookmarkStart w:id="443" w:name="_Toc3882778"/>
      <w:bookmarkStart w:id="444" w:name="_Toc373227722"/>
      <w:bookmarkStart w:id="445" w:name="_Toc469010926"/>
      <w:bookmarkStart w:id="446" w:name="_Toc389065288"/>
      <w:bookmarkStart w:id="447" w:name="_Toc26077"/>
      <w:bookmarkStart w:id="448" w:name="_Toc351203639"/>
      <w:bookmarkStart w:id="449" w:name="_Toc373478369"/>
      <w:r>
        <w:rPr>
          <w:rFonts w:hint="eastAsia" w:ascii="宋体" w:hAnsi="宋体" w:eastAsia="宋体" w:cs="宋体"/>
          <w:b/>
          <w:sz w:val="21"/>
          <w:szCs w:val="21"/>
        </w:rPr>
        <w:t>7. 工期和进度</w:t>
      </w:r>
      <w:bookmarkEnd w:id="442"/>
      <w:bookmarkEnd w:id="443"/>
      <w:bookmarkEnd w:id="444"/>
      <w:bookmarkEnd w:id="445"/>
      <w:bookmarkEnd w:id="446"/>
      <w:bookmarkEnd w:id="447"/>
      <w:bookmarkEnd w:id="448"/>
      <w:bookmarkEnd w:id="449"/>
    </w:p>
    <w:p w14:paraId="4043BF84">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450" w:name="_Toc373478370"/>
      <w:bookmarkStart w:id="451" w:name="_Toc28984"/>
      <w:bookmarkStart w:id="452" w:name="_Toc3882779"/>
      <w:bookmarkStart w:id="453" w:name="_Toc469010927"/>
      <w:bookmarkStart w:id="454" w:name="_Toc373227723"/>
      <w:bookmarkStart w:id="455" w:name="_Toc389065289"/>
      <w:bookmarkStart w:id="456" w:name="_Toc30061971"/>
      <w:r>
        <w:rPr>
          <w:rFonts w:hint="eastAsia" w:ascii="宋体" w:hAnsi="宋体" w:eastAsia="宋体" w:cs="宋体"/>
          <w:b/>
          <w:kern w:val="0"/>
          <w:sz w:val="21"/>
          <w:szCs w:val="21"/>
        </w:rPr>
        <w:t>7.1 施工组织设计</w:t>
      </w:r>
      <w:bookmarkEnd w:id="450"/>
      <w:bookmarkEnd w:id="451"/>
      <w:bookmarkEnd w:id="452"/>
      <w:bookmarkEnd w:id="453"/>
      <w:bookmarkEnd w:id="454"/>
      <w:bookmarkEnd w:id="455"/>
      <w:bookmarkEnd w:id="456"/>
    </w:p>
    <w:p w14:paraId="2E784BC2">
      <w:pPr>
        <w:pStyle w:val="54"/>
        <w:autoSpaceDE w:val="0"/>
        <w:autoSpaceDN w:val="0"/>
        <w:adjustRightInd w:val="0"/>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7.1.1 合</w:t>
      </w:r>
      <w:r>
        <w:rPr>
          <w:rFonts w:hint="eastAsia" w:ascii="宋体" w:hAnsi="宋体" w:eastAsia="宋体" w:cs="宋体"/>
          <w:kern w:val="0"/>
          <w:sz w:val="21"/>
          <w:szCs w:val="21"/>
        </w:rPr>
        <w:t>同当事人约定的施工组织设计应包括的其他内容：</w:t>
      </w:r>
      <w:r>
        <w:rPr>
          <w:rFonts w:hint="eastAsia" w:ascii="宋体" w:hAnsi="宋体" w:eastAsia="宋体" w:cs="宋体"/>
          <w:sz w:val="21"/>
          <w:szCs w:val="21"/>
          <w:u w:val="single"/>
        </w:rPr>
        <w:t>按行业管理有关要求</w:t>
      </w:r>
      <w:r>
        <w:rPr>
          <w:rFonts w:hint="eastAsia" w:ascii="宋体" w:hAnsi="宋体" w:eastAsia="宋体" w:cs="宋体"/>
          <w:sz w:val="21"/>
          <w:szCs w:val="21"/>
        </w:rPr>
        <w:t>。</w:t>
      </w:r>
    </w:p>
    <w:p w14:paraId="7C4F7A5D">
      <w:pPr>
        <w:pStyle w:val="54"/>
        <w:autoSpaceDE w:val="0"/>
        <w:autoSpaceDN w:val="0"/>
        <w:adjustRightIn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sz w:val="21"/>
          <w:szCs w:val="21"/>
        </w:rPr>
        <w:t xml:space="preserve">7.1.2 </w:t>
      </w:r>
      <w:r>
        <w:rPr>
          <w:rFonts w:hint="eastAsia" w:ascii="宋体" w:hAnsi="宋体" w:eastAsia="宋体" w:cs="宋体"/>
          <w:kern w:val="0"/>
          <w:sz w:val="21"/>
          <w:szCs w:val="21"/>
        </w:rPr>
        <w:t>施工组织设计的提交和修改</w:t>
      </w:r>
    </w:p>
    <w:p w14:paraId="68080BAD">
      <w:pPr>
        <w:pStyle w:val="54"/>
        <w:autoSpaceDE w:val="0"/>
        <w:autoSpaceDN w:val="0"/>
        <w:adjustRightInd w:val="0"/>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kern w:val="0"/>
          <w:sz w:val="21"/>
          <w:szCs w:val="21"/>
        </w:rPr>
        <w:t>承包人提交详细施工组织设计的期限的约定：</w:t>
      </w:r>
      <w:r>
        <w:rPr>
          <w:rFonts w:hint="eastAsia" w:ascii="宋体" w:hAnsi="宋体" w:eastAsia="宋体" w:cs="宋体"/>
          <w:sz w:val="21"/>
          <w:szCs w:val="21"/>
          <w:u w:val="single"/>
        </w:rPr>
        <w:t>承包人在图纸会审和设计交底之日起14天内报送</w:t>
      </w:r>
      <w:r>
        <w:rPr>
          <w:rFonts w:hint="eastAsia" w:ascii="宋体" w:hAnsi="宋体" w:eastAsia="宋体" w:cs="宋体"/>
          <w:sz w:val="21"/>
          <w:szCs w:val="21"/>
        </w:rPr>
        <w:t>。</w:t>
      </w:r>
    </w:p>
    <w:p w14:paraId="72633D55">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发包人和监理人在收到详细的施工组织设计后确认或提出修改意见的期限：</w:t>
      </w:r>
      <w:r>
        <w:rPr>
          <w:rFonts w:hint="eastAsia" w:ascii="宋体" w:hAnsi="宋体" w:eastAsia="宋体" w:cs="宋体"/>
          <w:sz w:val="21"/>
          <w:szCs w:val="21"/>
          <w:u w:val="single"/>
        </w:rPr>
        <w:t>收到之日起14天内，逾期不确认也不提出书面意见的，视为同意</w:t>
      </w:r>
      <w:r>
        <w:rPr>
          <w:rFonts w:hint="eastAsia" w:ascii="宋体" w:hAnsi="宋体" w:eastAsia="宋体" w:cs="宋体"/>
          <w:sz w:val="21"/>
          <w:szCs w:val="21"/>
        </w:rPr>
        <w:t>。</w:t>
      </w:r>
    </w:p>
    <w:p w14:paraId="78F05233">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457" w:name="_Toc389065290"/>
      <w:bookmarkStart w:id="458" w:name="_Toc30061972"/>
      <w:bookmarkStart w:id="459" w:name="_Toc469010928"/>
      <w:bookmarkStart w:id="460" w:name="_Toc373227724"/>
      <w:bookmarkStart w:id="461" w:name="_Toc3882780"/>
      <w:bookmarkStart w:id="462" w:name="_Toc373478371"/>
      <w:bookmarkStart w:id="463" w:name="_Toc24211"/>
      <w:r>
        <w:rPr>
          <w:rFonts w:hint="eastAsia" w:ascii="宋体" w:hAnsi="宋体" w:eastAsia="宋体" w:cs="宋体"/>
          <w:b/>
          <w:kern w:val="0"/>
          <w:sz w:val="21"/>
          <w:szCs w:val="21"/>
        </w:rPr>
        <w:t>7</w:t>
      </w:r>
      <w:bookmarkStart w:id="464" w:name="_Toc312677479"/>
      <w:bookmarkStart w:id="465" w:name="_Toc312678005"/>
      <w:bookmarkStart w:id="466" w:name="_Toc297216173"/>
      <w:bookmarkStart w:id="467" w:name="_Toc297123514"/>
      <w:bookmarkStart w:id="468" w:name="_Toc300934966"/>
      <w:bookmarkStart w:id="469" w:name="_Toc303539123"/>
      <w:bookmarkStart w:id="470" w:name="_Toc304295541"/>
      <w:r>
        <w:rPr>
          <w:rFonts w:hint="eastAsia" w:ascii="宋体" w:hAnsi="宋体" w:eastAsia="宋体" w:cs="宋体"/>
          <w:b/>
          <w:kern w:val="0"/>
          <w:sz w:val="21"/>
          <w:szCs w:val="21"/>
        </w:rPr>
        <w:t>.2 施工进度计划</w:t>
      </w:r>
      <w:bookmarkEnd w:id="457"/>
      <w:bookmarkEnd w:id="458"/>
      <w:bookmarkEnd w:id="459"/>
      <w:bookmarkEnd w:id="460"/>
      <w:bookmarkEnd w:id="461"/>
      <w:bookmarkEnd w:id="462"/>
      <w:bookmarkEnd w:id="463"/>
    </w:p>
    <w:p w14:paraId="50C8C9C7">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7.2.2 施工进度计划的修订</w:t>
      </w:r>
    </w:p>
    <w:p w14:paraId="6506E915">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发包人和监理人在收到修订的施工进度计划后确认或提出修改意见的期限：</w:t>
      </w:r>
      <w:r>
        <w:rPr>
          <w:rFonts w:hint="eastAsia" w:ascii="宋体" w:hAnsi="宋体" w:eastAsia="宋体" w:cs="宋体"/>
          <w:sz w:val="21"/>
          <w:szCs w:val="21"/>
          <w:u w:val="single"/>
        </w:rPr>
        <w:t>收到之日起14天内，逾期不确认也不提出书面意见的，视为同意</w:t>
      </w:r>
      <w:r>
        <w:rPr>
          <w:rFonts w:hint="eastAsia" w:ascii="宋体" w:hAnsi="宋体" w:eastAsia="宋体" w:cs="宋体"/>
          <w:sz w:val="21"/>
          <w:szCs w:val="21"/>
        </w:rPr>
        <w:t>。</w:t>
      </w:r>
    </w:p>
    <w:p w14:paraId="3831BA9E">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471" w:name="_Toc389065291"/>
      <w:bookmarkStart w:id="472" w:name="_Toc373478372"/>
      <w:bookmarkStart w:id="473" w:name="_Toc25584"/>
      <w:bookmarkStart w:id="474" w:name="_Toc30061973"/>
      <w:bookmarkStart w:id="475" w:name="_Toc469010929"/>
      <w:bookmarkStart w:id="476" w:name="_Toc373227725"/>
      <w:bookmarkStart w:id="477" w:name="_Toc3882781"/>
      <w:r>
        <w:rPr>
          <w:rFonts w:hint="eastAsia" w:ascii="宋体" w:hAnsi="宋体" w:eastAsia="宋体" w:cs="宋体"/>
          <w:b/>
          <w:kern w:val="0"/>
          <w:sz w:val="21"/>
          <w:szCs w:val="21"/>
        </w:rPr>
        <w:t>7.3 开工</w:t>
      </w:r>
      <w:bookmarkEnd w:id="471"/>
      <w:bookmarkEnd w:id="472"/>
      <w:bookmarkEnd w:id="473"/>
      <w:bookmarkEnd w:id="474"/>
      <w:bookmarkEnd w:id="475"/>
      <w:bookmarkEnd w:id="476"/>
      <w:bookmarkEnd w:id="477"/>
    </w:p>
    <w:p w14:paraId="1C42F85A">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7.3.1 开工准备</w:t>
      </w:r>
    </w:p>
    <w:p w14:paraId="7AFE391D">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关于承包人提交</w:t>
      </w:r>
      <w:r>
        <w:rPr>
          <w:rFonts w:hint="eastAsia" w:ascii="宋体" w:hAnsi="宋体" w:eastAsia="宋体" w:cs="宋体"/>
          <w:kern w:val="0"/>
          <w:sz w:val="21"/>
          <w:szCs w:val="21"/>
        </w:rPr>
        <w:t>工程开工报审表的期限：</w:t>
      </w:r>
      <w:r>
        <w:rPr>
          <w:rFonts w:hint="eastAsia" w:ascii="宋体" w:hAnsi="宋体" w:eastAsia="宋体" w:cs="宋体"/>
          <w:sz w:val="21"/>
          <w:szCs w:val="21"/>
          <w:u w:val="single"/>
        </w:rPr>
        <w:t>承包人在图纸会审和设计交底之日起14天内报送</w:t>
      </w:r>
      <w:r>
        <w:rPr>
          <w:rFonts w:hint="eastAsia" w:ascii="宋体" w:hAnsi="宋体" w:eastAsia="宋体" w:cs="宋体"/>
          <w:sz w:val="21"/>
          <w:szCs w:val="21"/>
        </w:rPr>
        <w:t>。</w:t>
      </w:r>
    </w:p>
    <w:p w14:paraId="53CD2BCB">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关于发包人应完成的其他开工准备工作及期限：</w:t>
      </w:r>
      <w:r>
        <w:rPr>
          <w:rFonts w:hint="eastAsia" w:ascii="宋体" w:hAnsi="宋体" w:eastAsia="宋体" w:cs="宋体"/>
          <w:sz w:val="21"/>
          <w:szCs w:val="21"/>
          <w:u w:val="single"/>
        </w:rPr>
        <w:t>开工许可证发出前</w:t>
      </w:r>
      <w:r>
        <w:rPr>
          <w:rFonts w:hint="eastAsia" w:ascii="宋体" w:hAnsi="宋体" w:eastAsia="宋体" w:cs="宋体"/>
          <w:sz w:val="21"/>
          <w:szCs w:val="21"/>
        </w:rPr>
        <w:t>。</w:t>
      </w:r>
    </w:p>
    <w:p w14:paraId="6F549DC3">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关于承包人应完成的其他开工准备工作及期限：</w:t>
      </w:r>
      <w:r>
        <w:rPr>
          <w:rFonts w:hint="eastAsia" w:ascii="宋体" w:hAnsi="宋体" w:eastAsia="宋体" w:cs="宋体"/>
          <w:sz w:val="21"/>
          <w:szCs w:val="21"/>
          <w:u w:val="single"/>
        </w:rPr>
        <w:t>开工许可证发出14天内</w:t>
      </w:r>
      <w:r>
        <w:rPr>
          <w:rFonts w:hint="eastAsia" w:ascii="宋体" w:hAnsi="宋体" w:eastAsia="宋体" w:cs="宋体"/>
          <w:sz w:val="21"/>
          <w:szCs w:val="21"/>
        </w:rPr>
        <w:t>。</w:t>
      </w:r>
    </w:p>
    <w:p w14:paraId="45BCC59C">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7.3.2 开工通知</w:t>
      </w:r>
    </w:p>
    <w:p w14:paraId="37DA4029">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因发包人原因造成监理人未能在计划开工日期之日起</w:t>
      </w:r>
      <w:r>
        <w:rPr>
          <w:rFonts w:hint="eastAsia" w:ascii="宋体" w:hAnsi="宋体" w:eastAsia="宋体" w:cs="宋体"/>
          <w:sz w:val="21"/>
          <w:szCs w:val="21"/>
          <w:u w:val="single"/>
        </w:rPr>
        <w:t>90</w:t>
      </w:r>
      <w:r>
        <w:rPr>
          <w:rFonts w:hint="eastAsia" w:ascii="宋体" w:hAnsi="宋体" w:eastAsia="宋体" w:cs="宋体"/>
          <w:sz w:val="21"/>
          <w:szCs w:val="21"/>
        </w:rPr>
        <w:t>天内发出开工通知的，承包人有权提出价格调整要求，或者解除合同。</w:t>
      </w:r>
    </w:p>
    <w:bookmarkEnd w:id="464"/>
    <w:bookmarkEnd w:id="465"/>
    <w:bookmarkEnd w:id="466"/>
    <w:bookmarkEnd w:id="467"/>
    <w:bookmarkEnd w:id="468"/>
    <w:bookmarkEnd w:id="469"/>
    <w:bookmarkEnd w:id="470"/>
    <w:p w14:paraId="6602379E">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478" w:name="_Toc14462"/>
      <w:bookmarkStart w:id="479" w:name="_Toc373478373"/>
      <w:bookmarkStart w:id="480" w:name="_Toc389065292"/>
      <w:bookmarkStart w:id="481" w:name="_Toc373227726"/>
      <w:bookmarkStart w:id="482" w:name="_Toc469010930"/>
      <w:bookmarkStart w:id="483" w:name="_Toc3882782"/>
      <w:bookmarkStart w:id="484" w:name="_Toc30061974"/>
      <w:r>
        <w:rPr>
          <w:rFonts w:hint="eastAsia" w:ascii="宋体" w:hAnsi="宋体" w:eastAsia="宋体" w:cs="宋体"/>
          <w:b/>
          <w:kern w:val="0"/>
          <w:sz w:val="21"/>
          <w:szCs w:val="21"/>
        </w:rPr>
        <w:t>7.4 测量放线</w:t>
      </w:r>
      <w:bookmarkEnd w:id="478"/>
      <w:bookmarkEnd w:id="479"/>
      <w:bookmarkEnd w:id="480"/>
      <w:bookmarkEnd w:id="481"/>
      <w:bookmarkEnd w:id="482"/>
      <w:bookmarkEnd w:id="483"/>
      <w:bookmarkEnd w:id="484"/>
    </w:p>
    <w:p w14:paraId="2243719D">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7.4.1发包人通过监理人向承包人提供测量基准点、基准线和水准点及其书面资料的期限：</w:t>
      </w:r>
      <w:r>
        <w:rPr>
          <w:rFonts w:hint="eastAsia" w:ascii="宋体" w:hAnsi="宋体" w:eastAsia="宋体" w:cs="宋体"/>
          <w:sz w:val="21"/>
          <w:szCs w:val="21"/>
          <w:u w:val="single"/>
        </w:rPr>
        <w:t>开工许可证发出后3天内</w:t>
      </w:r>
      <w:r>
        <w:rPr>
          <w:rFonts w:hint="eastAsia" w:ascii="宋体" w:hAnsi="宋体" w:eastAsia="宋体" w:cs="宋体"/>
          <w:sz w:val="21"/>
          <w:szCs w:val="21"/>
        </w:rPr>
        <w:t>。</w:t>
      </w:r>
    </w:p>
    <w:p w14:paraId="1D73DAEF">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485" w:name="_Toc30061975"/>
      <w:bookmarkStart w:id="486" w:name="_Toc373227727"/>
      <w:bookmarkStart w:id="487" w:name="_Toc469010931"/>
      <w:bookmarkStart w:id="488" w:name="_Toc389065293"/>
      <w:bookmarkStart w:id="489" w:name="_Toc3882783"/>
      <w:bookmarkStart w:id="490" w:name="_Toc26135"/>
      <w:bookmarkStart w:id="491" w:name="_Toc373478374"/>
      <w:r>
        <w:rPr>
          <w:rFonts w:hint="eastAsia" w:ascii="宋体" w:hAnsi="宋体" w:eastAsia="宋体" w:cs="宋体"/>
          <w:b/>
          <w:kern w:val="0"/>
          <w:sz w:val="21"/>
          <w:szCs w:val="21"/>
        </w:rPr>
        <w:t>7</w:t>
      </w:r>
      <w:bookmarkStart w:id="492" w:name="_Toc312678010"/>
      <w:bookmarkStart w:id="493" w:name="_Toc297216175"/>
      <w:bookmarkStart w:id="494" w:name="_Toc312677484"/>
      <w:bookmarkStart w:id="495" w:name="_Toc303539125"/>
      <w:bookmarkStart w:id="496" w:name="_Toc297123516"/>
      <w:bookmarkStart w:id="497" w:name="_Toc304295546"/>
      <w:bookmarkStart w:id="498" w:name="_Toc300934968"/>
      <w:r>
        <w:rPr>
          <w:rFonts w:hint="eastAsia" w:ascii="宋体" w:hAnsi="宋体" w:eastAsia="宋体" w:cs="宋体"/>
          <w:b/>
          <w:kern w:val="0"/>
          <w:sz w:val="21"/>
          <w:szCs w:val="21"/>
        </w:rPr>
        <w:t>.5 工期延误</w:t>
      </w:r>
      <w:bookmarkEnd w:id="485"/>
      <w:bookmarkEnd w:id="486"/>
      <w:bookmarkEnd w:id="487"/>
      <w:bookmarkEnd w:id="488"/>
      <w:bookmarkEnd w:id="489"/>
      <w:bookmarkEnd w:id="490"/>
      <w:bookmarkEnd w:id="491"/>
    </w:p>
    <w:bookmarkEnd w:id="492"/>
    <w:bookmarkEnd w:id="493"/>
    <w:bookmarkEnd w:id="494"/>
    <w:bookmarkEnd w:id="495"/>
    <w:bookmarkEnd w:id="496"/>
    <w:bookmarkEnd w:id="497"/>
    <w:bookmarkEnd w:id="498"/>
    <w:p w14:paraId="44C4596E">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7.5.1 因发包人原因导致工期延误</w:t>
      </w:r>
    </w:p>
    <w:p w14:paraId="117DFF0C">
      <w:pPr>
        <w:pStyle w:val="54"/>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rPr>
        <w:t>（7）因发包人原因导致工期延误的其他情形：</w:t>
      </w:r>
      <w:r>
        <w:rPr>
          <w:rFonts w:hint="eastAsia" w:ascii="宋体" w:hAnsi="宋体" w:eastAsia="宋体" w:cs="宋体"/>
          <w:sz w:val="21"/>
          <w:szCs w:val="21"/>
          <w:u w:val="single"/>
        </w:rPr>
        <w:t xml:space="preserve">  </w:t>
      </w:r>
      <w:r>
        <w:rPr>
          <w:rFonts w:hint="eastAsia" w:ascii="宋体" w:hAnsi="宋体" w:eastAsia="宋体" w:cs="宋体"/>
          <w:color w:val="000000"/>
          <w:sz w:val="21"/>
          <w:szCs w:val="21"/>
          <w:u w:val="single"/>
        </w:rPr>
        <w:t>①未按合同约定期限提供施工场地的，工期顺延。②由于设计变更导致工程量增加的，工期顺延，顺延时间按现场签证确定。③由于征地拆迁的影响，致使施工不能正常进行的，工期顺延。④不可抗力等延误承包人关键线路工作的情况工期按时顺延。⑤施工期间如因停电、停水连续8小时以上或一周内间歇性停水、停电累计8小时（含8小时）影响正常施工的。⑥政府指令性停工。⑦在施工过程中遇到地下障碍物、溶洞、岩石、文物或地下管线的。</w:t>
      </w:r>
      <w:r>
        <w:rPr>
          <w:rFonts w:hint="eastAsia" w:ascii="宋体" w:hAnsi="宋体" w:eastAsia="宋体" w:cs="宋体"/>
          <w:color w:val="000000"/>
          <w:sz w:val="21"/>
          <w:szCs w:val="21"/>
          <w:u w:val="single"/>
        </w:rPr>
        <w:fldChar w:fldCharType="begin"/>
      </w:r>
      <w:r>
        <w:rPr>
          <w:rFonts w:hint="eastAsia" w:ascii="宋体" w:hAnsi="宋体" w:eastAsia="宋体" w:cs="宋体"/>
          <w:color w:val="000000"/>
          <w:sz w:val="21"/>
          <w:szCs w:val="21"/>
          <w:u w:val="single"/>
        </w:rPr>
        <w:instrText xml:space="preserve"> = 8 \* GB3 </w:instrText>
      </w:r>
      <w:r>
        <w:rPr>
          <w:rFonts w:hint="eastAsia" w:ascii="宋体" w:hAnsi="宋体" w:eastAsia="宋体" w:cs="宋体"/>
          <w:color w:val="000000"/>
          <w:sz w:val="21"/>
          <w:szCs w:val="21"/>
          <w:u w:val="single"/>
        </w:rPr>
        <w:fldChar w:fldCharType="separate"/>
      </w:r>
      <w:r>
        <w:rPr>
          <w:rFonts w:hint="eastAsia" w:ascii="宋体" w:hAnsi="宋体" w:eastAsia="宋体" w:cs="宋体"/>
          <w:color w:val="000000"/>
          <w:sz w:val="21"/>
          <w:szCs w:val="21"/>
          <w:u w:val="single"/>
        </w:rPr>
        <w:t>8</w:t>
      </w:r>
      <w:r>
        <w:rPr>
          <w:rFonts w:hint="eastAsia" w:ascii="宋体" w:hAnsi="宋体" w:eastAsia="宋体" w:cs="宋体"/>
          <w:color w:val="000000"/>
          <w:sz w:val="21"/>
          <w:szCs w:val="21"/>
          <w:u w:val="single"/>
        </w:rPr>
        <w:fldChar w:fldCharType="end"/>
      </w:r>
      <w:r>
        <w:rPr>
          <w:rFonts w:hint="eastAsia" w:ascii="宋体" w:hAnsi="宋体" w:eastAsia="宋体" w:cs="宋体"/>
          <w:color w:val="000000"/>
          <w:sz w:val="21"/>
          <w:szCs w:val="21"/>
          <w:u w:val="single"/>
        </w:rPr>
        <w:t>因发包人未能及时确认变更价格或甲供材料提供延误的。⑨发包人未能按约定日期支付工程预付款、进度款，致使施工不能正常进行。⑩非承包人的责任造成的工期延误其他情形</w:t>
      </w:r>
      <w:r>
        <w:rPr>
          <w:rFonts w:hint="eastAsia" w:ascii="宋体" w:hAnsi="宋体" w:eastAsia="宋体" w:cs="宋体"/>
          <w:color w:val="000000"/>
          <w:sz w:val="21"/>
          <w:szCs w:val="21"/>
        </w:rPr>
        <w:t>。</w:t>
      </w:r>
      <w:r>
        <w:rPr>
          <w:rFonts w:hint="eastAsia" w:ascii="宋体" w:hAnsi="宋体" w:eastAsia="宋体" w:cs="宋体"/>
          <w:sz w:val="21"/>
          <w:szCs w:val="21"/>
        </w:rPr>
        <w:t xml:space="preserve">                                        </w:t>
      </w:r>
    </w:p>
    <w:p w14:paraId="083BBFCC">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7</w:t>
      </w:r>
      <w:bookmarkStart w:id="499" w:name="_Toc312677486"/>
      <w:bookmarkStart w:id="500" w:name="_Toc318581169"/>
      <w:bookmarkStart w:id="501" w:name="_Toc312678012"/>
      <w:bookmarkStart w:id="502" w:name="_Toc303539127"/>
      <w:bookmarkStart w:id="503" w:name="_Toc297216177"/>
      <w:bookmarkStart w:id="504" w:name="_Toc297123518"/>
      <w:bookmarkStart w:id="505" w:name="_Toc304295548"/>
      <w:bookmarkStart w:id="506" w:name="_Toc300934970"/>
      <w:r>
        <w:rPr>
          <w:rFonts w:hint="eastAsia" w:ascii="宋体" w:hAnsi="宋体" w:eastAsia="宋体" w:cs="宋体"/>
          <w:sz w:val="21"/>
          <w:szCs w:val="21"/>
        </w:rPr>
        <w:t>.5.2 因承包人原因导致工期延误</w:t>
      </w:r>
    </w:p>
    <w:bookmarkEnd w:id="499"/>
    <w:bookmarkEnd w:id="500"/>
    <w:bookmarkEnd w:id="501"/>
    <w:p w14:paraId="2C07CDF8">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双方约定经监理工程师确认，工期相应顺延的情况：</w:t>
      </w:r>
      <w:r>
        <w:rPr>
          <w:rFonts w:hint="eastAsia" w:ascii="宋体" w:hAnsi="宋体" w:eastAsia="宋体" w:cs="宋体"/>
          <w:sz w:val="21"/>
          <w:szCs w:val="21"/>
          <w:u w:val="single"/>
        </w:rPr>
        <w:t>当地政策变化引起的延误；建设项目停、缓建；不可预见的地下障碍物和地下文物的处理；属不可抗拒的自然灾害；因发包人原因造成的延误。</w:t>
      </w:r>
    </w:p>
    <w:p w14:paraId="07CD610C">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u w:val="single"/>
        </w:rPr>
        <w:t>由于承包人原因引起的过失或违约造成的延误，责任在承包人，由承包人承担费用，不顺延工期</w:t>
      </w:r>
      <w:r>
        <w:rPr>
          <w:rFonts w:hint="eastAsia" w:ascii="宋体" w:hAnsi="宋体" w:eastAsia="宋体" w:cs="宋体"/>
          <w:sz w:val="21"/>
          <w:szCs w:val="21"/>
        </w:rPr>
        <w:t>。</w:t>
      </w:r>
    </w:p>
    <w:p w14:paraId="177FBD05">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因</w:t>
      </w:r>
      <w:bookmarkStart w:id="507" w:name="_Toc312678013"/>
      <w:bookmarkStart w:id="508" w:name="_Toc318581170"/>
      <w:bookmarkStart w:id="509" w:name="_Toc312677487"/>
      <w:r>
        <w:rPr>
          <w:rFonts w:hint="eastAsia" w:ascii="宋体" w:hAnsi="宋体" w:eastAsia="宋体" w:cs="宋体"/>
          <w:sz w:val="21"/>
          <w:szCs w:val="21"/>
        </w:rPr>
        <w:t>承包人原因造成工期延误，逾期竣工违约金的计算方法为：</w:t>
      </w:r>
      <w:r>
        <w:rPr>
          <w:rFonts w:hint="eastAsia" w:ascii="宋体" w:hAnsi="宋体" w:eastAsia="宋体" w:cs="宋体"/>
          <w:color w:val="000000"/>
          <w:sz w:val="21"/>
          <w:szCs w:val="21"/>
          <w:u w:val="single"/>
        </w:rPr>
        <w:t>承包人不能按合同约定的时间竣工，承包人应承担违约责任。应向发包人支付误期赔偿费（每天赔偿金</w:t>
      </w:r>
      <w:r>
        <w:rPr>
          <w:rFonts w:hint="eastAsia" w:ascii="宋体" w:hAnsi="宋体" w:eastAsia="宋体" w:cs="宋体"/>
          <w:sz w:val="21"/>
          <w:szCs w:val="21"/>
          <w:u w:val="single"/>
        </w:rPr>
        <w:t>额为合同价款的万分之三），误期时间从规定竣工日期起直到全部工程或相应部分工程竣工验收各方签章日期之间的天数（扣除发包人批准顺延的工期）。发包人可从应向承包人支付的任何金额中扣除此项赔款费或其他方式收回此款，此赔偿款的支付并不能解除承包人应完成工程的责任或合同规定的其他责任</w:t>
      </w:r>
      <w:r>
        <w:rPr>
          <w:rFonts w:hint="eastAsia" w:ascii="宋体" w:hAnsi="宋体" w:eastAsia="宋体" w:cs="宋体"/>
          <w:sz w:val="21"/>
          <w:szCs w:val="21"/>
        </w:rPr>
        <w:t>。</w:t>
      </w:r>
    </w:p>
    <w:bookmarkEnd w:id="502"/>
    <w:bookmarkEnd w:id="503"/>
    <w:bookmarkEnd w:id="504"/>
    <w:bookmarkEnd w:id="505"/>
    <w:bookmarkEnd w:id="506"/>
    <w:bookmarkEnd w:id="507"/>
    <w:bookmarkEnd w:id="508"/>
    <w:bookmarkEnd w:id="509"/>
    <w:p w14:paraId="369BCC4C">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因承包人原因造成工期延误，逾</w:t>
      </w:r>
      <w:bookmarkStart w:id="510" w:name="_Toc318581171"/>
      <w:bookmarkStart w:id="511" w:name="_Toc312678014"/>
      <w:r>
        <w:rPr>
          <w:rFonts w:hint="eastAsia" w:ascii="宋体" w:hAnsi="宋体" w:eastAsia="宋体" w:cs="宋体"/>
          <w:sz w:val="21"/>
          <w:szCs w:val="21"/>
        </w:rPr>
        <w:t>期竣工违约金的上限：</w:t>
      </w:r>
      <w:r>
        <w:rPr>
          <w:rFonts w:hint="eastAsia" w:ascii="宋体" w:hAnsi="宋体" w:eastAsia="宋体" w:cs="宋体"/>
          <w:sz w:val="21"/>
          <w:szCs w:val="21"/>
          <w:u w:val="single"/>
        </w:rPr>
        <w:t>合同价款的2%</w:t>
      </w:r>
      <w:r>
        <w:rPr>
          <w:rFonts w:hint="eastAsia" w:ascii="宋体" w:hAnsi="宋体" w:eastAsia="宋体" w:cs="宋体"/>
          <w:sz w:val="21"/>
          <w:szCs w:val="21"/>
        </w:rPr>
        <w:t>。</w:t>
      </w:r>
    </w:p>
    <w:bookmarkEnd w:id="510"/>
    <w:bookmarkEnd w:id="511"/>
    <w:p w14:paraId="3C355958">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512" w:name="_Toc373227728"/>
      <w:bookmarkStart w:id="513" w:name="_Toc3882784"/>
      <w:bookmarkStart w:id="514" w:name="_Toc389065294"/>
      <w:bookmarkStart w:id="515" w:name="_Toc373478375"/>
      <w:bookmarkStart w:id="516" w:name="_Toc30061976"/>
      <w:r>
        <w:rPr>
          <w:rFonts w:hint="eastAsia" w:ascii="宋体" w:hAnsi="宋体" w:eastAsia="宋体" w:cs="宋体"/>
          <w:b/>
          <w:kern w:val="0"/>
          <w:sz w:val="21"/>
          <w:szCs w:val="21"/>
        </w:rPr>
        <w:t>7</w:t>
      </w:r>
      <w:bookmarkStart w:id="517" w:name="_Toc303539128"/>
      <w:bookmarkStart w:id="518" w:name="_Toc304295549"/>
      <w:bookmarkStart w:id="519" w:name="_Toc297216178"/>
      <w:bookmarkStart w:id="520" w:name="_Toc300934971"/>
      <w:bookmarkStart w:id="521" w:name="_Toc312678015"/>
      <w:bookmarkStart w:id="522" w:name="_Toc297123519"/>
      <w:r>
        <w:rPr>
          <w:rFonts w:hint="eastAsia" w:ascii="宋体" w:hAnsi="宋体" w:eastAsia="宋体" w:cs="宋体"/>
          <w:b/>
          <w:kern w:val="0"/>
          <w:sz w:val="21"/>
          <w:szCs w:val="21"/>
        </w:rPr>
        <w:t>.6 不</w:t>
      </w:r>
      <w:bookmarkEnd w:id="517"/>
      <w:bookmarkEnd w:id="518"/>
      <w:bookmarkEnd w:id="519"/>
      <w:bookmarkEnd w:id="520"/>
      <w:bookmarkEnd w:id="521"/>
      <w:bookmarkEnd w:id="522"/>
      <w:r>
        <w:rPr>
          <w:rFonts w:hint="eastAsia" w:ascii="宋体" w:hAnsi="宋体" w:eastAsia="宋体" w:cs="宋体"/>
          <w:b/>
          <w:kern w:val="0"/>
          <w:sz w:val="21"/>
          <w:szCs w:val="21"/>
        </w:rPr>
        <w:t>利物质条件</w:t>
      </w:r>
      <w:bookmarkEnd w:id="512"/>
      <w:bookmarkEnd w:id="513"/>
      <w:bookmarkEnd w:id="514"/>
      <w:bookmarkEnd w:id="515"/>
      <w:bookmarkEnd w:id="516"/>
    </w:p>
    <w:p w14:paraId="0C7F11BD">
      <w:pPr>
        <w:pStyle w:val="54"/>
        <w:spacing w:line="360" w:lineRule="auto"/>
        <w:ind w:firstLine="420" w:firstLineChars="200"/>
        <w:jc w:val="left"/>
        <w:rPr>
          <w:rFonts w:hint="eastAsia" w:ascii="宋体" w:hAnsi="宋体" w:eastAsia="宋体" w:cs="宋体"/>
          <w:sz w:val="21"/>
          <w:szCs w:val="21"/>
          <w:u w:val="single"/>
        </w:rPr>
      </w:pPr>
      <w:bookmarkStart w:id="523" w:name="_Toc297123520"/>
      <w:bookmarkStart w:id="524" w:name="_Toc297216179"/>
      <w:bookmarkStart w:id="525" w:name="_Toc304295550"/>
      <w:bookmarkStart w:id="526" w:name="_Toc318581172"/>
      <w:bookmarkStart w:id="527" w:name="_Toc312678016"/>
      <w:bookmarkStart w:id="528" w:name="_Toc303539129"/>
      <w:bookmarkStart w:id="529" w:name="_Toc300934972"/>
      <w:r>
        <w:rPr>
          <w:rFonts w:hint="eastAsia" w:ascii="宋体" w:hAnsi="宋体" w:eastAsia="宋体" w:cs="宋体"/>
          <w:sz w:val="21"/>
          <w:szCs w:val="21"/>
        </w:rPr>
        <w:t>不利物质条件的其他情形和有关约定：</w:t>
      </w:r>
      <w:r>
        <w:rPr>
          <w:rFonts w:hint="eastAsia" w:ascii="宋体" w:hAnsi="宋体" w:eastAsia="宋体" w:cs="宋体"/>
          <w:sz w:val="21"/>
          <w:szCs w:val="21"/>
          <w:u w:val="single"/>
        </w:rPr>
        <w:t>气象台发布的黄色预警及以上天气、恶劣的霜冻与冰冻天气</w:t>
      </w:r>
      <w:r>
        <w:rPr>
          <w:rFonts w:hint="eastAsia" w:ascii="宋体" w:hAnsi="宋体" w:eastAsia="宋体" w:cs="宋体"/>
          <w:sz w:val="21"/>
          <w:szCs w:val="21"/>
        </w:rPr>
        <w:t>。</w:t>
      </w:r>
    </w:p>
    <w:bookmarkEnd w:id="523"/>
    <w:bookmarkEnd w:id="524"/>
    <w:bookmarkEnd w:id="525"/>
    <w:bookmarkEnd w:id="526"/>
    <w:bookmarkEnd w:id="527"/>
    <w:bookmarkEnd w:id="528"/>
    <w:bookmarkEnd w:id="529"/>
    <w:p w14:paraId="6788BE82">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530" w:name="_Toc469010932"/>
      <w:bookmarkStart w:id="531" w:name="_Toc4085"/>
      <w:bookmarkStart w:id="532" w:name="_Toc30061977"/>
      <w:bookmarkStart w:id="533" w:name="_Toc3882785"/>
      <w:bookmarkStart w:id="534" w:name="_Toc373478376"/>
      <w:bookmarkStart w:id="535" w:name="_Toc373227729"/>
      <w:bookmarkStart w:id="536" w:name="_Toc389065295"/>
      <w:r>
        <w:rPr>
          <w:rFonts w:hint="eastAsia" w:ascii="宋体" w:hAnsi="宋体" w:eastAsia="宋体" w:cs="宋体"/>
          <w:b/>
          <w:kern w:val="0"/>
          <w:sz w:val="21"/>
          <w:szCs w:val="21"/>
        </w:rPr>
        <w:t>7</w:t>
      </w:r>
      <w:bookmarkStart w:id="537" w:name="_Toc312678017"/>
      <w:bookmarkStart w:id="538" w:name="_Toc297123521"/>
      <w:bookmarkStart w:id="539" w:name="_Toc304295551"/>
      <w:bookmarkStart w:id="540" w:name="_Toc297216180"/>
      <w:bookmarkStart w:id="541" w:name="_Toc300934973"/>
      <w:bookmarkStart w:id="542" w:name="_Toc303539130"/>
      <w:r>
        <w:rPr>
          <w:rFonts w:hint="eastAsia" w:ascii="宋体" w:hAnsi="宋体" w:eastAsia="宋体" w:cs="宋体"/>
          <w:b/>
          <w:kern w:val="0"/>
          <w:sz w:val="21"/>
          <w:szCs w:val="21"/>
        </w:rPr>
        <w:t>.7 异常恶劣的气候条件</w:t>
      </w:r>
      <w:bookmarkEnd w:id="530"/>
      <w:bookmarkEnd w:id="531"/>
      <w:bookmarkEnd w:id="532"/>
      <w:bookmarkEnd w:id="533"/>
      <w:bookmarkEnd w:id="534"/>
      <w:bookmarkEnd w:id="535"/>
      <w:bookmarkEnd w:id="536"/>
    </w:p>
    <w:bookmarkEnd w:id="537"/>
    <w:bookmarkEnd w:id="538"/>
    <w:bookmarkEnd w:id="539"/>
    <w:bookmarkEnd w:id="540"/>
    <w:bookmarkEnd w:id="541"/>
    <w:bookmarkEnd w:id="542"/>
    <w:p w14:paraId="7AF1BE09">
      <w:pPr>
        <w:pStyle w:val="54"/>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发包人和承包人同意以下情形视为异常恶劣的气候条件：</w:t>
      </w:r>
    </w:p>
    <w:p w14:paraId="0EF53CA6">
      <w:pPr>
        <w:pStyle w:val="54"/>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u w:val="single"/>
        </w:rPr>
        <w:t>中雨级及以上的雨天；持续2天38度的高温天气；持续2天零度以下的低温天气；25年以上未发生过的洪水； 8级及以上的地震；8级及以上的大风</w:t>
      </w:r>
      <w:r>
        <w:rPr>
          <w:rFonts w:hint="eastAsia" w:ascii="宋体" w:hAnsi="宋体" w:eastAsia="宋体" w:cs="宋体"/>
          <w:sz w:val="21"/>
          <w:szCs w:val="21"/>
        </w:rPr>
        <w:t>。</w:t>
      </w:r>
    </w:p>
    <w:p w14:paraId="3AD90D87">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543" w:name="_Toc389065296"/>
      <w:bookmarkStart w:id="544" w:name="_Toc469010933"/>
      <w:bookmarkStart w:id="545" w:name="_Toc30061978"/>
      <w:bookmarkStart w:id="546" w:name="_Toc373227730"/>
      <w:bookmarkStart w:id="547" w:name="_Toc7439"/>
      <w:bookmarkStart w:id="548" w:name="_Toc373478377"/>
      <w:bookmarkStart w:id="549" w:name="_Toc3882786"/>
      <w:r>
        <w:rPr>
          <w:rFonts w:hint="eastAsia" w:ascii="宋体" w:hAnsi="宋体" w:eastAsia="宋体" w:cs="宋体"/>
          <w:b/>
          <w:kern w:val="0"/>
          <w:sz w:val="21"/>
          <w:szCs w:val="21"/>
        </w:rPr>
        <w:t>7.9 提前竣工</w:t>
      </w:r>
      <w:bookmarkEnd w:id="543"/>
      <w:bookmarkEnd w:id="544"/>
      <w:bookmarkEnd w:id="545"/>
      <w:bookmarkEnd w:id="546"/>
      <w:bookmarkEnd w:id="547"/>
      <w:bookmarkEnd w:id="548"/>
      <w:bookmarkEnd w:id="549"/>
    </w:p>
    <w:p w14:paraId="23A74864">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7.9.2提前竣工（赶工）增加费的计算方法：</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14:paraId="326029CB">
      <w:pPr>
        <w:pStyle w:val="54"/>
        <w:keepNext/>
        <w:keepLines/>
        <w:spacing w:before="60" w:after="60" w:line="360" w:lineRule="auto"/>
        <w:ind w:firstLine="422" w:firstLineChars="200"/>
        <w:outlineLvl w:val="1"/>
        <w:rPr>
          <w:rFonts w:hint="eastAsia" w:ascii="宋体" w:hAnsi="宋体" w:eastAsia="宋体" w:cs="宋体"/>
          <w:b/>
          <w:sz w:val="21"/>
          <w:szCs w:val="21"/>
        </w:rPr>
      </w:pPr>
      <w:bookmarkStart w:id="550" w:name="_Toc351203640"/>
      <w:bookmarkStart w:id="551" w:name="_Toc30061979"/>
      <w:bookmarkStart w:id="552" w:name="_Toc389065297"/>
      <w:bookmarkStart w:id="553" w:name="_Toc373478378"/>
      <w:bookmarkStart w:id="554" w:name="_Toc3882787"/>
      <w:bookmarkStart w:id="555" w:name="_Toc373227731"/>
      <w:bookmarkStart w:id="556" w:name="_Toc469010934"/>
      <w:bookmarkStart w:id="557" w:name="_Toc11665"/>
      <w:r>
        <w:rPr>
          <w:rFonts w:hint="eastAsia" w:ascii="宋体" w:hAnsi="宋体" w:eastAsia="宋体" w:cs="宋体"/>
          <w:b/>
          <w:sz w:val="21"/>
          <w:szCs w:val="21"/>
        </w:rPr>
        <w:t>8. 材料与设备</w:t>
      </w:r>
      <w:bookmarkEnd w:id="550"/>
      <w:bookmarkEnd w:id="551"/>
      <w:bookmarkEnd w:id="552"/>
      <w:bookmarkEnd w:id="553"/>
      <w:bookmarkEnd w:id="554"/>
      <w:bookmarkEnd w:id="555"/>
      <w:bookmarkEnd w:id="556"/>
      <w:bookmarkEnd w:id="557"/>
    </w:p>
    <w:bookmarkEnd w:id="400"/>
    <w:bookmarkEnd w:id="401"/>
    <w:bookmarkEnd w:id="402"/>
    <w:bookmarkEnd w:id="403"/>
    <w:bookmarkEnd w:id="404"/>
    <w:bookmarkEnd w:id="405"/>
    <w:bookmarkEnd w:id="406"/>
    <w:bookmarkEnd w:id="407"/>
    <w:bookmarkEnd w:id="408"/>
    <w:bookmarkEnd w:id="409"/>
    <w:p w14:paraId="7CC49F8D">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558" w:name="_Toc373478379"/>
      <w:bookmarkStart w:id="559" w:name="_Toc469010935"/>
      <w:bookmarkStart w:id="560" w:name="_Toc373227732"/>
      <w:bookmarkStart w:id="561" w:name="_Toc30061980"/>
      <w:bookmarkStart w:id="562" w:name="_Toc3882788"/>
      <w:bookmarkStart w:id="563" w:name="_Toc389065298"/>
      <w:bookmarkStart w:id="564" w:name="_Toc3275"/>
      <w:r>
        <w:rPr>
          <w:rFonts w:hint="eastAsia" w:ascii="宋体" w:hAnsi="宋体" w:eastAsia="宋体" w:cs="宋体"/>
          <w:b/>
          <w:kern w:val="0"/>
          <w:sz w:val="21"/>
          <w:szCs w:val="21"/>
        </w:rPr>
        <w:t>8.2 承包人采购材料与工程设备</w:t>
      </w:r>
      <w:bookmarkEnd w:id="558"/>
      <w:bookmarkEnd w:id="559"/>
      <w:bookmarkEnd w:id="560"/>
      <w:bookmarkEnd w:id="561"/>
      <w:bookmarkEnd w:id="562"/>
      <w:bookmarkEnd w:id="563"/>
      <w:bookmarkEnd w:id="564"/>
    </w:p>
    <w:p w14:paraId="46D7FBBC">
      <w:pPr>
        <w:pStyle w:val="54"/>
        <w:autoSpaceDE w:val="0"/>
        <w:autoSpaceDN w:val="0"/>
        <w:adjustRightIn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除已标价工程量清单《发包人提供主要材料和工程设备一览表》（表-21）中明确的材料、工程设备外，由承包人负责材料和工程设备的采购、运输和保管。《</w:t>
      </w:r>
      <w:r>
        <w:rPr>
          <w:rFonts w:hint="eastAsia" w:ascii="宋体" w:hAnsi="宋体" w:eastAsia="宋体" w:cs="宋体"/>
          <w:sz w:val="21"/>
          <w:szCs w:val="21"/>
        </w:rPr>
        <w:t>承包人提供主要材料和工程设备一览表》</w:t>
      </w:r>
      <w:r>
        <w:rPr>
          <w:rFonts w:hint="eastAsia" w:ascii="宋体" w:hAnsi="宋体" w:eastAsia="宋体" w:cs="宋体"/>
          <w:kern w:val="0"/>
          <w:sz w:val="21"/>
          <w:szCs w:val="21"/>
        </w:rPr>
        <w:t>（表-22）见已标价工程量清单。如发包人招标时提供的《承包人提供主要材料和设备一览表》中的主要按材料和设备缺项、漏项，经发包人及相关部门审核确认后予以调整。</w:t>
      </w:r>
    </w:p>
    <w:p w14:paraId="76C07C08">
      <w:pPr>
        <w:pStyle w:val="54"/>
        <w:autoSpaceDE w:val="0"/>
        <w:autoSpaceDN w:val="0"/>
        <w:adjustRightIn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对发包人在招标时有“参照或相当于**品牌、级别”约定的材料或设备，承包人采购时必须按类似于或优于所约定品牌、等级进行采购，施工期间该部分材料或设备如未超过招标约定的风险幅度的，结算时按投标单价支付，不得调整。</w:t>
      </w:r>
    </w:p>
    <w:p w14:paraId="289ABF43">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565" w:name="_Toc3882789"/>
      <w:bookmarkStart w:id="566" w:name="_Toc389065299"/>
      <w:bookmarkStart w:id="567" w:name="_Toc30061981"/>
      <w:bookmarkStart w:id="568" w:name="_Toc21582"/>
      <w:bookmarkStart w:id="569" w:name="_Toc373227733"/>
      <w:bookmarkStart w:id="570" w:name="_Toc469010936"/>
      <w:bookmarkStart w:id="571" w:name="_Toc373478380"/>
      <w:r>
        <w:rPr>
          <w:rFonts w:hint="eastAsia" w:ascii="宋体" w:hAnsi="宋体" w:eastAsia="宋体" w:cs="宋体"/>
          <w:b/>
          <w:kern w:val="0"/>
          <w:sz w:val="21"/>
          <w:szCs w:val="21"/>
        </w:rPr>
        <w:t>8</w:t>
      </w:r>
      <w:bookmarkStart w:id="572" w:name="_Toc297120467"/>
      <w:bookmarkStart w:id="573" w:name="_Toc296891207"/>
      <w:bookmarkStart w:id="574" w:name="_Toc297048353"/>
      <w:bookmarkStart w:id="575" w:name="_Toc280868654"/>
      <w:bookmarkStart w:id="576" w:name="_Toc304295556"/>
      <w:bookmarkStart w:id="577" w:name="_Toc296890995"/>
      <w:bookmarkStart w:id="578" w:name="_Toc292559372"/>
      <w:bookmarkStart w:id="579" w:name="_Toc292559877"/>
      <w:bookmarkStart w:id="580" w:name="_Toc296347166"/>
      <w:bookmarkStart w:id="581" w:name="_Toc312678019"/>
      <w:bookmarkStart w:id="582" w:name="_Toc300934979"/>
      <w:bookmarkStart w:id="583" w:name="_Toc297123527"/>
      <w:bookmarkStart w:id="584" w:name="_Toc303539136"/>
      <w:bookmarkStart w:id="585" w:name="_Toc297216186"/>
      <w:bookmarkStart w:id="586" w:name="_Toc312677493"/>
      <w:bookmarkStart w:id="587" w:name="_Toc296503167"/>
      <w:bookmarkStart w:id="588" w:name="_Toc296944506"/>
      <w:bookmarkStart w:id="589" w:name="_Toc296346668"/>
      <w:bookmarkStart w:id="590" w:name="_Toc280868656"/>
      <w:bookmarkStart w:id="591" w:name="_Toc267251424"/>
      <w:bookmarkStart w:id="592" w:name="_Toc280868655"/>
      <w:r>
        <w:rPr>
          <w:rFonts w:hint="eastAsia" w:ascii="宋体" w:hAnsi="宋体" w:eastAsia="宋体" w:cs="宋体"/>
          <w:b/>
          <w:kern w:val="0"/>
          <w:sz w:val="21"/>
          <w:szCs w:val="21"/>
        </w:rPr>
        <w:t>.4 材料与工程设备的保管与使用</w:t>
      </w:r>
      <w:bookmarkEnd w:id="565"/>
      <w:bookmarkEnd w:id="566"/>
      <w:bookmarkEnd w:id="567"/>
      <w:bookmarkEnd w:id="568"/>
      <w:bookmarkEnd w:id="569"/>
      <w:bookmarkEnd w:id="570"/>
      <w:bookmarkEnd w:id="571"/>
    </w:p>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p w14:paraId="73143D54">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8</w:t>
      </w:r>
      <w:bookmarkStart w:id="593" w:name="_Toc292559878"/>
      <w:bookmarkStart w:id="594" w:name="_Toc292559373"/>
      <w:bookmarkStart w:id="595" w:name="_Toc300934980"/>
      <w:bookmarkStart w:id="596" w:name="_Toc312677494"/>
      <w:bookmarkStart w:id="597" w:name="_Toc297120468"/>
      <w:bookmarkStart w:id="598" w:name="_Toc304295557"/>
      <w:bookmarkStart w:id="599" w:name="_Toc303539137"/>
      <w:bookmarkStart w:id="600" w:name="_Toc297123528"/>
      <w:bookmarkStart w:id="601" w:name="_Toc296346669"/>
      <w:bookmarkStart w:id="602" w:name="_Toc297048354"/>
      <w:bookmarkStart w:id="603" w:name="_Toc296944507"/>
      <w:bookmarkStart w:id="604" w:name="_Toc296890996"/>
      <w:bookmarkStart w:id="605" w:name="_Toc296347167"/>
      <w:bookmarkStart w:id="606" w:name="_Toc297216187"/>
      <w:bookmarkStart w:id="607" w:name="_Toc296503168"/>
      <w:bookmarkStart w:id="608" w:name="_Toc296891208"/>
      <w:bookmarkStart w:id="609" w:name="_Toc312678020"/>
      <w:bookmarkStart w:id="610" w:name="_Toc318581173"/>
      <w:r>
        <w:rPr>
          <w:rFonts w:hint="eastAsia" w:ascii="宋体" w:hAnsi="宋体" w:eastAsia="宋体" w:cs="宋体"/>
          <w:sz w:val="21"/>
          <w:szCs w:val="21"/>
        </w:rPr>
        <w:t>.4.1发包人供应的材料设备的保管费用的承担：</w:t>
      </w:r>
      <w:r>
        <w:rPr>
          <w:rFonts w:hint="eastAsia" w:ascii="宋体" w:hAnsi="宋体" w:eastAsia="宋体" w:cs="宋体"/>
          <w:sz w:val="21"/>
          <w:szCs w:val="21"/>
          <w:u w:val="single"/>
        </w:rPr>
        <w:t>承包人负责</w:t>
      </w:r>
      <w:r>
        <w:rPr>
          <w:rFonts w:hint="eastAsia" w:ascii="宋体" w:hAnsi="宋体" w:eastAsia="宋体" w:cs="宋体"/>
          <w:sz w:val="21"/>
          <w:szCs w:val="21"/>
        </w:rPr>
        <w:t>。</w:t>
      </w:r>
    </w:p>
    <w:bookmarkEnd w:id="593"/>
    <w:bookmarkEnd w:id="594"/>
    <w:p w14:paraId="1921A7C1">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611" w:name="_Toc469010937"/>
      <w:bookmarkStart w:id="612" w:name="_Toc3882790"/>
      <w:bookmarkStart w:id="613" w:name="_Toc373227734"/>
      <w:bookmarkStart w:id="614" w:name="_Toc373478381"/>
      <w:bookmarkStart w:id="615" w:name="_Toc389065300"/>
      <w:bookmarkStart w:id="616" w:name="_Toc18397"/>
      <w:bookmarkStart w:id="617" w:name="_Toc30061982"/>
      <w:r>
        <w:rPr>
          <w:rFonts w:hint="eastAsia" w:ascii="宋体" w:hAnsi="宋体" w:eastAsia="宋体" w:cs="宋体"/>
          <w:b/>
          <w:kern w:val="0"/>
          <w:sz w:val="21"/>
          <w:szCs w:val="21"/>
        </w:rPr>
        <w:t>8.6 样品</w:t>
      </w:r>
      <w:bookmarkEnd w:id="611"/>
      <w:bookmarkEnd w:id="612"/>
      <w:bookmarkEnd w:id="613"/>
      <w:bookmarkEnd w:id="614"/>
      <w:bookmarkEnd w:id="615"/>
      <w:bookmarkEnd w:id="616"/>
      <w:bookmarkEnd w:id="617"/>
    </w:p>
    <w:p w14:paraId="0FC78F15">
      <w:pPr>
        <w:pStyle w:val="54"/>
        <w:autoSpaceDE w:val="0"/>
        <w:autoSpaceDN w:val="0"/>
        <w:adjustRightIn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8.6.1 样品的报送与封存</w:t>
      </w:r>
    </w:p>
    <w:p w14:paraId="0198C91E">
      <w:pPr>
        <w:pStyle w:val="54"/>
        <w:autoSpaceDE w:val="0"/>
        <w:autoSpaceDN w:val="0"/>
        <w:adjustRightInd w:val="0"/>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kern w:val="0"/>
          <w:sz w:val="21"/>
          <w:szCs w:val="21"/>
        </w:rPr>
        <w:t>需要承包人报送样品的材料或工程设备，样品的种类、名称、规格、数量要求：</w:t>
      </w:r>
      <w:r>
        <w:rPr>
          <w:rFonts w:hint="eastAsia" w:ascii="宋体" w:hAnsi="宋体" w:eastAsia="宋体" w:cs="宋体"/>
          <w:sz w:val="21"/>
          <w:szCs w:val="21"/>
          <w:u w:val="single"/>
        </w:rPr>
        <w:t>主要材料涉及品种、款式、颜色等方面内容的，承包人应提交准备合格的材料样品送发包人选定。</w:t>
      </w:r>
    </w:p>
    <w:p w14:paraId="2A5A2033">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618" w:name="_Toc469010938"/>
      <w:bookmarkStart w:id="619" w:name="_Toc373478382"/>
      <w:bookmarkStart w:id="620" w:name="_Toc30061983"/>
      <w:bookmarkStart w:id="621" w:name="_Toc3882791"/>
      <w:bookmarkStart w:id="622" w:name="_Toc25050"/>
      <w:bookmarkStart w:id="623" w:name="_Toc373227735"/>
      <w:bookmarkStart w:id="624" w:name="_Toc389065301"/>
      <w:r>
        <w:rPr>
          <w:rFonts w:hint="eastAsia" w:ascii="宋体" w:hAnsi="宋体" w:eastAsia="宋体" w:cs="宋体"/>
          <w:b/>
          <w:kern w:val="0"/>
          <w:sz w:val="21"/>
          <w:szCs w:val="21"/>
        </w:rPr>
        <w:t>8.8 施工设备和临时设施</w:t>
      </w:r>
      <w:bookmarkEnd w:id="618"/>
      <w:bookmarkEnd w:id="619"/>
      <w:bookmarkEnd w:id="620"/>
      <w:bookmarkEnd w:id="621"/>
      <w:bookmarkEnd w:id="622"/>
      <w:bookmarkEnd w:id="623"/>
      <w:bookmarkEnd w:id="624"/>
    </w:p>
    <w:p w14:paraId="72BF0D73">
      <w:pPr>
        <w:pStyle w:val="54"/>
        <w:autoSpaceDE w:val="0"/>
        <w:autoSpaceDN w:val="0"/>
        <w:adjustRightIn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8.8.1 承包人提供的施工设备和临时设施</w:t>
      </w:r>
    </w:p>
    <w:p w14:paraId="748E2908">
      <w:pPr>
        <w:pStyle w:val="54"/>
        <w:autoSpaceDE w:val="0"/>
        <w:autoSpaceDN w:val="0"/>
        <w:adjustRightIn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6。</w:t>
      </w:r>
    </w:p>
    <w:p w14:paraId="0E79AF9B">
      <w:pPr>
        <w:pStyle w:val="54"/>
        <w:autoSpaceDE w:val="0"/>
        <w:autoSpaceDN w:val="0"/>
        <w:adjustRightIn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关于修建临时设施费用承担的约定：</w:t>
      </w:r>
    </w:p>
    <w:p w14:paraId="5F566986">
      <w:pPr>
        <w:pStyle w:val="54"/>
        <w:autoSpaceDE w:val="0"/>
        <w:autoSpaceDN w:val="0"/>
        <w:adjustRightInd w:val="0"/>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u w:val="single"/>
        </w:rPr>
        <w:t>①承包人的临时用地（含项目部驻地等）租用费、临时用地的环保、恢复、临时用地的青苗补偿及地面附着物拆除等费用均由承包人负责，以上费用在投标报价中综合考虑。</w:t>
      </w:r>
    </w:p>
    <w:p w14:paraId="7032772F">
      <w:pPr>
        <w:pStyle w:val="54"/>
        <w:autoSpaceDE w:val="0"/>
        <w:autoSpaceDN w:val="0"/>
        <w:adjustRightInd w:val="0"/>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u w:val="single"/>
        </w:rPr>
        <w:t>②承包人负责合同实施期间其合同段内临时交通道路和交通设施的修建、维修、养护和交通管理工作，并承担一切费用。</w:t>
      </w:r>
    </w:p>
    <w:p w14:paraId="7DBA503C">
      <w:pPr>
        <w:pStyle w:val="54"/>
        <w:autoSpaceDE w:val="0"/>
        <w:autoSpaceDN w:val="0"/>
        <w:adjustRightInd w:val="0"/>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30C40444">
      <w:pPr>
        <w:pStyle w:val="54"/>
        <w:autoSpaceDE w:val="0"/>
        <w:autoSpaceDN w:val="0"/>
        <w:adjustRightIn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8.8.2 发包人提供的施工设备和临时设施</w:t>
      </w:r>
    </w:p>
    <w:p w14:paraId="7C701706">
      <w:pPr>
        <w:pStyle w:val="54"/>
        <w:autoSpaceDE w:val="0"/>
        <w:autoSpaceDN w:val="0"/>
        <w:adjustRightIn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发包人提供的施工设备和临时设施：</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14:paraId="6A87D05F">
      <w:pPr>
        <w:pStyle w:val="54"/>
        <w:autoSpaceDE w:val="0"/>
        <w:autoSpaceDN w:val="0"/>
        <w:adjustRightIn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发包人提供的施工设备和临时设施的运行、维护、拆除、清运费用的承担人：</w:t>
      </w:r>
      <w:r>
        <w:rPr>
          <w:rFonts w:hint="eastAsia" w:ascii="宋体" w:hAnsi="宋体" w:eastAsia="宋体" w:cs="宋体"/>
          <w:sz w:val="21"/>
          <w:szCs w:val="21"/>
          <w:u w:val="single"/>
        </w:rPr>
        <w:t>承包人</w:t>
      </w:r>
      <w:r>
        <w:rPr>
          <w:rFonts w:hint="eastAsia" w:ascii="宋体" w:hAnsi="宋体" w:eastAsia="宋体" w:cs="宋体"/>
          <w:sz w:val="21"/>
          <w:szCs w:val="21"/>
        </w:rPr>
        <w:t>。</w:t>
      </w:r>
    </w:p>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p w14:paraId="66DE642F">
      <w:pPr>
        <w:pStyle w:val="54"/>
        <w:keepNext/>
        <w:keepLines/>
        <w:spacing w:before="60" w:after="60" w:line="360" w:lineRule="auto"/>
        <w:ind w:firstLine="422" w:firstLineChars="200"/>
        <w:outlineLvl w:val="1"/>
        <w:rPr>
          <w:rFonts w:hint="eastAsia" w:ascii="宋体" w:hAnsi="宋体" w:eastAsia="宋体" w:cs="宋体"/>
          <w:b/>
          <w:sz w:val="21"/>
          <w:szCs w:val="21"/>
        </w:rPr>
      </w:pPr>
      <w:bookmarkStart w:id="625" w:name="_Toc3882792"/>
      <w:bookmarkStart w:id="626" w:name="_Toc469010939"/>
      <w:bookmarkStart w:id="627" w:name="_Toc373478383"/>
      <w:bookmarkStart w:id="628" w:name="_Toc351203641"/>
      <w:bookmarkStart w:id="629" w:name="_Toc389065302"/>
      <w:bookmarkStart w:id="630" w:name="_Toc373227736"/>
      <w:bookmarkStart w:id="631" w:name="_Toc30061984"/>
      <w:bookmarkStart w:id="632" w:name="_Toc32025"/>
      <w:r>
        <w:rPr>
          <w:rFonts w:hint="eastAsia" w:ascii="宋体" w:hAnsi="宋体" w:eastAsia="宋体" w:cs="宋体"/>
          <w:b/>
          <w:sz w:val="21"/>
          <w:szCs w:val="21"/>
        </w:rPr>
        <w:t>9</w:t>
      </w:r>
      <w:bookmarkEnd w:id="590"/>
      <w:bookmarkEnd w:id="591"/>
      <w:bookmarkEnd w:id="592"/>
      <w:bookmarkStart w:id="633" w:name="_Toc297216192"/>
      <w:bookmarkStart w:id="634" w:name="_Toc304295559"/>
      <w:bookmarkStart w:id="635" w:name="_Toc300934982"/>
      <w:bookmarkStart w:id="636" w:name="_Toc312677495"/>
      <w:bookmarkStart w:id="637" w:name="_Toc303539139"/>
      <w:bookmarkStart w:id="638" w:name="_Toc297123533"/>
      <w:bookmarkStart w:id="639" w:name="_Toc312678021"/>
      <w:bookmarkStart w:id="640" w:name="_Toc296891213"/>
      <w:bookmarkStart w:id="641" w:name="_Toc297048359"/>
      <w:bookmarkStart w:id="642" w:name="_Toc267251428"/>
      <w:bookmarkStart w:id="643" w:name="_Toc292559883"/>
      <w:bookmarkStart w:id="644" w:name="_Toc297120473"/>
      <w:bookmarkStart w:id="645" w:name="_Toc296347172"/>
      <w:bookmarkStart w:id="646" w:name="_Toc292559378"/>
      <w:bookmarkStart w:id="647" w:name="_Toc267251427"/>
      <w:bookmarkStart w:id="648" w:name="_Toc296346674"/>
      <w:bookmarkStart w:id="649" w:name="_Toc296891001"/>
      <w:bookmarkStart w:id="650" w:name="_Toc296503173"/>
      <w:bookmarkStart w:id="651" w:name="_Toc296944512"/>
      <w:r>
        <w:rPr>
          <w:rFonts w:hint="eastAsia" w:ascii="宋体" w:hAnsi="宋体" w:eastAsia="宋体" w:cs="宋体"/>
          <w:b/>
          <w:sz w:val="21"/>
          <w:szCs w:val="21"/>
        </w:rPr>
        <w:t>. 试验与检验</w:t>
      </w:r>
      <w:bookmarkEnd w:id="625"/>
      <w:bookmarkEnd w:id="626"/>
      <w:bookmarkEnd w:id="627"/>
      <w:bookmarkEnd w:id="628"/>
      <w:bookmarkEnd w:id="629"/>
      <w:bookmarkEnd w:id="630"/>
      <w:bookmarkEnd w:id="631"/>
      <w:bookmarkEnd w:id="632"/>
    </w:p>
    <w:bookmarkEnd w:id="633"/>
    <w:bookmarkEnd w:id="634"/>
    <w:bookmarkEnd w:id="635"/>
    <w:bookmarkEnd w:id="636"/>
    <w:bookmarkEnd w:id="637"/>
    <w:bookmarkEnd w:id="638"/>
    <w:bookmarkEnd w:id="639"/>
    <w:p w14:paraId="72579E38">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652" w:name="_Toc389065303"/>
      <w:bookmarkStart w:id="653" w:name="_Toc469010940"/>
      <w:bookmarkStart w:id="654" w:name="_Toc373227737"/>
      <w:bookmarkStart w:id="655" w:name="_Toc3882793"/>
      <w:bookmarkStart w:id="656" w:name="_Toc373478384"/>
      <w:bookmarkStart w:id="657" w:name="_Toc23078"/>
      <w:bookmarkStart w:id="658" w:name="_Toc30061985"/>
      <w:r>
        <w:rPr>
          <w:rFonts w:hint="eastAsia" w:ascii="宋体" w:hAnsi="宋体" w:eastAsia="宋体" w:cs="宋体"/>
          <w:b/>
          <w:kern w:val="0"/>
          <w:sz w:val="21"/>
          <w:szCs w:val="21"/>
        </w:rPr>
        <w:t>9</w:t>
      </w:r>
      <w:bookmarkStart w:id="659" w:name="_Toc297216193"/>
      <w:bookmarkStart w:id="660" w:name="_Toc303539140"/>
      <w:bookmarkStart w:id="661" w:name="_Toc300934983"/>
      <w:bookmarkStart w:id="662" w:name="_Toc312678022"/>
      <w:bookmarkStart w:id="663" w:name="_Toc312677496"/>
      <w:bookmarkStart w:id="664" w:name="_Toc304295560"/>
      <w:bookmarkStart w:id="665" w:name="_Toc297123534"/>
      <w:r>
        <w:rPr>
          <w:rFonts w:hint="eastAsia" w:ascii="宋体" w:hAnsi="宋体" w:eastAsia="宋体" w:cs="宋体"/>
          <w:b/>
          <w:kern w:val="0"/>
          <w:sz w:val="21"/>
          <w:szCs w:val="21"/>
        </w:rPr>
        <w:t>.1 试验设备与试验人员</w:t>
      </w:r>
      <w:bookmarkEnd w:id="652"/>
      <w:bookmarkEnd w:id="653"/>
      <w:bookmarkEnd w:id="654"/>
      <w:bookmarkEnd w:id="655"/>
      <w:bookmarkEnd w:id="656"/>
      <w:bookmarkEnd w:id="657"/>
      <w:bookmarkEnd w:id="658"/>
    </w:p>
    <w:bookmarkEnd w:id="659"/>
    <w:bookmarkEnd w:id="660"/>
    <w:bookmarkEnd w:id="661"/>
    <w:bookmarkEnd w:id="662"/>
    <w:bookmarkEnd w:id="663"/>
    <w:bookmarkEnd w:id="664"/>
    <w:bookmarkEnd w:id="665"/>
    <w:p w14:paraId="430FBEC0">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9</w:t>
      </w:r>
      <w:bookmarkStart w:id="666" w:name="_Toc312677497"/>
      <w:bookmarkStart w:id="667" w:name="_Toc312678023"/>
      <w:bookmarkStart w:id="668" w:name="_Toc303539141"/>
      <w:bookmarkStart w:id="669" w:name="_Toc300934984"/>
      <w:bookmarkStart w:id="670" w:name="_Toc304295561"/>
      <w:bookmarkStart w:id="671" w:name="_Toc297123535"/>
      <w:bookmarkStart w:id="672" w:name="_Toc297216194"/>
      <w:bookmarkStart w:id="673" w:name="_Toc318581174"/>
      <w:r>
        <w:rPr>
          <w:rFonts w:hint="eastAsia" w:ascii="宋体" w:hAnsi="宋体" w:eastAsia="宋体" w:cs="宋体"/>
          <w:sz w:val="21"/>
          <w:szCs w:val="21"/>
        </w:rPr>
        <w:t>.1.2 试验设备</w:t>
      </w:r>
    </w:p>
    <w:p w14:paraId="567DBCE3">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施工现场需要配置的试验场所：</w:t>
      </w:r>
      <w:bookmarkEnd w:id="666"/>
      <w:bookmarkEnd w:id="667"/>
      <w:bookmarkEnd w:id="668"/>
      <w:bookmarkEnd w:id="669"/>
      <w:bookmarkEnd w:id="670"/>
      <w:bookmarkEnd w:id="671"/>
      <w:bookmarkEnd w:id="672"/>
      <w:bookmarkStart w:id="674" w:name="_Toc312677498"/>
      <w:bookmarkStart w:id="675" w:name="_Toc297123536"/>
      <w:bookmarkStart w:id="676" w:name="_Toc300934985"/>
      <w:bookmarkStart w:id="677" w:name="_Toc304295562"/>
      <w:bookmarkStart w:id="678" w:name="_Toc303539142"/>
      <w:bookmarkStart w:id="679" w:name="_Toc312678024"/>
      <w:bookmarkStart w:id="680" w:name="_Toc297216195"/>
      <w:r>
        <w:rPr>
          <w:rFonts w:hint="eastAsia" w:ascii="宋体" w:hAnsi="宋体" w:eastAsia="宋体" w:cs="宋体"/>
          <w:sz w:val="21"/>
          <w:szCs w:val="21"/>
          <w:u w:val="single"/>
        </w:rPr>
        <w:t xml:space="preserve">  / </w:t>
      </w:r>
      <w:r>
        <w:rPr>
          <w:rFonts w:hint="eastAsia" w:ascii="宋体" w:hAnsi="宋体" w:eastAsia="宋体" w:cs="宋体"/>
          <w:sz w:val="21"/>
          <w:szCs w:val="21"/>
        </w:rPr>
        <w:t>。</w:t>
      </w:r>
    </w:p>
    <w:p w14:paraId="592EF5E7">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施工现场需要配备的试验设备：</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14:paraId="49A408D6">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施工现场需要具备的其他试验条件：</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14:paraId="04D71B25">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681" w:name="_Toc373478385"/>
      <w:bookmarkStart w:id="682" w:name="_Toc3882794"/>
      <w:bookmarkStart w:id="683" w:name="_Toc469010941"/>
      <w:bookmarkStart w:id="684" w:name="_Toc30061986"/>
      <w:bookmarkStart w:id="685" w:name="_Toc373227738"/>
      <w:bookmarkStart w:id="686" w:name="_Toc14165"/>
      <w:bookmarkStart w:id="687" w:name="_Toc389065304"/>
      <w:r>
        <w:rPr>
          <w:rFonts w:hint="eastAsia" w:ascii="宋体" w:hAnsi="宋体" w:eastAsia="宋体" w:cs="宋体"/>
          <w:b/>
          <w:kern w:val="0"/>
          <w:sz w:val="21"/>
          <w:szCs w:val="21"/>
        </w:rPr>
        <w:t>9.4 现场工艺试验</w:t>
      </w:r>
      <w:bookmarkEnd w:id="681"/>
      <w:bookmarkEnd w:id="682"/>
      <w:bookmarkEnd w:id="683"/>
      <w:bookmarkEnd w:id="684"/>
      <w:bookmarkEnd w:id="685"/>
      <w:bookmarkEnd w:id="686"/>
      <w:bookmarkEnd w:id="687"/>
      <w:r>
        <w:rPr>
          <w:rFonts w:hint="eastAsia" w:ascii="宋体" w:hAnsi="宋体" w:eastAsia="宋体" w:cs="宋体"/>
          <w:b/>
          <w:kern w:val="0"/>
          <w:sz w:val="21"/>
          <w:szCs w:val="21"/>
        </w:rPr>
        <w:t xml:space="preserve"> </w:t>
      </w:r>
    </w:p>
    <w:p w14:paraId="21FD4C90">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现场工艺试验的有关约定：</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14:paraId="65FC14A9">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688" w:name="_Toc469010942"/>
      <w:bookmarkStart w:id="689" w:name="_Toc3882795"/>
      <w:bookmarkStart w:id="690" w:name="_Toc180"/>
      <w:bookmarkStart w:id="691" w:name="_Toc30061987"/>
      <w:r>
        <w:rPr>
          <w:rFonts w:hint="eastAsia" w:ascii="宋体" w:hAnsi="宋体" w:eastAsia="宋体" w:cs="宋体"/>
          <w:b/>
          <w:kern w:val="0"/>
          <w:sz w:val="21"/>
          <w:szCs w:val="21"/>
        </w:rPr>
        <w:t>9.5 检验费用</w:t>
      </w:r>
      <w:bookmarkEnd w:id="688"/>
      <w:bookmarkEnd w:id="689"/>
      <w:bookmarkEnd w:id="690"/>
      <w:bookmarkEnd w:id="691"/>
    </w:p>
    <w:p w14:paraId="1A4F6A0C">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根据《建设工程质量检测管理办法》（建设部令第141号）以及</w:t>
      </w:r>
      <w:r>
        <w:rPr>
          <w:rFonts w:hint="eastAsia" w:ascii="宋体" w:hAnsi="宋体" w:eastAsia="宋体" w:cs="宋体"/>
          <w:bCs/>
          <w:sz w:val="21"/>
          <w:szCs w:val="21"/>
        </w:rPr>
        <w:t>《广西壮族自治区建设工程质量检测管理规定》（桂建管〔2013〕11号）</w:t>
      </w:r>
      <w:r>
        <w:rPr>
          <w:rFonts w:hint="eastAsia" w:ascii="宋体" w:hAnsi="宋体" w:eastAsia="宋体" w:cs="宋体"/>
          <w:sz w:val="21"/>
          <w:szCs w:val="21"/>
        </w:rPr>
        <w:t>规定，工程质量检测业务由发包人委托有相应资质的检测机构检测。费用由发包人直接支付给检测机构，不计入合同价款内。检验试验配合费按费用定额规定计取，计入本合同价款内。</w:t>
      </w:r>
    </w:p>
    <w:bookmarkEnd w:id="673"/>
    <w:bookmarkEnd w:id="674"/>
    <w:bookmarkEnd w:id="675"/>
    <w:bookmarkEnd w:id="676"/>
    <w:bookmarkEnd w:id="677"/>
    <w:bookmarkEnd w:id="678"/>
    <w:bookmarkEnd w:id="679"/>
    <w:bookmarkEnd w:id="680"/>
    <w:p w14:paraId="06202F46">
      <w:pPr>
        <w:pStyle w:val="54"/>
        <w:keepNext/>
        <w:keepLines/>
        <w:spacing w:before="60" w:after="60" w:line="360" w:lineRule="auto"/>
        <w:ind w:firstLine="422" w:firstLineChars="200"/>
        <w:outlineLvl w:val="1"/>
        <w:rPr>
          <w:rFonts w:hint="eastAsia" w:ascii="宋体" w:hAnsi="宋体" w:eastAsia="宋体" w:cs="宋体"/>
          <w:b/>
          <w:sz w:val="21"/>
          <w:szCs w:val="21"/>
        </w:rPr>
      </w:pPr>
      <w:bookmarkStart w:id="692" w:name="_Toc2051"/>
      <w:bookmarkStart w:id="693" w:name="_Toc30061988"/>
      <w:bookmarkStart w:id="694" w:name="_Toc351203642"/>
      <w:bookmarkStart w:id="695" w:name="_Toc469010943"/>
      <w:bookmarkStart w:id="696" w:name="_Toc373478386"/>
      <w:bookmarkStart w:id="697" w:name="_Toc389065305"/>
      <w:bookmarkStart w:id="698" w:name="_Toc373227739"/>
      <w:bookmarkStart w:id="699" w:name="_Toc3882796"/>
      <w:r>
        <w:rPr>
          <w:rFonts w:hint="eastAsia" w:ascii="宋体" w:hAnsi="宋体" w:eastAsia="宋体" w:cs="宋体"/>
          <w:b/>
          <w:sz w:val="21"/>
          <w:szCs w:val="21"/>
        </w:rPr>
        <w:t>1</w:t>
      </w:r>
      <w:bookmarkEnd w:id="640"/>
      <w:bookmarkEnd w:id="641"/>
      <w:bookmarkEnd w:id="642"/>
      <w:bookmarkEnd w:id="643"/>
      <w:bookmarkEnd w:id="644"/>
      <w:bookmarkEnd w:id="645"/>
      <w:bookmarkEnd w:id="646"/>
      <w:bookmarkEnd w:id="647"/>
      <w:bookmarkEnd w:id="648"/>
      <w:bookmarkEnd w:id="649"/>
      <w:bookmarkEnd w:id="650"/>
      <w:bookmarkEnd w:id="651"/>
      <w:bookmarkStart w:id="700" w:name="_Toc292559398"/>
      <w:bookmarkStart w:id="701" w:name="_Toc296891021"/>
      <w:bookmarkStart w:id="702" w:name="_Toc292559903"/>
      <w:bookmarkStart w:id="703" w:name="_Toc296944532"/>
      <w:bookmarkStart w:id="704" w:name="_Toc296346694"/>
      <w:bookmarkStart w:id="705" w:name="_Toc304295566"/>
      <w:bookmarkStart w:id="706" w:name="_Toc297123540"/>
      <w:bookmarkStart w:id="707" w:name="_Toc300934989"/>
      <w:bookmarkStart w:id="708" w:name="_Toc297120493"/>
      <w:bookmarkStart w:id="709" w:name="_Toc303539146"/>
      <w:bookmarkStart w:id="710" w:name="_Toc296503193"/>
      <w:bookmarkStart w:id="711" w:name="_Toc296347192"/>
      <w:bookmarkStart w:id="712" w:name="_Toc296891233"/>
      <w:bookmarkStart w:id="713" w:name="_Toc297216199"/>
      <w:bookmarkStart w:id="714" w:name="_Toc297048379"/>
      <w:bookmarkStart w:id="715" w:name="_Toc312678025"/>
      <w:bookmarkStart w:id="716" w:name="_Toc312677499"/>
      <w:bookmarkStart w:id="717" w:name="_Toc267251441"/>
      <w:bookmarkStart w:id="718" w:name="_Toc267251439"/>
      <w:bookmarkStart w:id="719" w:name="_Toc267251437"/>
      <w:bookmarkStart w:id="720" w:name="_Toc267251433"/>
      <w:bookmarkStart w:id="721" w:name="_Toc267251440"/>
      <w:bookmarkStart w:id="722" w:name="_Toc267251435"/>
      <w:bookmarkStart w:id="723" w:name="_Toc267251442"/>
      <w:r>
        <w:rPr>
          <w:rFonts w:hint="eastAsia" w:ascii="宋体" w:hAnsi="宋体" w:eastAsia="宋体" w:cs="宋体"/>
          <w:b/>
          <w:sz w:val="21"/>
          <w:szCs w:val="21"/>
        </w:rPr>
        <w:t>0. 变更</w:t>
      </w:r>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bookmarkEnd w:id="715"/>
    <w:bookmarkEnd w:id="716"/>
    <w:p w14:paraId="6CAA4ADC">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724" w:name="_Toc3882797"/>
      <w:bookmarkStart w:id="725" w:name="_Toc469010944"/>
      <w:bookmarkStart w:id="726" w:name="_Toc389065306"/>
      <w:bookmarkStart w:id="727" w:name="_Toc373478387"/>
      <w:bookmarkStart w:id="728" w:name="_Toc373227740"/>
      <w:bookmarkStart w:id="729" w:name="_Toc30017"/>
      <w:bookmarkStart w:id="730" w:name="_Toc30061989"/>
      <w:r>
        <w:rPr>
          <w:rFonts w:hint="eastAsia" w:ascii="宋体" w:hAnsi="宋体" w:eastAsia="宋体" w:cs="宋体"/>
          <w:b/>
          <w:kern w:val="0"/>
          <w:sz w:val="21"/>
          <w:szCs w:val="21"/>
        </w:rPr>
        <w:t>1</w:t>
      </w:r>
      <w:bookmarkStart w:id="731" w:name="_Toc296346695"/>
      <w:bookmarkStart w:id="732" w:name="_Toc296503194"/>
      <w:bookmarkStart w:id="733" w:name="_Toc304295567"/>
      <w:bookmarkStart w:id="734" w:name="_Toc303539147"/>
      <w:bookmarkStart w:id="735" w:name="_Toc296891234"/>
      <w:bookmarkStart w:id="736" w:name="_Toc312677500"/>
      <w:bookmarkStart w:id="737" w:name="_Toc297123541"/>
      <w:bookmarkStart w:id="738" w:name="_Toc297216200"/>
      <w:bookmarkStart w:id="739" w:name="_Toc300934990"/>
      <w:bookmarkStart w:id="740" w:name="_Toc292559904"/>
      <w:bookmarkStart w:id="741" w:name="_Toc296944533"/>
      <w:bookmarkStart w:id="742" w:name="_Toc297048380"/>
      <w:bookmarkStart w:id="743" w:name="_Toc312678026"/>
      <w:bookmarkStart w:id="744" w:name="_Toc296347193"/>
      <w:bookmarkStart w:id="745" w:name="_Toc296891022"/>
      <w:bookmarkStart w:id="746" w:name="_Toc292559399"/>
      <w:bookmarkStart w:id="747" w:name="_Toc297120494"/>
      <w:r>
        <w:rPr>
          <w:rFonts w:hint="eastAsia" w:ascii="宋体" w:hAnsi="宋体" w:eastAsia="宋体" w:cs="宋体"/>
          <w:b/>
          <w:kern w:val="0"/>
          <w:sz w:val="21"/>
          <w:szCs w:val="21"/>
        </w:rPr>
        <w:t>0.1 变更的范围</w:t>
      </w:r>
      <w:bookmarkEnd w:id="724"/>
      <w:bookmarkEnd w:id="725"/>
      <w:bookmarkEnd w:id="726"/>
      <w:bookmarkEnd w:id="727"/>
      <w:bookmarkEnd w:id="728"/>
      <w:bookmarkEnd w:id="729"/>
      <w:bookmarkEnd w:id="730"/>
    </w:p>
    <w:p w14:paraId="24785A93">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关于变更的范围的约定：</w:t>
      </w:r>
      <w:r>
        <w:rPr>
          <w:rFonts w:hint="eastAsia" w:ascii="宋体" w:hAnsi="宋体" w:eastAsia="宋体" w:cs="宋体"/>
          <w:sz w:val="21"/>
          <w:szCs w:val="21"/>
          <w:u w:val="single"/>
        </w:rPr>
        <w:t>设计变更、施工变更或施工过程中出现新增项目等均属工程变更（所有工程变更须经设计及监理审核确认，最后经发包人书面批准后方能有效）</w:t>
      </w:r>
      <w:r>
        <w:rPr>
          <w:rFonts w:hint="eastAsia" w:ascii="宋体" w:hAnsi="宋体" w:eastAsia="宋体" w:cs="宋体"/>
          <w:sz w:val="21"/>
          <w:szCs w:val="21"/>
        </w:rPr>
        <w:t>。</w:t>
      </w:r>
    </w:p>
    <w:p w14:paraId="384258AD">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748" w:name="_Toc3882798"/>
      <w:bookmarkStart w:id="749" w:name="_Toc23479"/>
      <w:bookmarkStart w:id="750" w:name="_Toc30061990"/>
      <w:bookmarkStart w:id="751" w:name="_Toc389065307"/>
      <w:bookmarkStart w:id="752" w:name="_Toc469010945"/>
      <w:bookmarkStart w:id="753" w:name="_Toc373227741"/>
      <w:bookmarkStart w:id="754" w:name="_Toc373478388"/>
      <w:r>
        <w:rPr>
          <w:rFonts w:hint="eastAsia" w:ascii="宋体" w:hAnsi="宋体" w:eastAsia="宋体" w:cs="宋体"/>
          <w:b/>
          <w:kern w:val="0"/>
          <w:sz w:val="21"/>
          <w:szCs w:val="21"/>
        </w:rPr>
        <w:t>10.3 变更程序</w:t>
      </w:r>
      <w:bookmarkEnd w:id="748"/>
      <w:bookmarkEnd w:id="749"/>
      <w:bookmarkEnd w:id="750"/>
      <w:bookmarkEnd w:id="751"/>
      <w:bookmarkEnd w:id="752"/>
      <w:bookmarkEnd w:id="753"/>
      <w:bookmarkEnd w:id="754"/>
    </w:p>
    <w:p w14:paraId="0370B42A">
      <w:pPr>
        <w:pStyle w:val="54"/>
        <w:spacing w:line="360" w:lineRule="auto"/>
        <w:ind w:firstLine="420" w:firstLineChars="200"/>
        <w:rPr>
          <w:rFonts w:hint="eastAsia" w:ascii="宋体" w:hAnsi="宋体" w:eastAsia="宋体" w:cs="宋体"/>
          <w:sz w:val="21"/>
          <w:szCs w:val="21"/>
        </w:rPr>
      </w:pPr>
      <w:bookmarkStart w:id="755" w:name="_Toc3882799"/>
      <w:bookmarkStart w:id="756" w:name="_Toc30061991"/>
      <w:r>
        <w:rPr>
          <w:rFonts w:hint="eastAsia" w:ascii="宋体" w:hAnsi="宋体" w:eastAsia="宋体" w:cs="宋体"/>
          <w:sz w:val="21"/>
          <w:szCs w:val="21"/>
        </w:rPr>
        <w:t>10.3.1 国有投资项目：</w:t>
      </w:r>
      <w:bookmarkEnd w:id="755"/>
      <w:bookmarkEnd w:id="756"/>
    </w:p>
    <w:p w14:paraId="2BFE89A3">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⑴设计变更和工程签证，按各市政府或相关部门的规定办理。属不可抗力（自然灾害、突发事件等）造成变更的，按特事特办原则予以办理。</w:t>
      </w:r>
    </w:p>
    <w:p w14:paraId="5A5A1DA8">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⑵建设单位在实施项目过程中，若发生单价变动，由建设单位、监理单位、施工单位及其他相关单位共同商定并签字确认。</w:t>
      </w:r>
    </w:p>
    <w:p w14:paraId="27626F67">
      <w:pPr>
        <w:pStyle w:val="54"/>
        <w:spacing w:line="360" w:lineRule="auto"/>
        <w:ind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⑶ 当合同规定的合同价款调整情况发生后，承包人未在规定时间内通知发包人，或者未在规定时间内提出调整报告，发包人可以根据有关资料，决定是否调整和调整的金额，并书面通知承包人。</w:t>
      </w:r>
    </w:p>
    <w:p w14:paraId="6D7B6B00">
      <w:pPr>
        <w:pStyle w:val="54"/>
        <w:spacing w:line="360" w:lineRule="auto"/>
        <w:ind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10.3.2 非国有投资项目：</w:t>
      </w:r>
      <w:r>
        <w:rPr>
          <w:rFonts w:hint="eastAsia" w:ascii="宋体" w:hAnsi="宋体" w:eastAsia="宋体" w:cs="宋体"/>
          <w:bCs/>
          <w:sz w:val="21"/>
          <w:szCs w:val="21"/>
          <w:u w:val="single"/>
        </w:rPr>
        <w:t xml:space="preserve"> /  </w:t>
      </w:r>
      <w:r>
        <w:rPr>
          <w:rFonts w:hint="eastAsia" w:ascii="宋体" w:hAnsi="宋体" w:eastAsia="宋体" w:cs="宋体"/>
          <w:bCs/>
          <w:sz w:val="21"/>
          <w:szCs w:val="21"/>
        </w:rPr>
        <w:t>。</w:t>
      </w:r>
    </w:p>
    <w:p w14:paraId="5E60703A">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757" w:name="_Toc30061992"/>
      <w:bookmarkStart w:id="758" w:name="_Toc373227742"/>
      <w:bookmarkStart w:id="759" w:name="_Toc14001"/>
      <w:bookmarkStart w:id="760" w:name="_Toc389065308"/>
      <w:bookmarkStart w:id="761" w:name="_Toc373478389"/>
      <w:bookmarkStart w:id="762" w:name="_Toc469010946"/>
      <w:bookmarkStart w:id="763" w:name="_Toc3882800"/>
      <w:r>
        <w:rPr>
          <w:rFonts w:hint="eastAsia" w:ascii="宋体" w:hAnsi="宋体" w:eastAsia="宋体" w:cs="宋体"/>
          <w:b/>
          <w:kern w:val="0"/>
          <w:sz w:val="21"/>
          <w:szCs w:val="21"/>
        </w:rPr>
        <w:t>10.4 变更估价</w:t>
      </w:r>
      <w:bookmarkEnd w:id="757"/>
      <w:bookmarkEnd w:id="758"/>
      <w:bookmarkEnd w:id="759"/>
      <w:bookmarkEnd w:id="760"/>
      <w:bookmarkEnd w:id="761"/>
      <w:bookmarkEnd w:id="762"/>
      <w:bookmarkEnd w:id="763"/>
    </w:p>
    <w:p w14:paraId="1541422D">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10.4.1 变更估价原则</w:t>
      </w:r>
    </w:p>
    <w:p w14:paraId="58CEC016">
      <w:pPr>
        <w:pStyle w:val="54"/>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rPr>
        <w:t xml:space="preserve">关于变更估价的约定: </w:t>
      </w:r>
      <w:bookmarkStart w:id="764" w:name="_Toc251051742"/>
      <w:bookmarkStart w:id="765" w:name="_Toc373478390"/>
      <w:bookmarkStart w:id="766" w:name="_Toc373227743"/>
      <w:bookmarkStart w:id="767" w:name="_Toc389065309"/>
      <w:r>
        <w:rPr>
          <w:rFonts w:hint="eastAsia" w:ascii="宋体" w:hAnsi="宋体" w:eastAsia="宋体" w:cs="宋体"/>
          <w:bCs/>
          <w:color w:val="000000"/>
          <w:sz w:val="21"/>
          <w:szCs w:val="21"/>
          <w:u w:val="single"/>
        </w:rPr>
        <w:t>因设计变更、相关签证引起工程项目、工程量任何变化的，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并乘以系数</w:t>
      </w:r>
      <w:r>
        <w:rPr>
          <w:rFonts w:hint="eastAsia" w:ascii="宋体" w:hAnsi="宋体" w:cs="宋体"/>
          <w:bCs/>
          <w:color w:val="000000"/>
          <w:sz w:val="21"/>
          <w:szCs w:val="21"/>
          <w:u w:val="single"/>
          <w:lang w:val="en-US" w:eastAsia="zh-CN"/>
        </w:rPr>
        <w:t xml:space="preserve"> </w:t>
      </w:r>
      <w:r>
        <w:rPr>
          <w:rFonts w:hint="eastAsia" w:ascii="宋体" w:hAnsi="宋体" w:eastAsia="宋体" w:cs="宋体"/>
          <w:bCs/>
          <w:color w:val="000000"/>
          <w:sz w:val="21"/>
          <w:szCs w:val="21"/>
          <w:u w:val="single"/>
        </w:rPr>
        <w:t>%(按中标价/招标控制价的下浮比例)计算，其中材料价格按施工期间的《贺州市建设工程造价信息》相应价格信息进行计算《贺州市建设工程造价信息》没有相应价格信息的按市场价计算；无定额可套的，由发包人、承包人、监理三方共同协商确定且不在下浮范围之内。对于国有资产投资的项目，新增项目的单价必须经财政或审计有关部门审定</w:t>
      </w:r>
      <w:bookmarkEnd w:id="764"/>
      <w:r>
        <w:rPr>
          <w:rFonts w:hint="eastAsia" w:ascii="宋体" w:hAnsi="宋体" w:eastAsia="宋体" w:cs="宋体"/>
          <w:color w:val="000000"/>
          <w:sz w:val="21"/>
          <w:szCs w:val="21"/>
        </w:rPr>
        <w:t>。</w:t>
      </w:r>
    </w:p>
    <w:p w14:paraId="459BC401">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768" w:name="_Toc28641"/>
      <w:bookmarkStart w:id="769" w:name="_Toc3882801"/>
      <w:bookmarkStart w:id="770" w:name="_Toc469010947"/>
      <w:bookmarkStart w:id="771" w:name="_Toc30061993"/>
      <w:r>
        <w:rPr>
          <w:rFonts w:hint="eastAsia" w:ascii="宋体" w:hAnsi="宋体" w:eastAsia="宋体" w:cs="宋体"/>
          <w:b/>
          <w:kern w:val="0"/>
          <w:sz w:val="21"/>
          <w:szCs w:val="21"/>
        </w:rPr>
        <w:t>1</w:t>
      </w:r>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Start w:id="772" w:name="_Toc296944536"/>
      <w:bookmarkStart w:id="773" w:name="_Toc292559402"/>
      <w:bookmarkStart w:id="774" w:name="_Toc297048383"/>
      <w:bookmarkStart w:id="775" w:name="_Toc292559907"/>
      <w:bookmarkStart w:id="776" w:name="_Toc297120497"/>
      <w:bookmarkStart w:id="777" w:name="_Toc296347196"/>
      <w:bookmarkStart w:id="778" w:name="_Toc296891025"/>
      <w:bookmarkStart w:id="779" w:name="_Toc297216203"/>
      <w:bookmarkStart w:id="780" w:name="_Toc300934993"/>
      <w:bookmarkStart w:id="781" w:name="_Toc296503197"/>
      <w:bookmarkStart w:id="782" w:name="_Toc296346698"/>
      <w:bookmarkStart w:id="783" w:name="_Toc297123544"/>
      <w:bookmarkStart w:id="784" w:name="_Toc303539150"/>
      <w:bookmarkStart w:id="785" w:name="_Toc296891237"/>
      <w:bookmarkStart w:id="786" w:name="_Toc312678029"/>
      <w:bookmarkStart w:id="787" w:name="_Toc312677503"/>
      <w:bookmarkStart w:id="788" w:name="_Toc304295570"/>
      <w:r>
        <w:rPr>
          <w:rFonts w:hint="eastAsia" w:ascii="宋体" w:hAnsi="宋体" w:eastAsia="宋体" w:cs="宋体"/>
          <w:b/>
          <w:kern w:val="0"/>
          <w:sz w:val="21"/>
          <w:szCs w:val="21"/>
        </w:rPr>
        <w:t>0.5 承</w:t>
      </w:r>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Start w:id="789" w:name="_Toc296347202"/>
      <w:bookmarkStart w:id="790" w:name="_Toc296944542"/>
      <w:bookmarkStart w:id="791" w:name="_Toc296891243"/>
      <w:bookmarkStart w:id="792" w:name="_Toc297048389"/>
      <w:bookmarkStart w:id="793" w:name="_Toc297216204"/>
      <w:bookmarkStart w:id="794" w:name="_Toc296346704"/>
      <w:bookmarkStart w:id="795" w:name="_Toc292559408"/>
      <w:bookmarkStart w:id="796" w:name="_Toc296503203"/>
      <w:bookmarkStart w:id="797" w:name="_Toc297123545"/>
      <w:bookmarkStart w:id="798" w:name="_Toc303539151"/>
      <w:bookmarkStart w:id="799" w:name="_Toc292559913"/>
      <w:bookmarkStart w:id="800" w:name="_Toc300934994"/>
      <w:bookmarkStart w:id="801" w:name="_Toc296891031"/>
      <w:bookmarkStart w:id="802" w:name="_Toc297120503"/>
      <w:r>
        <w:rPr>
          <w:rFonts w:hint="eastAsia" w:ascii="宋体" w:hAnsi="宋体" w:eastAsia="宋体" w:cs="宋体"/>
          <w:b/>
          <w:kern w:val="0"/>
          <w:sz w:val="21"/>
          <w:szCs w:val="21"/>
        </w:rPr>
        <w:t>包人的合理化建议</w:t>
      </w:r>
      <w:bookmarkEnd w:id="765"/>
      <w:bookmarkEnd w:id="766"/>
      <w:bookmarkEnd w:id="767"/>
      <w:bookmarkEnd w:id="768"/>
      <w:bookmarkEnd w:id="769"/>
      <w:bookmarkEnd w:id="770"/>
      <w:bookmarkEnd w:id="771"/>
    </w:p>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p w14:paraId="06F145EE">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监理人审查承包人合理化建议的期限：</w:t>
      </w:r>
      <w:r>
        <w:rPr>
          <w:rFonts w:hint="eastAsia" w:ascii="宋体" w:hAnsi="宋体" w:eastAsia="宋体" w:cs="宋体"/>
          <w:color w:val="000000"/>
          <w:sz w:val="21"/>
          <w:szCs w:val="21"/>
          <w:u w:val="single"/>
        </w:rPr>
        <w:t>提交合理化建议后14天内</w:t>
      </w:r>
      <w:r>
        <w:rPr>
          <w:rFonts w:hint="eastAsia" w:ascii="宋体" w:hAnsi="宋体" w:eastAsia="宋体" w:cs="宋体"/>
          <w:sz w:val="21"/>
          <w:szCs w:val="21"/>
        </w:rPr>
        <w:t>。</w:t>
      </w:r>
    </w:p>
    <w:p w14:paraId="08BFC4BE">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bCs/>
          <w:color w:val="000000"/>
          <w:sz w:val="21"/>
          <w:szCs w:val="21"/>
          <w:u w:val="single"/>
        </w:rPr>
        <w:t>审批完毕并报送发包人，发现其中存在技术上的缺陷，应通知承包人修改，逾期视为已确认 。</w:t>
      </w:r>
    </w:p>
    <w:p w14:paraId="4F9E3F4E">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发包人审批承包人合理化建议的期限：</w:t>
      </w:r>
      <w:r>
        <w:rPr>
          <w:rFonts w:hint="eastAsia" w:ascii="宋体" w:hAnsi="宋体" w:eastAsia="宋体" w:cs="宋体"/>
          <w:color w:val="000000"/>
          <w:sz w:val="21"/>
          <w:szCs w:val="21"/>
          <w:u w:val="single"/>
        </w:rPr>
        <w:t>提交合理化建议后14天内审批完毕，逾期视为已确认。</w:t>
      </w:r>
    </w:p>
    <w:p w14:paraId="7990D943">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承</w:t>
      </w:r>
      <w:bookmarkStart w:id="803" w:name="_Toc297048390"/>
      <w:bookmarkStart w:id="804" w:name="_Toc297123546"/>
      <w:bookmarkStart w:id="805" w:name="_Toc297216205"/>
      <w:bookmarkStart w:id="806" w:name="_Toc304295571"/>
      <w:bookmarkStart w:id="807" w:name="_Toc296944543"/>
      <w:bookmarkStart w:id="808" w:name="_Toc292559914"/>
      <w:bookmarkStart w:id="809" w:name="_Toc318581175"/>
      <w:bookmarkStart w:id="810" w:name="_Toc296891032"/>
      <w:bookmarkStart w:id="811" w:name="_Toc296347203"/>
      <w:bookmarkStart w:id="812" w:name="_Toc303539152"/>
      <w:bookmarkStart w:id="813" w:name="_Toc312678030"/>
      <w:bookmarkStart w:id="814" w:name="_Toc300934995"/>
      <w:bookmarkStart w:id="815" w:name="_Toc292559409"/>
      <w:bookmarkStart w:id="816" w:name="_Toc297120504"/>
      <w:bookmarkStart w:id="817" w:name="_Toc312677504"/>
      <w:bookmarkStart w:id="818" w:name="_Toc296891244"/>
      <w:bookmarkStart w:id="819" w:name="_Toc296346705"/>
      <w:bookmarkStart w:id="820" w:name="_Toc296503204"/>
      <w:r>
        <w:rPr>
          <w:rFonts w:hint="eastAsia" w:ascii="宋体" w:hAnsi="宋体" w:eastAsia="宋体" w:cs="宋体"/>
          <w:sz w:val="21"/>
          <w:szCs w:val="21"/>
        </w:rPr>
        <w:t>包人提出的合理化建议降低了合同价格或者提高了工程经济效益的奖励的方法和金额为：</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14:paraId="2719A51B">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821" w:name="_Toc30061994"/>
      <w:bookmarkStart w:id="822" w:name="_Toc18025"/>
      <w:bookmarkStart w:id="823" w:name="_Toc389065310"/>
      <w:bookmarkStart w:id="824" w:name="_Toc469010948"/>
      <w:bookmarkStart w:id="825" w:name="_Toc3882802"/>
      <w:bookmarkStart w:id="826" w:name="_Toc373478391"/>
      <w:bookmarkStart w:id="827" w:name="_Toc373227744"/>
      <w:r>
        <w:rPr>
          <w:rFonts w:hint="eastAsia" w:ascii="宋体" w:hAnsi="宋体" w:eastAsia="宋体" w:cs="宋体"/>
          <w:b/>
          <w:kern w:val="0"/>
          <w:sz w:val="21"/>
          <w:szCs w:val="21"/>
        </w:rPr>
        <w:t>1</w:t>
      </w:r>
      <w:bookmarkStart w:id="828" w:name="_Toc296944538"/>
      <w:bookmarkStart w:id="829" w:name="_Toc292559909"/>
      <w:bookmarkStart w:id="830" w:name="_Toc296347198"/>
      <w:bookmarkStart w:id="831" w:name="_Toc303539154"/>
      <w:bookmarkStart w:id="832" w:name="_Toc292559404"/>
      <w:bookmarkStart w:id="833" w:name="_Toc297216207"/>
      <w:bookmarkStart w:id="834" w:name="_Toc296346700"/>
      <w:bookmarkStart w:id="835" w:name="_Toc296891027"/>
      <w:bookmarkStart w:id="836" w:name="_Toc312678033"/>
      <w:bookmarkStart w:id="837" w:name="_Toc297120499"/>
      <w:bookmarkStart w:id="838" w:name="_Toc296503199"/>
      <w:bookmarkStart w:id="839" w:name="_Toc304295574"/>
      <w:bookmarkStart w:id="840" w:name="_Toc297048385"/>
      <w:bookmarkStart w:id="841" w:name="_Toc296891239"/>
      <w:bookmarkStart w:id="842" w:name="_Toc312677507"/>
      <w:bookmarkStart w:id="843" w:name="_Toc300934997"/>
      <w:bookmarkStart w:id="844" w:name="_Toc297123548"/>
      <w:r>
        <w:rPr>
          <w:rFonts w:hint="eastAsia" w:ascii="宋体" w:hAnsi="宋体" w:eastAsia="宋体" w:cs="宋体"/>
          <w:b/>
          <w:kern w:val="0"/>
          <w:sz w:val="21"/>
          <w:szCs w:val="21"/>
        </w:rPr>
        <w:t>0.7 暂估价</w:t>
      </w:r>
      <w:bookmarkEnd w:id="821"/>
      <w:bookmarkEnd w:id="822"/>
      <w:bookmarkEnd w:id="823"/>
      <w:bookmarkEnd w:id="824"/>
      <w:bookmarkEnd w:id="825"/>
      <w:bookmarkEnd w:id="826"/>
      <w:bookmarkEnd w:id="827"/>
    </w:p>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p w14:paraId="4EDF8E0C">
      <w:pPr>
        <w:pStyle w:val="54"/>
        <w:spacing w:line="360" w:lineRule="auto"/>
        <w:ind w:firstLine="420" w:firstLineChars="200"/>
        <w:jc w:val="left"/>
        <w:rPr>
          <w:rFonts w:hint="eastAsia" w:ascii="宋体" w:hAnsi="宋体" w:eastAsia="宋体" w:cs="宋体"/>
          <w:sz w:val="21"/>
          <w:szCs w:val="21"/>
        </w:rPr>
      </w:pPr>
      <w:bookmarkStart w:id="845" w:name="_Toc373478392"/>
      <w:bookmarkStart w:id="846" w:name="_Toc373227745"/>
      <w:bookmarkStart w:id="847" w:name="_Toc389065311"/>
      <w:bookmarkStart w:id="848" w:name="_Toc469010949"/>
      <w:r>
        <w:rPr>
          <w:rFonts w:hint="eastAsia" w:ascii="宋体" w:hAnsi="宋体" w:eastAsia="宋体" w:cs="宋体"/>
          <w:kern w:val="0"/>
          <w:sz w:val="21"/>
          <w:szCs w:val="21"/>
        </w:rPr>
        <w:t>暂</w:t>
      </w:r>
      <w:bookmarkStart w:id="849" w:name="_Toc318581176"/>
      <w:bookmarkStart w:id="850" w:name="_Toc312678034"/>
      <w:bookmarkStart w:id="851" w:name="_Toc312677508"/>
      <w:r>
        <w:rPr>
          <w:rFonts w:hint="eastAsia" w:ascii="宋体" w:hAnsi="宋体" w:eastAsia="宋体" w:cs="宋体"/>
          <w:kern w:val="0"/>
          <w:sz w:val="21"/>
          <w:szCs w:val="21"/>
        </w:rPr>
        <w:t>估价材料和工程设备的明细详见已标价工程量清单《</w:t>
      </w:r>
      <w:r>
        <w:rPr>
          <w:rFonts w:hint="eastAsia" w:ascii="宋体" w:hAnsi="宋体" w:eastAsia="宋体" w:cs="宋体"/>
          <w:sz w:val="21"/>
          <w:szCs w:val="21"/>
        </w:rPr>
        <w:t>材料（工程设备）暂估价格及调整表》</w:t>
      </w:r>
      <w:r>
        <w:rPr>
          <w:rFonts w:hint="eastAsia" w:ascii="宋体" w:hAnsi="宋体" w:eastAsia="宋体" w:cs="宋体"/>
          <w:kern w:val="0"/>
          <w:sz w:val="21"/>
          <w:szCs w:val="21"/>
        </w:rPr>
        <w:t>（表12-2）和《</w:t>
      </w:r>
      <w:r>
        <w:rPr>
          <w:rFonts w:hint="eastAsia" w:ascii="宋体" w:hAnsi="宋体" w:eastAsia="宋体" w:cs="宋体"/>
          <w:sz w:val="21"/>
          <w:szCs w:val="21"/>
        </w:rPr>
        <w:t>专业工程暂估价表》（</w:t>
      </w:r>
      <w:r>
        <w:rPr>
          <w:rFonts w:hint="eastAsia" w:ascii="宋体" w:hAnsi="宋体" w:eastAsia="宋体" w:cs="宋体"/>
          <w:kern w:val="0"/>
          <w:sz w:val="21"/>
          <w:szCs w:val="21"/>
        </w:rPr>
        <w:t>表12-3）。</w:t>
      </w:r>
    </w:p>
    <w:bookmarkEnd w:id="849"/>
    <w:bookmarkEnd w:id="850"/>
    <w:bookmarkEnd w:id="851"/>
    <w:p w14:paraId="25292226">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w:t>
      </w:r>
      <w:bookmarkStart w:id="852" w:name="_Toc312678035"/>
      <w:bookmarkStart w:id="853" w:name="_Toc312677509"/>
      <w:bookmarkStart w:id="854" w:name="_Toc318581177"/>
      <w:r>
        <w:rPr>
          <w:rFonts w:hint="eastAsia" w:ascii="宋体" w:hAnsi="宋体" w:eastAsia="宋体" w:cs="宋体"/>
          <w:sz w:val="21"/>
          <w:szCs w:val="21"/>
        </w:rPr>
        <w:t>0.7.1 依法必须招标的暂估价项目</w:t>
      </w:r>
    </w:p>
    <w:bookmarkEnd w:id="852"/>
    <w:bookmarkEnd w:id="853"/>
    <w:bookmarkEnd w:id="854"/>
    <w:p w14:paraId="1BE0CDC7">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对于依法必须招标的暂估价项目的确认和批准采取第</w:t>
      </w:r>
      <w:r>
        <w:rPr>
          <w:rFonts w:hint="eastAsia" w:ascii="宋体" w:hAnsi="宋体" w:eastAsia="宋体" w:cs="宋体"/>
          <w:sz w:val="21"/>
          <w:szCs w:val="21"/>
          <w:u w:val="single"/>
        </w:rPr>
        <w:t xml:space="preserve">2 </w:t>
      </w:r>
      <w:r>
        <w:rPr>
          <w:rFonts w:hint="eastAsia" w:ascii="宋体" w:hAnsi="宋体" w:eastAsia="宋体" w:cs="宋体"/>
          <w:sz w:val="21"/>
          <w:szCs w:val="21"/>
        </w:rPr>
        <w:t>种方式确定。</w:t>
      </w:r>
    </w:p>
    <w:p w14:paraId="08B65EAA">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第1种方式：对于依法必须招标的暂估价项目，由承包人招标，对该暂估价项目的确认和批准按照以下约定执行：</w:t>
      </w:r>
    </w:p>
    <w:p w14:paraId="7C745A2A">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125DE2E6">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2）承包人应当根据施工进度计划，提前14天将招标文件通过监理人报送发包人审批，发包人应当在收到承包人报送的相关文件后7天内完成审批或提出修改意见；发包人有权确定招标控制价并委派评标委员会成员；</w:t>
      </w:r>
    </w:p>
    <w:p w14:paraId="33E390A5">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2E47F16E">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3D6821B1">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10.7.2 不属于依法必须招标的暂估价项目</w:t>
      </w:r>
    </w:p>
    <w:p w14:paraId="05CDBB74">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sz w:val="21"/>
          <w:szCs w:val="21"/>
        </w:rPr>
        <w:t>对于不属于依法必须招标的暂估价项目的确认和批准采取第</w:t>
      </w:r>
      <w:r>
        <w:rPr>
          <w:rFonts w:hint="eastAsia" w:ascii="宋体" w:hAnsi="宋体" w:eastAsia="宋体" w:cs="宋体"/>
          <w:sz w:val="21"/>
          <w:szCs w:val="21"/>
          <w:u w:val="single"/>
        </w:rPr>
        <w:t xml:space="preserve"> 1</w:t>
      </w:r>
      <w:r>
        <w:rPr>
          <w:rFonts w:hint="eastAsia" w:ascii="宋体" w:hAnsi="宋体" w:eastAsia="宋体" w:cs="宋体"/>
          <w:sz w:val="21"/>
          <w:szCs w:val="21"/>
        </w:rPr>
        <w:t xml:space="preserve"> 种方式确定。</w:t>
      </w:r>
      <w:r>
        <w:rPr>
          <w:rFonts w:hint="eastAsia" w:ascii="宋体" w:hAnsi="宋体" w:eastAsia="宋体" w:cs="宋体"/>
          <w:kern w:val="0"/>
          <w:sz w:val="21"/>
          <w:szCs w:val="21"/>
        </w:rPr>
        <w:t>第1种方式：对于不属于依法必须招标的暂估价项目，按本项约定确认和批准：</w:t>
      </w:r>
    </w:p>
    <w:p w14:paraId="6B7127BE">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1D5E3EBE">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2）发包人认为承包人确定的供应商、分包人无法满足工程质量或合同要求的，发包人可以要求承包人重新确定暂估价项目的供应商、分包人；（3）承包人应当在签订暂估价合同后7天内，将暂估价合同副本报送发包人留存。</w:t>
      </w:r>
    </w:p>
    <w:p w14:paraId="340AE47C">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第2种方式：承包人按照第10.7.1项【依法必须招标的暂估价项目】约定的第1种方式确定暂估价项目。</w:t>
      </w:r>
    </w:p>
    <w:p w14:paraId="0FAEA09C">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sz w:val="21"/>
          <w:szCs w:val="21"/>
        </w:rPr>
        <w:t>第3种方式：</w:t>
      </w:r>
      <w:r>
        <w:rPr>
          <w:rFonts w:hint="eastAsia" w:ascii="宋体" w:hAnsi="宋体" w:eastAsia="宋体" w:cs="宋体"/>
          <w:kern w:val="0"/>
          <w:sz w:val="21"/>
          <w:szCs w:val="21"/>
        </w:rPr>
        <w:t>承包人直接实施的暂估价项目</w:t>
      </w:r>
    </w:p>
    <w:p w14:paraId="429144DB">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承包人直接实施的暂估价项目的约定：</w:t>
      </w:r>
      <w:r>
        <w:rPr>
          <w:rFonts w:hint="eastAsia" w:ascii="宋体" w:hAnsi="宋体" w:eastAsia="宋体" w:cs="宋体"/>
          <w:kern w:val="0"/>
          <w:sz w:val="21"/>
          <w:szCs w:val="21"/>
          <w:u w:val="single"/>
        </w:rPr>
        <w:t>承包人具备实施暂估价项目的资格和条件的，经发包人和承包人协商一致后，可由承包人自行实施暂估价项目，合同当事人可以在合同条款约定具体事项</w:t>
      </w:r>
      <w:r>
        <w:rPr>
          <w:rFonts w:hint="eastAsia" w:ascii="宋体" w:hAnsi="宋体" w:eastAsia="宋体" w:cs="宋体"/>
          <w:sz w:val="21"/>
          <w:szCs w:val="21"/>
        </w:rPr>
        <w:t>。</w:t>
      </w:r>
    </w:p>
    <w:p w14:paraId="287287A6">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855" w:name="_Toc3882803"/>
      <w:bookmarkStart w:id="856" w:name="_Toc23353"/>
      <w:bookmarkStart w:id="857" w:name="_Toc30061995"/>
      <w:r>
        <w:rPr>
          <w:rFonts w:hint="eastAsia" w:ascii="宋体" w:hAnsi="宋体" w:eastAsia="宋体" w:cs="宋体"/>
          <w:b/>
          <w:kern w:val="0"/>
          <w:sz w:val="21"/>
          <w:szCs w:val="21"/>
        </w:rPr>
        <w:t>10.8 暂列金额</w:t>
      </w:r>
      <w:bookmarkEnd w:id="845"/>
      <w:bookmarkEnd w:id="846"/>
      <w:bookmarkEnd w:id="847"/>
      <w:bookmarkEnd w:id="848"/>
      <w:bookmarkEnd w:id="855"/>
      <w:bookmarkEnd w:id="856"/>
      <w:bookmarkEnd w:id="857"/>
    </w:p>
    <w:p w14:paraId="5B22662D">
      <w:pPr>
        <w:pStyle w:val="54"/>
        <w:autoSpaceDE w:val="0"/>
        <w:autoSpaceDN w:val="0"/>
        <w:adjustRightInd w:val="0"/>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kern w:val="0"/>
          <w:sz w:val="21"/>
          <w:szCs w:val="21"/>
        </w:rPr>
        <w:t>合同当事人关于暂列金额使用的约定：</w:t>
      </w:r>
      <w:r>
        <w:rPr>
          <w:rFonts w:hint="eastAsia" w:ascii="宋体" w:hAnsi="宋体" w:eastAsia="宋体" w:cs="宋体"/>
          <w:sz w:val="21"/>
          <w:szCs w:val="21"/>
          <w:u w:val="single"/>
        </w:rPr>
        <w:t xml:space="preserve">（1）已签约合同价中的暂列金额由发包人掌握使用。 </w:t>
      </w:r>
    </w:p>
    <w:p w14:paraId="01FC9DEC">
      <w:pPr>
        <w:pStyle w:val="54"/>
        <w:autoSpaceDE w:val="0"/>
        <w:autoSpaceDN w:val="0"/>
        <w:adjustRightInd w:val="0"/>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u w:val="single"/>
        </w:rPr>
        <w:t>（2）发包人按照规定所作支付后，暂列金额如有余额归发包人</w:t>
      </w:r>
      <w:r>
        <w:rPr>
          <w:rFonts w:hint="eastAsia" w:ascii="宋体" w:hAnsi="宋体" w:eastAsia="宋体" w:cs="宋体"/>
          <w:kern w:val="0"/>
          <w:sz w:val="21"/>
          <w:szCs w:val="21"/>
        </w:rPr>
        <w:t>。</w:t>
      </w:r>
    </w:p>
    <w:p w14:paraId="0D253CDC">
      <w:pPr>
        <w:pStyle w:val="54"/>
        <w:keepNext/>
        <w:keepLines/>
        <w:spacing w:before="60" w:after="60" w:line="360" w:lineRule="auto"/>
        <w:ind w:firstLine="422" w:firstLineChars="200"/>
        <w:outlineLvl w:val="1"/>
        <w:rPr>
          <w:rFonts w:hint="eastAsia" w:ascii="宋体" w:hAnsi="宋体" w:eastAsia="宋体" w:cs="宋体"/>
          <w:b/>
          <w:sz w:val="21"/>
          <w:szCs w:val="21"/>
        </w:rPr>
      </w:pPr>
      <w:bookmarkStart w:id="858" w:name="_Toc373227746"/>
      <w:bookmarkStart w:id="859" w:name="_Toc3882804"/>
      <w:bookmarkStart w:id="860" w:name="_Toc351203643"/>
      <w:bookmarkStart w:id="861" w:name="_Toc469010950"/>
      <w:bookmarkStart w:id="862" w:name="_Toc30061996"/>
      <w:bookmarkStart w:id="863" w:name="_Toc14209"/>
      <w:bookmarkStart w:id="864" w:name="_Toc373478393"/>
      <w:bookmarkStart w:id="865" w:name="_Toc389065312"/>
      <w:r>
        <w:rPr>
          <w:rFonts w:hint="eastAsia" w:ascii="宋体" w:hAnsi="宋体" w:eastAsia="宋体" w:cs="宋体"/>
          <w:b/>
          <w:sz w:val="21"/>
          <w:szCs w:val="21"/>
        </w:rPr>
        <w:t>11. 价格调整</w:t>
      </w:r>
      <w:bookmarkEnd w:id="858"/>
      <w:bookmarkEnd w:id="859"/>
      <w:bookmarkEnd w:id="860"/>
      <w:bookmarkEnd w:id="861"/>
      <w:bookmarkEnd w:id="862"/>
      <w:bookmarkEnd w:id="863"/>
      <w:bookmarkEnd w:id="864"/>
      <w:bookmarkEnd w:id="865"/>
    </w:p>
    <w:p w14:paraId="2488D1C7">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866" w:name="_Toc3882805"/>
      <w:bookmarkStart w:id="867" w:name="_Toc469010951"/>
      <w:bookmarkStart w:id="868" w:name="_Toc389065313"/>
      <w:bookmarkStart w:id="869" w:name="_Toc26291"/>
      <w:bookmarkStart w:id="870" w:name="_Toc30061997"/>
      <w:bookmarkStart w:id="871" w:name="_Toc373227747"/>
      <w:bookmarkStart w:id="872" w:name="_Toc373478394"/>
      <w:bookmarkStart w:id="873" w:name="_Toc297120501"/>
      <w:bookmarkStart w:id="874" w:name="_Toc300935000"/>
      <w:bookmarkStart w:id="875" w:name="_Toc292559406"/>
      <w:bookmarkStart w:id="876" w:name="_Toc297048387"/>
      <w:bookmarkStart w:id="877" w:name="_Toc296347200"/>
      <w:bookmarkStart w:id="878" w:name="_Toc304295577"/>
      <w:bookmarkStart w:id="879" w:name="_Toc312678039"/>
      <w:bookmarkStart w:id="880" w:name="_Toc296891029"/>
      <w:bookmarkStart w:id="881" w:name="_Toc296944540"/>
      <w:bookmarkStart w:id="882" w:name="_Toc297123550"/>
      <w:bookmarkStart w:id="883" w:name="_Toc296346702"/>
      <w:bookmarkStart w:id="884" w:name="_Toc296891241"/>
      <w:bookmarkStart w:id="885" w:name="_Toc292559911"/>
      <w:bookmarkStart w:id="886" w:name="_Toc297216209"/>
      <w:bookmarkStart w:id="887" w:name="_Toc296503201"/>
      <w:bookmarkStart w:id="888" w:name="_Toc303539157"/>
      <w:r>
        <w:rPr>
          <w:rFonts w:hint="eastAsia" w:ascii="宋体" w:hAnsi="宋体" w:eastAsia="宋体" w:cs="宋体"/>
          <w:b/>
          <w:kern w:val="0"/>
          <w:sz w:val="21"/>
          <w:szCs w:val="21"/>
        </w:rPr>
        <w:t>11.1 市场价格波动引起的调整</w:t>
      </w:r>
      <w:bookmarkEnd w:id="866"/>
      <w:bookmarkEnd w:id="867"/>
      <w:bookmarkEnd w:id="868"/>
      <w:bookmarkEnd w:id="869"/>
      <w:bookmarkEnd w:id="870"/>
      <w:bookmarkEnd w:id="871"/>
      <w:bookmarkEnd w:id="872"/>
    </w:p>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p w14:paraId="09F90C8B">
      <w:pPr>
        <w:pStyle w:val="54"/>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kern w:val="0"/>
          <w:sz w:val="21"/>
          <w:szCs w:val="21"/>
        </w:rPr>
        <w:t>市场价格波动是否调整合同价格的约定：</w:t>
      </w:r>
      <w:r>
        <w:rPr>
          <w:rFonts w:hint="eastAsia" w:ascii="宋体" w:hAnsi="宋体" w:eastAsia="宋体" w:cs="宋体"/>
          <w:color w:val="000000"/>
          <w:sz w:val="21"/>
          <w:szCs w:val="21"/>
        </w:rPr>
        <w:t>物价波动引起合同价格变化的。合同履行期间材料单价涨幅以基准价格为基础超过5%时，或材料单价跌幅以在已标价工程量清单或预算书中载明的主要材料、工程设备单价为基础超过5%时，其超过部分据实调整；关于基准价格的约定：</w:t>
      </w:r>
      <w:r>
        <w:rPr>
          <w:rFonts w:hint="eastAsia" w:ascii="宋体" w:hAnsi="宋体" w:eastAsia="宋体" w:cs="宋体"/>
          <w:color w:val="000000"/>
          <w:kern w:val="0"/>
          <w:sz w:val="21"/>
          <w:szCs w:val="21"/>
          <w:u w:val="single"/>
        </w:rPr>
        <w:t>招标的工程以招标控制价确定的市场价格确定为基期材料价格</w:t>
      </w:r>
      <w:r>
        <w:rPr>
          <w:rFonts w:hint="eastAsia" w:ascii="宋体" w:hAnsi="宋体" w:eastAsia="宋体" w:cs="宋体"/>
          <w:color w:val="000000"/>
          <w:sz w:val="21"/>
          <w:szCs w:val="21"/>
          <w:u w:val="single"/>
        </w:rPr>
        <w:t>；人工、机械费按照我区建设行政主管部门或其授权的工程造价管理机构发布的人工费、机械台班单价或机械使用费系数进行调整；新增项目和工程量变化造成措施费增加取费部分按原中标措施费比例调整，施工方案部分按业主、监理批准的方案套取相关定额计取，造成规费、税金变化按有关规定作相应调整</w:t>
      </w:r>
      <w:r>
        <w:rPr>
          <w:rFonts w:hint="eastAsia" w:ascii="宋体" w:hAnsi="宋体" w:eastAsia="宋体" w:cs="宋体"/>
          <w:color w:val="000000"/>
          <w:sz w:val="21"/>
          <w:szCs w:val="21"/>
        </w:rPr>
        <w:t>。</w:t>
      </w:r>
    </w:p>
    <w:p w14:paraId="4BAB0A6A">
      <w:pPr>
        <w:pStyle w:val="54"/>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因市场价格波动调整合同价格，采用以下</w:t>
      </w:r>
      <w:r>
        <w:rPr>
          <w:rFonts w:hint="eastAsia" w:ascii="宋体" w:hAnsi="宋体" w:eastAsia="宋体" w:cs="宋体"/>
          <w:sz w:val="21"/>
          <w:szCs w:val="21"/>
        </w:rPr>
        <w:t>第</w:t>
      </w:r>
      <w:r>
        <w:rPr>
          <w:rFonts w:hint="eastAsia" w:ascii="宋体" w:hAnsi="宋体" w:eastAsia="宋体" w:cs="宋体"/>
          <w:sz w:val="21"/>
          <w:szCs w:val="21"/>
          <w:u w:val="single"/>
        </w:rPr>
        <w:t xml:space="preserve">  2  </w:t>
      </w:r>
      <w:r>
        <w:rPr>
          <w:rFonts w:hint="eastAsia" w:ascii="宋体" w:hAnsi="宋体" w:eastAsia="宋体" w:cs="宋体"/>
          <w:sz w:val="21"/>
          <w:szCs w:val="21"/>
        </w:rPr>
        <w:t xml:space="preserve"> 种</w:t>
      </w:r>
      <w:r>
        <w:rPr>
          <w:rFonts w:hint="eastAsia" w:ascii="宋体" w:hAnsi="宋体" w:eastAsia="宋体" w:cs="宋体"/>
          <w:color w:val="000000"/>
          <w:sz w:val="21"/>
          <w:szCs w:val="21"/>
        </w:rPr>
        <w:t>方式对合同价格进行调整：</w:t>
      </w:r>
    </w:p>
    <w:p w14:paraId="69AAD62E">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第1种方式：采用价格指数进行价格调整。</w:t>
      </w:r>
    </w:p>
    <w:p w14:paraId="243598F1">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关于各可调因子、定值和变值权重，以及基本价格指数及其来源的约定：</w:t>
      </w:r>
      <w:r>
        <w:rPr>
          <w:rFonts w:hint="eastAsia" w:ascii="宋体" w:hAnsi="宋体" w:eastAsia="宋体" w:cs="宋体"/>
          <w:sz w:val="21"/>
          <w:szCs w:val="21"/>
          <w:u w:val="single"/>
        </w:rPr>
        <w:t xml:space="preserve"> / </w:t>
      </w:r>
      <w:r>
        <w:rPr>
          <w:rFonts w:hint="eastAsia" w:ascii="宋体" w:hAnsi="宋体" w:eastAsia="宋体" w:cs="宋体"/>
          <w:sz w:val="21"/>
          <w:szCs w:val="21"/>
        </w:rPr>
        <w:t xml:space="preserve">；  </w:t>
      </w:r>
    </w:p>
    <w:p w14:paraId="1778124B">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第2种方式：采用造价信息进行价格调整。</w:t>
      </w:r>
    </w:p>
    <w:p w14:paraId="7ABF4B4B">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允许调整的主要材料和设备、基期价格、风险系数、投标报价：详见《承包人提供主要材料和设备一览表》，如发包人招标时提供的《承包人提供主要材料和设备一览表》中的主要按材料和设备缺项、漏项，经发包人及相关部门审核确认后予以调整。</w:t>
      </w:r>
    </w:p>
    <w:p w14:paraId="0F0A3031">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（2）主要材料和设备确认价：</w:t>
      </w:r>
    </w:p>
    <w:p w14:paraId="5CE31DF1">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按施工期间《</w:t>
      </w:r>
      <w:r>
        <w:rPr>
          <w:rFonts w:hint="eastAsia" w:ascii="宋体" w:hAnsi="宋体" w:eastAsia="宋体" w:cs="宋体"/>
          <w:sz w:val="21"/>
          <w:szCs w:val="21"/>
          <w:u w:val="single"/>
        </w:rPr>
        <w:t>贺州</w:t>
      </w:r>
      <w:r>
        <w:rPr>
          <w:rFonts w:hint="eastAsia" w:ascii="宋体" w:hAnsi="宋体" w:eastAsia="宋体" w:cs="宋体"/>
          <w:sz w:val="21"/>
          <w:szCs w:val="21"/>
        </w:rPr>
        <w:t>市建设工程造价信息》加权平均计算，信息价没有的按通用条款规定确定。</w:t>
      </w:r>
    </w:p>
    <w:p w14:paraId="17F19022">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（3）价差计算方法：</w:t>
      </w:r>
    </w:p>
    <w:p w14:paraId="212E92E2">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①《承包人提供主要材料和设备一览表》中载明的材料投标报价低于基准价格的：合同履行期间材料和设备单价涨幅以基准价格为基础超过约定的风险范围时，或材料和设备单价跌幅以投标报价为基础超过约定的风险范围时，其超过部分据实调整。</w:t>
      </w:r>
    </w:p>
    <w:p w14:paraId="5913CC58">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②承包人在《承包人提供主要材料和设备一览表》中载明的材料和设备投标报价高于基准价格的：专用合同条款合同履行期间材料和设备单价跌幅以基准价格为基础超过约定的风险范围时，材料和设备单价涨幅以投标报价为基础超过约定的风险范围时，其超过部分据实调整。</w:t>
      </w:r>
    </w:p>
    <w:p w14:paraId="3D2AE7FE">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③承包人在《承包人提供主要材料和设备一览表》中载明的材料和设备单价等于基准单价的：合同履行期间材料和设备单价涨跌幅以基准单价为基础超过约定的风险范围时，其超过部分据实调整。</w:t>
      </w:r>
    </w:p>
    <w:p w14:paraId="17BD08F2">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第3种方式：</w:t>
      </w:r>
      <w:r>
        <w:rPr>
          <w:rFonts w:hint="eastAsia" w:ascii="宋体" w:hAnsi="宋体" w:eastAsia="宋体" w:cs="宋体"/>
          <w:sz w:val="21"/>
          <w:szCs w:val="21"/>
          <w:u w:val="single"/>
        </w:rPr>
        <w:t xml:space="preserve">   / </w:t>
      </w:r>
      <w:r>
        <w:rPr>
          <w:rFonts w:hint="eastAsia" w:ascii="宋体" w:hAnsi="宋体" w:eastAsia="宋体" w:cs="宋体"/>
          <w:sz w:val="21"/>
          <w:szCs w:val="21"/>
        </w:rPr>
        <w:t xml:space="preserve"> 。</w:t>
      </w:r>
    </w:p>
    <w:bookmarkEnd w:id="717"/>
    <w:bookmarkEnd w:id="718"/>
    <w:bookmarkEnd w:id="719"/>
    <w:bookmarkEnd w:id="720"/>
    <w:bookmarkEnd w:id="721"/>
    <w:bookmarkEnd w:id="722"/>
    <w:p w14:paraId="0D9C9373">
      <w:pPr>
        <w:pStyle w:val="54"/>
        <w:keepNext/>
        <w:keepLines/>
        <w:spacing w:before="60" w:after="60" w:line="360" w:lineRule="auto"/>
        <w:ind w:firstLine="422" w:firstLineChars="200"/>
        <w:outlineLvl w:val="1"/>
        <w:rPr>
          <w:rFonts w:hint="eastAsia" w:ascii="宋体" w:hAnsi="宋体" w:eastAsia="宋体" w:cs="宋体"/>
          <w:b/>
          <w:sz w:val="21"/>
          <w:szCs w:val="21"/>
        </w:rPr>
      </w:pPr>
      <w:bookmarkStart w:id="889" w:name="_Toc297120505"/>
      <w:bookmarkStart w:id="890" w:name="_Toc296891033"/>
      <w:bookmarkStart w:id="891" w:name="_Toc296503205"/>
      <w:bookmarkStart w:id="892" w:name="_Toc292559915"/>
      <w:bookmarkStart w:id="893" w:name="_Toc292559410"/>
      <w:bookmarkStart w:id="894" w:name="_Toc296891245"/>
      <w:bookmarkStart w:id="895" w:name="_Toc296944544"/>
      <w:bookmarkStart w:id="896" w:name="_Toc296346706"/>
      <w:bookmarkStart w:id="897" w:name="_Toc297048391"/>
      <w:bookmarkStart w:id="898" w:name="_Toc296347204"/>
      <w:bookmarkStart w:id="899" w:name="_Toc469010952"/>
      <w:bookmarkStart w:id="900" w:name="_Toc351203644"/>
      <w:bookmarkStart w:id="901" w:name="_Toc4206"/>
      <w:bookmarkStart w:id="902" w:name="_Toc373227748"/>
      <w:bookmarkStart w:id="903" w:name="_Toc3882806"/>
      <w:bookmarkStart w:id="904" w:name="_Toc373478395"/>
      <w:bookmarkStart w:id="905" w:name="_Toc30061998"/>
      <w:bookmarkStart w:id="906" w:name="_Toc297216211"/>
      <w:bookmarkStart w:id="907" w:name="_Toc304295579"/>
      <w:bookmarkStart w:id="908" w:name="_Toc300935002"/>
      <w:bookmarkStart w:id="909" w:name="_Toc312678040"/>
      <w:bookmarkStart w:id="910" w:name="_Toc297123552"/>
      <w:bookmarkStart w:id="911" w:name="_Toc303539159"/>
      <w:r>
        <w:rPr>
          <w:rFonts w:hint="eastAsia" w:ascii="宋体" w:hAnsi="宋体" w:eastAsia="宋体" w:cs="宋体"/>
          <w:b/>
          <w:sz w:val="21"/>
          <w:szCs w:val="21"/>
        </w:rPr>
        <w:t xml:space="preserve">12. </w:t>
      </w:r>
      <w:bookmarkEnd w:id="889"/>
      <w:bookmarkEnd w:id="890"/>
      <w:bookmarkEnd w:id="891"/>
      <w:bookmarkEnd w:id="892"/>
      <w:bookmarkEnd w:id="893"/>
      <w:bookmarkEnd w:id="894"/>
      <w:bookmarkEnd w:id="895"/>
      <w:bookmarkEnd w:id="896"/>
      <w:bookmarkEnd w:id="897"/>
      <w:bookmarkEnd w:id="898"/>
      <w:r>
        <w:rPr>
          <w:rFonts w:hint="eastAsia" w:ascii="宋体" w:hAnsi="宋体" w:eastAsia="宋体" w:cs="宋体"/>
          <w:b/>
          <w:sz w:val="21"/>
          <w:szCs w:val="21"/>
        </w:rPr>
        <w:t>合同价格、计量与支付</w:t>
      </w:r>
      <w:bookmarkEnd w:id="899"/>
      <w:bookmarkEnd w:id="900"/>
      <w:bookmarkEnd w:id="901"/>
      <w:bookmarkEnd w:id="902"/>
      <w:bookmarkEnd w:id="903"/>
      <w:bookmarkEnd w:id="904"/>
      <w:bookmarkEnd w:id="905"/>
    </w:p>
    <w:bookmarkEnd w:id="906"/>
    <w:bookmarkEnd w:id="907"/>
    <w:bookmarkEnd w:id="908"/>
    <w:bookmarkEnd w:id="909"/>
    <w:bookmarkEnd w:id="910"/>
    <w:bookmarkEnd w:id="911"/>
    <w:p w14:paraId="52CCAE51">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912" w:name="_Toc267251461"/>
      <w:bookmarkStart w:id="913" w:name="_Toc292559916"/>
      <w:bookmarkStart w:id="914" w:name="_Toc292559411"/>
      <w:bookmarkStart w:id="915" w:name="_Toc296944545"/>
      <w:bookmarkStart w:id="916" w:name="_Toc297120506"/>
      <w:bookmarkStart w:id="917" w:name="_Toc296346707"/>
      <w:bookmarkStart w:id="918" w:name="_Toc297048392"/>
      <w:bookmarkStart w:id="919" w:name="_Toc296891246"/>
      <w:bookmarkStart w:id="920" w:name="_Toc296891034"/>
      <w:bookmarkStart w:id="921" w:name="_Toc296503206"/>
      <w:bookmarkStart w:id="922" w:name="_Toc296347205"/>
      <w:bookmarkStart w:id="923" w:name="_Toc373227749"/>
      <w:bookmarkStart w:id="924" w:name="_Toc373478396"/>
      <w:bookmarkStart w:id="925" w:name="_Toc469010953"/>
      <w:bookmarkStart w:id="926" w:name="_Toc30061999"/>
      <w:bookmarkStart w:id="927" w:name="_Toc8953"/>
      <w:bookmarkStart w:id="928" w:name="_Toc3882807"/>
      <w:bookmarkStart w:id="929" w:name="_Toc389065314"/>
      <w:bookmarkStart w:id="930" w:name="_Toc297216212"/>
      <w:bookmarkStart w:id="931" w:name="_Toc312678041"/>
      <w:bookmarkStart w:id="932" w:name="_Toc300935003"/>
      <w:bookmarkStart w:id="933" w:name="_Toc304295580"/>
      <w:bookmarkStart w:id="934" w:name="_Toc303539160"/>
      <w:bookmarkStart w:id="935" w:name="_Toc297123553"/>
      <w:r>
        <w:rPr>
          <w:rFonts w:hint="eastAsia" w:ascii="宋体" w:hAnsi="宋体" w:eastAsia="宋体" w:cs="宋体"/>
          <w:b/>
          <w:kern w:val="0"/>
          <w:sz w:val="21"/>
          <w:szCs w:val="21"/>
        </w:rPr>
        <w:t>12.1 合</w:t>
      </w:r>
      <w:bookmarkEnd w:id="912"/>
      <w:bookmarkEnd w:id="913"/>
      <w:bookmarkEnd w:id="914"/>
      <w:r>
        <w:rPr>
          <w:rFonts w:hint="eastAsia" w:ascii="宋体" w:hAnsi="宋体" w:eastAsia="宋体" w:cs="宋体"/>
          <w:b/>
          <w:kern w:val="0"/>
          <w:sz w:val="21"/>
          <w:szCs w:val="21"/>
        </w:rPr>
        <w:t>同价</w:t>
      </w:r>
      <w:bookmarkEnd w:id="915"/>
      <w:bookmarkEnd w:id="916"/>
      <w:bookmarkEnd w:id="917"/>
      <w:bookmarkEnd w:id="918"/>
      <w:bookmarkEnd w:id="919"/>
      <w:bookmarkEnd w:id="920"/>
      <w:bookmarkEnd w:id="921"/>
      <w:bookmarkEnd w:id="922"/>
      <w:r>
        <w:rPr>
          <w:rFonts w:hint="eastAsia" w:ascii="宋体" w:hAnsi="宋体" w:eastAsia="宋体" w:cs="宋体"/>
          <w:b/>
          <w:kern w:val="0"/>
          <w:sz w:val="21"/>
          <w:szCs w:val="21"/>
        </w:rPr>
        <w:t>格形式</w:t>
      </w:r>
      <w:bookmarkEnd w:id="923"/>
      <w:bookmarkEnd w:id="924"/>
      <w:bookmarkEnd w:id="925"/>
      <w:bookmarkEnd w:id="926"/>
      <w:bookmarkEnd w:id="927"/>
      <w:bookmarkEnd w:id="928"/>
      <w:bookmarkEnd w:id="929"/>
    </w:p>
    <w:bookmarkEnd w:id="930"/>
    <w:bookmarkEnd w:id="931"/>
    <w:bookmarkEnd w:id="932"/>
    <w:bookmarkEnd w:id="933"/>
    <w:bookmarkEnd w:id="934"/>
    <w:bookmarkEnd w:id="935"/>
    <w:p w14:paraId="5939060E">
      <w:pPr>
        <w:pStyle w:val="54"/>
        <w:spacing w:line="360" w:lineRule="auto"/>
        <w:ind w:firstLine="420" w:firstLineChars="200"/>
        <w:jc w:val="left"/>
        <w:rPr>
          <w:rFonts w:hint="eastAsia" w:ascii="宋体" w:hAnsi="宋体" w:eastAsia="宋体" w:cs="宋体"/>
          <w:color w:val="auto"/>
          <w:sz w:val="21"/>
          <w:szCs w:val="21"/>
        </w:rPr>
      </w:pPr>
      <w:bookmarkStart w:id="936" w:name="_Toc389065315"/>
      <w:bookmarkStart w:id="937" w:name="_Toc373227750"/>
      <w:bookmarkStart w:id="938" w:name="_Toc373478397"/>
      <w:bookmarkStart w:id="939" w:name="_Toc292559412"/>
      <w:bookmarkStart w:id="940" w:name="_Toc296944546"/>
      <w:bookmarkStart w:id="941" w:name="_Toc312678042"/>
      <w:bookmarkStart w:id="942" w:name="_Toc297120507"/>
      <w:bookmarkStart w:id="943" w:name="_Toc292559917"/>
      <w:bookmarkStart w:id="944" w:name="_Toc296346708"/>
      <w:bookmarkStart w:id="945" w:name="_Toc297048393"/>
      <w:bookmarkStart w:id="946" w:name="_Toc300935004"/>
      <w:bookmarkStart w:id="947" w:name="_Toc296891247"/>
      <w:bookmarkStart w:id="948" w:name="_Toc297216213"/>
      <w:bookmarkStart w:id="949" w:name="_Toc296503207"/>
      <w:bookmarkStart w:id="950" w:name="_Toc296347206"/>
      <w:bookmarkStart w:id="951" w:name="_Toc296891035"/>
      <w:bookmarkStart w:id="952" w:name="_Toc304295581"/>
      <w:bookmarkStart w:id="953" w:name="_Toc303539161"/>
      <w:bookmarkStart w:id="954" w:name="_Toc297123554"/>
      <w:r>
        <w:rPr>
          <w:rFonts w:hint="eastAsia" w:ascii="宋体" w:hAnsi="宋体" w:eastAsia="宋体" w:cs="宋体"/>
          <w:sz w:val="21"/>
          <w:szCs w:val="21"/>
        </w:rPr>
        <w:t>本工程采用固定综合单价合同价格形式。合同价格包含增值税，</w:t>
      </w:r>
      <w:r>
        <w:rPr>
          <w:rFonts w:hint="eastAsia" w:ascii="宋体" w:hAnsi="宋体" w:eastAsia="宋体" w:cs="宋体"/>
          <w:color w:val="auto"/>
          <w:sz w:val="21"/>
          <w:szCs w:val="21"/>
        </w:rPr>
        <w:t>本工程计价时采用的增值税计税方法为：</w:t>
      </w:r>
      <w:r>
        <w:rPr>
          <w:rFonts w:hint="eastAsia" w:ascii="宋体" w:hAnsi="宋体" w:cs="宋体"/>
          <w:color w:val="auto"/>
          <w:sz w:val="21"/>
          <w:szCs w:val="21"/>
          <w:lang w:eastAsia="zh-CN"/>
        </w:rPr>
        <w:t>☑</w:t>
      </w:r>
      <w:r>
        <w:rPr>
          <w:rFonts w:hint="eastAsia" w:ascii="宋体" w:hAnsi="宋体" w:eastAsia="宋体" w:cs="宋体"/>
          <w:color w:val="auto"/>
          <w:sz w:val="21"/>
          <w:szCs w:val="21"/>
        </w:rPr>
        <w:t xml:space="preserve">一般计税法   </w:t>
      </w:r>
      <w:r>
        <w:rPr>
          <w:rFonts w:hint="eastAsia" w:ascii="宋体" w:hAnsi="宋体" w:cs="宋体"/>
          <w:color w:val="auto"/>
          <w:sz w:val="21"/>
          <w:szCs w:val="21"/>
          <w:lang w:eastAsia="zh-CN"/>
        </w:rPr>
        <w:t>□</w:t>
      </w:r>
      <w:r>
        <w:rPr>
          <w:rFonts w:hint="eastAsia" w:ascii="宋体" w:hAnsi="宋体" w:eastAsia="宋体" w:cs="宋体"/>
          <w:color w:val="auto"/>
          <w:sz w:val="21"/>
          <w:szCs w:val="21"/>
        </w:rPr>
        <w:t>简易计税法。</w:t>
      </w:r>
    </w:p>
    <w:p w14:paraId="33B82DF6">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（1）单价合同。</w:t>
      </w:r>
    </w:p>
    <w:p w14:paraId="622183E8">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采用综合单价合同方式时，工程量按建设单位、监理单位、施工单位三方确认的竣工图结算。</w:t>
      </w:r>
    </w:p>
    <w:p w14:paraId="75017B8F">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综合单价包含的风险范围：</w:t>
      </w:r>
      <w:r>
        <w:rPr>
          <w:rFonts w:hint="eastAsia" w:ascii="宋体" w:hAnsi="宋体" w:eastAsia="宋体" w:cs="宋体"/>
          <w:sz w:val="21"/>
          <w:szCs w:val="21"/>
          <w:u w:val="single"/>
        </w:rPr>
        <w:t>除工程变更、项目特征不符、工程量清单缺项漏项、政策性调整、工程量偏差、价格变动风险以外的其他风险因素</w:t>
      </w:r>
      <w:r>
        <w:rPr>
          <w:rFonts w:hint="eastAsia" w:ascii="宋体" w:hAnsi="宋体" w:eastAsia="宋体" w:cs="宋体"/>
          <w:sz w:val="21"/>
          <w:szCs w:val="21"/>
        </w:rPr>
        <w:t>。</w:t>
      </w:r>
    </w:p>
    <w:p w14:paraId="721D4D54">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风险范围以外合同价格的调整方法：</w:t>
      </w:r>
    </w:p>
    <w:p w14:paraId="7A47C233">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①工程变更：按10.4.1变更估价原则的约定调整。</w:t>
      </w:r>
    </w:p>
    <w:p w14:paraId="7BD3C2B6">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②政策性调整：按自治区建设行政主管部门颁布的文件执行。</w:t>
      </w:r>
    </w:p>
    <w:p w14:paraId="41E759F7">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③材料价格风险：按11.1的约定调整。</w:t>
      </w:r>
    </w:p>
    <w:p w14:paraId="5CCD6A73">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④其它：</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14:paraId="765AC921">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（2）总价合同。</w:t>
      </w:r>
    </w:p>
    <w:p w14:paraId="5C8B3C87">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总价包含的风险范围：</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14:paraId="1AF490EB">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风险范围以外合同价格的调整方法：</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14:paraId="5B4C2026">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（3）其他价格方式：</w:t>
      </w:r>
      <w:r>
        <w:rPr>
          <w:rFonts w:hint="eastAsia" w:ascii="宋体" w:hAnsi="宋体" w:eastAsia="宋体" w:cs="宋体"/>
          <w:sz w:val="21"/>
          <w:szCs w:val="21"/>
          <w:u w:val="single"/>
        </w:rPr>
        <w:t xml:space="preserve">  /  </w:t>
      </w:r>
      <w:r>
        <w:rPr>
          <w:rFonts w:hint="eastAsia" w:ascii="宋体" w:hAnsi="宋体" w:eastAsia="宋体" w:cs="宋体"/>
          <w:sz w:val="21"/>
          <w:szCs w:val="21"/>
        </w:rPr>
        <w:t xml:space="preserve"> 。</w:t>
      </w:r>
    </w:p>
    <w:p w14:paraId="093C7F41">
      <w:pPr>
        <w:pStyle w:val="54"/>
        <w:keepNext/>
        <w:keepLines/>
        <w:spacing w:before="260" w:after="260" w:line="360" w:lineRule="auto"/>
        <w:ind w:firstLine="422" w:firstLineChars="200"/>
        <w:outlineLvl w:val="2"/>
        <w:rPr>
          <w:rFonts w:hint="eastAsia" w:ascii="宋体" w:hAnsi="宋体" w:eastAsia="宋体" w:cs="宋体"/>
          <w:color w:val="FF0000"/>
          <w:sz w:val="21"/>
          <w:szCs w:val="21"/>
        </w:rPr>
      </w:pPr>
      <w:bookmarkStart w:id="955" w:name="_Toc23317"/>
      <w:bookmarkStart w:id="956" w:name="_Toc469010954"/>
      <w:bookmarkStart w:id="957" w:name="_Toc30062000"/>
      <w:bookmarkStart w:id="958" w:name="_Toc3882808"/>
      <w:r>
        <w:rPr>
          <w:rFonts w:hint="eastAsia" w:ascii="宋体" w:hAnsi="宋体" w:eastAsia="宋体" w:cs="宋体"/>
          <w:b/>
          <w:color w:val="FF0000"/>
          <w:kern w:val="0"/>
          <w:sz w:val="21"/>
          <w:szCs w:val="21"/>
        </w:rPr>
        <w:t>12.2 预付款</w:t>
      </w:r>
      <w:bookmarkEnd w:id="936"/>
      <w:bookmarkEnd w:id="937"/>
      <w:bookmarkEnd w:id="938"/>
      <w:bookmarkEnd w:id="955"/>
      <w:bookmarkEnd w:id="956"/>
      <w:bookmarkEnd w:id="957"/>
      <w:bookmarkEnd w:id="958"/>
    </w:p>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p w14:paraId="17099897">
      <w:pPr>
        <w:pStyle w:val="54"/>
        <w:spacing w:line="360" w:lineRule="auto"/>
        <w:ind w:firstLine="420" w:firstLineChars="200"/>
        <w:rPr>
          <w:rFonts w:hint="eastAsia" w:ascii="宋体" w:hAnsi="宋体" w:eastAsia="宋体" w:cs="宋体"/>
          <w:color w:val="FF0000"/>
          <w:sz w:val="21"/>
          <w:szCs w:val="21"/>
        </w:rPr>
      </w:pPr>
      <w:bookmarkStart w:id="959" w:name="_Toc18102"/>
      <w:bookmarkStart w:id="960" w:name="_Toc373227751"/>
      <w:bookmarkStart w:id="961" w:name="_Toc469010955"/>
      <w:bookmarkStart w:id="962" w:name="_Toc3882809"/>
      <w:bookmarkStart w:id="963" w:name="_Toc30062001"/>
      <w:bookmarkStart w:id="964" w:name="_Toc373478398"/>
      <w:bookmarkStart w:id="965" w:name="_Toc389065316"/>
      <w:r>
        <w:rPr>
          <w:rFonts w:hint="eastAsia" w:ascii="宋体" w:hAnsi="宋体" w:eastAsia="宋体" w:cs="宋体"/>
          <w:color w:val="FF0000"/>
          <w:sz w:val="21"/>
          <w:szCs w:val="21"/>
        </w:rPr>
        <w:t>12.2.1 预付款的支付</w:t>
      </w:r>
    </w:p>
    <w:p w14:paraId="0BE9ADF0">
      <w:pPr>
        <w:pStyle w:val="54"/>
        <w:spacing w:line="360" w:lineRule="auto"/>
        <w:ind w:firstLine="420" w:firstLineChars="200"/>
        <w:rPr>
          <w:rFonts w:hint="eastAsia" w:ascii="宋体" w:hAnsi="宋体" w:eastAsia="宋体" w:cs="宋体"/>
          <w:color w:val="FF0000"/>
          <w:sz w:val="21"/>
          <w:szCs w:val="21"/>
        </w:rPr>
      </w:pPr>
      <w:r>
        <w:rPr>
          <w:rFonts w:hint="eastAsia" w:ascii="宋体" w:hAnsi="宋体" w:eastAsia="宋体" w:cs="宋体"/>
          <w:color w:val="FF0000"/>
          <w:sz w:val="21"/>
          <w:szCs w:val="21"/>
        </w:rPr>
        <w:t>预付款支付比例或金额：合同价款的30%。</w:t>
      </w:r>
    </w:p>
    <w:p w14:paraId="280A5461">
      <w:pPr>
        <w:pStyle w:val="54"/>
        <w:spacing w:line="360" w:lineRule="auto"/>
        <w:ind w:firstLine="420" w:firstLineChars="200"/>
        <w:rPr>
          <w:rFonts w:hint="eastAsia" w:ascii="宋体" w:hAnsi="宋体" w:eastAsia="宋体" w:cs="宋体"/>
          <w:color w:val="FF0000"/>
          <w:sz w:val="21"/>
          <w:szCs w:val="21"/>
        </w:rPr>
      </w:pPr>
      <w:r>
        <w:rPr>
          <w:rFonts w:hint="eastAsia" w:ascii="宋体" w:hAnsi="宋体" w:eastAsia="宋体" w:cs="宋体"/>
          <w:color w:val="FF0000"/>
          <w:sz w:val="21"/>
          <w:szCs w:val="21"/>
        </w:rPr>
        <w:t>预付款支付期限：</w:t>
      </w:r>
      <w:r>
        <w:rPr>
          <w:rFonts w:hint="eastAsia" w:ascii="宋体" w:hAnsi="宋体" w:cs="宋体"/>
          <w:color w:val="FF0000"/>
          <w:sz w:val="21"/>
          <w:szCs w:val="21"/>
          <w:lang w:val="en-US" w:eastAsia="zh-CN"/>
        </w:rPr>
        <w:t>合同签订</w:t>
      </w:r>
      <w:r>
        <w:rPr>
          <w:rFonts w:hint="eastAsia" w:ascii="宋体" w:hAnsi="宋体" w:eastAsia="宋体" w:cs="宋体"/>
          <w:color w:val="FF0000"/>
          <w:sz w:val="21"/>
          <w:szCs w:val="21"/>
        </w:rPr>
        <w:t>后</w:t>
      </w:r>
      <w:r>
        <w:rPr>
          <w:rFonts w:hint="eastAsia" w:ascii="宋体" w:hAnsi="宋体" w:cs="宋体"/>
          <w:color w:val="FF0000"/>
          <w:sz w:val="21"/>
          <w:szCs w:val="21"/>
          <w:lang w:val="en-US" w:eastAsia="zh-CN"/>
        </w:rPr>
        <w:t>10个工作日内</w:t>
      </w:r>
      <w:r>
        <w:rPr>
          <w:rFonts w:hint="eastAsia" w:ascii="宋体" w:hAnsi="宋体" w:eastAsia="宋体" w:cs="宋体"/>
          <w:color w:val="FF0000"/>
          <w:sz w:val="21"/>
          <w:szCs w:val="21"/>
        </w:rPr>
        <w:t>。</w:t>
      </w:r>
    </w:p>
    <w:p w14:paraId="5CA04E08">
      <w:pPr>
        <w:pStyle w:val="54"/>
        <w:spacing w:line="360" w:lineRule="auto"/>
        <w:ind w:firstLine="420" w:firstLineChars="200"/>
        <w:rPr>
          <w:rFonts w:hint="eastAsia" w:ascii="宋体" w:hAnsi="宋体" w:eastAsia="宋体" w:cs="宋体"/>
          <w:color w:val="FF0000"/>
          <w:sz w:val="21"/>
          <w:szCs w:val="21"/>
        </w:rPr>
      </w:pPr>
      <w:r>
        <w:rPr>
          <w:rFonts w:hint="eastAsia" w:ascii="宋体" w:hAnsi="宋体" w:eastAsia="宋体" w:cs="宋体"/>
          <w:color w:val="FF0000"/>
          <w:sz w:val="21"/>
          <w:szCs w:val="21"/>
        </w:rPr>
        <w:t>预付款扣回的方式：工程预付款应从每期支付给承包人的工程进度款中按预付款同比例扣回，直至合同累计完成金额达到签约合同价的80%时全部扣完。</w:t>
      </w:r>
    </w:p>
    <w:p w14:paraId="561D0CB3">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r>
        <w:rPr>
          <w:rFonts w:hint="eastAsia" w:ascii="宋体" w:hAnsi="宋体" w:eastAsia="宋体" w:cs="宋体"/>
          <w:b/>
          <w:kern w:val="0"/>
          <w:sz w:val="21"/>
          <w:szCs w:val="21"/>
        </w:rPr>
        <w:t>12.3 计量</w:t>
      </w:r>
      <w:bookmarkEnd w:id="959"/>
      <w:bookmarkEnd w:id="960"/>
      <w:bookmarkEnd w:id="961"/>
      <w:bookmarkEnd w:id="962"/>
      <w:bookmarkEnd w:id="963"/>
      <w:bookmarkEnd w:id="964"/>
      <w:bookmarkEnd w:id="965"/>
    </w:p>
    <w:p w14:paraId="7E628755">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12.3.1 计量原则</w:t>
      </w:r>
    </w:p>
    <w:p w14:paraId="7C53038C">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工程量计算规则：</w:t>
      </w:r>
      <w:r>
        <w:rPr>
          <w:rFonts w:hint="eastAsia" w:ascii="宋体" w:hAnsi="宋体" w:eastAsia="宋体" w:cs="宋体"/>
          <w:sz w:val="21"/>
          <w:szCs w:val="21"/>
          <w:u w:val="single"/>
        </w:rPr>
        <w:t>工程的计量均以《公路工程建设项目概算预算编办法》(JTG/T3830-2018)、《公路工程概算定额》(JTG/T3831-2018)、《公路工程预算定额》(JTG/T3832-2018)、《公路工程机械台班费用定额》(JTG/T3833-2018)</w:t>
      </w:r>
      <w:r>
        <w:rPr>
          <w:rFonts w:hint="eastAsia" w:ascii="宋体" w:hAnsi="宋体" w:cs="宋体"/>
          <w:sz w:val="21"/>
          <w:szCs w:val="21"/>
          <w:u w:val="single"/>
          <w:lang w:val="en-US" w:eastAsia="zh-CN"/>
        </w:rPr>
        <w:t>为准</w:t>
      </w:r>
      <w:r>
        <w:rPr>
          <w:rFonts w:hint="eastAsia" w:ascii="宋体" w:hAnsi="宋体" w:eastAsia="宋体" w:cs="宋体"/>
          <w:sz w:val="21"/>
          <w:szCs w:val="21"/>
          <w:u w:val="single"/>
        </w:rPr>
        <w:t>。</w:t>
      </w:r>
    </w:p>
    <w:p w14:paraId="37F131AD">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12.3.2 计量周期</w:t>
      </w:r>
    </w:p>
    <w:p w14:paraId="758D69B7">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关于计量周期的约定：</w:t>
      </w:r>
      <w:r>
        <w:rPr>
          <w:rFonts w:hint="eastAsia" w:ascii="宋体" w:hAnsi="宋体" w:eastAsia="宋体" w:cs="宋体"/>
          <w:sz w:val="21"/>
          <w:szCs w:val="21"/>
          <w:u w:val="single"/>
        </w:rPr>
        <w:t>每月25日前，承包人需提供施工月报。</w:t>
      </w:r>
    </w:p>
    <w:p w14:paraId="6443A86D">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12.3.3 单价合同的计量</w:t>
      </w:r>
    </w:p>
    <w:p w14:paraId="4AE84193">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关于单价合同计量的约定：</w:t>
      </w:r>
    </w:p>
    <w:p w14:paraId="5C53F230">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 工程量清单所列的工程量，不能作为承包人按合同履行其责任依据，实际施工中发生的工程量增加或减少并不影响承包人履行合同的责任，工程结算以完成的实际工程量为准。</w:t>
      </w:r>
    </w:p>
    <w:p w14:paraId="1AC91270">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 除另有规定外，工程师应按照合同通过计量来核实确定已完成的工程量和价款，承包人应得到该价款扣除保留金后的金额。当工程师要对已完工的工程量进行计量时，应适时地通知承包人参加。</w:t>
      </w:r>
    </w:p>
    <w:p w14:paraId="06C4F6F0">
      <w:pPr>
        <w:pStyle w:val="54"/>
        <w:keepNext/>
        <w:keepLines/>
        <w:spacing w:before="260" w:after="260" w:line="360" w:lineRule="auto"/>
        <w:ind w:firstLine="422" w:firstLineChars="200"/>
        <w:outlineLvl w:val="2"/>
        <w:rPr>
          <w:rFonts w:hint="eastAsia" w:ascii="宋体" w:hAnsi="宋体" w:eastAsia="宋体" w:cs="宋体"/>
          <w:b/>
          <w:color w:val="FF0000"/>
          <w:kern w:val="0"/>
          <w:sz w:val="21"/>
          <w:szCs w:val="21"/>
        </w:rPr>
      </w:pPr>
      <w:bookmarkStart w:id="966" w:name="_Toc3882810"/>
      <w:bookmarkStart w:id="967" w:name="_Toc469010956"/>
      <w:bookmarkStart w:id="968" w:name="_Toc24170"/>
      <w:bookmarkStart w:id="969" w:name="_Toc373478399"/>
      <w:bookmarkStart w:id="970" w:name="_Toc373227752"/>
      <w:bookmarkStart w:id="971" w:name="_Toc30062002"/>
      <w:bookmarkStart w:id="972" w:name="_Toc389065317"/>
      <w:r>
        <w:rPr>
          <w:rFonts w:hint="eastAsia" w:ascii="宋体" w:hAnsi="宋体" w:eastAsia="宋体" w:cs="宋体"/>
          <w:b/>
          <w:color w:val="FF0000"/>
          <w:kern w:val="0"/>
          <w:sz w:val="21"/>
          <w:szCs w:val="21"/>
        </w:rPr>
        <w:t>12.4 工程进度款支付</w:t>
      </w:r>
      <w:bookmarkEnd w:id="966"/>
      <w:bookmarkEnd w:id="967"/>
      <w:bookmarkEnd w:id="968"/>
      <w:bookmarkEnd w:id="969"/>
      <w:bookmarkEnd w:id="970"/>
      <w:bookmarkEnd w:id="971"/>
      <w:bookmarkEnd w:id="972"/>
    </w:p>
    <w:p w14:paraId="1AD2297B">
      <w:pPr>
        <w:pStyle w:val="54"/>
        <w:spacing w:line="360" w:lineRule="auto"/>
        <w:ind w:firstLine="420" w:firstLineChars="200"/>
        <w:jc w:val="left"/>
        <w:rPr>
          <w:rFonts w:hint="eastAsia" w:ascii="宋体" w:hAnsi="宋体" w:eastAsia="宋体" w:cs="宋体"/>
          <w:color w:val="FF0000"/>
          <w:sz w:val="21"/>
          <w:szCs w:val="21"/>
        </w:rPr>
      </w:pPr>
      <w:bookmarkStart w:id="973" w:name="_Toc296891251"/>
      <w:bookmarkStart w:id="974" w:name="_Toc292559921"/>
      <w:bookmarkStart w:id="975" w:name="_Toc297048397"/>
      <w:bookmarkStart w:id="976" w:name="_Toc296944550"/>
      <w:bookmarkStart w:id="977" w:name="_Toc296891039"/>
      <w:bookmarkStart w:id="978" w:name="_Toc297123556"/>
      <w:bookmarkStart w:id="979" w:name="_Toc297120511"/>
      <w:bookmarkStart w:id="980" w:name="_Toc296346712"/>
      <w:bookmarkStart w:id="981" w:name="_Toc303539163"/>
      <w:bookmarkStart w:id="982" w:name="_Toc296347210"/>
      <w:bookmarkStart w:id="983" w:name="_Toc300935006"/>
      <w:bookmarkStart w:id="984" w:name="_Toc296503211"/>
      <w:bookmarkStart w:id="985" w:name="_Toc292559416"/>
      <w:bookmarkStart w:id="986" w:name="_Toc297216215"/>
      <w:r>
        <w:rPr>
          <w:rFonts w:hint="eastAsia" w:ascii="宋体" w:hAnsi="宋体" w:eastAsia="宋体" w:cs="宋体"/>
          <w:color w:val="FF0000"/>
          <w:sz w:val="21"/>
          <w:szCs w:val="21"/>
        </w:rPr>
        <w:t>12.4.1 付款周期</w:t>
      </w:r>
    </w:p>
    <w:p w14:paraId="5FF5ABE9">
      <w:pPr>
        <w:pStyle w:val="54"/>
        <w:spacing w:line="360" w:lineRule="auto"/>
        <w:ind w:firstLine="420" w:firstLineChars="200"/>
        <w:rPr>
          <w:rFonts w:hint="eastAsia" w:ascii="宋体" w:hAnsi="宋体" w:eastAsia="宋体" w:cs="宋体"/>
          <w:color w:val="FF0000"/>
          <w:sz w:val="21"/>
          <w:szCs w:val="21"/>
        </w:rPr>
      </w:pPr>
      <w:r>
        <w:rPr>
          <w:rFonts w:hint="eastAsia" w:ascii="宋体" w:hAnsi="宋体" w:eastAsia="宋体" w:cs="宋体"/>
          <w:color w:val="FF0000"/>
          <w:sz w:val="21"/>
          <w:szCs w:val="21"/>
        </w:rPr>
        <w:t>关于付款周期的约定：</w:t>
      </w:r>
      <w:r>
        <w:rPr>
          <w:rFonts w:hint="eastAsia" w:ascii="宋体" w:hAnsi="宋体" w:eastAsia="宋体" w:cs="宋体"/>
          <w:bCs/>
          <w:color w:val="FF0000"/>
          <w:sz w:val="21"/>
          <w:szCs w:val="21"/>
          <w:u w:val="single"/>
        </w:rPr>
        <w:t>工程付进度款支付方式：合同内进度款支付限额为已完成工程量的85%，工程变更部分进度款支付限额为已完成工程量的</w:t>
      </w:r>
      <w:r>
        <w:rPr>
          <w:rFonts w:hint="eastAsia" w:ascii="宋体" w:hAnsi="宋体" w:cs="宋体"/>
          <w:bCs/>
          <w:color w:val="FF0000"/>
          <w:sz w:val="21"/>
          <w:szCs w:val="21"/>
          <w:u w:val="single"/>
          <w:lang w:val="en-US" w:eastAsia="zh-CN"/>
        </w:rPr>
        <w:t>80</w:t>
      </w:r>
      <w:r>
        <w:rPr>
          <w:rFonts w:hint="eastAsia" w:ascii="宋体" w:hAnsi="宋体" w:eastAsia="宋体" w:cs="宋体"/>
          <w:bCs/>
          <w:color w:val="FF0000"/>
          <w:sz w:val="21"/>
          <w:szCs w:val="21"/>
          <w:u w:val="single"/>
        </w:rPr>
        <w:t>%。</w:t>
      </w:r>
    </w:p>
    <w:p w14:paraId="48986372">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12.4.2 进度付款申请单的编制</w:t>
      </w:r>
    </w:p>
    <w:p w14:paraId="3FF33889">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关于进度付款申请单编制的约定：</w:t>
      </w:r>
      <w:r>
        <w:rPr>
          <w:rFonts w:hint="eastAsia" w:ascii="宋体" w:hAnsi="宋体" w:eastAsia="宋体" w:cs="宋体"/>
          <w:sz w:val="21"/>
          <w:szCs w:val="21"/>
          <w:u w:val="single"/>
        </w:rPr>
        <w:t>承包人应在每个计量周期到期后的7天内向发包人提交已完工程进度款支付申请一式陆份，详细说明此周期自己认为有权得到的款额，包括分包人已完工程的价款，按有关规定编制</w:t>
      </w:r>
      <w:r>
        <w:rPr>
          <w:rFonts w:hint="eastAsia" w:ascii="宋体" w:hAnsi="宋体" w:eastAsia="宋体" w:cs="宋体"/>
          <w:sz w:val="21"/>
          <w:szCs w:val="21"/>
        </w:rPr>
        <w:t>。</w:t>
      </w:r>
    </w:p>
    <w:p w14:paraId="4232FAD3">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w:t>
      </w:r>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r>
        <w:rPr>
          <w:rFonts w:hint="eastAsia" w:ascii="宋体" w:hAnsi="宋体" w:eastAsia="宋体" w:cs="宋体"/>
          <w:sz w:val="21"/>
          <w:szCs w:val="21"/>
        </w:rPr>
        <w:t>2.4.3 进度付款申请单的提交</w:t>
      </w:r>
    </w:p>
    <w:p w14:paraId="15012879">
      <w:pPr>
        <w:pStyle w:val="54"/>
        <w:spacing w:line="360" w:lineRule="auto"/>
        <w:ind w:firstLine="420" w:firstLineChars="200"/>
        <w:jc w:val="left"/>
        <w:rPr>
          <w:rFonts w:hint="eastAsia" w:ascii="宋体" w:hAnsi="宋体" w:eastAsia="宋体" w:cs="宋体"/>
          <w:b/>
          <w:bCs/>
          <w:sz w:val="21"/>
          <w:szCs w:val="21"/>
          <w:u w:val="single"/>
        </w:rPr>
      </w:pPr>
      <w:r>
        <w:rPr>
          <w:rFonts w:hint="eastAsia" w:ascii="宋体" w:hAnsi="宋体" w:eastAsia="宋体" w:cs="宋体"/>
          <w:sz w:val="21"/>
          <w:szCs w:val="21"/>
        </w:rPr>
        <w:t>（1）单价合同进度付款申请单提交的约定：</w:t>
      </w:r>
      <w:r>
        <w:rPr>
          <w:rFonts w:hint="eastAsia" w:ascii="宋体" w:hAnsi="宋体" w:eastAsia="宋体" w:cs="宋体"/>
          <w:bCs/>
          <w:sz w:val="21"/>
          <w:szCs w:val="21"/>
          <w:u w:val="single"/>
        </w:rPr>
        <w:t>承包人应在每个计量周期到期后的7天内向发包人提交已完工程进度款支付申请一式陆份，详细说明此周期自己认为有权得到的款额，包括分包人已完工程的价款，按有关规定编制，同时提供经监理审核批准的施工过程中的相关资料。</w:t>
      </w:r>
    </w:p>
    <w:p w14:paraId="7F30D387">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（2）总价合同进度付款申请单提交的约定：</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14:paraId="1BCF5D9C">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（3）其他价格形式合同进度付款申请单提交的约定：</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14:paraId="42D56C1A">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12.4.4 进度款审核和支付</w:t>
      </w:r>
    </w:p>
    <w:p w14:paraId="06239F9D">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（1）监理人审查并报送发包人的期限：</w:t>
      </w:r>
      <w:r>
        <w:rPr>
          <w:rFonts w:hint="eastAsia" w:ascii="宋体" w:hAnsi="宋体" w:eastAsia="宋体" w:cs="宋体"/>
          <w:sz w:val="21"/>
          <w:szCs w:val="21"/>
          <w:u w:val="single"/>
        </w:rPr>
        <w:t xml:space="preserve">收到申请7天内完成审核并报送发包人， 如未在收到相关资料后的5个天内进行审批或提出异议的，视为对承包人提交审批进度款的认可 </w:t>
      </w:r>
      <w:r>
        <w:rPr>
          <w:rFonts w:hint="eastAsia" w:ascii="宋体" w:hAnsi="宋体" w:eastAsia="宋体" w:cs="宋体"/>
          <w:sz w:val="21"/>
          <w:szCs w:val="21"/>
        </w:rPr>
        <w:t>。</w:t>
      </w:r>
    </w:p>
    <w:p w14:paraId="35DE9223">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发包人完成审批并签发进度款支付证书的期限：</w:t>
      </w:r>
      <w:r>
        <w:rPr>
          <w:rFonts w:hint="eastAsia" w:ascii="宋体" w:hAnsi="宋体" w:eastAsia="宋体" w:cs="宋体"/>
          <w:sz w:val="21"/>
          <w:szCs w:val="21"/>
          <w:u w:val="single"/>
        </w:rPr>
        <w:t>收到监理审查并确认后报送7天内完成审批并签发进度款支付证书</w:t>
      </w:r>
      <w:r>
        <w:rPr>
          <w:rFonts w:hint="eastAsia" w:ascii="宋体" w:hAnsi="宋体" w:eastAsia="宋体" w:cs="宋体"/>
          <w:sz w:val="21"/>
          <w:szCs w:val="21"/>
        </w:rPr>
        <w:t>。</w:t>
      </w:r>
    </w:p>
    <w:p w14:paraId="03874BEE">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（2）发包人支付进度款的期限：</w:t>
      </w:r>
      <w:r>
        <w:rPr>
          <w:rFonts w:hint="eastAsia" w:ascii="宋体" w:hAnsi="宋体" w:eastAsia="宋体" w:cs="宋体"/>
          <w:sz w:val="21"/>
          <w:szCs w:val="21"/>
          <w:u w:val="single"/>
        </w:rPr>
        <w:t>审查并确认后14天内</w:t>
      </w:r>
      <w:r>
        <w:rPr>
          <w:rFonts w:hint="eastAsia" w:ascii="宋体" w:hAnsi="宋体" w:eastAsia="宋体" w:cs="宋体"/>
          <w:sz w:val="21"/>
          <w:szCs w:val="21"/>
        </w:rPr>
        <w:t>。</w:t>
      </w:r>
    </w:p>
    <w:p w14:paraId="006C6505">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发包人逾期支付进度款的违约金的计算方式：</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14:paraId="7249D270">
      <w:pPr>
        <w:pStyle w:val="54"/>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rPr>
        <w:t>进度款支付方式：</w:t>
      </w:r>
      <w:r>
        <w:rPr>
          <w:rFonts w:hint="eastAsia" w:ascii="宋体" w:hAnsi="宋体" w:eastAsia="宋体" w:cs="宋体"/>
          <w:sz w:val="21"/>
          <w:szCs w:val="21"/>
          <w:u w:val="single"/>
        </w:rPr>
        <w:t>银行转账</w:t>
      </w:r>
    </w:p>
    <w:p w14:paraId="66C966C1">
      <w:pPr>
        <w:pStyle w:val="54"/>
        <w:spacing w:line="360" w:lineRule="auto"/>
        <w:ind w:firstLine="420" w:firstLineChars="200"/>
        <w:rPr>
          <w:rFonts w:hint="eastAsia" w:ascii="宋体" w:hAnsi="宋体" w:eastAsia="宋体" w:cs="宋体"/>
          <w:strike/>
          <w:sz w:val="21"/>
          <w:szCs w:val="21"/>
        </w:rPr>
      </w:pPr>
      <w:r>
        <w:rPr>
          <w:rFonts w:hint="eastAsia" w:ascii="宋体" w:hAnsi="宋体" w:eastAsia="宋体" w:cs="宋体"/>
          <w:kern w:val="0"/>
          <w:sz w:val="21"/>
          <w:szCs w:val="21"/>
          <w:u w:val="single"/>
        </w:rPr>
        <w:t>支付至承包人指定账户，其他付款方式承包人均不予认可</w:t>
      </w:r>
      <w:r>
        <w:rPr>
          <w:rFonts w:hint="eastAsia" w:ascii="宋体" w:hAnsi="宋体" w:eastAsia="宋体" w:cs="宋体"/>
          <w:sz w:val="21"/>
          <w:szCs w:val="21"/>
        </w:rPr>
        <w:t>。</w:t>
      </w:r>
    </w:p>
    <w:p w14:paraId="6A9B4DC1">
      <w:pPr>
        <w:pStyle w:val="54"/>
        <w:tabs>
          <w:tab w:val="center" w:pos="4153"/>
          <w:tab w:val="right" w:pos="8306"/>
        </w:tabs>
        <w:snapToGri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工程款支付账户：</w:t>
      </w:r>
    </w:p>
    <w:p w14:paraId="4A1CBAF2">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单位名称：</w:t>
      </w:r>
      <w:r>
        <w:rPr>
          <w:rFonts w:hint="eastAsia" w:ascii="宋体" w:hAnsi="宋体" w:eastAsia="宋体" w:cs="宋体"/>
          <w:sz w:val="21"/>
          <w:szCs w:val="21"/>
          <w:u w:val="single"/>
        </w:rPr>
        <w:t xml:space="preserve">          </w:t>
      </w:r>
    </w:p>
    <w:p w14:paraId="55E70F56">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开户银行：</w:t>
      </w:r>
      <w:r>
        <w:rPr>
          <w:rFonts w:hint="eastAsia" w:ascii="宋体" w:hAnsi="宋体" w:eastAsia="宋体" w:cs="宋体"/>
          <w:sz w:val="21"/>
          <w:szCs w:val="21"/>
          <w:u w:val="single"/>
        </w:rPr>
        <w:t xml:space="preserve">          </w:t>
      </w:r>
    </w:p>
    <w:p w14:paraId="589C29BB">
      <w:pPr>
        <w:pStyle w:val="54"/>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账　　号：</w:t>
      </w:r>
      <w:r>
        <w:rPr>
          <w:rFonts w:hint="eastAsia" w:ascii="宋体" w:hAnsi="宋体" w:eastAsia="宋体" w:cs="宋体"/>
          <w:sz w:val="21"/>
          <w:szCs w:val="21"/>
          <w:u w:val="single"/>
        </w:rPr>
        <w:t xml:space="preserve">          </w:t>
      </w:r>
    </w:p>
    <w:p w14:paraId="1D4D1DF2">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（3） 农民工工资支付</w:t>
      </w:r>
    </w:p>
    <w:p w14:paraId="5D4D8ED6">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农民工工资应与其它工程进度款分帐管理。承包人向发包人申请工程进度款时必须把工人工资部分单独列明，如果未单独列明，监理单位不得签支付证书等支付工程款的手续，发包人单位不得审批和支付工程款。发包人必须把工程款分帐出来的农民工工资转入承包人工人工资支付专用账户专户，转入专户环节必须有银行流水凭证。</w:t>
      </w:r>
    </w:p>
    <w:p w14:paraId="54EB1423">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发包人依据工程进度，按与承包人约定的农民工支付比例，将工程人工费分账支付到承包人的农民工工资专户，工程完工时发包人向承包人农民工工资专户支付的完工工程量的人工费支付比例不低于100%，其余工程进度款项由发包人支付到承包人的单位基本户。</w:t>
      </w:r>
    </w:p>
    <w:p w14:paraId="65640CAF">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3）凡未向付款单位提供农民工工资专户的，或者请款单位在申请工程进度款时未将人工费单列的，付款单位有权拒绝支付工程进度款。</w:t>
      </w:r>
    </w:p>
    <w:p w14:paraId="7135CAA7">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4）农民工工资使用要求：专款专用，除发放工人工资外，不得用于其他用途。</w:t>
      </w:r>
    </w:p>
    <w:p w14:paraId="62554967">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5）承包人将农民工工资支付情况定期报告发包人和监理单位，并提供相应的材料接受建设行政主管部门和劳动保障行政主管部门对此事项监管。</w:t>
      </w:r>
    </w:p>
    <w:p w14:paraId="605C974C">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6）农民工工资支付专用账户：</w:t>
      </w:r>
    </w:p>
    <w:p w14:paraId="054F3D1E">
      <w:pPr>
        <w:pStyle w:val="54"/>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rPr>
        <w:t>专用账户名称：</w:t>
      </w:r>
      <w:r>
        <w:rPr>
          <w:rFonts w:hint="eastAsia" w:ascii="宋体" w:hAnsi="宋体" w:eastAsia="宋体" w:cs="宋体"/>
          <w:sz w:val="21"/>
          <w:szCs w:val="21"/>
          <w:u w:val="single"/>
        </w:rPr>
        <w:t xml:space="preserve">                  </w:t>
      </w:r>
    </w:p>
    <w:p w14:paraId="3B3CCE86">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专用账号：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673B2978">
      <w:pPr>
        <w:pStyle w:val="54"/>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rPr>
        <w:t>专用账户开户银行名称：</w:t>
      </w:r>
      <w:r>
        <w:rPr>
          <w:rFonts w:hint="eastAsia" w:ascii="宋体" w:hAnsi="宋体" w:eastAsia="宋体" w:cs="宋体"/>
          <w:sz w:val="21"/>
          <w:szCs w:val="21"/>
          <w:u w:val="single"/>
        </w:rPr>
        <w:t xml:space="preserve">         </w:t>
      </w:r>
    </w:p>
    <w:p w14:paraId="7F133931">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7）双方约定工程款中农民工工资比例为</w:t>
      </w:r>
      <w:r>
        <w:rPr>
          <w:rFonts w:hint="eastAsia" w:ascii="宋体" w:hAnsi="宋体" w:cs="宋体"/>
          <w:sz w:val="21"/>
          <w:szCs w:val="21"/>
          <w:u w:val="single"/>
          <w:lang w:val="en-US" w:eastAsia="zh-CN"/>
        </w:rPr>
        <w:t>10</w:t>
      </w:r>
      <w:r>
        <w:rPr>
          <w:rFonts w:hint="eastAsia" w:ascii="宋体" w:hAnsi="宋体" w:eastAsia="宋体" w:cs="宋体"/>
          <w:sz w:val="21"/>
          <w:szCs w:val="21"/>
          <w:u w:val="single"/>
        </w:rPr>
        <w:t>%</w:t>
      </w:r>
      <w:r>
        <w:rPr>
          <w:rFonts w:hint="eastAsia" w:ascii="宋体" w:hAnsi="宋体" w:eastAsia="宋体" w:cs="宋体"/>
          <w:sz w:val="21"/>
          <w:szCs w:val="21"/>
        </w:rPr>
        <w:t>，甲方支付工程进度款时，按照上述比例将农民工资转至乙方农民工工资专用账户，乙方按月足额支付农民工工资，同时承诺不得将农民工工资专用款挪做其它用途，否则将承担后果及法律责任。</w:t>
      </w:r>
    </w:p>
    <w:p w14:paraId="795852B1">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12.4.6 支付分解表的编制</w:t>
      </w:r>
    </w:p>
    <w:p w14:paraId="25AB224A">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2. 总价合同支付分解表的编制与审批：</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14:paraId="62151F19">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3. 单价合同的总价项目支付分解表的编制与审批：总价项目不采用支付分解表的方式计算，而按《公路工程建设项目概算预算编办法》(JTG/T3830-2018)、《公路工程概算定额》(JTG/T3831-2018)、《公路工程预算定额》(JTG/T3832-2018)、《公路工程机械台班费用定额》(JTG/T3833-2018)；的规定执行。</w:t>
      </w:r>
    </w:p>
    <w:bookmarkEnd w:id="723"/>
    <w:p w14:paraId="015D067F">
      <w:pPr>
        <w:pStyle w:val="54"/>
        <w:keepNext/>
        <w:keepLines/>
        <w:spacing w:before="60" w:after="60" w:line="360" w:lineRule="auto"/>
        <w:ind w:firstLine="422" w:firstLineChars="200"/>
        <w:outlineLvl w:val="1"/>
        <w:rPr>
          <w:rFonts w:hint="eastAsia" w:ascii="宋体" w:hAnsi="宋体" w:eastAsia="宋体" w:cs="宋体"/>
          <w:b/>
          <w:sz w:val="21"/>
          <w:szCs w:val="21"/>
        </w:rPr>
      </w:pPr>
      <w:bookmarkStart w:id="987" w:name="_Toc351203645"/>
      <w:bookmarkStart w:id="988" w:name="_Toc469010957"/>
      <w:bookmarkStart w:id="989" w:name="_Toc373227753"/>
      <w:bookmarkStart w:id="990" w:name="_Toc373478400"/>
      <w:bookmarkStart w:id="991" w:name="_Toc30062003"/>
      <w:bookmarkStart w:id="992" w:name="_Toc3882811"/>
      <w:bookmarkStart w:id="993" w:name="_Toc389065318"/>
      <w:bookmarkStart w:id="994" w:name="_Toc296944558"/>
      <w:bookmarkStart w:id="995" w:name="_Toc297123564"/>
      <w:bookmarkStart w:id="996" w:name="_Toc300935015"/>
      <w:bookmarkStart w:id="997" w:name="_Toc312678053"/>
      <w:bookmarkStart w:id="998" w:name="_Toc296891047"/>
      <w:bookmarkStart w:id="999" w:name="_Toc292559929"/>
      <w:bookmarkStart w:id="1000" w:name="_Toc292559424"/>
      <w:bookmarkStart w:id="1001" w:name="_Toc296503219"/>
      <w:bookmarkStart w:id="1002" w:name="_Toc304295593"/>
      <w:bookmarkStart w:id="1003" w:name="_Toc296346720"/>
      <w:bookmarkStart w:id="1004" w:name="_Toc297048405"/>
      <w:bookmarkStart w:id="1005" w:name="_Toc303539172"/>
      <w:bookmarkStart w:id="1006" w:name="_Toc296891259"/>
      <w:bookmarkStart w:id="1007" w:name="_Toc296347218"/>
      <w:bookmarkStart w:id="1008" w:name="_Toc297216223"/>
      <w:bookmarkStart w:id="1009" w:name="_Toc297120519"/>
      <w:r>
        <w:rPr>
          <w:rFonts w:hint="eastAsia" w:ascii="宋体" w:hAnsi="宋体" w:eastAsia="宋体" w:cs="宋体"/>
          <w:b/>
          <w:sz w:val="21"/>
          <w:szCs w:val="21"/>
        </w:rPr>
        <w:t>13. 验收和工程试车</w:t>
      </w:r>
      <w:bookmarkEnd w:id="987"/>
      <w:bookmarkEnd w:id="988"/>
      <w:bookmarkEnd w:id="989"/>
      <w:bookmarkEnd w:id="990"/>
      <w:bookmarkEnd w:id="991"/>
      <w:bookmarkEnd w:id="992"/>
      <w:bookmarkEnd w:id="993"/>
    </w:p>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p w14:paraId="52DF0A5D">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1010" w:name="_Toc373478401"/>
      <w:bookmarkStart w:id="1011" w:name="_Toc5635"/>
      <w:bookmarkStart w:id="1012" w:name="_Toc3882812"/>
      <w:bookmarkStart w:id="1013" w:name="_Toc469010958"/>
      <w:bookmarkStart w:id="1014" w:name="_Toc30062004"/>
      <w:bookmarkStart w:id="1015" w:name="_Toc389065319"/>
      <w:bookmarkStart w:id="1016" w:name="_Toc373227754"/>
      <w:r>
        <w:rPr>
          <w:rFonts w:hint="eastAsia" w:ascii="宋体" w:hAnsi="宋体" w:eastAsia="宋体" w:cs="宋体"/>
          <w:b/>
          <w:kern w:val="0"/>
          <w:sz w:val="21"/>
          <w:szCs w:val="21"/>
        </w:rPr>
        <w:t>13.1 分部分项工程验收</w:t>
      </w:r>
      <w:bookmarkEnd w:id="1010"/>
      <w:bookmarkEnd w:id="1011"/>
      <w:bookmarkEnd w:id="1012"/>
      <w:bookmarkEnd w:id="1013"/>
      <w:bookmarkEnd w:id="1014"/>
      <w:bookmarkEnd w:id="1015"/>
      <w:bookmarkEnd w:id="1016"/>
    </w:p>
    <w:p w14:paraId="1C5195C3">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13.1.2监理人不能按时进行验收时，应提前</w:t>
      </w:r>
      <w:r>
        <w:rPr>
          <w:rFonts w:hint="eastAsia" w:ascii="宋体" w:hAnsi="宋体" w:eastAsia="宋体" w:cs="宋体"/>
          <w:sz w:val="21"/>
          <w:szCs w:val="21"/>
          <w:u w:val="single"/>
        </w:rPr>
        <w:t xml:space="preserve"> 24 </w:t>
      </w:r>
      <w:r>
        <w:rPr>
          <w:rFonts w:hint="eastAsia" w:ascii="宋体" w:hAnsi="宋体" w:eastAsia="宋体" w:cs="宋体"/>
          <w:sz w:val="21"/>
          <w:szCs w:val="21"/>
        </w:rPr>
        <w:t>小时提交书面延期要求。</w:t>
      </w:r>
    </w:p>
    <w:p w14:paraId="7FAA55BA">
      <w:pPr>
        <w:pStyle w:val="54"/>
        <w:spacing w:line="360" w:lineRule="auto"/>
        <w:ind w:firstLine="420" w:firstLineChars="200"/>
        <w:jc w:val="left"/>
        <w:rPr>
          <w:rFonts w:hint="eastAsia" w:ascii="宋体" w:hAnsi="宋体" w:eastAsia="宋体" w:cs="宋体"/>
          <w:b/>
          <w:sz w:val="21"/>
          <w:szCs w:val="21"/>
        </w:rPr>
      </w:pPr>
      <w:r>
        <w:rPr>
          <w:rFonts w:hint="eastAsia" w:ascii="宋体" w:hAnsi="宋体" w:eastAsia="宋体" w:cs="宋体"/>
          <w:sz w:val="21"/>
          <w:szCs w:val="21"/>
        </w:rPr>
        <w:t>关于延期最长不得超过：</w:t>
      </w:r>
      <w:r>
        <w:rPr>
          <w:rFonts w:hint="eastAsia" w:ascii="宋体" w:hAnsi="宋体" w:eastAsia="宋体" w:cs="宋体"/>
          <w:sz w:val="21"/>
          <w:szCs w:val="21"/>
          <w:u w:val="single"/>
        </w:rPr>
        <w:t xml:space="preserve"> 48 </w:t>
      </w:r>
      <w:r>
        <w:rPr>
          <w:rFonts w:hint="eastAsia" w:ascii="宋体" w:hAnsi="宋体" w:eastAsia="宋体" w:cs="宋体"/>
          <w:sz w:val="21"/>
          <w:szCs w:val="21"/>
        </w:rPr>
        <w:t>小时。</w:t>
      </w:r>
    </w:p>
    <w:p w14:paraId="3D68F50A">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1017" w:name="_Toc469010959"/>
      <w:bookmarkStart w:id="1018" w:name="_Toc14645"/>
      <w:bookmarkStart w:id="1019" w:name="_Toc389065320"/>
      <w:bookmarkStart w:id="1020" w:name="_Toc373227755"/>
      <w:bookmarkStart w:id="1021" w:name="_Toc3882813"/>
      <w:bookmarkStart w:id="1022" w:name="_Toc373478402"/>
      <w:bookmarkStart w:id="1023" w:name="_Toc30062005"/>
      <w:bookmarkStart w:id="1024" w:name="_Toc297120523"/>
      <w:bookmarkStart w:id="1025" w:name="_Toc296503223"/>
      <w:bookmarkStart w:id="1026" w:name="_Toc297123565"/>
      <w:bookmarkStart w:id="1027" w:name="_Toc297216224"/>
      <w:bookmarkStart w:id="1028" w:name="_Toc296347222"/>
      <w:bookmarkStart w:id="1029" w:name="_Toc303539173"/>
      <w:bookmarkStart w:id="1030" w:name="_Toc312678056"/>
      <w:bookmarkStart w:id="1031" w:name="_Toc297048409"/>
      <w:bookmarkStart w:id="1032" w:name="_Toc296891263"/>
      <w:bookmarkStart w:id="1033" w:name="_Toc300935016"/>
      <w:bookmarkStart w:id="1034" w:name="_Toc292559933"/>
      <w:bookmarkStart w:id="1035" w:name="_Toc296891051"/>
      <w:bookmarkStart w:id="1036" w:name="_Toc296346724"/>
      <w:bookmarkStart w:id="1037" w:name="_Toc292559428"/>
      <w:bookmarkStart w:id="1038" w:name="_Toc304295596"/>
      <w:bookmarkStart w:id="1039" w:name="_Toc296944562"/>
      <w:bookmarkStart w:id="1040" w:name="_Toc267251473"/>
      <w:bookmarkStart w:id="1041" w:name="_Toc267251472"/>
      <w:bookmarkStart w:id="1042" w:name="_Toc267251476"/>
      <w:bookmarkStart w:id="1043" w:name="_Toc267251471"/>
      <w:bookmarkStart w:id="1044" w:name="_Toc267251470"/>
      <w:bookmarkStart w:id="1045" w:name="_Toc267251474"/>
      <w:bookmarkStart w:id="1046" w:name="_Toc267251475"/>
      <w:r>
        <w:rPr>
          <w:rFonts w:hint="eastAsia" w:ascii="宋体" w:hAnsi="宋体" w:eastAsia="宋体" w:cs="宋体"/>
          <w:b/>
          <w:kern w:val="0"/>
          <w:sz w:val="21"/>
          <w:szCs w:val="21"/>
        </w:rPr>
        <w:t>13.2 竣工验收</w:t>
      </w:r>
      <w:bookmarkEnd w:id="1017"/>
      <w:bookmarkEnd w:id="1018"/>
      <w:bookmarkEnd w:id="1019"/>
      <w:bookmarkEnd w:id="1020"/>
      <w:bookmarkEnd w:id="1021"/>
      <w:bookmarkEnd w:id="1022"/>
      <w:bookmarkEnd w:id="1023"/>
    </w:p>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p w14:paraId="60DCA7A9">
      <w:pPr>
        <w:pStyle w:val="54"/>
        <w:spacing w:line="360" w:lineRule="auto"/>
        <w:ind w:firstLine="420" w:firstLineChars="200"/>
        <w:jc w:val="left"/>
        <w:rPr>
          <w:rFonts w:hint="eastAsia" w:ascii="宋体" w:hAnsi="宋体" w:eastAsia="宋体" w:cs="宋体"/>
          <w:sz w:val="21"/>
          <w:szCs w:val="21"/>
        </w:rPr>
      </w:pPr>
      <w:bookmarkStart w:id="1047" w:name="_Toc280868704"/>
      <w:bookmarkStart w:id="1048" w:name="_Toc280868705"/>
      <w:bookmarkStart w:id="1049" w:name="_Toc280868706"/>
      <w:bookmarkStart w:id="1050" w:name="_Toc280868707"/>
      <w:bookmarkStart w:id="1051" w:name="_Toc280868708"/>
      <w:bookmarkStart w:id="1052" w:name="_Toc280868709"/>
      <w:r>
        <w:rPr>
          <w:rFonts w:hint="eastAsia" w:ascii="宋体" w:hAnsi="宋体" w:eastAsia="宋体" w:cs="宋体"/>
          <w:sz w:val="21"/>
          <w:szCs w:val="21"/>
        </w:rPr>
        <w:t>13.2.1竣工验收条件</w:t>
      </w:r>
    </w:p>
    <w:p w14:paraId="033BA8F2">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（3）承包人负责整理和提交的竣工验收资料应当符合工程所在地建设行政主管部门和(或)城市建设档案管理机构有关施工资料的要求，具体内容包括：</w:t>
      </w:r>
      <w:r>
        <w:rPr>
          <w:rFonts w:hint="eastAsia" w:ascii="宋体" w:hAnsi="宋体" w:eastAsia="宋体" w:cs="宋体"/>
          <w:sz w:val="21"/>
          <w:szCs w:val="21"/>
          <w:u w:val="single"/>
        </w:rPr>
        <w:t>按工程所在地建设行政主管部门（或）城市建设档案管理机构有关施工资料的要求</w:t>
      </w:r>
      <w:r>
        <w:rPr>
          <w:rFonts w:hint="eastAsia" w:ascii="宋体" w:hAnsi="宋体" w:eastAsia="宋体" w:cs="宋体"/>
          <w:sz w:val="21"/>
          <w:szCs w:val="21"/>
        </w:rPr>
        <w:t>。</w:t>
      </w:r>
    </w:p>
    <w:p w14:paraId="25ABB061">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竣工验收资料的份数：</w:t>
      </w:r>
      <w:r>
        <w:rPr>
          <w:rFonts w:hint="eastAsia" w:ascii="宋体" w:hAnsi="宋体" w:eastAsia="宋体" w:cs="宋体"/>
          <w:sz w:val="21"/>
          <w:szCs w:val="21"/>
          <w:u w:val="single"/>
        </w:rPr>
        <w:t>承包人应在竣工后30天内按照建设行政主管部门及发包人的要求提供有关竣工资料，其套数除满足各政府部门存档案需要外还需另提供两套原件由发包人存档备用</w:t>
      </w:r>
      <w:r>
        <w:rPr>
          <w:rFonts w:hint="eastAsia" w:ascii="宋体" w:hAnsi="宋体" w:eastAsia="宋体" w:cs="宋体"/>
          <w:sz w:val="21"/>
          <w:szCs w:val="21"/>
        </w:rPr>
        <w:t>。</w:t>
      </w:r>
    </w:p>
    <w:p w14:paraId="175A3C5B">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bCs/>
          <w:sz w:val="21"/>
          <w:szCs w:val="21"/>
        </w:rPr>
        <w:t>承包人提供竣工图的约定：</w:t>
      </w:r>
      <w:r>
        <w:rPr>
          <w:rFonts w:hint="eastAsia" w:ascii="宋体" w:hAnsi="宋体" w:eastAsia="宋体" w:cs="宋体"/>
          <w:bCs/>
          <w:sz w:val="21"/>
          <w:szCs w:val="21"/>
          <w:u w:val="single"/>
        </w:rPr>
        <w:t>竣工验收正式通过后5天（工程造价在500万元以下含500万元）、10天（工程造价在500万元至1000万元之间含1000万元）、15天（工程造价在1000万元以上），提供竣工图的数量分别为2套、4套、6套。</w:t>
      </w:r>
    </w:p>
    <w:p w14:paraId="336CA485">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13.2.2竣工验收程序</w:t>
      </w:r>
    </w:p>
    <w:bookmarkEnd w:id="1047"/>
    <w:p w14:paraId="419CEA22">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kern w:val="0"/>
          <w:sz w:val="21"/>
          <w:szCs w:val="21"/>
        </w:rPr>
        <w:t>关于竣工验收程序的约定：</w:t>
      </w:r>
      <w:r>
        <w:rPr>
          <w:rFonts w:hint="eastAsia" w:ascii="宋体" w:hAnsi="宋体" w:eastAsia="宋体" w:cs="宋体"/>
          <w:sz w:val="21"/>
          <w:szCs w:val="21"/>
          <w:u w:val="single"/>
        </w:rPr>
        <w:t>按工程所在地建设行政主管部门的规定，经验收合格的工程，实际竣工日期为承包人按照提交竣工验收申请报告或按照本款重新提交竣工验收申请报告的日期（以两者中时间在后者为准）</w:t>
      </w:r>
      <w:r>
        <w:rPr>
          <w:rFonts w:hint="eastAsia" w:ascii="宋体" w:hAnsi="宋体" w:eastAsia="宋体" w:cs="宋体"/>
          <w:sz w:val="21"/>
          <w:szCs w:val="21"/>
        </w:rPr>
        <w:t>。</w:t>
      </w:r>
    </w:p>
    <w:p w14:paraId="79B39DC0">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kern w:val="0"/>
          <w:sz w:val="21"/>
          <w:szCs w:val="21"/>
        </w:rPr>
        <w:t>发包人不按照本项约定组织竣工验收、颁发工程接收证书的违约金的计算方法：</w:t>
      </w:r>
      <w:r>
        <w:rPr>
          <w:rFonts w:hint="eastAsia" w:ascii="宋体" w:hAnsi="宋体" w:eastAsia="宋体" w:cs="宋体"/>
          <w:sz w:val="21"/>
          <w:szCs w:val="21"/>
          <w:u w:val="single"/>
        </w:rPr>
        <w:t>合同价款的万分之三/天</w:t>
      </w:r>
      <w:r>
        <w:rPr>
          <w:rFonts w:hint="eastAsia" w:ascii="宋体" w:hAnsi="宋体" w:eastAsia="宋体" w:cs="宋体"/>
          <w:sz w:val="21"/>
          <w:szCs w:val="21"/>
        </w:rPr>
        <w:t>。</w:t>
      </w:r>
    </w:p>
    <w:bookmarkEnd w:id="1048"/>
    <w:p w14:paraId="0FBEB5E5">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13.2.5移交、接收全部与部分工程</w:t>
      </w:r>
    </w:p>
    <w:bookmarkEnd w:id="1049"/>
    <w:p w14:paraId="0DBB3DF4">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承包人向发包人移交工程的期限：</w:t>
      </w:r>
      <w:r>
        <w:rPr>
          <w:rFonts w:hint="eastAsia" w:ascii="宋体" w:hAnsi="宋体" w:eastAsia="宋体" w:cs="宋体"/>
          <w:sz w:val="21"/>
          <w:szCs w:val="21"/>
          <w:u w:val="single"/>
        </w:rPr>
        <w:t>竣工验收合格之日起14天内</w:t>
      </w:r>
      <w:r>
        <w:rPr>
          <w:rFonts w:hint="eastAsia" w:ascii="宋体" w:hAnsi="宋体" w:eastAsia="宋体" w:cs="宋体"/>
          <w:sz w:val="21"/>
          <w:szCs w:val="21"/>
        </w:rPr>
        <w:t>。</w:t>
      </w:r>
    </w:p>
    <w:p w14:paraId="5B953A8E">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kern w:val="0"/>
          <w:sz w:val="21"/>
          <w:szCs w:val="21"/>
        </w:rPr>
        <w:t>发包人未按本合同约定接收全部或部分工程的，违约金的计算方法为：</w:t>
      </w:r>
      <w:r>
        <w:rPr>
          <w:rFonts w:hint="eastAsia" w:ascii="宋体" w:hAnsi="宋体" w:eastAsia="宋体" w:cs="宋体"/>
          <w:sz w:val="21"/>
          <w:szCs w:val="21"/>
          <w:u w:val="single"/>
        </w:rPr>
        <w:t>合同价款的万分之三/天</w:t>
      </w:r>
      <w:r>
        <w:rPr>
          <w:rFonts w:hint="eastAsia" w:ascii="宋体" w:hAnsi="宋体" w:eastAsia="宋体" w:cs="宋体"/>
          <w:sz w:val="21"/>
          <w:szCs w:val="21"/>
        </w:rPr>
        <w:t>。</w:t>
      </w:r>
      <w:bookmarkEnd w:id="1050"/>
    </w:p>
    <w:p w14:paraId="5B6CE830">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承包人未按时移交工程的，违约金的计算方法为：</w:t>
      </w:r>
      <w:r>
        <w:rPr>
          <w:rFonts w:hint="eastAsia" w:ascii="宋体" w:hAnsi="宋体" w:eastAsia="宋体" w:cs="宋体"/>
          <w:sz w:val="21"/>
          <w:szCs w:val="21"/>
          <w:u w:val="single"/>
        </w:rPr>
        <w:t>合同价款的万分之三/天</w:t>
      </w:r>
      <w:r>
        <w:rPr>
          <w:rFonts w:hint="eastAsia" w:ascii="宋体" w:hAnsi="宋体" w:eastAsia="宋体" w:cs="宋体"/>
          <w:sz w:val="21"/>
          <w:szCs w:val="21"/>
        </w:rPr>
        <w:t>。</w:t>
      </w:r>
      <w:bookmarkStart w:id="1053" w:name="_Toc30062006"/>
      <w:bookmarkStart w:id="1054" w:name="_Toc469010960"/>
      <w:bookmarkStart w:id="1055" w:name="_Toc24393"/>
      <w:bookmarkStart w:id="1056" w:name="_Toc389065321"/>
      <w:bookmarkStart w:id="1057" w:name="_Toc373227756"/>
      <w:bookmarkStart w:id="1058" w:name="_Toc3882814"/>
      <w:bookmarkStart w:id="1059" w:name="_Toc373478403"/>
    </w:p>
    <w:p w14:paraId="6D2BF8C0">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r>
        <w:rPr>
          <w:rFonts w:hint="eastAsia" w:ascii="宋体" w:hAnsi="宋体" w:eastAsia="宋体" w:cs="宋体"/>
          <w:b/>
          <w:kern w:val="0"/>
          <w:sz w:val="21"/>
          <w:szCs w:val="21"/>
        </w:rPr>
        <w:t>13.3 工程试车</w:t>
      </w:r>
      <w:bookmarkEnd w:id="1053"/>
      <w:bookmarkEnd w:id="1054"/>
      <w:bookmarkEnd w:id="1055"/>
      <w:bookmarkEnd w:id="1056"/>
      <w:bookmarkEnd w:id="1057"/>
      <w:bookmarkEnd w:id="1058"/>
      <w:bookmarkEnd w:id="1059"/>
    </w:p>
    <w:bookmarkEnd w:id="1051"/>
    <w:p w14:paraId="0ED8964F">
      <w:pPr>
        <w:pStyle w:val="54"/>
        <w:spacing w:line="360" w:lineRule="auto"/>
        <w:ind w:firstLine="420" w:firstLineChars="200"/>
        <w:jc w:val="left"/>
        <w:outlineLvl w:val="0"/>
        <w:rPr>
          <w:rFonts w:hint="eastAsia" w:ascii="宋体" w:hAnsi="宋体" w:eastAsia="宋体" w:cs="宋体"/>
          <w:kern w:val="0"/>
          <w:sz w:val="21"/>
          <w:szCs w:val="21"/>
        </w:rPr>
      </w:pPr>
      <w:bookmarkStart w:id="1060" w:name="_Toc30062007"/>
      <w:bookmarkStart w:id="1061" w:name="_Toc3882815"/>
      <w:r>
        <w:rPr>
          <w:rFonts w:hint="eastAsia" w:ascii="宋体" w:hAnsi="宋体" w:eastAsia="宋体" w:cs="宋体"/>
          <w:kern w:val="0"/>
          <w:sz w:val="21"/>
          <w:szCs w:val="21"/>
        </w:rPr>
        <w:t>13.3.1 试车程序</w:t>
      </w:r>
      <w:bookmarkEnd w:id="1060"/>
      <w:bookmarkEnd w:id="1061"/>
    </w:p>
    <w:p w14:paraId="1BB69796">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kern w:val="0"/>
          <w:sz w:val="21"/>
          <w:szCs w:val="21"/>
        </w:rPr>
        <w:t>工程试车内容：</w:t>
      </w:r>
    </w:p>
    <w:p w14:paraId="68E317D7">
      <w:pPr>
        <w:pStyle w:val="54"/>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（1）工程设备安装具备单机无负荷试运行条件，由承包人组织试运行，费用由承包人承担。</w:t>
      </w:r>
    </w:p>
    <w:p w14:paraId="40201863">
      <w:pPr>
        <w:pStyle w:val="54"/>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（2）工程设备安装具备无负荷联动试运行条件，由发包人组织试运行，费用由发包人承担。</w:t>
      </w:r>
    </w:p>
    <w:p w14:paraId="6FBDF41A">
      <w:pPr>
        <w:pStyle w:val="54"/>
        <w:spacing w:line="360" w:lineRule="auto"/>
        <w:ind w:firstLine="420" w:firstLineChars="200"/>
        <w:rPr>
          <w:rFonts w:hint="eastAsia" w:ascii="宋体" w:hAnsi="宋体" w:eastAsia="宋体" w:cs="宋体"/>
          <w:color w:val="000000"/>
          <w:sz w:val="21"/>
          <w:szCs w:val="21"/>
          <w:u w:val="single"/>
        </w:rPr>
      </w:pPr>
      <w:r>
        <w:rPr>
          <w:rFonts w:hint="eastAsia" w:ascii="宋体" w:hAnsi="宋体" w:eastAsia="宋体" w:cs="宋体"/>
          <w:color w:val="000000"/>
          <w:sz w:val="21"/>
          <w:szCs w:val="21"/>
        </w:rPr>
        <w:t>（3）投料试运行应在工程竣工验收后由发包人负责，如发包人要求在工程竣工验收前进行或需要承包人配合时，应征得承包人同意，另行签订补充协议。</w:t>
      </w:r>
    </w:p>
    <w:p w14:paraId="79AD547E">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1062" w:name="_Toc3882816"/>
      <w:bookmarkStart w:id="1063" w:name="_Toc469010961"/>
      <w:bookmarkStart w:id="1064" w:name="_Toc373478404"/>
      <w:bookmarkStart w:id="1065" w:name="_Toc373227757"/>
      <w:bookmarkStart w:id="1066" w:name="_Toc30062008"/>
      <w:bookmarkStart w:id="1067" w:name="_Toc389065322"/>
      <w:bookmarkStart w:id="1068" w:name="_Toc12737"/>
      <w:r>
        <w:rPr>
          <w:rFonts w:hint="eastAsia" w:ascii="宋体" w:hAnsi="宋体" w:eastAsia="宋体" w:cs="宋体"/>
          <w:b/>
          <w:kern w:val="0"/>
          <w:sz w:val="21"/>
          <w:szCs w:val="21"/>
        </w:rPr>
        <w:t>13.6 竣工退场</w:t>
      </w:r>
      <w:bookmarkEnd w:id="1062"/>
      <w:bookmarkEnd w:id="1063"/>
      <w:bookmarkEnd w:id="1064"/>
      <w:bookmarkEnd w:id="1065"/>
      <w:bookmarkEnd w:id="1066"/>
      <w:bookmarkEnd w:id="1067"/>
      <w:bookmarkEnd w:id="1068"/>
    </w:p>
    <w:p w14:paraId="1719491D">
      <w:pPr>
        <w:pStyle w:val="54"/>
        <w:spacing w:line="360" w:lineRule="auto"/>
        <w:ind w:firstLine="420" w:firstLineChars="200"/>
        <w:jc w:val="left"/>
        <w:outlineLvl w:val="0"/>
        <w:rPr>
          <w:rFonts w:hint="eastAsia" w:ascii="宋体" w:hAnsi="宋体" w:eastAsia="宋体" w:cs="宋体"/>
          <w:kern w:val="0"/>
          <w:sz w:val="21"/>
          <w:szCs w:val="21"/>
        </w:rPr>
      </w:pPr>
      <w:bookmarkStart w:id="1069" w:name="_Toc3882817"/>
      <w:bookmarkStart w:id="1070" w:name="_Toc30062009"/>
      <w:r>
        <w:rPr>
          <w:rFonts w:hint="eastAsia" w:ascii="宋体" w:hAnsi="宋体" w:eastAsia="宋体" w:cs="宋体"/>
          <w:kern w:val="0"/>
          <w:sz w:val="21"/>
          <w:szCs w:val="21"/>
        </w:rPr>
        <w:t>13.6.1 竣工退场</w:t>
      </w:r>
      <w:bookmarkEnd w:id="1069"/>
      <w:bookmarkEnd w:id="1070"/>
    </w:p>
    <w:p w14:paraId="699BACD5">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承包人完成竣工退场的期限：</w:t>
      </w:r>
      <w:r>
        <w:rPr>
          <w:rFonts w:hint="eastAsia" w:ascii="宋体" w:hAnsi="宋体" w:eastAsia="宋体" w:cs="宋体"/>
          <w:sz w:val="21"/>
          <w:szCs w:val="21"/>
          <w:u w:val="single"/>
        </w:rPr>
        <w:t>在竣工验收合格或合同解除之日起15天内，承包人应将除为安全需要以外的所有其它物资、机具、设备和设施，全部撤离现场</w:t>
      </w:r>
      <w:r>
        <w:rPr>
          <w:rFonts w:hint="eastAsia" w:ascii="宋体" w:hAnsi="宋体" w:eastAsia="宋体" w:cs="宋体"/>
          <w:kern w:val="0"/>
          <w:sz w:val="21"/>
          <w:szCs w:val="21"/>
        </w:rPr>
        <w:t>。</w:t>
      </w:r>
    </w:p>
    <w:p w14:paraId="2C6BF057">
      <w:pPr>
        <w:pStyle w:val="54"/>
        <w:keepNext/>
        <w:keepLines/>
        <w:spacing w:before="60" w:after="60" w:line="360" w:lineRule="auto"/>
        <w:ind w:firstLine="422" w:firstLineChars="200"/>
        <w:outlineLvl w:val="1"/>
        <w:rPr>
          <w:rFonts w:hint="eastAsia" w:ascii="宋体" w:hAnsi="宋体" w:eastAsia="宋体" w:cs="宋体"/>
          <w:b/>
          <w:sz w:val="21"/>
          <w:szCs w:val="21"/>
        </w:rPr>
      </w:pPr>
      <w:bookmarkStart w:id="1071" w:name="_Toc469010962"/>
      <w:bookmarkStart w:id="1072" w:name="_Toc351203646"/>
      <w:bookmarkStart w:id="1073" w:name="_Toc30062010"/>
      <w:bookmarkStart w:id="1074" w:name="_Toc3882818"/>
      <w:bookmarkStart w:id="1075" w:name="_Toc20781"/>
      <w:bookmarkStart w:id="1076" w:name="_Toc389065323"/>
      <w:bookmarkStart w:id="1077" w:name="_Toc373227758"/>
      <w:bookmarkStart w:id="1078" w:name="_Toc373478405"/>
      <w:r>
        <w:rPr>
          <w:rFonts w:hint="eastAsia" w:ascii="宋体" w:hAnsi="宋体" w:eastAsia="宋体" w:cs="宋体"/>
          <w:b/>
          <w:sz w:val="21"/>
          <w:szCs w:val="21"/>
        </w:rPr>
        <w:t>14. 竣工结算</w:t>
      </w:r>
      <w:bookmarkEnd w:id="1071"/>
      <w:bookmarkEnd w:id="1072"/>
      <w:bookmarkEnd w:id="1073"/>
      <w:bookmarkEnd w:id="1074"/>
      <w:bookmarkEnd w:id="1075"/>
      <w:bookmarkEnd w:id="1076"/>
      <w:bookmarkEnd w:id="1077"/>
      <w:bookmarkEnd w:id="1078"/>
    </w:p>
    <w:p w14:paraId="31AC1EB7">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1079" w:name="_Toc16290"/>
      <w:bookmarkStart w:id="1080" w:name="_Toc389065324"/>
      <w:bookmarkStart w:id="1081" w:name="_Toc373227759"/>
      <w:bookmarkStart w:id="1082" w:name="_Toc469010963"/>
      <w:bookmarkStart w:id="1083" w:name="_Toc3882819"/>
      <w:bookmarkStart w:id="1084" w:name="_Toc373478406"/>
      <w:bookmarkStart w:id="1085" w:name="_Toc30062011"/>
      <w:r>
        <w:rPr>
          <w:rFonts w:hint="eastAsia" w:ascii="宋体" w:hAnsi="宋体" w:eastAsia="宋体" w:cs="宋体"/>
          <w:b/>
          <w:kern w:val="0"/>
          <w:sz w:val="21"/>
          <w:szCs w:val="21"/>
        </w:rPr>
        <w:t>14.1 竣工付款申请</w:t>
      </w:r>
      <w:bookmarkEnd w:id="1079"/>
      <w:bookmarkEnd w:id="1080"/>
      <w:bookmarkEnd w:id="1081"/>
      <w:bookmarkEnd w:id="1082"/>
      <w:bookmarkEnd w:id="1083"/>
      <w:bookmarkEnd w:id="1084"/>
      <w:bookmarkEnd w:id="1085"/>
    </w:p>
    <w:p w14:paraId="2B958711">
      <w:pPr>
        <w:pStyle w:val="54"/>
        <w:spacing w:line="360" w:lineRule="auto"/>
        <w:ind w:firstLine="420" w:firstLineChars="200"/>
        <w:jc w:val="left"/>
        <w:rPr>
          <w:rFonts w:hint="eastAsia" w:ascii="宋体" w:hAnsi="宋体" w:eastAsia="宋体" w:cs="宋体"/>
          <w:color w:val="FF0000"/>
          <w:sz w:val="21"/>
          <w:szCs w:val="21"/>
          <w:u w:val="single"/>
        </w:rPr>
      </w:pPr>
      <w:r>
        <w:rPr>
          <w:rFonts w:hint="eastAsia" w:ascii="宋体" w:hAnsi="宋体" w:eastAsia="宋体" w:cs="宋体"/>
          <w:sz w:val="21"/>
          <w:szCs w:val="21"/>
        </w:rPr>
        <w:t>承包人提交竣工付款申请单的期限：</w:t>
      </w:r>
      <w:r>
        <w:rPr>
          <w:rFonts w:hint="eastAsia" w:ascii="宋体" w:hAnsi="宋体" w:eastAsia="宋体" w:cs="宋体"/>
          <w:sz w:val="21"/>
          <w:szCs w:val="21"/>
          <w:u w:val="single"/>
        </w:rPr>
        <w:t>审计报告发出后14天内提交6份竣工付款申请单。</w:t>
      </w:r>
    </w:p>
    <w:p w14:paraId="4E1BA422">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竣工付款申请单应包括的内容：</w:t>
      </w:r>
      <w:r>
        <w:rPr>
          <w:rFonts w:hint="eastAsia" w:ascii="宋体" w:hAnsi="宋体" w:eastAsia="宋体" w:cs="宋体"/>
          <w:sz w:val="21"/>
          <w:szCs w:val="21"/>
          <w:u w:val="single"/>
        </w:rPr>
        <w:t>竣工结算审计总价、已支付工程价款、应扣留质量保修金、应支付的竣工付款金额等</w:t>
      </w:r>
      <w:r>
        <w:rPr>
          <w:rFonts w:hint="eastAsia" w:ascii="宋体" w:hAnsi="宋体" w:eastAsia="宋体" w:cs="宋体"/>
          <w:sz w:val="21"/>
          <w:szCs w:val="21"/>
        </w:rPr>
        <w:t>。</w:t>
      </w:r>
    </w:p>
    <w:p w14:paraId="324652B3">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1086" w:name="_Toc373227760"/>
      <w:bookmarkStart w:id="1087" w:name="_Toc373478407"/>
      <w:bookmarkStart w:id="1088" w:name="_Toc469010964"/>
      <w:bookmarkStart w:id="1089" w:name="_Toc30062012"/>
      <w:bookmarkStart w:id="1090" w:name="_Toc3882820"/>
      <w:bookmarkStart w:id="1091" w:name="_Toc6793"/>
      <w:bookmarkStart w:id="1092" w:name="_Toc389065325"/>
      <w:r>
        <w:rPr>
          <w:rFonts w:hint="eastAsia" w:ascii="宋体" w:hAnsi="宋体" w:eastAsia="宋体" w:cs="宋体"/>
          <w:b/>
          <w:kern w:val="0"/>
          <w:sz w:val="21"/>
          <w:szCs w:val="21"/>
        </w:rPr>
        <w:t>14.2 竣工结算审核</w:t>
      </w:r>
      <w:bookmarkEnd w:id="1086"/>
      <w:bookmarkEnd w:id="1087"/>
      <w:bookmarkEnd w:id="1088"/>
      <w:bookmarkEnd w:id="1089"/>
      <w:bookmarkEnd w:id="1090"/>
      <w:bookmarkEnd w:id="1091"/>
      <w:bookmarkEnd w:id="1092"/>
    </w:p>
    <w:p w14:paraId="65249FD8">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发包人审批竣工付款申请单的期限：</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39DA2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74408400">
            <w:pPr>
              <w:pStyle w:val="54"/>
              <w:spacing w:line="360" w:lineRule="auto"/>
              <w:rPr>
                <w:rFonts w:hint="eastAsia" w:ascii="宋体" w:hAnsi="宋体" w:eastAsia="宋体" w:cs="宋体"/>
                <w:bCs/>
                <w:sz w:val="21"/>
                <w:szCs w:val="21"/>
              </w:rPr>
            </w:pPr>
            <w:r>
              <w:rPr>
                <w:rFonts w:hint="eastAsia" w:ascii="宋体" w:hAnsi="宋体" w:eastAsia="宋体" w:cs="宋体"/>
                <w:bCs/>
                <w:sz w:val="21"/>
                <w:szCs w:val="21"/>
              </w:rPr>
              <w:t>序号</w:t>
            </w:r>
          </w:p>
        </w:tc>
        <w:tc>
          <w:tcPr>
            <w:tcW w:w="2466" w:type="dxa"/>
            <w:noWrap w:val="0"/>
            <w:vAlign w:val="center"/>
          </w:tcPr>
          <w:p w14:paraId="1657AC9F">
            <w:pPr>
              <w:pStyle w:val="54"/>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工程竣工结算报告金额</w:t>
            </w:r>
          </w:p>
        </w:tc>
        <w:tc>
          <w:tcPr>
            <w:tcW w:w="5967" w:type="dxa"/>
            <w:noWrap w:val="0"/>
            <w:vAlign w:val="center"/>
          </w:tcPr>
          <w:p w14:paraId="3715E874">
            <w:pPr>
              <w:pStyle w:val="54"/>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发包人审查时间</w:t>
            </w:r>
          </w:p>
        </w:tc>
      </w:tr>
      <w:tr w14:paraId="7A526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7E6CE7B2">
            <w:pPr>
              <w:pStyle w:val="54"/>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2466" w:type="dxa"/>
            <w:noWrap w:val="0"/>
            <w:vAlign w:val="center"/>
          </w:tcPr>
          <w:p w14:paraId="558C054E">
            <w:pPr>
              <w:pStyle w:val="54"/>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500万元以下</w:t>
            </w:r>
          </w:p>
        </w:tc>
        <w:tc>
          <w:tcPr>
            <w:tcW w:w="5967" w:type="dxa"/>
            <w:noWrap w:val="0"/>
            <w:vAlign w:val="center"/>
          </w:tcPr>
          <w:p w14:paraId="45A86448">
            <w:pPr>
              <w:pStyle w:val="54"/>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从接到竣工结算报告和完整的竣工结算资料之日起20天</w:t>
            </w:r>
          </w:p>
        </w:tc>
      </w:tr>
      <w:tr w14:paraId="02BE8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7CB73663">
            <w:pPr>
              <w:pStyle w:val="54"/>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2</w:t>
            </w:r>
          </w:p>
        </w:tc>
        <w:tc>
          <w:tcPr>
            <w:tcW w:w="2466" w:type="dxa"/>
            <w:noWrap w:val="0"/>
            <w:vAlign w:val="center"/>
          </w:tcPr>
          <w:p w14:paraId="0A53C9F0">
            <w:pPr>
              <w:pStyle w:val="54"/>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500万元-2000万元</w:t>
            </w:r>
          </w:p>
        </w:tc>
        <w:tc>
          <w:tcPr>
            <w:tcW w:w="5967" w:type="dxa"/>
            <w:noWrap w:val="0"/>
            <w:vAlign w:val="center"/>
          </w:tcPr>
          <w:p w14:paraId="18380BBD">
            <w:pPr>
              <w:pStyle w:val="54"/>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从接到竣工结算报告和完整的竣工结算资料之日起30天</w:t>
            </w:r>
          </w:p>
        </w:tc>
      </w:tr>
      <w:tr w14:paraId="3672E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2A815BFC">
            <w:pPr>
              <w:pStyle w:val="54"/>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3</w:t>
            </w:r>
          </w:p>
        </w:tc>
        <w:tc>
          <w:tcPr>
            <w:tcW w:w="2466" w:type="dxa"/>
            <w:noWrap w:val="0"/>
            <w:vAlign w:val="center"/>
          </w:tcPr>
          <w:p w14:paraId="0CAA975F">
            <w:pPr>
              <w:pStyle w:val="54"/>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2000万元-5000万元</w:t>
            </w:r>
          </w:p>
        </w:tc>
        <w:tc>
          <w:tcPr>
            <w:tcW w:w="5967" w:type="dxa"/>
            <w:noWrap w:val="0"/>
            <w:vAlign w:val="center"/>
          </w:tcPr>
          <w:p w14:paraId="290DE4A9">
            <w:pPr>
              <w:pStyle w:val="54"/>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从接到竣工结算报告和完整的竣工结算资料之日起45天</w:t>
            </w:r>
          </w:p>
        </w:tc>
      </w:tr>
      <w:tr w14:paraId="7700B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58412B53">
            <w:pPr>
              <w:pStyle w:val="54"/>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4</w:t>
            </w:r>
          </w:p>
        </w:tc>
        <w:tc>
          <w:tcPr>
            <w:tcW w:w="2466" w:type="dxa"/>
            <w:noWrap w:val="0"/>
            <w:vAlign w:val="center"/>
          </w:tcPr>
          <w:p w14:paraId="6AE98F14">
            <w:pPr>
              <w:pStyle w:val="54"/>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5000万元以上</w:t>
            </w:r>
          </w:p>
        </w:tc>
        <w:tc>
          <w:tcPr>
            <w:tcW w:w="5967" w:type="dxa"/>
            <w:noWrap w:val="0"/>
            <w:vAlign w:val="center"/>
          </w:tcPr>
          <w:p w14:paraId="4C3DD62C">
            <w:pPr>
              <w:pStyle w:val="54"/>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从接到竣工结算报告和完整的竣工结算资料之日起60天</w:t>
            </w:r>
          </w:p>
        </w:tc>
      </w:tr>
    </w:tbl>
    <w:p w14:paraId="68062B94">
      <w:pPr>
        <w:pStyle w:val="54"/>
        <w:spacing w:line="360" w:lineRule="auto"/>
        <w:ind w:firstLine="420" w:firstLineChars="200"/>
        <w:jc w:val="left"/>
        <w:rPr>
          <w:rFonts w:hint="eastAsia" w:ascii="宋体" w:hAnsi="宋体" w:eastAsia="宋体" w:cs="宋体"/>
          <w:sz w:val="21"/>
          <w:szCs w:val="21"/>
        </w:rPr>
      </w:pPr>
      <w:bookmarkStart w:id="1093" w:name="_Toc373227761"/>
      <w:bookmarkStart w:id="1094" w:name="_Toc469010965"/>
      <w:bookmarkStart w:id="1095" w:name="_Toc389065326"/>
      <w:bookmarkStart w:id="1096" w:name="_Toc373478408"/>
      <w:r>
        <w:rPr>
          <w:rFonts w:hint="eastAsia" w:ascii="宋体" w:hAnsi="宋体" w:eastAsia="宋体" w:cs="宋体"/>
          <w:bCs/>
          <w:sz w:val="21"/>
          <w:szCs w:val="21"/>
        </w:rPr>
        <w:t>发包人不按时对账耽误时间时，审查时间应相应顺延</w:t>
      </w:r>
      <w:r>
        <w:rPr>
          <w:rFonts w:hint="eastAsia" w:ascii="宋体" w:hAnsi="宋体" w:eastAsia="宋体" w:cs="宋体"/>
          <w:sz w:val="21"/>
          <w:szCs w:val="21"/>
        </w:rPr>
        <w:t>。</w:t>
      </w:r>
    </w:p>
    <w:p w14:paraId="6381D980">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发包人完成竣工付款的期限：</w:t>
      </w:r>
      <w:r>
        <w:rPr>
          <w:rFonts w:hint="eastAsia" w:ascii="宋体" w:hAnsi="宋体" w:eastAsia="宋体" w:cs="宋体"/>
          <w:sz w:val="21"/>
          <w:szCs w:val="21"/>
          <w:u w:val="single"/>
        </w:rPr>
        <w:t>缺陷责任期终止证书颁发后28天内</w:t>
      </w:r>
      <w:r>
        <w:rPr>
          <w:rFonts w:hint="eastAsia" w:ascii="宋体" w:hAnsi="宋体" w:eastAsia="宋体" w:cs="宋体"/>
          <w:sz w:val="21"/>
          <w:szCs w:val="21"/>
        </w:rPr>
        <w:t>。</w:t>
      </w:r>
    </w:p>
    <w:p w14:paraId="70BC8344">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关于竣工付款证书异议部分复核的方式和程序：</w:t>
      </w:r>
      <w:r>
        <w:rPr>
          <w:rFonts w:hint="eastAsia" w:ascii="宋体" w:hAnsi="宋体" w:eastAsia="宋体" w:cs="宋体"/>
          <w:sz w:val="21"/>
          <w:szCs w:val="21"/>
          <w:u w:val="single"/>
        </w:rPr>
        <w:t>先由监理复核，报发包人审核，最后由有关部门审定</w:t>
      </w:r>
      <w:r>
        <w:rPr>
          <w:rFonts w:hint="eastAsia" w:ascii="宋体" w:hAnsi="宋体" w:eastAsia="宋体" w:cs="宋体"/>
          <w:sz w:val="21"/>
          <w:szCs w:val="21"/>
        </w:rPr>
        <w:t>。</w:t>
      </w:r>
    </w:p>
    <w:p w14:paraId="59D6E104">
      <w:pPr>
        <w:pStyle w:val="54"/>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1、在项目审计时，承包人送审总价与审定总价相比，工程造价审减或审增小于5%(含5%)，由发包人承担全部审计费用{含基本编制费和</w:t>
      </w:r>
      <w:r>
        <w:rPr>
          <w:rFonts w:hint="eastAsia" w:ascii="宋体" w:hAnsi="宋体" w:eastAsia="宋体" w:cs="宋体"/>
          <w:sz w:val="21"/>
          <w:szCs w:val="21"/>
        </w:rPr>
        <w:t>审减</w:t>
      </w:r>
      <w:r>
        <w:rPr>
          <w:rFonts w:hint="eastAsia" w:ascii="宋体" w:hAnsi="宋体" w:eastAsia="宋体" w:cs="宋体"/>
          <w:sz w:val="21"/>
          <w:szCs w:val="21"/>
          <w:lang w:val="en-US" w:eastAsia="zh-CN"/>
        </w:rPr>
        <w:t>(</w:t>
      </w:r>
      <w:r>
        <w:rPr>
          <w:rFonts w:hint="eastAsia" w:ascii="宋体" w:hAnsi="宋体" w:eastAsia="宋体" w:cs="宋体"/>
          <w:sz w:val="21"/>
          <w:szCs w:val="21"/>
        </w:rPr>
        <w:t>增</w:t>
      </w:r>
      <w:r>
        <w:rPr>
          <w:rFonts w:hint="eastAsia" w:ascii="宋体" w:hAnsi="宋体" w:eastAsia="宋体" w:cs="宋体"/>
          <w:sz w:val="21"/>
          <w:szCs w:val="21"/>
          <w:lang w:val="en-US" w:eastAsia="zh-CN"/>
        </w:rPr>
        <w:t>)</w:t>
      </w:r>
      <w:r>
        <w:rPr>
          <w:rFonts w:hint="eastAsia" w:ascii="宋体" w:hAnsi="宋体" w:eastAsia="宋体" w:cs="宋体"/>
          <w:sz w:val="21"/>
          <w:szCs w:val="21"/>
        </w:rPr>
        <w:t>费</w:t>
      </w:r>
      <w:r>
        <w:rPr>
          <w:rFonts w:hint="eastAsia" w:ascii="宋体" w:hAnsi="宋体" w:eastAsia="宋体" w:cs="宋体"/>
          <w:sz w:val="21"/>
          <w:szCs w:val="21"/>
          <w:lang w:val="en-US" w:eastAsia="zh-CN"/>
        </w:rPr>
        <w:t>}。</w:t>
      </w:r>
    </w:p>
    <w:p w14:paraId="3CBFCCC7">
      <w:pPr>
        <w:pStyle w:val="54"/>
        <w:spacing w:line="360" w:lineRule="auto"/>
        <w:ind w:firstLine="420" w:firstLineChars="200"/>
        <w:rPr>
          <w:rFonts w:hint="eastAsia" w:ascii="宋体" w:hAnsi="宋体" w:eastAsia="宋体" w:cs="宋体"/>
          <w:sz w:val="21"/>
          <w:szCs w:val="21"/>
          <w:shd w:val="clear" w:color="FFFFFF" w:fill="D9D9D9"/>
        </w:rPr>
      </w:pPr>
      <w:r>
        <w:rPr>
          <w:rFonts w:hint="eastAsia" w:ascii="宋体" w:hAnsi="宋体" w:eastAsia="宋体" w:cs="宋体"/>
          <w:sz w:val="21"/>
          <w:szCs w:val="21"/>
          <w:lang w:val="en-US" w:eastAsia="zh-CN"/>
        </w:rPr>
        <w:t>2、在项目审计时，承包人送审总价与审定总价相比，工程造价审减或审增大于5%(不含5%)，由承包人承担超出部分审计费用{含基本编制费和</w:t>
      </w:r>
      <w:r>
        <w:rPr>
          <w:rFonts w:hint="eastAsia" w:ascii="宋体" w:hAnsi="宋体" w:eastAsia="宋体" w:cs="宋体"/>
          <w:sz w:val="21"/>
          <w:szCs w:val="21"/>
        </w:rPr>
        <w:t>审减</w:t>
      </w:r>
      <w:r>
        <w:rPr>
          <w:rFonts w:hint="eastAsia" w:ascii="宋体" w:hAnsi="宋体" w:eastAsia="宋体" w:cs="宋体"/>
          <w:sz w:val="21"/>
          <w:szCs w:val="21"/>
          <w:lang w:val="en-US" w:eastAsia="zh-CN"/>
        </w:rPr>
        <w:t>(</w:t>
      </w:r>
      <w:r>
        <w:rPr>
          <w:rFonts w:hint="eastAsia" w:ascii="宋体" w:hAnsi="宋体" w:eastAsia="宋体" w:cs="宋体"/>
          <w:sz w:val="21"/>
          <w:szCs w:val="21"/>
        </w:rPr>
        <w:t>增</w:t>
      </w:r>
      <w:r>
        <w:rPr>
          <w:rFonts w:hint="eastAsia" w:ascii="宋体" w:hAnsi="宋体" w:eastAsia="宋体" w:cs="宋体"/>
          <w:sz w:val="21"/>
          <w:szCs w:val="21"/>
          <w:lang w:val="en-US" w:eastAsia="zh-CN"/>
        </w:rPr>
        <w:t>)</w:t>
      </w:r>
      <w:r>
        <w:rPr>
          <w:rFonts w:hint="eastAsia" w:ascii="宋体" w:hAnsi="宋体" w:eastAsia="宋体" w:cs="宋体"/>
          <w:sz w:val="21"/>
          <w:szCs w:val="21"/>
        </w:rPr>
        <w:t>费</w:t>
      </w:r>
      <w:r>
        <w:rPr>
          <w:rFonts w:hint="eastAsia" w:ascii="宋体" w:hAnsi="宋体" w:eastAsia="宋体" w:cs="宋体"/>
          <w:sz w:val="21"/>
          <w:szCs w:val="21"/>
          <w:lang w:val="en-US" w:eastAsia="zh-CN"/>
        </w:rPr>
        <w:t>}</w:t>
      </w:r>
      <w:r>
        <w:rPr>
          <w:rFonts w:hint="eastAsia" w:ascii="宋体" w:hAnsi="宋体" w:eastAsia="宋体" w:cs="宋体"/>
          <w:sz w:val="21"/>
          <w:szCs w:val="21"/>
        </w:rPr>
        <w:t>。</w:t>
      </w:r>
    </w:p>
    <w:p w14:paraId="57AFFD96">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1097" w:name="_Toc12718"/>
      <w:bookmarkStart w:id="1098" w:name="_Toc30062013"/>
      <w:bookmarkStart w:id="1099" w:name="_Toc3882821"/>
      <w:r>
        <w:rPr>
          <w:rFonts w:hint="eastAsia" w:ascii="宋体" w:hAnsi="宋体" w:eastAsia="宋体" w:cs="宋体"/>
          <w:b/>
          <w:kern w:val="0"/>
          <w:sz w:val="21"/>
          <w:szCs w:val="21"/>
        </w:rPr>
        <w:t>14.4 最终结清</w:t>
      </w:r>
      <w:bookmarkEnd w:id="1093"/>
      <w:bookmarkEnd w:id="1094"/>
      <w:bookmarkEnd w:id="1095"/>
      <w:bookmarkEnd w:id="1096"/>
      <w:bookmarkEnd w:id="1097"/>
      <w:bookmarkEnd w:id="1098"/>
      <w:bookmarkEnd w:id="1099"/>
    </w:p>
    <w:p w14:paraId="3B27507C">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14.4.1 最终结清申请单</w:t>
      </w:r>
    </w:p>
    <w:p w14:paraId="01D7D5B8">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承包人提交最终结清申请单的份数：</w:t>
      </w:r>
      <w:r>
        <w:rPr>
          <w:rFonts w:hint="eastAsia" w:ascii="宋体" w:hAnsi="宋体" w:eastAsia="宋体" w:cs="宋体"/>
          <w:sz w:val="21"/>
          <w:szCs w:val="21"/>
          <w:u w:val="single"/>
        </w:rPr>
        <w:t>10份</w:t>
      </w:r>
      <w:r>
        <w:rPr>
          <w:rFonts w:hint="eastAsia" w:ascii="宋体" w:hAnsi="宋体" w:eastAsia="宋体" w:cs="宋体"/>
          <w:sz w:val="21"/>
          <w:szCs w:val="21"/>
        </w:rPr>
        <w:t>。</w:t>
      </w:r>
    </w:p>
    <w:p w14:paraId="18AC9C71">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kern w:val="0"/>
          <w:sz w:val="21"/>
          <w:szCs w:val="21"/>
        </w:rPr>
        <w:t>承包人提交最终结算申请单的期限：</w:t>
      </w:r>
      <w:r>
        <w:rPr>
          <w:rFonts w:hint="eastAsia" w:ascii="宋体" w:hAnsi="宋体" w:eastAsia="宋体" w:cs="宋体"/>
          <w:sz w:val="21"/>
          <w:szCs w:val="21"/>
          <w:u w:val="single"/>
        </w:rPr>
        <w:t>缺陷责任期终止证书颁发后7天内</w:t>
      </w:r>
      <w:r>
        <w:rPr>
          <w:rFonts w:hint="eastAsia" w:ascii="宋体" w:hAnsi="宋体" w:eastAsia="宋体" w:cs="宋体"/>
          <w:sz w:val="21"/>
          <w:szCs w:val="21"/>
        </w:rPr>
        <w:t xml:space="preserve">。 </w:t>
      </w:r>
    </w:p>
    <w:p w14:paraId="705F2B5B">
      <w:pPr>
        <w:pStyle w:val="54"/>
        <w:spacing w:line="360" w:lineRule="auto"/>
        <w:ind w:firstLine="420" w:firstLineChars="200"/>
        <w:jc w:val="left"/>
        <w:outlineLvl w:val="0"/>
        <w:rPr>
          <w:rFonts w:hint="eastAsia" w:ascii="宋体" w:hAnsi="宋体" w:eastAsia="宋体" w:cs="宋体"/>
          <w:sz w:val="21"/>
          <w:szCs w:val="21"/>
        </w:rPr>
      </w:pPr>
      <w:bookmarkStart w:id="1100" w:name="_Toc3882822"/>
      <w:bookmarkStart w:id="1101" w:name="_Toc30062014"/>
      <w:r>
        <w:rPr>
          <w:rFonts w:hint="eastAsia" w:ascii="宋体" w:hAnsi="宋体" w:eastAsia="宋体" w:cs="宋体"/>
          <w:sz w:val="21"/>
          <w:szCs w:val="21"/>
        </w:rPr>
        <w:t>14.4.2 最终结清证书和支付</w:t>
      </w:r>
      <w:bookmarkEnd w:id="1100"/>
      <w:bookmarkEnd w:id="1101"/>
    </w:p>
    <w:p w14:paraId="66542F0D">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（1）发包人完成最终结清申请单的审批并颁发最终结清证书的期限：</w:t>
      </w:r>
      <w:r>
        <w:rPr>
          <w:rFonts w:hint="eastAsia" w:ascii="宋体" w:hAnsi="宋体" w:eastAsia="宋体" w:cs="宋体"/>
          <w:sz w:val="21"/>
          <w:szCs w:val="21"/>
          <w:u w:val="single"/>
        </w:rPr>
        <w:t>收到最终结清申请单30天内</w:t>
      </w:r>
      <w:r>
        <w:rPr>
          <w:rFonts w:hint="eastAsia" w:ascii="宋体" w:hAnsi="宋体" w:eastAsia="宋体" w:cs="宋体"/>
          <w:sz w:val="21"/>
          <w:szCs w:val="21"/>
        </w:rPr>
        <w:t>。</w:t>
      </w:r>
    </w:p>
    <w:p w14:paraId="1D8FA59C">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（2）发包人完成支付的期限：</w:t>
      </w:r>
      <w:r>
        <w:rPr>
          <w:rFonts w:hint="eastAsia" w:ascii="宋体" w:hAnsi="宋体" w:eastAsia="宋体" w:cs="宋体"/>
          <w:sz w:val="21"/>
          <w:szCs w:val="21"/>
          <w:u w:val="single"/>
        </w:rPr>
        <w:t>审批后30天内</w:t>
      </w:r>
      <w:r>
        <w:rPr>
          <w:rFonts w:hint="eastAsia" w:ascii="宋体" w:hAnsi="宋体" w:eastAsia="宋体" w:cs="宋体"/>
          <w:sz w:val="21"/>
          <w:szCs w:val="21"/>
        </w:rPr>
        <w:t>。</w:t>
      </w:r>
    </w:p>
    <w:bookmarkEnd w:id="1040"/>
    <w:bookmarkEnd w:id="1041"/>
    <w:bookmarkEnd w:id="1042"/>
    <w:bookmarkEnd w:id="1043"/>
    <w:bookmarkEnd w:id="1044"/>
    <w:bookmarkEnd w:id="1045"/>
    <w:bookmarkEnd w:id="1046"/>
    <w:bookmarkEnd w:id="1052"/>
    <w:p w14:paraId="36454DE9">
      <w:pPr>
        <w:pStyle w:val="54"/>
        <w:keepNext/>
        <w:keepLines/>
        <w:spacing w:before="60" w:after="60" w:line="360" w:lineRule="auto"/>
        <w:ind w:firstLine="422" w:firstLineChars="200"/>
        <w:outlineLvl w:val="1"/>
        <w:rPr>
          <w:rFonts w:hint="eastAsia" w:ascii="宋体" w:hAnsi="宋体" w:eastAsia="宋体" w:cs="宋体"/>
          <w:b/>
          <w:sz w:val="21"/>
          <w:szCs w:val="21"/>
        </w:rPr>
      </w:pPr>
      <w:bookmarkStart w:id="1102" w:name="_Toc25758"/>
      <w:bookmarkStart w:id="1103" w:name="_Toc469010966"/>
      <w:bookmarkStart w:id="1104" w:name="_Toc30062015"/>
      <w:bookmarkStart w:id="1105" w:name="_Toc389065327"/>
      <w:bookmarkStart w:id="1106" w:name="_Toc3882823"/>
      <w:bookmarkStart w:id="1107" w:name="_Toc373227762"/>
      <w:bookmarkStart w:id="1108" w:name="_Toc351203647"/>
      <w:bookmarkStart w:id="1109" w:name="_Toc373478409"/>
      <w:bookmarkStart w:id="1110" w:name="_Toc267251483"/>
      <w:bookmarkStart w:id="1111" w:name="_Toc267251482"/>
      <w:bookmarkStart w:id="1112" w:name="_Toc267251484"/>
      <w:bookmarkStart w:id="1113" w:name="_Toc267251485"/>
      <w:bookmarkStart w:id="1114" w:name="_Toc267251488"/>
      <w:bookmarkStart w:id="1115" w:name="_Toc267251486"/>
      <w:bookmarkStart w:id="1116" w:name="_Toc267251489"/>
      <w:bookmarkStart w:id="1117" w:name="_Toc267251490"/>
      <w:bookmarkStart w:id="1118" w:name="_Toc267251497"/>
      <w:bookmarkStart w:id="1119" w:name="_Toc267251503"/>
      <w:bookmarkStart w:id="1120" w:name="_Toc267251493"/>
      <w:bookmarkStart w:id="1121" w:name="_Toc267251495"/>
      <w:bookmarkStart w:id="1122" w:name="_Toc267251492"/>
      <w:bookmarkStart w:id="1123" w:name="_Toc267251491"/>
      <w:bookmarkStart w:id="1124" w:name="_Toc267251494"/>
      <w:bookmarkStart w:id="1125" w:name="_Toc267251496"/>
      <w:bookmarkStart w:id="1126" w:name="_Toc267251501"/>
      <w:bookmarkStart w:id="1127" w:name="_Toc267251498"/>
      <w:bookmarkStart w:id="1128" w:name="_Toc267251502"/>
      <w:bookmarkStart w:id="1129" w:name="_Toc267251499"/>
      <w:bookmarkStart w:id="1130" w:name="_Toc267251507"/>
      <w:bookmarkStart w:id="1131" w:name="_Toc267251506"/>
      <w:bookmarkStart w:id="1132" w:name="_Toc267251504"/>
      <w:bookmarkStart w:id="1133" w:name="_Toc267251508"/>
      <w:bookmarkStart w:id="1134" w:name="_Toc267251509"/>
      <w:bookmarkStart w:id="1135" w:name="_Toc267251513"/>
      <w:bookmarkStart w:id="1136" w:name="_Toc267251515"/>
      <w:bookmarkStart w:id="1137" w:name="_Toc267251511"/>
      <w:bookmarkStart w:id="1138" w:name="_Toc267251510"/>
      <w:bookmarkStart w:id="1139" w:name="_Toc267251514"/>
      <w:r>
        <w:rPr>
          <w:rFonts w:hint="eastAsia" w:ascii="宋体" w:hAnsi="宋体" w:eastAsia="宋体" w:cs="宋体"/>
          <w:b/>
          <w:sz w:val="21"/>
          <w:szCs w:val="21"/>
        </w:rPr>
        <w:t>15. 缺陷责任期与保修</w:t>
      </w:r>
      <w:bookmarkEnd w:id="1102"/>
      <w:bookmarkEnd w:id="1103"/>
      <w:bookmarkEnd w:id="1104"/>
      <w:bookmarkEnd w:id="1105"/>
      <w:bookmarkEnd w:id="1106"/>
      <w:bookmarkEnd w:id="1107"/>
      <w:bookmarkEnd w:id="1108"/>
      <w:bookmarkEnd w:id="1109"/>
    </w:p>
    <w:p w14:paraId="17C731D0">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1140" w:name="_Toc469010967"/>
      <w:bookmarkStart w:id="1141" w:name="_Toc373478410"/>
      <w:bookmarkStart w:id="1142" w:name="_Toc30062016"/>
      <w:bookmarkStart w:id="1143" w:name="_Toc3882824"/>
      <w:bookmarkStart w:id="1144" w:name="_Toc21221"/>
      <w:bookmarkStart w:id="1145" w:name="_Toc389065328"/>
      <w:bookmarkStart w:id="1146" w:name="_Toc373227763"/>
      <w:r>
        <w:rPr>
          <w:rFonts w:hint="eastAsia" w:ascii="宋体" w:hAnsi="宋体" w:eastAsia="宋体" w:cs="宋体"/>
          <w:b/>
          <w:kern w:val="0"/>
          <w:sz w:val="21"/>
          <w:szCs w:val="21"/>
        </w:rPr>
        <w:t>15.2 缺陷责任期</w:t>
      </w:r>
      <w:bookmarkEnd w:id="1110"/>
      <w:bookmarkEnd w:id="1140"/>
      <w:bookmarkEnd w:id="1141"/>
      <w:bookmarkEnd w:id="1142"/>
      <w:bookmarkEnd w:id="1143"/>
      <w:bookmarkEnd w:id="1144"/>
      <w:bookmarkEnd w:id="1145"/>
      <w:bookmarkEnd w:id="1146"/>
    </w:p>
    <w:p w14:paraId="29B48C03">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缺陷责任期的具体期限：</w:t>
      </w:r>
      <w:r>
        <w:rPr>
          <w:rFonts w:hint="eastAsia" w:ascii="宋体" w:hAnsi="宋体" w:eastAsia="宋体" w:cs="宋体"/>
          <w:sz w:val="21"/>
          <w:szCs w:val="21"/>
          <w:u w:val="single"/>
        </w:rPr>
        <w:t>工程缺陷责任期为24个月，缺陷责任期自工程竣工验收合格之日起计算。单位工程先于全部工程进行验收，单位工程缺陷责任期自单位工程验收合格之日起算</w:t>
      </w:r>
      <w:r>
        <w:rPr>
          <w:rFonts w:hint="eastAsia" w:ascii="宋体" w:hAnsi="宋体" w:eastAsia="宋体" w:cs="宋体"/>
          <w:sz w:val="21"/>
          <w:szCs w:val="21"/>
        </w:rPr>
        <w:t>。</w:t>
      </w:r>
    </w:p>
    <w:p w14:paraId="0581E7A3">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1147" w:name="_Toc373478411"/>
      <w:bookmarkStart w:id="1148" w:name="_Toc30062017"/>
      <w:bookmarkStart w:id="1149" w:name="_Toc25151"/>
      <w:bookmarkStart w:id="1150" w:name="_Toc469010968"/>
      <w:bookmarkStart w:id="1151" w:name="_Toc373227764"/>
      <w:bookmarkStart w:id="1152" w:name="_Toc389065329"/>
      <w:bookmarkStart w:id="1153" w:name="_Toc3882825"/>
      <w:r>
        <w:rPr>
          <w:rFonts w:hint="eastAsia" w:ascii="宋体" w:hAnsi="宋体" w:eastAsia="宋体" w:cs="宋体"/>
          <w:b/>
          <w:kern w:val="0"/>
          <w:sz w:val="21"/>
          <w:szCs w:val="21"/>
        </w:rPr>
        <w:t>15.3 质量保证金</w:t>
      </w:r>
      <w:bookmarkEnd w:id="1147"/>
      <w:bookmarkEnd w:id="1148"/>
      <w:bookmarkEnd w:id="1149"/>
      <w:bookmarkEnd w:id="1150"/>
      <w:bookmarkEnd w:id="1151"/>
      <w:bookmarkEnd w:id="1152"/>
      <w:bookmarkEnd w:id="1153"/>
    </w:p>
    <w:p w14:paraId="425CEC9A">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关于是否扣留质量保证金的约定：</w:t>
      </w:r>
      <w:r>
        <w:rPr>
          <w:rFonts w:hint="eastAsia" w:ascii="宋体" w:hAnsi="宋体" w:eastAsia="宋体" w:cs="宋体"/>
          <w:sz w:val="21"/>
          <w:szCs w:val="21"/>
          <w:u w:val="single"/>
        </w:rPr>
        <w:t>保修金金额为工程结算价的3%，保修金金额的暂扣方式：由发包人在工程结算款里扣除</w:t>
      </w:r>
      <w:r>
        <w:rPr>
          <w:rFonts w:hint="eastAsia" w:ascii="宋体" w:hAnsi="宋体" w:eastAsia="宋体" w:cs="宋体"/>
          <w:sz w:val="21"/>
          <w:szCs w:val="21"/>
        </w:rPr>
        <w:t>。</w:t>
      </w:r>
    </w:p>
    <w:p w14:paraId="234A4632">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15.3.1 承包人提供质量保证金的方式</w:t>
      </w:r>
    </w:p>
    <w:p w14:paraId="4F3D09EC">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质量保证金采用以下第</w:t>
      </w:r>
      <w:r>
        <w:rPr>
          <w:rFonts w:hint="eastAsia" w:ascii="宋体" w:hAnsi="宋体" w:eastAsia="宋体" w:cs="宋体"/>
          <w:sz w:val="21"/>
          <w:szCs w:val="21"/>
          <w:u w:val="single"/>
        </w:rPr>
        <w:t xml:space="preserve">  2   </w:t>
      </w:r>
      <w:r>
        <w:rPr>
          <w:rFonts w:hint="eastAsia" w:ascii="宋体" w:hAnsi="宋体" w:eastAsia="宋体" w:cs="宋体"/>
          <w:sz w:val="21"/>
          <w:szCs w:val="21"/>
        </w:rPr>
        <w:t>种方式：</w:t>
      </w:r>
    </w:p>
    <w:p w14:paraId="69DF216E">
      <w:pPr>
        <w:pStyle w:val="54"/>
        <w:autoSpaceDE w:val="0"/>
        <w:autoSpaceDN w:val="0"/>
        <w:adjustRightIn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（1）质量保证金保函，保证金额为：</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019846EC">
      <w:pPr>
        <w:pStyle w:val="54"/>
        <w:autoSpaceDE w:val="0"/>
        <w:autoSpaceDN w:val="0"/>
        <w:adjustRightIn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（2）</w:t>
      </w:r>
      <w:r>
        <w:rPr>
          <w:rFonts w:hint="eastAsia" w:ascii="宋体" w:hAnsi="宋体" w:eastAsia="宋体" w:cs="宋体"/>
          <w:bCs/>
          <w:sz w:val="21"/>
          <w:szCs w:val="21"/>
        </w:rPr>
        <w:t>发包人按工程价款结算总额的</w:t>
      </w:r>
      <w:r>
        <w:rPr>
          <w:rFonts w:hint="eastAsia" w:ascii="宋体" w:hAnsi="宋体" w:eastAsia="宋体" w:cs="宋体"/>
          <w:bCs/>
          <w:sz w:val="21"/>
          <w:szCs w:val="21"/>
          <w:u w:val="single"/>
        </w:rPr>
        <w:t xml:space="preserve">3 </w:t>
      </w:r>
      <w:r>
        <w:rPr>
          <w:rFonts w:hint="eastAsia" w:ascii="宋体" w:hAnsi="宋体" w:eastAsia="宋体" w:cs="宋体"/>
          <w:bCs/>
          <w:sz w:val="21"/>
          <w:szCs w:val="21"/>
        </w:rPr>
        <w:t>%预留工程质量保修金，待缺陷责任期满后申请核退</w:t>
      </w:r>
      <w:r>
        <w:rPr>
          <w:rFonts w:hint="eastAsia" w:ascii="宋体" w:hAnsi="宋体" w:eastAsia="宋体" w:cs="宋体"/>
          <w:kern w:val="0"/>
          <w:sz w:val="21"/>
          <w:szCs w:val="21"/>
        </w:rPr>
        <w:t>；</w:t>
      </w:r>
    </w:p>
    <w:p w14:paraId="0CA315AA">
      <w:pPr>
        <w:pStyle w:val="54"/>
        <w:autoSpaceDE w:val="0"/>
        <w:autoSpaceDN w:val="0"/>
        <w:adjustRightIn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（3）其他方式：</w:t>
      </w:r>
      <w:r>
        <w:rPr>
          <w:rFonts w:hint="eastAsia" w:ascii="宋体" w:hAnsi="宋体" w:eastAsia="宋体" w:cs="宋体"/>
          <w:bCs/>
          <w:sz w:val="21"/>
          <w:szCs w:val="21"/>
          <w:u w:val="single"/>
        </w:rPr>
        <w:t xml:space="preserve">   /  </w:t>
      </w:r>
      <w:r>
        <w:rPr>
          <w:rFonts w:hint="eastAsia" w:ascii="宋体" w:hAnsi="宋体" w:eastAsia="宋体" w:cs="宋体"/>
          <w:bCs/>
          <w:sz w:val="21"/>
          <w:szCs w:val="21"/>
        </w:rPr>
        <w:t>。</w:t>
      </w:r>
    </w:p>
    <w:p w14:paraId="34218F00">
      <w:pPr>
        <w:pStyle w:val="54"/>
        <w:spacing w:line="360" w:lineRule="auto"/>
        <w:ind w:firstLine="420" w:firstLineChars="200"/>
        <w:jc w:val="left"/>
        <w:outlineLvl w:val="0"/>
        <w:rPr>
          <w:rFonts w:hint="eastAsia" w:ascii="宋体" w:hAnsi="宋体" w:eastAsia="宋体" w:cs="宋体"/>
          <w:sz w:val="21"/>
          <w:szCs w:val="21"/>
        </w:rPr>
      </w:pPr>
      <w:bookmarkStart w:id="1154" w:name="_Toc30062018"/>
      <w:bookmarkStart w:id="1155" w:name="_Toc3882826"/>
      <w:r>
        <w:rPr>
          <w:rFonts w:hint="eastAsia" w:ascii="宋体" w:hAnsi="宋体" w:eastAsia="宋体" w:cs="宋体"/>
          <w:sz w:val="21"/>
          <w:szCs w:val="21"/>
        </w:rPr>
        <w:t>15.3.2 质量保证金的扣留</w:t>
      </w:r>
      <w:bookmarkEnd w:id="1154"/>
      <w:bookmarkEnd w:id="1155"/>
    </w:p>
    <w:p w14:paraId="739587D8">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质量保证金的扣留采取以下第</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rPr>
        <w:t>2</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rPr>
        <w:t xml:space="preserve"> </w:t>
      </w:r>
      <w:r>
        <w:rPr>
          <w:rFonts w:hint="eastAsia" w:ascii="宋体" w:hAnsi="宋体" w:eastAsia="宋体" w:cs="宋体"/>
          <w:sz w:val="21"/>
          <w:szCs w:val="21"/>
        </w:rPr>
        <w:t>种方式：</w:t>
      </w:r>
    </w:p>
    <w:p w14:paraId="5244B336">
      <w:pPr>
        <w:pStyle w:val="54"/>
        <w:autoSpaceDE w:val="0"/>
        <w:autoSpaceDN w:val="0"/>
        <w:adjustRightIn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（1）在支付工程进度款时逐次扣留，在此情形下，质量保证金的计算基数不包括预付款的支付、扣回以及价格调整的金额；</w:t>
      </w:r>
    </w:p>
    <w:p w14:paraId="7AE811E3">
      <w:pPr>
        <w:pStyle w:val="54"/>
        <w:autoSpaceDE w:val="0"/>
        <w:autoSpaceDN w:val="0"/>
        <w:adjustRightIn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（2）工程竣工结算时一次性扣留质量保证金；</w:t>
      </w:r>
    </w:p>
    <w:p w14:paraId="4FE095A4">
      <w:pPr>
        <w:pStyle w:val="54"/>
        <w:autoSpaceDE w:val="0"/>
        <w:autoSpaceDN w:val="0"/>
        <w:adjustRightIn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（3）其他扣留方式:</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3FBAC2E4">
      <w:pPr>
        <w:pStyle w:val="54"/>
        <w:spacing w:line="360" w:lineRule="auto"/>
        <w:ind w:firstLine="420" w:firstLineChars="200"/>
        <w:jc w:val="left"/>
        <w:rPr>
          <w:rFonts w:hint="eastAsia" w:ascii="宋体" w:hAnsi="宋体" w:eastAsia="宋体" w:cs="宋体"/>
          <w:kern w:val="0"/>
          <w:sz w:val="21"/>
          <w:szCs w:val="21"/>
          <w:u w:val="single"/>
        </w:rPr>
      </w:pPr>
      <w:r>
        <w:rPr>
          <w:rFonts w:hint="eastAsia" w:ascii="宋体" w:hAnsi="宋体" w:eastAsia="宋体" w:cs="宋体"/>
          <w:sz w:val="21"/>
          <w:szCs w:val="21"/>
        </w:rPr>
        <w:t>关于质量保证金的补充约定：：</w:t>
      </w:r>
      <w:r>
        <w:rPr>
          <w:rFonts w:hint="eastAsia" w:ascii="宋体" w:hAnsi="宋体" w:eastAsia="宋体" w:cs="宋体"/>
          <w:sz w:val="21"/>
          <w:szCs w:val="21"/>
          <w:u w:val="single"/>
        </w:rPr>
        <w:t>发包人在竣工验收合格之日起二年（</w:t>
      </w:r>
      <w:r>
        <w:rPr>
          <w:rFonts w:hint="eastAsia" w:ascii="宋体" w:hAnsi="宋体" w:eastAsia="宋体" w:cs="宋体"/>
          <w:bCs/>
          <w:sz w:val="21"/>
          <w:szCs w:val="21"/>
          <w:u w:val="single"/>
        </w:rPr>
        <w:t>缺陷责任</w:t>
      </w:r>
      <w:r>
        <w:rPr>
          <w:rFonts w:hint="eastAsia" w:ascii="宋体" w:hAnsi="宋体" w:eastAsia="宋体" w:cs="宋体"/>
          <w:sz w:val="21"/>
          <w:szCs w:val="21"/>
          <w:u w:val="single"/>
        </w:rPr>
        <w:t>期满）后14天内一次性返还承包人（无息）。质量保修金的返还，并不能免除承包人按照合同约定应承担的质量保修责任和应履行的质量保修义务</w:t>
      </w:r>
      <w:r>
        <w:rPr>
          <w:rFonts w:hint="eastAsia" w:ascii="宋体" w:hAnsi="宋体" w:eastAsia="宋体" w:cs="宋体"/>
          <w:sz w:val="21"/>
          <w:szCs w:val="21"/>
        </w:rPr>
        <w:t>。</w:t>
      </w:r>
    </w:p>
    <w:bookmarkEnd w:id="1111"/>
    <w:bookmarkEnd w:id="1112"/>
    <w:p w14:paraId="65B2FA5A">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1156" w:name="_Toc373478412"/>
      <w:bookmarkStart w:id="1157" w:name="_Toc389065330"/>
      <w:bookmarkStart w:id="1158" w:name="_Toc5967"/>
      <w:bookmarkStart w:id="1159" w:name="_Toc30062019"/>
      <w:bookmarkStart w:id="1160" w:name="_Toc373227765"/>
      <w:bookmarkStart w:id="1161" w:name="_Toc469010969"/>
      <w:bookmarkStart w:id="1162" w:name="_Toc3882827"/>
      <w:r>
        <w:rPr>
          <w:rFonts w:hint="eastAsia" w:ascii="宋体" w:hAnsi="宋体" w:eastAsia="宋体" w:cs="宋体"/>
          <w:b/>
          <w:kern w:val="0"/>
          <w:sz w:val="21"/>
          <w:szCs w:val="21"/>
        </w:rPr>
        <w:t>15.4 保修</w:t>
      </w:r>
      <w:bookmarkEnd w:id="1156"/>
      <w:bookmarkEnd w:id="1157"/>
      <w:bookmarkEnd w:id="1158"/>
      <w:bookmarkEnd w:id="1159"/>
      <w:bookmarkEnd w:id="1160"/>
      <w:bookmarkEnd w:id="1161"/>
      <w:bookmarkEnd w:id="1162"/>
    </w:p>
    <w:bookmarkEnd w:id="1113"/>
    <w:p w14:paraId="44B6A482">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15.4.1 保修责任</w:t>
      </w:r>
    </w:p>
    <w:p w14:paraId="4FA9A1E7">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sz w:val="21"/>
          <w:szCs w:val="21"/>
        </w:rPr>
        <w:t>工程保修期为：</w:t>
      </w:r>
      <w:r>
        <w:rPr>
          <w:rFonts w:hint="eastAsia" w:ascii="宋体" w:hAnsi="宋体" w:eastAsia="宋体" w:cs="宋体"/>
          <w:kern w:val="0"/>
          <w:sz w:val="21"/>
          <w:szCs w:val="21"/>
          <w:u w:val="single"/>
        </w:rPr>
        <w:t>按国家有关规定</w:t>
      </w:r>
      <w:r>
        <w:rPr>
          <w:rFonts w:hint="eastAsia" w:ascii="宋体" w:hAnsi="宋体" w:eastAsia="宋体" w:cs="宋体"/>
          <w:kern w:val="0"/>
          <w:sz w:val="21"/>
          <w:szCs w:val="21"/>
        </w:rPr>
        <w:t>。</w:t>
      </w:r>
    </w:p>
    <w:p w14:paraId="63AAC551">
      <w:pPr>
        <w:pStyle w:val="54"/>
        <w:spacing w:line="360" w:lineRule="auto"/>
        <w:ind w:firstLine="420" w:firstLineChars="200"/>
        <w:jc w:val="left"/>
        <w:rPr>
          <w:rFonts w:hint="eastAsia" w:ascii="宋体" w:hAnsi="宋体" w:eastAsia="宋体" w:cs="宋体"/>
          <w:kern w:val="0"/>
          <w:sz w:val="21"/>
          <w:szCs w:val="21"/>
          <w:u w:val="single"/>
        </w:rPr>
      </w:pPr>
      <w:r>
        <w:rPr>
          <w:rFonts w:hint="eastAsia" w:ascii="宋体" w:hAnsi="宋体" w:eastAsia="宋体" w:cs="宋体"/>
          <w:sz w:val="21"/>
          <w:szCs w:val="21"/>
        </w:rPr>
        <w:t>工程保修书具体内容见合同附件8。</w:t>
      </w:r>
    </w:p>
    <w:p w14:paraId="79255522">
      <w:pPr>
        <w:pStyle w:val="54"/>
        <w:spacing w:line="360" w:lineRule="auto"/>
        <w:ind w:firstLine="420" w:firstLineChars="200"/>
        <w:jc w:val="left"/>
        <w:outlineLvl w:val="0"/>
        <w:rPr>
          <w:rFonts w:hint="eastAsia" w:ascii="宋体" w:hAnsi="宋体" w:eastAsia="宋体" w:cs="宋体"/>
          <w:sz w:val="21"/>
          <w:szCs w:val="21"/>
        </w:rPr>
      </w:pPr>
      <w:bookmarkStart w:id="1163" w:name="_Toc30062020"/>
      <w:bookmarkStart w:id="1164" w:name="_Toc3882828"/>
      <w:r>
        <w:rPr>
          <w:rFonts w:hint="eastAsia" w:ascii="宋体" w:hAnsi="宋体" w:eastAsia="宋体" w:cs="宋体"/>
          <w:sz w:val="21"/>
          <w:szCs w:val="21"/>
        </w:rPr>
        <w:t>15.4.3 修复通知</w:t>
      </w:r>
      <w:bookmarkEnd w:id="1163"/>
      <w:bookmarkEnd w:id="1164"/>
    </w:p>
    <w:p w14:paraId="2B58A0C0">
      <w:pPr>
        <w:pStyle w:val="54"/>
        <w:spacing w:line="360" w:lineRule="auto"/>
        <w:ind w:firstLine="420" w:firstLineChars="200"/>
        <w:jc w:val="left"/>
        <w:rPr>
          <w:rFonts w:hint="eastAsia" w:ascii="宋体" w:hAnsi="宋体" w:eastAsia="宋体" w:cs="宋体"/>
          <w:kern w:val="0"/>
          <w:sz w:val="21"/>
          <w:szCs w:val="21"/>
          <w:u w:val="single"/>
        </w:rPr>
      </w:pPr>
      <w:r>
        <w:rPr>
          <w:rFonts w:hint="eastAsia" w:ascii="宋体" w:hAnsi="宋体" w:eastAsia="宋体" w:cs="宋体"/>
          <w:kern w:val="0"/>
          <w:sz w:val="21"/>
          <w:szCs w:val="21"/>
        </w:rPr>
        <w:t>承包人收到保修通知并到达工程现场的合理时间：</w:t>
      </w:r>
      <w:r>
        <w:rPr>
          <w:rFonts w:hint="eastAsia" w:ascii="宋体" w:hAnsi="宋体" w:eastAsia="宋体" w:cs="宋体"/>
          <w:kern w:val="0"/>
          <w:sz w:val="21"/>
          <w:szCs w:val="21"/>
          <w:u w:val="single"/>
        </w:rPr>
        <w:t>48小时内</w:t>
      </w:r>
      <w:r>
        <w:rPr>
          <w:rFonts w:hint="eastAsia" w:ascii="宋体" w:hAnsi="宋体" w:eastAsia="宋体" w:cs="宋体"/>
          <w:kern w:val="0"/>
          <w:sz w:val="21"/>
          <w:szCs w:val="21"/>
        </w:rPr>
        <w:t>。</w:t>
      </w:r>
    </w:p>
    <w:bookmarkEnd w:id="1114"/>
    <w:bookmarkEnd w:id="1115"/>
    <w:bookmarkEnd w:id="1116"/>
    <w:bookmarkEnd w:id="1117"/>
    <w:p w14:paraId="7C6EE8B1">
      <w:pPr>
        <w:pStyle w:val="54"/>
        <w:keepNext/>
        <w:keepLines/>
        <w:spacing w:before="60" w:after="60" w:line="360" w:lineRule="auto"/>
        <w:ind w:firstLine="422" w:firstLineChars="200"/>
        <w:outlineLvl w:val="1"/>
        <w:rPr>
          <w:rFonts w:hint="eastAsia" w:ascii="宋体" w:hAnsi="宋体" w:eastAsia="宋体" w:cs="宋体"/>
          <w:b/>
          <w:sz w:val="21"/>
          <w:szCs w:val="21"/>
        </w:rPr>
      </w:pPr>
      <w:bookmarkStart w:id="1165" w:name="_Toc373478413"/>
      <w:bookmarkStart w:id="1166" w:name="_Toc373227766"/>
      <w:bookmarkStart w:id="1167" w:name="_Toc30062021"/>
      <w:bookmarkStart w:id="1168" w:name="_Toc3882829"/>
      <w:bookmarkStart w:id="1169" w:name="_Toc14772"/>
      <w:bookmarkStart w:id="1170" w:name="_Toc351203648"/>
      <w:bookmarkStart w:id="1171" w:name="_Toc389065331"/>
      <w:bookmarkStart w:id="1172" w:name="_Toc469010970"/>
      <w:bookmarkStart w:id="1173" w:name="_Toc280868717"/>
      <w:bookmarkStart w:id="1174" w:name="_Toc280868718"/>
      <w:r>
        <w:rPr>
          <w:rFonts w:hint="eastAsia" w:ascii="宋体" w:hAnsi="宋体" w:eastAsia="宋体" w:cs="宋体"/>
          <w:b/>
          <w:sz w:val="21"/>
          <w:szCs w:val="21"/>
        </w:rPr>
        <w:t>16. 违约</w:t>
      </w:r>
      <w:bookmarkEnd w:id="1165"/>
      <w:bookmarkEnd w:id="1166"/>
      <w:bookmarkEnd w:id="1167"/>
      <w:bookmarkEnd w:id="1168"/>
      <w:bookmarkEnd w:id="1169"/>
      <w:bookmarkEnd w:id="1170"/>
      <w:bookmarkEnd w:id="1171"/>
      <w:bookmarkEnd w:id="1172"/>
    </w:p>
    <w:p w14:paraId="356362BA">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1175" w:name="_Toc373478414"/>
      <w:bookmarkStart w:id="1176" w:name="_Toc469010971"/>
      <w:bookmarkStart w:id="1177" w:name="_Toc30062022"/>
      <w:bookmarkStart w:id="1178" w:name="_Toc3316"/>
      <w:bookmarkStart w:id="1179" w:name="_Toc373227767"/>
      <w:bookmarkStart w:id="1180" w:name="_Toc3882830"/>
      <w:bookmarkStart w:id="1181" w:name="_Toc389065332"/>
      <w:r>
        <w:rPr>
          <w:rFonts w:hint="eastAsia" w:ascii="宋体" w:hAnsi="宋体" w:eastAsia="宋体" w:cs="宋体"/>
          <w:b/>
          <w:kern w:val="0"/>
          <w:sz w:val="21"/>
          <w:szCs w:val="21"/>
        </w:rPr>
        <w:t>16.1 发包人违约</w:t>
      </w:r>
      <w:bookmarkEnd w:id="1175"/>
      <w:bookmarkEnd w:id="1176"/>
      <w:bookmarkEnd w:id="1177"/>
      <w:bookmarkEnd w:id="1178"/>
      <w:bookmarkEnd w:id="1179"/>
      <w:bookmarkEnd w:id="1180"/>
      <w:bookmarkEnd w:id="1181"/>
    </w:p>
    <w:p w14:paraId="16756E9B">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16.1.1发包人违约的情形</w:t>
      </w:r>
    </w:p>
    <w:p w14:paraId="2BD8B443">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发包人违约的其他情形：</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2D6D5E53">
      <w:pPr>
        <w:pStyle w:val="54"/>
        <w:spacing w:line="360" w:lineRule="auto"/>
        <w:ind w:firstLine="420" w:firstLineChars="200"/>
        <w:jc w:val="left"/>
        <w:outlineLvl w:val="0"/>
        <w:rPr>
          <w:rFonts w:hint="eastAsia" w:ascii="宋体" w:hAnsi="宋体" w:eastAsia="宋体" w:cs="宋体"/>
          <w:kern w:val="0"/>
          <w:sz w:val="21"/>
          <w:szCs w:val="21"/>
        </w:rPr>
      </w:pPr>
      <w:bookmarkStart w:id="1182" w:name="_Toc3882831"/>
      <w:bookmarkStart w:id="1183" w:name="_Toc30062023"/>
      <w:r>
        <w:rPr>
          <w:rFonts w:hint="eastAsia" w:ascii="宋体" w:hAnsi="宋体" w:eastAsia="宋体" w:cs="宋体"/>
          <w:kern w:val="0"/>
          <w:sz w:val="21"/>
          <w:szCs w:val="21"/>
        </w:rPr>
        <w:t>16.1.2 发包人违约的责任</w:t>
      </w:r>
      <w:bookmarkEnd w:id="1182"/>
      <w:bookmarkEnd w:id="1183"/>
    </w:p>
    <w:p w14:paraId="0B6BB01B">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发包人违约责任的承担方式和计算方法：</w:t>
      </w:r>
    </w:p>
    <w:p w14:paraId="612506AE">
      <w:pPr>
        <w:pStyle w:val="54"/>
        <w:spacing w:line="360" w:lineRule="auto"/>
        <w:ind w:firstLine="420" w:firstLineChars="200"/>
        <w:jc w:val="left"/>
        <w:rPr>
          <w:rFonts w:hint="eastAsia" w:ascii="宋体" w:hAnsi="宋体" w:eastAsia="宋体" w:cs="宋体"/>
          <w:kern w:val="0"/>
          <w:sz w:val="21"/>
          <w:szCs w:val="21"/>
          <w:u w:val="single"/>
        </w:rPr>
      </w:pPr>
      <w:r>
        <w:rPr>
          <w:rFonts w:hint="eastAsia" w:ascii="宋体" w:hAnsi="宋体" w:eastAsia="宋体" w:cs="宋体"/>
          <w:kern w:val="0"/>
          <w:sz w:val="21"/>
          <w:szCs w:val="21"/>
        </w:rPr>
        <w:t>（1）因发包人原因未能在计划开工日期前7天内下达开工通知的违约责任：</w:t>
      </w:r>
      <w:r>
        <w:rPr>
          <w:rFonts w:hint="eastAsia" w:ascii="宋体" w:hAnsi="宋体" w:eastAsia="宋体" w:cs="宋体"/>
          <w:kern w:val="0"/>
          <w:sz w:val="21"/>
          <w:szCs w:val="21"/>
          <w:u w:val="single"/>
        </w:rPr>
        <w:t>工期顺延</w:t>
      </w:r>
      <w:r>
        <w:rPr>
          <w:rFonts w:hint="eastAsia" w:ascii="宋体" w:hAnsi="宋体" w:eastAsia="宋体" w:cs="宋体"/>
          <w:kern w:val="0"/>
          <w:sz w:val="21"/>
          <w:szCs w:val="21"/>
        </w:rPr>
        <w:t>。</w:t>
      </w:r>
    </w:p>
    <w:p w14:paraId="70D5AACC">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（2）因发包人原因未能按合同约定支付合同价款的违约责任：</w:t>
      </w:r>
      <w:r>
        <w:rPr>
          <w:rFonts w:hint="eastAsia" w:ascii="宋体" w:hAnsi="宋体" w:eastAsia="宋体" w:cs="宋体"/>
          <w:kern w:val="0"/>
          <w:sz w:val="21"/>
          <w:szCs w:val="21"/>
          <w:u w:val="single"/>
        </w:rPr>
        <w:t>按银行同期基准利率赔偿</w:t>
      </w:r>
      <w:r>
        <w:rPr>
          <w:rFonts w:hint="eastAsia" w:ascii="宋体" w:hAnsi="宋体" w:eastAsia="宋体" w:cs="宋体"/>
          <w:kern w:val="0"/>
          <w:sz w:val="21"/>
          <w:szCs w:val="21"/>
        </w:rPr>
        <w:t>。</w:t>
      </w:r>
    </w:p>
    <w:p w14:paraId="24CF6D1D">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（3）发包人违反第10.1款〔变更的范围〕第（2）项约定，自行实施被取消的工作或转由他人实施的违约责任：</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17327AF0">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（4）发包人提供的材料、工程设备的规格、数量或质量不符合合同约定，或因发包人原因导致交货日期延误或交货地点变更等情况的违约责任：</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6D1A7693">
      <w:pPr>
        <w:pStyle w:val="54"/>
        <w:spacing w:line="360" w:lineRule="auto"/>
        <w:ind w:firstLine="420" w:firstLineChars="200"/>
        <w:jc w:val="left"/>
        <w:rPr>
          <w:rFonts w:hint="eastAsia" w:ascii="宋体" w:hAnsi="宋体" w:eastAsia="宋体" w:cs="宋体"/>
          <w:kern w:val="0"/>
          <w:sz w:val="21"/>
          <w:szCs w:val="21"/>
          <w:u w:val="single"/>
        </w:rPr>
      </w:pPr>
      <w:r>
        <w:rPr>
          <w:rFonts w:hint="eastAsia" w:ascii="宋体" w:hAnsi="宋体" w:eastAsia="宋体" w:cs="宋体"/>
          <w:kern w:val="0"/>
          <w:sz w:val="21"/>
          <w:szCs w:val="21"/>
        </w:rPr>
        <w:t>（5）因发包人违反合同约定造成暂停施工的违约责任：</w:t>
      </w:r>
      <w:r>
        <w:rPr>
          <w:rFonts w:hint="eastAsia" w:ascii="宋体" w:hAnsi="宋体" w:eastAsia="宋体" w:cs="宋体"/>
          <w:kern w:val="0"/>
          <w:sz w:val="21"/>
          <w:szCs w:val="21"/>
          <w:u w:val="single"/>
        </w:rPr>
        <w:t>工期顺延</w:t>
      </w:r>
      <w:r>
        <w:rPr>
          <w:rFonts w:hint="eastAsia" w:ascii="宋体" w:hAnsi="宋体" w:eastAsia="宋体" w:cs="宋体"/>
          <w:kern w:val="0"/>
          <w:sz w:val="21"/>
          <w:szCs w:val="21"/>
        </w:rPr>
        <w:t>。</w:t>
      </w:r>
    </w:p>
    <w:p w14:paraId="38CB2CE1">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（6）发包人无正当理由没有在约定期限内发出复工指示，导致承包人无法复工的违约责任：</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05C9B292">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（7）其他：</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51CA8C0F">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1184" w:name="_Toc389065333"/>
      <w:bookmarkStart w:id="1185" w:name="_Toc9819"/>
      <w:bookmarkStart w:id="1186" w:name="_Toc3882832"/>
      <w:bookmarkStart w:id="1187" w:name="_Toc373478415"/>
      <w:bookmarkStart w:id="1188" w:name="_Toc30062024"/>
      <w:bookmarkStart w:id="1189" w:name="_Toc469010972"/>
      <w:bookmarkStart w:id="1190" w:name="_Toc373227768"/>
      <w:r>
        <w:rPr>
          <w:rFonts w:hint="eastAsia" w:ascii="宋体" w:hAnsi="宋体" w:eastAsia="宋体" w:cs="宋体"/>
          <w:b/>
          <w:kern w:val="0"/>
          <w:sz w:val="21"/>
          <w:szCs w:val="21"/>
        </w:rPr>
        <w:t>16.2 承包人违约</w:t>
      </w:r>
      <w:bookmarkEnd w:id="1184"/>
      <w:bookmarkEnd w:id="1185"/>
      <w:bookmarkEnd w:id="1186"/>
      <w:bookmarkEnd w:id="1187"/>
      <w:bookmarkEnd w:id="1188"/>
      <w:bookmarkEnd w:id="1189"/>
      <w:bookmarkEnd w:id="1190"/>
    </w:p>
    <w:p w14:paraId="0B1A02BC">
      <w:pPr>
        <w:pStyle w:val="54"/>
        <w:spacing w:line="360" w:lineRule="auto"/>
        <w:ind w:firstLine="420" w:firstLineChars="200"/>
        <w:jc w:val="left"/>
        <w:outlineLvl w:val="0"/>
        <w:rPr>
          <w:rFonts w:hint="eastAsia" w:ascii="宋体" w:hAnsi="宋体" w:eastAsia="宋体" w:cs="宋体"/>
          <w:kern w:val="0"/>
          <w:sz w:val="21"/>
          <w:szCs w:val="21"/>
        </w:rPr>
      </w:pPr>
      <w:bookmarkStart w:id="1191" w:name="_Toc30062025"/>
      <w:bookmarkStart w:id="1192" w:name="_Toc3882833"/>
      <w:r>
        <w:rPr>
          <w:rFonts w:hint="eastAsia" w:ascii="宋体" w:hAnsi="宋体" w:eastAsia="宋体" w:cs="宋体"/>
          <w:kern w:val="0"/>
          <w:sz w:val="21"/>
          <w:szCs w:val="21"/>
        </w:rPr>
        <w:t>16.2.1 承包人违约的情形</w:t>
      </w:r>
      <w:bookmarkEnd w:id="1191"/>
      <w:bookmarkEnd w:id="1192"/>
    </w:p>
    <w:p w14:paraId="2AC70695">
      <w:pPr>
        <w:pStyle w:val="54"/>
        <w:spacing w:line="360" w:lineRule="auto"/>
        <w:ind w:firstLine="420" w:firstLineChars="200"/>
        <w:jc w:val="left"/>
        <w:rPr>
          <w:rFonts w:hint="eastAsia" w:ascii="宋体" w:hAnsi="宋体" w:eastAsia="宋体" w:cs="宋体"/>
          <w:kern w:val="0"/>
          <w:sz w:val="21"/>
          <w:szCs w:val="21"/>
          <w:u w:val="single"/>
        </w:rPr>
      </w:pPr>
      <w:r>
        <w:rPr>
          <w:rFonts w:hint="eastAsia" w:ascii="宋体" w:hAnsi="宋体" w:eastAsia="宋体" w:cs="宋体"/>
          <w:kern w:val="0"/>
          <w:sz w:val="21"/>
          <w:szCs w:val="21"/>
        </w:rPr>
        <w:t>承包人违约的其他情形：</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2F076A9B">
      <w:pPr>
        <w:pStyle w:val="54"/>
        <w:spacing w:line="360" w:lineRule="auto"/>
        <w:ind w:firstLine="420" w:firstLineChars="200"/>
        <w:jc w:val="left"/>
        <w:outlineLvl w:val="0"/>
        <w:rPr>
          <w:rFonts w:hint="eastAsia" w:ascii="宋体" w:hAnsi="宋体" w:eastAsia="宋体" w:cs="宋体"/>
          <w:kern w:val="0"/>
          <w:sz w:val="21"/>
          <w:szCs w:val="21"/>
        </w:rPr>
      </w:pPr>
      <w:bookmarkStart w:id="1193" w:name="_Toc3882834"/>
      <w:bookmarkStart w:id="1194" w:name="_Toc30062026"/>
      <w:r>
        <w:rPr>
          <w:rFonts w:hint="eastAsia" w:ascii="宋体" w:hAnsi="宋体" w:eastAsia="宋体" w:cs="宋体"/>
          <w:kern w:val="0"/>
          <w:sz w:val="21"/>
          <w:szCs w:val="21"/>
        </w:rPr>
        <w:t>16.2.2承包人违约的责任</w:t>
      </w:r>
      <w:bookmarkEnd w:id="1193"/>
      <w:bookmarkEnd w:id="1194"/>
    </w:p>
    <w:p w14:paraId="274B2F41">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承包人违约责任的承担方式和计算方法：</w:t>
      </w:r>
    </w:p>
    <w:p w14:paraId="609285A8">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承包人未按本合同通用条款第16.2.1（2）、（3）条内容完成的，承包人无条件返工处理，修复至工程质量要求并承担相关费用，并在发包人规定的时间内完成返工，否则发包人有权扣罚该分项工程10%的工程款作为处罚。</w:t>
      </w:r>
    </w:p>
    <w:p w14:paraId="6D6AD44E">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（2）承包人有本合同通用条款第16.2.1（6）条情形的，或经监理人检验认为修复质量不合格而承包人拒绝再进行修补的，发包人将扣除承包人全部质量保修金。</w:t>
      </w:r>
    </w:p>
    <w:p w14:paraId="060557A0">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3）承包人有本专用合同条款3.2、3.3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14:paraId="684EFB5B">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4）承包人应按国家有关劳动法规定按时支付农民工工资，并在施工现场张贴发放民工工资的告示三天。民工工资发放后，应提请监理单位及业主现场代表核实，然后提交《关于已支付民工工资的承诺书》给发包人，作为下期工程进度款支付的必备材料。按自治区住房城乡建设厅・人力资源社会保障厅《关于印发广西壮族自治区建筑工人实名制管理办法实施细则(试行)》的通知(桂建发(2019)9号)文件精神，将实施实名制管理所产生的费用列入安全文明施工费和管理费，每月按照工程进度将建筑工人工资按时足额支付至施工企业在银行开设的工资专用账户，对农民工工资保障金的使用做出承诺。如发包人发现承包人有拖欠民工工资的现象，发包人在承包人兑现民工工资前暂停支付工程进度款，发包人有权从承包人申请的工程进度款中直接支付拖欠的农民工工资。同时由于承包人不及时支付民工工资引起上访、纠纷等事件，给发包方造成不良影响或导致声誉受损或受到有关部门处罚的，造成经济损失由承包方承担。</w:t>
      </w:r>
    </w:p>
    <w:p w14:paraId="417E7A03">
      <w:pPr>
        <w:pStyle w:val="54"/>
        <w:spacing w:line="360" w:lineRule="auto"/>
        <w:ind w:firstLine="420" w:firstLineChars="200"/>
        <w:jc w:val="left"/>
        <w:outlineLvl w:val="0"/>
        <w:rPr>
          <w:rFonts w:hint="eastAsia" w:ascii="宋体" w:hAnsi="宋体" w:eastAsia="宋体" w:cs="宋体"/>
          <w:sz w:val="21"/>
          <w:szCs w:val="21"/>
        </w:rPr>
      </w:pPr>
      <w:bookmarkStart w:id="1195" w:name="_Toc30062027"/>
      <w:bookmarkStart w:id="1196" w:name="_Toc3882835"/>
      <w:r>
        <w:rPr>
          <w:rFonts w:hint="eastAsia" w:ascii="宋体" w:hAnsi="宋体" w:eastAsia="宋体" w:cs="宋体"/>
          <w:sz w:val="21"/>
          <w:szCs w:val="21"/>
        </w:rPr>
        <w:t>16.2.3 因承包人违约解除合同</w:t>
      </w:r>
      <w:bookmarkEnd w:id="1195"/>
      <w:bookmarkEnd w:id="1196"/>
    </w:p>
    <w:p w14:paraId="551CBD8F">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关于承包人违约解除合同的特别约定：</w:t>
      </w:r>
      <w:r>
        <w:rPr>
          <w:rFonts w:hint="eastAsia" w:ascii="宋体" w:hAnsi="宋体" w:eastAsia="宋体" w:cs="宋体"/>
          <w:kern w:val="0"/>
          <w:sz w:val="21"/>
          <w:szCs w:val="21"/>
          <w:u w:val="single"/>
        </w:rPr>
        <w:t>承包人有违反以下情况之一的，发包人有权解除合同，并没收其全部履约保证金</w:t>
      </w:r>
      <w:r>
        <w:rPr>
          <w:rFonts w:hint="eastAsia" w:ascii="宋体" w:hAnsi="宋体" w:eastAsia="宋体" w:cs="宋体"/>
          <w:kern w:val="0"/>
          <w:sz w:val="21"/>
          <w:szCs w:val="21"/>
        </w:rPr>
        <w:t>。</w:t>
      </w:r>
    </w:p>
    <w:p w14:paraId="6E672FC8">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(1)承包人无正当理由不按开工通知的要求及时进场组织施工和不按签订协议书时商定的进度计划有效地开展施工准备，造成工期延误的；</w:t>
      </w:r>
    </w:p>
    <w:p w14:paraId="141EEB6C">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(2)承包人违反本合同通用条款第3.5条规定私自将合同或合同的任何部分或任何权利转让给其他人，或私自将工程或工程的一部分分包出去的；</w:t>
      </w:r>
    </w:p>
    <w:p w14:paraId="57BFDDF0">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(3)未经监理人批准，承包人私自将已按投标文件承诺进入工地的工程设备、施工设备、临时工程或材料撤离工地的；</w:t>
      </w:r>
    </w:p>
    <w:p w14:paraId="6D6780B6">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(4)由于承包人原因拒绝按合同进度计划及时完成合同规定的工程，而又未采取有效措施赶上进度，造成工期严重延误的；</w:t>
      </w:r>
    </w:p>
    <w:p w14:paraId="4501C842">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(5)承包人否认合同有效或拒绝履行合同规定的承包人义务，或由于法律、财务等原因导致承包人无法继续履行或实质上已停止履行合同的义务的；</w:t>
      </w:r>
    </w:p>
    <w:p w14:paraId="2A3185FA">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(6)合同签订之日起十五日内，承包人无法按合同规定及投标文件的承诺进场经监理工程师认可的全部人员和机械的。</w:t>
      </w:r>
    </w:p>
    <w:p w14:paraId="1DF70CB9">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发包人继续使用承包人在施工现场的材料、设备、临时工程、承包人文件和由承包人或以其名义编制的其他文件的费用承担方式：</w:t>
      </w:r>
      <w:r>
        <w:rPr>
          <w:rFonts w:hint="eastAsia" w:ascii="宋体" w:hAnsi="宋体" w:eastAsia="宋体" w:cs="宋体"/>
          <w:kern w:val="0"/>
          <w:sz w:val="21"/>
          <w:szCs w:val="21"/>
          <w:u w:val="single"/>
        </w:rPr>
        <w:t>双方协商</w:t>
      </w:r>
      <w:r>
        <w:rPr>
          <w:rFonts w:hint="eastAsia" w:ascii="宋体" w:hAnsi="宋体" w:eastAsia="宋体" w:cs="宋体"/>
          <w:kern w:val="0"/>
          <w:sz w:val="21"/>
          <w:szCs w:val="21"/>
        </w:rPr>
        <w:t>。</w:t>
      </w:r>
    </w:p>
    <w:p w14:paraId="75E63451">
      <w:pPr>
        <w:pStyle w:val="54"/>
        <w:keepNext/>
        <w:keepLines/>
        <w:spacing w:before="60" w:after="60" w:line="360" w:lineRule="auto"/>
        <w:ind w:firstLine="422" w:firstLineChars="200"/>
        <w:outlineLvl w:val="1"/>
        <w:rPr>
          <w:rFonts w:hint="eastAsia" w:ascii="宋体" w:hAnsi="宋体" w:eastAsia="宋体" w:cs="宋体"/>
          <w:b/>
          <w:sz w:val="21"/>
          <w:szCs w:val="21"/>
        </w:rPr>
      </w:pPr>
      <w:bookmarkStart w:id="1197" w:name="_Toc373478416"/>
      <w:bookmarkStart w:id="1198" w:name="_Toc6499"/>
      <w:bookmarkStart w:id="1199" w:name="_Toc3882836"/>
      <w:bookmarkStart w:id="1200" w:name="_Toc30062028"/>
      <w:bookmarkStart w:id="1201" w:name="_Toc351203649"/>
      <w:bookmarkStart w:id="1202" w:name="_Toc373227769"/>
      <w:bookmarkStart w:id="1203" w:name="_Toc389065334"/>
      <w:bookmarkStart w:id="1204" w:name="_Toc469010973"/>
      <w:r>
        <w:rPr>
          <w:rFonts w:hint="eastAsia" w:ascii="宋体" w:hAnsi="宋体" w:eastAsia="宋体" w:cs="宋体"/>
          <w:b/>
          <w:sz w:val="21"/>
          <w:szCs w:val="21"/>
        </w:rPr>
        <w:t>17. 不可抗力</w:t>
      </w:r>
      <w:bookmarkEnd w:id="1197"/>
      <w:bookmarkEnd w:id="1198"/>
      <w:bookmarkEnd w:id="1199"/>
      <w:bookmarkEnd w:id="1200"/>
      <w:bookmarkEnd w:id="1201"/>
      <w:bookmarkEnd w:id="1202"/>
      <w:bookmarkEnd w:id="1203"/>
      <w:bookmarkEnd w:id="1204"/>
      <w:r>
        <w:rPr>
          <w:rFonts w:hint="eastAsia" w:ascii="宋体" w:hAnsi="宋体" w:eastAsia="宋体" w:cs="宋体"/>
          <w:b/>
          <w:sz w:val="21"/>
          <w:szCs w:val="21"/>
        </w:rPr>
        <w:t xml:space="preserve"> </w:t>
      </w:r>
      <w:bookmarkEnd w:id="1173"/>
    </w:p>
    <w:p w14:paraId="2C06C535">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1205" w:name="_Toc30062029"/>
      <w:bookmarkStart w:id="1206" w:name="_Toc3882837"/>
      <w:bookmarkStart w:id="1207" w:name="_Toc389065335"/>
      <w:bookmarkStart w:id="1208" w:name="_Toc373227770"/>
      <w:bookmarkStart w:id="1209" w:name="_Toc373478417"/>
      <w:bookmarkStart w:id="1210" w:name="_Toc22660"/>
      <w:bookmarkStart w:id="1211" w:name="_Toc469010974"/>
      <w:r>
        <w:rPr>
          <w:rFonts w:hint="eastAsia" w:ascii="宋体" w:hAnsi="宋体" w:eastAsia="宋体" w:cs="宋体"/>
          <w:b/>
          <w:kern w:val="0"/>
          <w:sz w:val="21"/>
          <w:szCs w:val="21"/>
        </w:rPr>
        <w:t>17.1 不可抗力的确认</w:t>
      </w:r>
      <w:bookmarkEnd w:id="1205"/>
      <w:bookmarkEnd w:id="1206"/>
      <w:bookmarkEnd w:id="1207"/>
      <w:bookmarkEnd w:id="1208"/>
      <w:bookmarkEnd w:id="1209"/>
      <w:bookmarkEnd w:id="1210"/>
      <w:bookmarkEnd w:id="1211"/>
    </w:p>
    <w:p w14:paraId="0F8BA132">
      <w:pPr>
        <w:pStyle w:val="54"/>
        <w:spacing w:line="360" w:lineRule="auto"/>
        <w:ind w:firstLine="420" w:firstLineChars="200"/>
        <w:jc w:val="left"/>
        <w:rPr>
          <w:rFonts w:hint="eastAsia" w:ascii="宋体" w:hAnsi="宋体" w:eastAsia="宋体" w:cs="宋体"/>
          <w:kern w:val="0"/>
          <w:sz w:val="21"/>
          <w:szCs w:val="21"/>
          <w:u w:val="single"/>
        </w:rPr>
      </w:pPr>
      <w:r>
        <w:rPr>
          <w:rFonts w:hint="eastAsia" w:ascii="宋体" w:hAnsi="宋体" w:eastAsia="宋体" w:cs="宋体"/>
          <w:sz w:val="21"/>
          <w:szCs w:val="21"/>
        </w:rPr>
        <w:t>除通用合同条款约定的不可抗力事件之外，视为不可抗力的其他情形：</w:t>
      </w:r>
      <w:r>
        <w:rPr>
          <w:rFonts w:hint="eastAsia" w:ascii="宋体" w:hAnsi="宋体" w:eastAsia="宋体" w:cs="宋体"/>
          <w:kern w:val="0"/>
          <w:sz w:val="21"/>
          <w:szCs w:val="21"/>
          <w:u w:val="single"/>
        </w:rPr>
        <w:t>包括战争、恐怖活动、动乱、瘟疫、空中飞行物体坠落或其他非发包人承包人责任造成的爆炸、火灾，以及地震、洪涝等自然灾害</w:t>
      </w:r>
      <w:r>
        <w:rPr>
          <w:rFonts w:hint="eastAsia" w:ascii="宋体" w:hAnsi="宋体" w:eastAsia="宋体" w:cs="宋体"/>
          <w:kern w:val="0"/>
          <w:sz w:val="21"/>
          <w:szCs w:val="21"/>
        </w:rPr>
        <w:t>。</w:t>
      </w:r>
    </w:p>
    <w:p w14:paraId="7426DFD5">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1212" w:name="_Toc373478418"/>
      <w:bookmarkStart w:id="1213" w:name="_Toc373227771"/>
      <w:bookmarkStart w:id="1214" w:name="_Toc469010975"/>
      <w:bookmarkStart w:id="1215" w:name="_Toc3882838"/>
      <w:bookmarkStart w:id="1216" w:name="_Toc389065336"/>
      <w:bookmarkStart w:id="1217" w:name="_Toc4260"/>
      <w:bookmarkStart w:id="1218" w:name="_Toc30062030"/>
      <w:r>
        <w:rPr>
          <w:rFonts w:hint="eastAsia" w:ascii="宋体" w:hAnsi="宋体" w:eastAsia="宋体" w:cs="宋体"/>
          <w:b/>
          <w:kern w:val="0"/>
          <w:sz w:val="21"/>
          <w:szCs w:val="21"/>
        </w:rPr>
        <w:t>17.4 因不可抗力解除合同</w:t>
      </w:r>
      <w:bookmarkEnd w:id="1212"/>
      <w:bookmarkEnd w:id="1213"/>
      <w:bookmarkEnd w:id="1214"/>
      <w:bookmarkEnd w:id="1215"/>
      <w:bookmarkEnd w:id="1216"/>
      <w:bookmarkEnd w:id="1217"/>
      <w:bookmarkEnd w:id="1218"/>
    </w:p>
    <w:p w14:paraId="088D24A5">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合同解除后，发包人应在商定或确定发包人应支付款项后</w:t>
      </w:r>
      <w:r>
        <w:rPr>
          <w:rFonts w:hint="eastAsia" w:ascii="宋体" w:hAnsi="宋体" w:eastAsia="宋体" w:cs="宋体"/>
          <w:sz w:val="21"/>
          <w:szCs w:val="21"/>
          <w:u w:val="single"/>
        </w:rPr>
        <w:t xml:space="preserve"> 90</w:t>
      </w:r>
      <w:r>
        <w:rPr>
          <w:rFonts w:hint="eastAsia" w:ascii="宋体" w:hAnsi="宋体" w:eastAsia="宋体" w:cs="宋体"/>
          <w:sz w:val="21"/>
          <w:szCs w:val="21"/>
        </w:rPr>
        <w:t>天内完成款项的支付。</w:t>
      </w:r>
    </w:p>
    <w:p w14:paraId="137DF532">
      <w:pPr>
        <w:pStyle w:val="54"/>
        <w:keepNext/>
        <w:keepLines/>
        <w:spacing w:before="60" w:after="60" w:line="360" w:lineRule="auto"/>
        <w:ind w:firstLine="422" w:firstLineChars="200"/>
        <w:outlineLvl w:val="1"/>
        <w:rPr>
          <w:rFonts w:hint="eastAsia" w:ascii="宋体" w:hAnsi="宋体" w:eastAsia="宋体" w:cs="宋体"/>
          <w:b/>
          <w:sz w:val="21"/>
          <w:szCs w:val="21"/>
        </w:rPr>
      </w:pPr>
      <w:bookmarkStart w:id="1219" w:name="_Toc373478419"/>
      <w:bookmarkStart w:id="1220" w:name="_Toc389065337"/>
      <w:bookmarkStart w:id="1221" w:name="_Toc3372"/>
      <w:bookmarkStart w:id="1222" w:name="_Toc3882839"/>
      <w:bookmarkStart w:id="1223" w:name="_Toc30062031"/>
      <w:bookmarkStart w:id="1224" w:name="_Toc351203650"/>
      <w:bookmarkStart w:id="1225" w:name="_Toc469010976"/>
      <w:bookmarkStart w:id="1226" w:name="_Toc373227772"/>
      <w:r>
        <w:rPr>
          <w:rFonts w:hint="eastAsia" w:ascii="宋体" w:hAnsi="宋体" w:eastAsia="宋体" w:cs="宋体"/>
          <w:b/>
          <w:sz w:val="21"/>
          <w:szCs w:val="21"/>
        </w:rPr>
        <w:t>18. 保险</w:t>
      </w:r>
      <w:bookmarkEnd w:id="1219"/>
      <w:bookmarkEnd w:id="1220"/>
      <w:bookmarkEnd w:id="1221"/>
      <w:bookmarkEnd w:id="1222"/>
      <w:bookmarkEnd w:id="1223"/>
      <w:bookmarkEnd w:id="1224"/>
      <w:bookmarkEnd w:id="1225"/>
      <w:bookmarkEnd w:id="1226"/>
    </w:p>
    <w:bookmarkEnd w:id="1174"/>
    <w:p w14:paraId="2E4D19A2">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1227" w:name="_Toc3882840"/>
      <w:bookmarkStart w:id="1228" w:name="_Toc30062032"/>
      <w:bookmarkStart w:id="1229" w:name="_Toc373227773"/>
      <w:bookmarkStart w:id="1230" w:name="_Toc22666"/>
      <w:bookmarkStart w:id="1231" w:name="_Toc469010977"/>
      <w:bookmarkStart w:id="1232" w:name="_Toc373478420"/>
      <w:bookmarkStart w:id="1233" w:name="_Toc389065338"/>
      <w:r>
        <w:rPr>
          <w:rFonts w:hint="eastAsia" w:ascii="宋体" w:hAnsi="宋体" w:eastAsia="宋体" w:cs="宋体"/>
          <w:b/>
          <w:kern w:val="0"/>
          <w:sz w:val="21"/>
          <w:szCs w:val="21"/>
        </w:rPr>
        <w:t>18.1 工程保险</w:t>
      </w:r>
      <w:bookmarkEnd w:id="1227"/>
      <w:bookmarkEnd w:id="1228"/>
      <w:bookmarkEnd w:id="1229"/>
      <w:bookmarkEnd w:id="1230"/>
      <w:bookmarkEnd w:id="1231"/>
      <w:bookmarkEnd w:id="1232"/>
      <w:bookmarkEnd w:id="1233"/>
    </w:p>
    <w:p w14:paraId="38255821">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sz w:val="21"/>
          <w:szCs w:val="21"/>
        </w:rPr>
        <w:t>关于工程保险的特别约定：</w:t>
      </w:r>
      <w:r>
        <w:rPr>
          <w:rFonts w:hint="eastAsia" w:ascii="宋体" w:hAnsi="宋体" w:eastAsia="宋体" w:cs="宋体"/>
          <w:color w:val="000000"/>
          <w:sz w:val="21"/>
          <w:szCs w:val="21"/>
          <w:u w:val="single"/>
        </w:rPr>
        <w:t>建设工程</w:t>
      </w:r>
      <w:r>
        <w:rPr>
          <w:rFonts w:hint="eastAsia" w:ascii="宋体" w:hAnsi="宋体" w:eastAsia="宋体" w:cs="宋体"/>
          <w:bCs/>
          <w:color w:val="000000"/>
          <w:sz w:val="21"/>
          <w:szCs w:val="21"/>
          <w:u w:val="single"/>
        </w:rPr>
        <w:t>一切险和第三方责任险</w:t>
      </w:r>
      <w:r>
        <w:rPr>
          <w:rFonts w:hint="eastAsia" w:ascii="宋体" w:hAnsi="宋体" w:eastAsia="宋体" w:cs="宋体"/>
          <w:kern w:val="0"/>
          <w:sz w:val="21"/>
          <w:szCs w:val="21"/>
        </w:rPr>
        <w:t>。</w:t>
      </w:r>
    </w:p>
    <w:p w14:paraId="2822BA8B">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18.1.1投保</w:t>
      </w:r>
    </w:p>
    <w:p w14:paraId="22D7A798">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（1）投保人：承包人。</w:t>
      </w:r>
    </w:p>
    <w:p w14:paraId="3CD0F43A">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2）投保内容：承包人必须为从事危险作业的职工办理意外伤害保险，并为施工场地内承包人的自有人员生命财产及施工机械设备办理保险，支付保险费用。保险合同约定的保险责任范围应当包括工地范围内的全部财产的物质损坏或灭失以及所产生的费用、因发生与所承保工程直接相关的意外事故引起工地内及邻近区域的第三者（包括发包人的人员）人身伤亡、财产损失以及所产生的费用、承包人施工人员因发生与所承保工程直接相关的意外事故引起的人身伤亡、疾病或财产损失以及所产生的费用。无论是否获得保险机构的赔偿，凡施工中发生的一切安全事故，均由承包人负责所发生事故的依法应该支付的损失赔偿费、抚恤费和承担法律责任，发包人不承担该等责任。</w:t>
      </w:r>
    </w:p>
    <w:p w14:paraId="65E50CE5">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（3）保险费率：由投保人与合同双方同意的保险人商定。</w:t>
      </w:r>
    </w:p>
    <w:p w14:paraId="3AF5E8F5">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（4）保险金额：由投保人与合同双方同意的保险人商定。</w:t>
      </w:r>
    </w:p>
    <w:p w14:paraId="1282EA2D">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（5）保险期限：保险种类包括一切险和第三方责任险，保险期从工程开工之日起到工程竣工验收之日，如若项目延期，投标单位必须无条件办理延期手续并承担一切费用, 如故意或疏忽而没有投保、少投保或漏投保，造成的后果由承包人负全部责任。</w:t>
      </w:r>
    </w:p>
    <w:p w14:paraId="37014B30">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18.1.2第三者责任险</w:t>
      </w:r>
    </w:p>
    <w:p w14:paraId="503C59BB">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保险金额：承包人必须为从事危险作业的职工办理意外伤害保险，并为施工场地内承包人的自有人员生命财产，支付保险费用。保险合同约定的保险责任范围应当包括因发生与所承保工程直接相关的意外事故引起工地内及邻近区域的第三者（包括发包人的人员）人身伤亡、财产损失以及所产生的费用、承包人施工人员因发生与所承保工程直接相关的意外事故引起的人身伤亡、疾病或财产损失以及所产生的费用。无论是否获得保险机构的赔偿，凡施工中发生的一切安全事故，均由承包人负责所发生事故的依法应该支付的损失赔偿费、抚恤费和承担法律责任，发包人不承担该等责任。保险费率由承包人与发包人同意的保险人商定，相关保险费由承包人承担。</w:t>
      </w:r>
    </w:p>
    <w:p w14:paraId="0494ADB2">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1234" w:name="_Toc469010978"/>
      <w:bookmarkStart w:id="1235" w:name="_Toc30062033"/>
      <w:bookmarkStart w:id="1236" w:name="_Toc389065339"/>
      <w:bookmarkStart w:id="1237" w:name="_Toc373227774"/>
      <w:bookmarkStart w:id="1238" w:name="_Toc25722"/>
      <w:bookmarkStart w:id="1239" w:name="_Toc3882841"/>
      <w:bookmarkStart w:id="1240" w:name="_Toc373478421"/>
      <w:r>
        <w:rPr>
          <w:rFonts w:hint="eastAsia" w:ascii="宋体" w:hAnsi="宋体" w:eastAsia="宋体" w:cs="宋体"/>
          <w:b/>
          <w:kern w:val="0"/>
          <w:sz w:val="21"/>
          <w:szCs w:val="21"/>
        </w:rPr>
        <w:t>18.3 其他保险</w:t>
      </w:r>
      <w:bookmarkEnd w:id="1234"/>
      <w:bookmarkEnd w:id="1235"/>
      <w:bookmarkEnd w:id="1236"/>
      <w:bookmarkEnd w:id="1237"/>
      <w:bookmarkEnd w:id="1238"/>
      <w:bookmarkEnd w:id="1239"/>
      <w:bookmarkEnd w:id="1240"/>
    </w:p>
    <w:p w14:paraId="13FBC5FA">
      <w:pPr>
        <w:pStyle w:val="54"/>
        <w:spacing w:line="360" w:lineRule="auto"/>
        <w:ind w:firstLine="420" w:firstLineChars="200"/>
        <w:jc w:val="left"/>
        <w:rPr>
          <w:rFonts w:hint="eastAsia" w:ascii="宋体" w:hAnsi="宋体" w:eastAsia="宋体" w:cs="宋体"/>
          <w:bCs/>
          <w:sz w:val="21"/>
          <w:szCs w:val="21"/>
          <w:u w:val="single"/>
        </w:rPr>
      </w:pPr>
      <w:r>
        <w:rPr>
          <w:rFonts w:hint="eastAsia" w:ascii="宋体" w:hAnsi="宋体" w:eastAsia="宋体" w:cs="宋体"/>
          <w:sz w:val="21"/>
          <w:szCs w:val="21"/>
        </w:rPr>
        <w:t>关于其他保险的约定：</w:t>
      </w:r>
      <w:r>
        <w:rPr>
          <w:rFonts w:hint="eastAsia" w:ascii="宋体" w:hAnsi="宋体" w:eastAsia="宋体" w:cs="宋体"/>
          <w:bCs/>
          <w:sz w:val="21"/>
          <w:szCs w:val="21"/>
          <w:u w:val="single"/>
        </w:rPr>
        <w:t>按工程所在地建设行政主管部门有关规定。</w:t>
      </w:r>
    </w:p>
    <w:p w14:paraId="7B4FC7FF">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bCs/>
          <w:sz w:val="21"/>
          <w:szCs w:val="21"/>
          <w:u w:val="single"/>
        </w:rPr>
        <w:t>承包人是否应为其施工设备等办理财产保险： 承包人必须为其施工设备、进场材料和工程设备等办理的保险，支付保险费用。保险合同约定的保险责任范围应当包括工地范围内的全部财产的物质损坏或灭失以及所产生的费用，无论是否获得保险机构的赔偿，凡施工中发生的一切安全事故，均由承包人负责所发生事故的依法应该支付的损失赔偿费和承担法律责任，发包人不承担该等责任。保险费率由承包人与发包人同意的保险人商定，相关保险费由承包人承担</w:t>
      </w:r>
      <w:r>
        <w:rPr>
          <w:rFonts w:hint="eastAsia" w:ascii="宋体" w:hAnsi="宋体" w:eastAsia="宋体" w:cs="宋体"/>
          <w:sz w:val="21"/>
          <w:szCs w:val="21"/>
        </w:rPr>
        <w:t>。</w:t>
      </w:r>
    </w:p>
    <w:p w14:paraId="6CA8CC1C">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1241" w:name="_Toc373227775"/>
      <w:bookmarkStart w:id="1242" w:name="_Toc9151"/>
      <w:bookmarkStart w:id="1243" w:name="_Toc389065340"/>
      <w:bookmarkStart w:id="1244" w:name="_Toc373478422"/>
      <w:bookmarkStart w:id="1245" w:name="_Toc469010979"/>
      <w:bookmarkStart w:id="1246" w:name="_Toc3882842"/>
      <w:bookmarkStart w:id="1247" w:name="_Toc30062034"/>
      <w:r>
        <w:rPr>
          <w:rFonts w:hint="eastAsia" w:ascii="宋体" w:hAnsi="宋体" w:eastAsia="宋体" w:cs="宋体"/>
          <w:b/>
          <w:kern w:val="0"/>
          <w:sz w:val="21"/>
          <w:szCs w:val="21"/>
        </w:rPr>
        <w:t>18.7 通知义务</w:t>
      </w:r>
      <w:bookmarkEnd w:id="1241"/>
      <w:bookmarkEnd w:id="1242"/>
      <w:bookmarkEnd w:id="1243"/>
      <w:bookmarkEnd w:id="1244"/>
      <w:bookmarkEnd w:id="1245"/>
      <w:bookmarkEnd w:id="1246"/>
      <w:bookmarkEnd w:id="1247"/>
    </w:p>
    <w:p w14:paraId="0A4C8A19">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kern w:val="0"/>
          <w:sz w:val="21"/>
          <w:szCs w:val="21"/>
        </w:rPr>
        <w:t>关于变更保险合同时的通知义务的约定：</w:t>
      </w:r>
      <w:r>
        <w:rPr>
          <w:rFonts w:hint="eastAsia" w:ascii="宋体" w:hAnsi="宋体" w:eastAsia="宋体" w:cs="宋体"/>
          <w:sz w:val="21"/>
          <w:szCs w:val="21"/>
          <w:u w:val="single"/>
        </w:rPr>
        <w:t>承包人向发包人提交各项保险生效的证据和保险单副本的期限：各项保险生效 3天内</w:t>
      </w:r>
      <w:r>
        <w:rPr>
          <w:rFonts w:hint="eastAsia" w:ascii="宋体" w:hAnsi="宋体" w:eastAsia="宋体" w:cs="宋体"/>
          <w:sz w:val="21"/>
          <w:szCs w:val="21"/>
        </w:rPr>
        <w:t>。</w:t>
      </w:r>
    </w:p>
    <w:bookmarkEnd w:id="1118"/>
    <w:bookmarkEnd w:id="1119"/>
    <w:bookmarkEnd w:id="1120"/>
    <w:bookmarkEnd w:id="1121"/>
    <w:bookmarkEnd w:id="1122"/>
    <w:bookmarkEnd w:id="1123"/>
    <w:bookmarkEnd w:id="1124"/>
    <w:bookmarkEnd w:id="1125"/>
    <w:bookmarkEnd w:id="1126"/>
    <w:bookmarkEnd w:id="1127"/>
    <w:bookmarkEnd w:id="1128"/>
    <w:bookmarkEnd w:id="1129"/>
    <w:p w14:paraId="3C42C151">
      <w:pPr>
        <w:pStyle w:val="54"/>
        <w:keepNext/>
        <w:keepLines/>
        <w:spacing w:before="60" w:after="60" w:line="360" w:lineRule="auto"/>
        <w:ind w:firstLine="422" w:firstLineChars="200"/>
        <w:outlineLvl w:val="1"/>
        <w:rPr>
          <w:rFonts w:hint="eastAsia" w:ascii="宋体" w:hAnsi="宋体" w:eastAsia="宋体" w:cs="宋体"/>
          <w:b/>
          <w:sz w:val="21"/>
          <w:szCs w:val="21"/>
        </w:rPr>
      </w:pPr>
      <w:bookmarkStart w:id="1248" w:name="_Toc373227776"/>
      <w:bookmarkStart w:id="1249" w:name="_Toc30062035"/>
      <w:bookmarkStart w:id="1250" w:name="_Toc373478423"/>
      <w:bookmarkStart w:id="1251" w:name="_Toc389065341"/>
      <w:bookmarkStart w:id="1252" w:name="_Toc351203651"/>
      <w:bookmarkStart w:id="1253" w:name="_Toc29991"/>
      <w:bookmarkStart w:id="1254" w:name="_Toc469010980"/>
      <w:bookmarkStart w:id="1255" w:name="_Toc3882843"/>
      <w:r>
        <w:rPr>
          <w:rFonts w:hint="eastAsia" w:ascii="宋体" w:hAnsi="宋体" w:eastAsia="宋体" w:cs="宋体"/>
          <w:b/>
          <w:sz w:val="21"/>
          <w:szCs w:val="21"/>
        </w:rPr>
        <w:t>20. 争议解决</w:t>
      </w:r>
      <w:bookmarkEnd w:id="1130"/>
      <w:bookmarkEnd w:id="1131"/>
      <w:bookmarkEnd w:id="1132"/>
      <w:bookmarkEnd w:id="1248"/>
      <w:bookmarkEnd w:id="1249"/>
      <w:bookmarkEnd w:id="1250"/>
      <w:bookmarkEnd w:id="1251"/>
      <w:bookmarkEnd w:id="1252"/>
      <w:bookmarkEnd w:id="1253"/>
      <w:bookmarkEnd w:id="1254"/>
      <w:bookmarkEnd w:id="1255"/>
    </w:p>
    <w:p w14:paraId="251452EA">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1256" w:name="_Toc389065343"/>
      <w:bookmarkStart w:id="1257" w:name="_Toc27133"/>
      <w:bookmarkStart w:id="1258" w:name="_Toc30062036"/>
      <w:bookmarkStart w:id="1259" w:name="_Toc373227778"/>
      <w:bookmarkStart w:id="1260" w:name="_Toc3882844"/>
      <w:bookmarkStart w:id="1261" w:name="_Toc373478425"/>
      <w:bookmarkStart w:id="1262" w:name="_Toc469010982"/>
      <w:r>
        <w:rPr>
          <w:rFonts w:hint="eastAsia" w:ascii="宋体" w:hAnsi="宋体" w:eastAsia="宋体" w:cs="宋体"/>
          <w:b/>
          <w:kern w:val="0"/>
          <w:sz w:val="21"/>
          <w:szCs w:val="21"/>
        </w:rPr>
        <w:t>20.4 仲裁或诉讼</w:t>
      </w:r>
      <w:bookmarkEnd w:id="1133"/>
      <w:bookmarkEnd w:id="1256"/>
      <w:bookmarkEnd w:id="1257"/>
      <w:bookmarkEnd w:id="1258"/>
      <w:bookmarkEnd w:id="1259"/>
      <w:bookmarkEnd w:id="1260"/>
      <w:bookmarkEnd w:id="1261"/>
      <w:bookmarkEnd w:id="1262"/>
    </w:p>
    <w:p w14:paraId="2E49AF4E">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因合同及合同有关事项发生的争议，按下列第</w:t>
      </w:r>
      <w:r>
        <w:rPr>
          <w:rFonts w:hint="eastAsia" w:ascii="宋体" w:hAnsi="宋体" w:eastAsia="宋体" w:cs="宋体"/>
          <w:sz w:val="21"/>
          <w:szCs w:val="21"/>
          <w:u w:val="single"/>
        </w:rPr>
        <w:t xml:space="preserve"> 2 </w:t>
      </w:r>
      <w:r>
        <w:rPr>
          <w:rFonts w:hint="eastAsia" w:ascii="宋体" w:hAnsi="宋体" w:eastAsia="宋体" w:cs="宋体"/>
          <w:sz w:val="21"/>
          <w:szCs w:val="21"/>
        </w:rPr>
        <w:t>种方式解决：</w:t>
      </w:r>
    </w:p>
    <w:p w14:paraId="2E17AA95">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（1）提请</w:t>
      </w:r>
      <w:r>
        <w:rPr>
          <w:rFonts w:hint="eastAsia" w:ascii="宋体" w:hAnsi="宋体" w:eastAsia="宋体" w:cs="宋体"/>
          <w:sz w:val="21"/>
          <w:szCs w:val="21"/>
          <w:u w:val="single"/>
        </w:rPr>
        <w:t xml:space="preserve">     </w:t>
      </w:r>
      <w:r>
        <w:rPr>
          <w:rFonts w:hint="eastAsia" w:ascii="宋体" w:hAnsi="宋体" w:eastAsia="宋体" w:cs="宋体"/>
          <w:sz w:val="21"/>
          <w:szCs w:val="21"/>
        </w:rPr>
        <w:t>仲裁委员会按照该会仲裁规则进行仲裁，仲裁裁决是终局的，对合同双方均有约束力。</w:t>
      </w:r>
    </w:p>
    <w:p w14:paraId="7136F94D">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（2）向</w:t>
      </w:r>
      <w:r>
        <w:rPr>
          <w:rFonts w:hint="eastAsia" w:ascii="宋体" w:hAnsi="宋体" w:eastAsia="宋体" w:cs="宋体"/>
          <w:sz w:val="21"/>
          <w:szCs w:val="21"/>
          <w:u w:val="single"/>
        </w:rPr>
        <w:t>昭平县</w:t>
      </w:r>
      <w:r>
        <w:rPr>
          <w:rFonts w:hint="eastAsia" w:ascii="宋体" w:hAnsi="宋体" w:eastAsia="宋体" w:cs="宋体"/>
          <w:sz w:val="21"/>
          <w:szCs w:val="21"/>
        </w:rPr>
        <w:t>人民法院起诉。</w:t>
      </w:r>
      <w:bookmarkEnd w:id="1134"/>
      <w:bookmarkEnd w:id="1135"/>
      <w:bookmarkEnd w:id="1136"/>
      <w:bookmarkEnd w:id="1137"/>
      <w:bookmarkEnd w:id="1138"/>
      <w:bookmarkEnd w:id="1139"/>
    </w:p>
    <w:p w14:paraId="12280806">
      <w:pPr>
        <w:pStyle w:val="54"/>
        <w:keepNext/>
        <w:keepLines/>
        <w:spacing w:before="60" w:after="60" w:line="360" w:lineRule="auto"/>
        <w:ind w:firstLine="422" w:firstLineChars="200"/>
        <w:outlineLvl w:val="1"/>
        <w:rPr>
          <w:rFonts w:hint="eastAsia" w:ascii="宋体" w:hAnsi="宋体" w:eastAsia="宋体" w:cs="宋体"/>
          <w:b/>
          <w:sz w:val="21"/>
          <w:szCs w:val="21"/>
        </w:rPr>
      </w:pPr>
      <w:bookmarkStart w:id="1263" w:name="_Toc373478426"/>
      <w:bookmarkStart w:id="1264" w:name="_Toc3882845"/>
      <w:bookmarkStart w:id="1265" w:name="_Toc373227779"/>
      <w:bookmarkStart w:id="1266" w:name="_Toc469010983"/>
      <w:bookmarkStart w:id="1267" w:name="_Toc389065344"/>
      <w:bookmarkStart w:id="1268" w:name="_Toc19520"/>
      <w:bookmarkStart w:id="1269" w:name="_Toc30062037"/>
      <w:r>
        <w:rPr>
          <w:rFonts w:hint="eastAsia" w:ascii="宋体" w:hAnsi="宋体" w:eastAsia="宋体" w:cs="宋体"/>
          <w:b/>
          <w:sz w:val="21"/>
          <w:szCs w:val="21"/>
        </w:rPr>
        <w:t>21. 补充条款</w:t>
      </w:r>
      <w:bookmarkEnd w:id="1263"/>
      <w:bookmarkEnd w:id="1264"/>
      <w:bookmarkEnd w:id="1265"/>
      <w:bookmarkEnd w:id="1266"/>
      <w:bookmarkEnd w:id="1267"/>
      <w:bookmarkEnd w:id="1268"/>
      <w:bookmarkEnd w:id="1269"/>
    </w:p>
    <w:p w14:paraId="18505EAF">
      <w:pPr>
        <w:pStyle w:val="54"/>
        <w:spacing w:line="360" w:lineRule="auto"/>
        <w:ind w:firstLine="420" w:firstLineChars="200"/>
        <w:rPr>
          <w:rStyle w:val="21"/>
          <w:rFonts w:hint="eastAsia" w:ascii="宋体" w:hAnsi="宋体" w:eastAsia="宋体" w:cs="宋体"/>
          <w:spacing w:val="5"/>
          <w:sz w:val="21"/>
          <w:szCs w:val="21"/>
        </w:rPr>
      </w:pPr>
      <w:r>
        <w:rPr>
          <w:rFonts w:hint="eastAsia" w:ascii="宋体" w:hAnsi="宋体" w:eastAsia="宋体" w:cs="宋体"/>
          <w:sz w:val="21"/>
          <w:szCs w:val="21"/>
        </w:rPr>
        <w:t>21.1 承包人必须及时支付农民工工资，若有拖欠，按相关法律法规规定处理。禁止使用童工。</w:t>
      </w:r>
    </w:p>
    <w:p w14:paraId="1E7694CE">
      <w:pPr>
        <w:pStyle w:val="54"/>
        <w:spacing w:before="156" w:line="224" w:lineRule="auto"/>
        <w:ind w:left="41"/>
        <w:rPr>
          <w:rStyle w:val="21"/>
          <w:rFonts w:ascii="黑体" w:hAnsi="黑体" w:eastAsia="黑体" w:cs="黑体"/>
          <w:sz w:val="27"/>
          <w:szCs w:val="27"/>
        </w:rPr>
      </w:pPr>
      <w:r>
        <w:rPr>
          <w:rStyle w:val="21"/>
          <w:rFonts w:ascii="黑体" w:hAnsi="黑体" w:eastAsia="黑体" w:cs="黑体"/>
          <w:spacing w:val="5"/>
          <w:sz w:val="27"/>
          <w:szCs w:val="27"/>
        </w:rPr>
        <w:t>附件</w:t>
      </w:r>
    </w:p>
    <w:p w14:paraId="2B4EF5CE">
      <w:pPr>
        <w:pStyle w:val="54"/>
        <w:spacing w:before="148" w:line="224" w:lineRule="auto"/>
        <w:ind w:left="40"/>
        <w:rPr>
          <w:rStyle w:val="21"/>
          <w:rFonts w:ascii="宋体" w:hAnsi="宋体" w:eastAsia="宋体" w:cs="宋体"/>
          <w:szCs w:val="21"/>
        </w:rPr>
      </w:pPr>
      <w:r>
        <w:rPr>
          <w:rStyle w:val="21"/>
          <w:rFonts w:ascii="宋体" w:hAnsi="宋体" w:eastAsia="宋体" w:cs="宋体"/>
          <w:spacing w:val="-2"/>
          <w:szCs w:val="21"/>
        </w:rPr>
        <w:t xml:space="preserve">附件 </w:t>
      </w:r>
      <w:r>
        <w:rPr>
          <w:rStyle w:val="21"/>
          <w:rFonts w:hint="eastAsia" w:ascii="宋体" w:hAnsi="宋体" w:cs="宋体"/>
          <w:spacing w:val="-2"/>
          <w:szCs w:val="21"/>
          <w:lang w:val="en-US" w:eastAsia="zh-CN"/>
        </w:rPr>
        <w:t>1</w:t>
      </w:r>
      <w:r>
        <w:rPr>
          <w:rStyle w:val="21"/>
          <w:rFonts w:ascii="宋体" w:hAnsi="宋体" w:eastAsia="宋体" w:cs="宋体"/>
          <w:spacing w:val="-2"/>
          <w:szCs w:val="21"/>
        </w:rPr>
        <w:t>：承包人主要施工管理人员表</w:t>
      </w:r>
    </w:p>
    <w:p w14:paraId="3DB175D1">
      <w:pPr>
        <w:pStyle w:val="54"/>
        <w:spacing w:before="164" w:line="224" w:lineRule="auto"/>
        <w:ind w:left="40"/>
        <w:rPr>
          <w:rStyle w:val="21"/>
          <w:rFonts w:ascii="宋体" w:hAnsi="宋体" w:eastAsia="宋体" w:cs="宋体"/>
          <w:szCs w:val="21"/>
        </w:rPr>
      </w:pPr>
      <w:r>
        <w:rPr>
          <w:rStyle w:val="21"/>
          <w:rFonts w:ascii="宋体" w:hAnsi="宋体" w:eastAsia="宋体" w:cs="宋体"/>
          <w:spacing w:val="-2"/>
          <w:szCs w:val="21"/>
        </w:rPr>
        <w:t>附</w:t>
      </w:r>
      <w:r>
        <w:rPr>
          <w:rStyle w:val="21"/>
          <w:rFonts w:ascii="宋体" w:hAnsi="宋体" w:eastAsia="宋体" w:cs="宋体"/>
          <w:spacing w:val="-1"/>
          <w:szCs w:val="21"/>
        </w:rPr>
        <w:t xml:space="preserve">件 </w:t>
      </w:r>
      <w:r>
        <w:rPr>
          <w:rStyle w:val="21"/>
          <w:rFonts w:hint="eastAsia" w:ascii="宋体" w:hAnsi="宋体" w:cs="宋体"/>
          <w:spacing w:val="-1"/>
          <w:szCs w:val="21"/>
          <w:lang w:val="en-US" w:eastAsia="zh-CN"/>
        </w:rPr>
        <w:t>2</w:t>
      </w:r>
      <w:r>
        <w:rPr>
          <w:rStyle w:val="21"/>
          <w:rFonts w:ascii="宋体" w:hAnsi="宋体" w:eastAsia="宋体" w:cs="宋体"/>
          <w:spacing w:val="-1"/>
          <w:szCs w:val="21"/>
        </w:rPr>
        <w:t>：承包人用于本工程施工的机械设备表</w:t>
      </w:r>
    </w:p>
    <w:p w14:paraId="6574D3A7">
      <w:pPr>
        <w:pStyle w:val="54"/>
        <w:spacing w:before="226" w:line="224" w:lineRule="auto"/>
        <w:ind w:left="40"/>
        <w:rPr>
          <w:rStyle w:val="21"/>
          <w:rFonts w:hint="eastAsia" w:ascii="宋体" w:hAnsi="宋体" w:eastAsia="宋体" w:cs="宋体"/>
          <w:spacing w:val="-2"/>
          <w:szCs w:val="21"/>
        </w:rPr>
      </w:pPr>
      <w:r>
        <w:rPr>
          <w:rStyle w:val="21"/>
          <w:rFonts w:ascii="宋体" w:hAnsi="宋体" w:eastAsia="宋体" w:cs="宋体"/>
          <w:spacing w:val="-2"/>
          <w:szCs w:val="21"/>
        </w:rPr>
        <w:t xml:space="preserve">附件 </w:t>
      </w:r>
      <w:r>
        <w:rPr>
          <w:rStyle w:val="21"/>
          <w:rFonts w:hint="eastAsia" w:ascii="宋体" w:hAnsi="宋体" w:eastAsia="宋体" w:cs="宋体"/>
          <w:spacing w:val="-2"/>
          <w:szCs w:val="21"/>
          <w:lang w:val="en-US" w:eastAsia="zh-CN"/>
        </w:rPr>
        <w:t>3</w:t>
      </w:r>
      <w:r>
        <w:rPr>
          <w:rStyle w:val="21"/>
          <w:rFonts w:ascii="宋体" w:hAnsi="宋体" w:eastAsia="宋体" w:cs="宋体"/>
          <w:spacing w:val="-2"/>
          <w:szCs w:val="21"/>
        </w:rPr>
        <w:t>：工程质</w:t>
      </w:r>
      <w:r>
        <w:rPr>
          <w:rStyle w:val="21"/>
          <w:rFonts w:ascii="宋体" w:hAnsi="宋体" w:eastAsia="宋体" w:cs="宋体"/>
          <w:spacing w:val="-1"/>
          <w:szCs w:val="21"/>
        </w:rPr>
        <w:t>量保修书</w:t>
      </w:r>
    </w:p>
    <w:p w14:paraId="29C39E83">
      <w:pPr>
        <w:pStyle w:val="54"/>
        <w:spacing w:before="148" w:line="224" w:lineRule="auto"/>
        <w:ind w:left="40"/>
        <w:rPr>
          <w:rStyle w:val="21"/>
          <w:rFonts w:hint="eastAsia" w:ascii="宋体" w:hAnsi="宋体" w:eastAsia="宋体" w:cs="宋体"/>
          <w:spacing w:val="-2"/>
          <w:szCs w:val="21"/>
        </w:rPr>
      </w:pPr>
      <w:r>
        <w:rPr>
          <w:rStyle w:val="21"/>
          <w:rFonts w:hint="eastAsia" w:ascii="宋体" w:hAnsi="宋体" w:eastAsia="宋体" w:cs="宋体"/>
          <w:spacing w:val="-2"/>
          <w:szCs w:val="21"/>
        </w:rPr>
        <w:t>附件</w:t>
      </w:r>
      <w:r>
        <w:rPr>
          <w:rStyle w:val="21"/>
          <w:rFonts w:hint="eastAsia" w:ascii="宋体" w:hAnsi="宋体" w:eastAsia="宋体" w:cs="宋体"/>
          <w:spacing w:val="-2"/>
          <w:szCs w:val="21"/>
          <w:lang w:val="en-US" w:eastAsia="zh-CN"/>
        </w:rPr>
        <w:t xml:space="preserve"> 4</w:t>
      </w:r>
      <w:r>
        <w:rPr>
          <w:rStyle w:val="21"/>
          <w:rFonts w:hint="eastAsia" w:ascii="宋体" w:hAnsi="宋体" w:eastAsia="宋体" w:cs="宋体"/>
          <w:spacing w:val="-2"/>
          <w:szCs w:val="21"/>
        </w:rPr>
        <w:t>：廉政合同</w:t>
      </w:r>
    </w:p>
    <w:p w14:paraId="22CD03EB">
      <w:pPr>
        <w:pStyle w:val="54"/>
        <w:spacing w:before="226" w:line="224" w:lineRule="auto"/>
        <w:ind w:left="40"/>
        <w:rPr>
          <w:rStyle w:val="21"/>
          <w:rFonts w:hint="eastAsia" w:ascii="宋体" w:hAnsi="宋体" w:eastAsia="宋体" w:cs="宋体"/>
          <w:spacing w:val="-2"/>
          <w:szCs w:val="21"/>
        </w:rPr>
      </w:pPr>
    </w:p>
    <w:p w14:paraId="716358D5">
      <w:pPr>
        <w:pStyle w:val="54"/>
        <w:spacing w:before="226" w:line="224" w:lineRule="auto"/>
        <w:ind w:left="40"/>
        <w:rPr>
          <w:rStyle w:val="21"/>
          <w:rFonts w:hint="eastAsia" w:ascii="宋体" w:hAnsi="宋体" w:eastAsia="宋体" w:cs="宋体"/>
          <w:spacing w:val="-2"/>
          <w:szCs w:val="21"/>
        </w:rPr>
      </w:pPr>
    </w:p>
    <w:p w14:paraId="07862E7B">
      <w:pPr>
        <w:pStyle w:val="54"/>
        <w:spacing w:line="246" w:lineRule="auto"/>
        <w:rPr>
          <w:rStyle w:val="21"/>
          <w:rFonts w:ascii="Arial" w:hAnsi="Calibri" w:eastAsia="宋体" w:cs="Times New Roman"/>
        </w:rPr>
      </w:pPr>
    </w:p>
    <w:p w14:paraId="05A5B52D">
      <w:pPr>
        <w:pStyle w:val="54"/>
        <w:spacing w:line="246" w:lineRule="auto"/>
        <w:rPr>
          <w:rStyle w:val="21"/>
          <w:rFonts w:ascii="Arial" w:hAnsi="Calibri" w:eastAsia="宋体" w:cs="Times New Roman"/>
        </w:rPr>
      </w:pPr>
    </w:p>
    <w:p w14:paraId="6BCBEE90">
      <w:pPr>
        <w:pStyle w:val="54"/>
        <w:spacing w:line="246" w:lineRule="auto"/>
        <w:rPr>
          <w:rStyle w:val="21"/>
          <w:rFonts w:ascii="Arial" w:hAnsi="Calibri" w:eastAsia="宋体" w:cs="Times New Roman"/>
        </w:rPr>
      </w:pPr>
    </w:p>
    <w:p w14:paraId="4F65C3E4">
      <w:pPr>
        <w:pStyle w:val="54"/>
        <w:spacing w:line="246" w:lineRule="auto"/>
        <w:rPr>
          <w:rStyle w:val="21"/>
          <w:rFonts w:ascii="Arial" w:hAnsi="Calibri" w:eastAsia="宋体" w:cs="Times New Roman"/>
        </w:rPr>
      </w:pPr>
    </w:p>
    <w:p w14:paraId="1E3A8D6C">
      <w:pPr>
        <w:pStyle w:val="54"/>
        <w:spacing w:line="246" w:lineRule="auto"/>
        <w:rPr>
          <w:rStyle w:val="21"/>
          <w:rFonts w:ascii="Arial" w:hAnsi="Calibri" w:eastAsia="宋体" w:cs="Times New Roman"/>
        </w:rPr>
      </w:pPr>
    </w:p>
    <w:p w14:paraId="75185D2C">
      <w:pPr>
        <w:pStyle w:val="54"/>
        <w:spacing w:line="246" w:lineRule="auto"/>
        <w:rPr>
          <w:rStyle w:val="21"/>
          <w:rFonts w:ascii="Arial" w:hAnsi="Calibri" w:eastAsia="宋体" w:cs="Times New Roman"/>
        </w:rPr>
      </w:pPr>
    </w:p>
    <w:p w14:paraId="49917CFA">
      <w:pPr>
        <w:pStyle w:val="54"/>
        <w:spacing w:before="98" w:line="220" w:lineRule="auto"/>
        <w:ind w:left="76"/>
        <w:rPr>
          <w:rStyle w:val="21"/>
          <w:rFonts w:ascii="仿宋" w:hAnsi="仿宋" w:eastAsia="仿宋" w:cs="仿宋"/>
          <w:spacing w:val="-15"/>
          <w:sz w:val="30"/>
          <w:szCs w:val="30"/>
        </w:rPr>
      </w:pPr>
    </w:p>
    <w:p w14:paraId="194334C1">
      <w:pPr>
        <w:pStyle w:val="54"/>
        <w:spacing w:before="98" w:line="220" w:lineRule="auto"/>
        <w:ind w:left="76"/>
        <w:rPr>
          <w:rStyle w:val="21"/>
          <w:rFonts w:ascii="仿宋" w:hAnsi="仿宋" w:eastAsia="仿宋" w:cs="仿宋"/>
          <w:spacing w:val="-15"/>
          <w:sz w:val="30"/>
          <w:szCs w:val="30"/>
        </w:rPr>
      </w:pPr>
    </w:p>
    <w:p w14:paraId="3E522658">
      <w:pPr>
        <w:pStyle w:val="54"/>
        <w:spacing w:before="98" w:line="220" w:lineRule="auto"/>
        <w:ind w:left="76"/>
        <w:rPr>
          <w:rStyle w:val="21"/>
          <w:rFonts w:ascii="仿宋" w:hAnsi="仿宋" w:eastAsia="仿宋" w:cs="仿宋"/>
          <w:spacing w:val="-15"/>
          <w:sz w:val="30"/>
          <w:szCs w:val="30"/>
        </w:rPr>
      </w:pPr>
    </w:p>
    <w:p w14:paraId="27CFE345">
      <w:pPr>
        <w:pStyle w:val="54"/>
        <w:spacing w:before="98" w:line="220" w:lineRule="auto"/>
        <w:rPr>
          <w:rStyle w:val="21"/>
          <w:rFonts w:ascii="仿宋" w:hAnsi="仿宋" w:eastAsia="仿宋" w:cs="仿宋"/>
          <w:spacing w:val="-15"/>
          <w:sz w:val="30"/>
          <w:szCs w:val="30"/>
        </w:rPr>
      </w:pPr>
    </w:p>
    <w:p w14:paraId="388EE3EC">
      <w:pPr>
        <w:pStyle w:val="54"/>
        <w:spacing w:before="98" w:line="220" w:lineRule="auto"/>
        <w:ind w:left="76"/>
        <w:rPr>
          <w:rStyle w:val="21"/>
          <w:rFonts w:hint="default" w:ascii="宋体" w:hAnsi="宋体" w:eastAsia="宋体" w:cs="宋体"/>
          <w:spacing w:val="-23"/>
          <w:sz w:val="28"/>
          <w:szCs w:val="28"/>
          <w:lang w:val="en-US" w:eastAsia="zh-CN"/>
        </w:rPr>
      </w:pPr>
      <w:r>
        <w:rPr>
          <w:rStyle w:val="21"/>
          <w:rFonts w:ascii="仿宋" w:hAnsi="仿宋" w:eastAsia="仿宋" w:cs="仿宋"/>
          <w:spacing w:val="-15"/>
          <w:sz w:val="30"/>
          <w:szCs w:val="30"/>
        </w:rPr>
        <w:t>附件 1：</w:t>
      </w:r>
      <w:r>
        <w:rPr>
          <w:rStyle w:val="21"/>
          <w:rFonts w:ascii="黑体" w:hAnsi="黑体" w:eastAsia="黑体" w:cs="黑体"/>
          <w:spacing w:val="17"/>
          <w:sz w:val="28"/>
          <w:szCs w:val="28"/>
        </w:rPr>
        <w:t>承</w:t>
      </w:r>
      <w:r>
        <w:rPr>
          <w:rStyle w:val="21"/>
          <w:rFonts w:ascii="黑体" w:hAnsi="黑体" w:eastAsia="黑体" w:cs="黑体"/>
          <w:spacing w:val="15"/>
          <w:sz w:val="28"/>
          <w:szCs w:val="28"/>
        </w:rPr>
        <w:t>包人主要施工管理人员表</w:t>
      </w:r>
    </w:p>
    <w:p w14:paraId="7E44D376">
      <w:pPr>
        <w:pStyle w:val="54"/>
        <w:spacing w:line="104" w:lineRule="exact"/>
        <w:rPr>
          <w:rStyle w:val="21"/>
          <w:rFonts w:ascii="Calibri" w:hAnsi="Calibri" w:eastAsia="宋体" w:cs="Times New Roman"/>
        </w:rPr>
      </w:pPr>
    </w:p>
    <w:p w14:paraId="5557C82E">
      <w:pPr>
        <w:pStyle w:val="54"/>
        <w:spacing w:line="256" w:lineRule="auto"/>
        <w:rPr>
          <w:rStyle w:val="21"/>
          <w:rFonts w:ascii="Arial" w:hAnsi="Calibri" w:eastAsia="宋体" w:cs="Times New Roman"/>
        </w:rPr>
      </w:pPr>
    </w:p>
    <w:p w14:paraId="50B7A14D">
      <w:pPr>
        <w:pStyle w:val="54"/>
        <w:spacing w:line="256" w:lineRule="auto"/>
        <w:rPr>
          <w:rStyle w:val="21"/>
          <w:rFonts w:ascii="Arial" w:hAnsi="Calibri" w:eastAsia="宋体" w:cs="Times New Roman"/>
        </w:rPr>
      </w:pPr>
    </w:p>
    <w:p w14:paraId="313CE7DA">
      <w:pPr>
        <w:pStyle w:val="54"/>
        <w:spacing w:line="256" w:lineRule="auto"/>
        <w:rPr>
          <w:rStyle w:val="21"/>
          <w:rFonts w:ascii="Arial" w:hAnsi="Calibri" w:eastAsia="宋体" w:cs="Times New Roman"/>
        </w:rPr>
      </w:pPr>
    </w:p>
    <w:tbl>
      <w:tblPr>
        <w:tblStyle w:val="19"/>
        <w:tblpPr w:leftFromText="180" w:rightFromText="180" w:vertAnchor="text" w:horzAnchor="page" w:tblpX="1307" w:tblpY="214"/>
        <w:tblOverlap w:val="never"/>
        <w:tblW w:w="983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0"/>
        <w:gridCol w:w="1426"/>
        <w:gridCol w:w="1138"/>
        <w:gridCol w:w="1123"/>
        <w:gridCol w:w="4270"/>
      </w:tblGrid>
      <w:tr w14:paraId="290E5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880" w:type="dxa"/>
            <w:tcBorders>
              <w:top w:val="single" w:color="000000" w:sz="2" w:space="0"/>
              <w:bottom w:val="single" w:color="000000" w:sz="2" w:space="0"/>
            </w:tcBorders>
            <w:noWrap w:val="0"/>
            <w:vAlign w:val="top"/>
          </w:tcPr>
          <w:p w14:paraId="2E9C71C0">
            <w:pPr>
              <w:pStyle w:val="54"/>
              <w:spacing w:before="120" w:line="219" w:lineRule="auto"/>
              <w:ind w:left="384"/>
              <w:rPr>
                <w:rStyle w:val="21"/>
                <w:rFonts w:ascii="仿宋" w:hAnsi="仿宋" w:eastAsia="仿宋" w:cs="仿宋"/>
                <w:sz w:val="24"/>
                <w:szCs w:val="24"/>
              </w:rPr>
            </w:pPr>
            <w:r>
              <w:rPr>
                <w:rStyle w:val="21"/>
                <w:rFonts w:ascii="仿宋" w:hAnsi="仿宋" w:eastAsia="仿宋" w:cs="仿宋"/>
                <w:spacing w:val="9"/>
                <w:sz w:val="24"/>
                <w:szCs w:val="24"/>
              </w:rPr>
              <w:t xml:space="preserve">名    </w:t>
            </w:r>
            <w:r>
              <w:rPr>
                <w:rStyle w:val="21"/>
                <w:rFonts w:ascii="仿宋" w:hAnsi="仿宋" w:eastAsia="仿宋" w:cs="仿宋"/>
                <w:spacing w:val="8"/>
                <w:sz w:val="24"/>
                <w:szCs w:val="24"/>
              </w:rPr>
              <w:t>称</w:t>
            </w:r>
          </w:p>
        </w:tc>
        <w:tc>
          <w:tcPr>
            <w:tcW w:w="1426" w:type="dxa"/>
            <w:tcBorders>
              <w:top w:val="single" w:color="000000" w:sz="2" w:space="0"/>
              <w:bottom w:val="single" w:color="000000" w:sz="2" w:space="0"/>
            </w:tcBorders>
            <w:noWrap w:val="0"/>
            <w:vAlign w:val="top"/>
          </w:tcPr>
          <w:p w14:paraId="617130A7">
            <w:pPr>
              <w:pStyle w:val="54"/>
              <w:spacing w:before="120" w:line="223" w:lineRule="auto"/>
              <w:ind w:left="434"/>
              <w:rPr>
                <w:rStyle w:val="21"/>
                <w:rFonts w:ascii="仿宋" w:hAnsi="仿宋" w:eastAsia="仿宋" w:cs="仿宋"/>
                <w:sz w:val="24"/>
                <w:szCs w:val="24"/>
              </w:rPr>
            </w:pPr>
            <w:r>
              <w:rPr>
                <w:rStyle w:val="21"/>
                <w:rFonts w:ascii="仿宋" w:hAnsi="仿宋" w:eastAsia="仿宋" w:cs="仿宋"/>
                <w:spacing w:val="2"/>
                <w:sz w:val="24"/>
                <w:szCs w:val="24"/>
              </w:rPr>
              <w:t>姓名</w:t>
            </w:r>
          </w:p>
        </w:tc>
        <w:tc>
          <w:tcPr>
            <w:tcW w:w="1138" w:type="dxa"/>
            <w:tcBorders>
              <w:top w:val="single" w:color="000000" w:sz="2" w:space="0"/>
              <w:bottom w:val="single" w:color="000000" w:sz="2" w:space="0"/>
            </w:tcBorders>
            <w:noWrap w:val="0"/>
            <w:vAlign w:val="top"/>
          </w:tcPr>
          <w:p w14:paraId="367CE6FA">
            <w:pPr>
              <w:pStyle w:val="54"/>
              <w:spacing w:before="94" w:line="218" w:lineRule="auto"/>
              <w:ind w:left="264"/>
              <w:rPr>
                <w:rStyle w:val="21"/>
                <w:rFonts w:ascii="仿宋" w:hAnsi="仿宋" w:eastAsia="仿宋" w:cs="仿宋"/>
                <w:sz w:val="28"/>
                <w:szCs w:val="28"/>
              </w:rPr>
            </w:pPr>
            <w:r>
              <w:rPr>
                <w:rStyle w:val="21"/>
                <w:rFonts w:ascii="仿宋" w:hAnsi="仿宋" w:eastAsia="仿宋" w:cs="仿宋"/>
                <w:spacing w:val="1"/>
                <w:sz w:val="28"/>
                <w:szCs w:val="28"/>
              </w:rPr>
              <w:t>职</w:t>
            </w:r>
            <w:r>
              <w:rPr>
                <w:rStyle w:val="21"/>
                <w:rFonts w:ascii="仿宋" w:hAnsi="仿宋" w:eastAsia="仿宋" w:cs="仿宋"/>
                <w:sz w:val="28"/>
                <w:szCs w:val="28"/>
              </w:rPr>
              <w:t>务</w:t>
            </w:r>
          </w:p>
        </w:tc>
        <w:tc>
          <w:tcPr>
            <w:tcW w:w="1123" w:type="dxa"/>
            <w:tcBorders>
              <w:top w:val="single" w:color="000000" w:sz="2" w:space="0"/>
              <w:bottom w:val="single" w:color="000000" w:sz="2" w:space="0"/>
            </w:tcBorders>
            <w:noWrap w:val="0"/>
            <w:vAlign w:val="top"/>
          </w:tcPr>
          <w:p w14:paraId="11C69036">
            <w:pPr>
              <w:pStyle w:val="54"/>
              <w:spacing w:before="94" w:line="218" w:lineRule="auto"/>
              <w:ind w:left="250"/>
              <w:rPr>
                <w:rStyle w:val="21"/>
                <w:rFonts w:ascii="仿宋" w:hAnsi="仿宋" w:eastAsia="仿宋" w:cs="仿宋"/>
                <w:sz w:val="28"/>
                <w:szCs w:val="28"/>
              </w:rPr>
            </w:pPr>
            <w:r>
              <w:rPr>
                <w:rStyle w:val="21"/>
                <w:rFonts w:ascii="仿宋" w:hAnsi="仿宋" w:eastAsia="仿宋" w:cs="仿宋"/>
                <w:spacing w:val="1"/>
                <w:sz w:val="28"/>
                <w:szCs w:val="28"/>
              </w:rPr>
              <w:t>职</w:t>
            </w:r>
            <w:r>
              <w:rPr>
                <w:rStyle w:val="21"/>
                <w:rFonts w:ascii="仿宋" w:hAnsi="仿宋" w:eastAsia="仿宋" w:cs="仿宋"/>
                <w:sz w:val="28"/>
                <w:szCs w:val="28"/>
              </w:rPr>
              <w:t>称</w:t>
            </w:r>
          </w:p>
        </w:tc>
        <w:tc>
          <w:tcPr>
            <w:tcW w:w="4270" w:type="dxa"/>
            <w:tcBorders>
              <w:top w:val="single" w:color="000000" w:sz="2" w:space="0"/>
              <w:bottom w:val="single" w:color="000000" w:sz="2" w:space="0"/>
            </w:tcBorders>
            <w:noWrap w:val="0"/>
            <w:vAlign w:val="top"/>
          </w:tcPr>
          <w:p w14:paraId="1F3ED848">
            <w:pPr>
              <w:pStyle w:val="54"/>
              <w:spacing w:before="94" w:line="218" w:lineRule="auto"/>
              <w:ind w:left="1161"/>
              <w:rPr>
                <w:rStyle w:val="21"/>
                <w:rFonts w:ascii="仿宋" w:hAnsi="仿宋" w:eastAsia="仿宋" w:cs="仿宋"/>
                <w:sz w:val="28"/>
                <w:szCs w:val="28"/>
              </w:rPr>
            </w:pPr>
            <w:r>
              <w:rPr>
                <w:rStyle w:val="21"/>
                <w:rFonts w:ascii="仿宋" w:hAnsi="仿宋" w:eastAsia="仿宋" w:cs="仿宋"/>
                <w:spacing w:val="14"/>
                <w:sz w:val="28"/>
                <w:szCs w:val="28"/>
              </w:rPr>
              <w:t>计</w:t>
            </w:r>
            <w:r>
              <w:rPr>
                <w:rStyle w:val="21"/>
                <w:rFonts w:ascii="仿宋" w:hAnsi="仿宋" w:eastAsia="仿宋" w:cs="仿宋"/>
                <w:spacing w:val="11"/>
                <w:sz w:val="28"/>
                <w:szCs w:val="28"/>
              </w:rPr>
              <w:t>划进场时间</w:t>
            </w:r>
          </w:p>
        </w:tc>
      </w:tr>
      <w:tr w14:paraId="53015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837" w:type="dxa"/>
            <w:gridSpan w:val="5"/>
            <w:tcBorders>
              <w:top w:val="single" w:color="000000" w:sz="2" w:space="0"/>
              <w:bottom w:val="single" w:color="000000" w:sz="2" w:space="0"/>
            </w:tcBorders>
            <w:noWrap w:val="0"/>
            <w:vAlign w:val="top"/>
          </w:tcPr>
          <w:p w14:paraId="6FBF9E66">
            <w:pPr>
              <w:pStyle w:val="54"/>
              <w:spacing w:before="112" w:line="221" w:lineRule="auto"/>
              <w:ind w:left="4063"/>
              <w:rPr>
                <w:rStyle w:val="21"/>
                <w:rFonts w:ascii="仿宋" w:hAnsi="仿宋" w:eastAsia="仿宋" w:cs="仿宋"/>
                <w:sz w:val="24"/>
                <w:szCs w:val="24"/>
              </w:rPr>
            </w:pPr>
            <w:r>
              <w:rPr>
                <w:rStyle w:val="21"/>
                <w:rFonts w:ascii="仿宋" w:hAnsi="仿宋" w:eastAsia="仿宋" w:cs="仿宋"/>
                <w:spacing w:val="13"/>
                <w:sz w:val="24"/>
                <w:szCs w:val="24"/>
              </w:rPr>
              <w:t>一</w:t>
            </w:r>
            <w:r>
              <w:rPr>
                <w:rStyle w:val="21"/>
                <w:rFonts w:ascii="仿宋" w:hAnsi="仿宋" w:eastAsia="仿宋" w:cs="仿宋"/>
                <w:spacing w:val="12"/>
                <w:sz w:val="24"/>
                <w:szCs w:val="24"/>
              </w:rPr>
              <w:t>、总部人员</w:t>
            </w:r>
          </w:p>
        </w:tc>
      </w:tr>
      <w:tr w14:paraId="3B29B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1880" w:type="dxa"/>
            <w:tcBorders>
              <w:top w:val="single" w:color="000000" w:sz="2" w:space="0"/>
              <w:bottom w:val="single" w:color="000000" w:sz="2" w:space="0"/>
            </w:tcBorders>
            <w:noWrap w:val="0"/>
            <w:vAlign w:val="top"/>
          </w:tcPr>
          <w:p w14:paraId="7C24B650">
            <w:pPr>
              <w:pStyle w:val="54"/>
              <w:spacing w:before="113" w:line="222" w:lineRule="auto"/>
              <w:ind w:left="384"/>
              <w:rPr>
                <w:rStyle w:val="21"/>
                <w:rFonts w:ascii="仿宋" w:hAnsi="仿宋" w:eastAsia="仿宋" w:cs="仿宋"/>
                <w:sz w:val="24"/>
                <w:szCs w:val="24"/>
              </w:rPr>
            </w:pPr>
            <w:r>
              <w:rPr>
                <w:rStyle w:val="21"/>
                <w:rFonts w:ascii="仿宋" w:hAnsi="仿宋" w:eastAsia="仿宋" w:cs="仿宋"/>
                <w:spacing w:val="10"/>
                <w:sz w:val="24"/>
                <w:szCs w:val="24"/>
              </w:rPr>
              <w:t>项目主</w:t>
            </w:r>
            <w:r>
              <w:rPr>
                <w:rStyle w:val="21"/>
                <w:rFonts w:ascii="仿宋" w:hAnsi="仿宋" w:eastAsia="仿宋" w:cs="仿宋"/>
                <w:spacing w:val="9"/>
                <w:sz w:val="24"/>
                <w:szCs w:val="24"/>
              </w:rPr>
              <w:t>管</w:t>
            </w:r>
          </w:p>
        </w:tc>
        <w:tc>
          <w:tcPr>
            <w:tcW w:w="1426" w:type="dxa"/>
            <w:tcBorders>
              <w:top w:val="single" w:color="000000" w:sz="2" w:space="0"/>
              <w:bottom w:val="single" w:color="000000" w:sz="2" w:space="0"/>
            </w:tcBorders>
            <w:noWrap w:val="0"/>
            <w:vAlign w:val="top"/>
          </w:tcPr>
          <w:p w14:paraId="5B3C36E8">
            <w:pPr>
              <w:pStyle w:val="54"/>
              <w:rPr>
                <w:rStyle w:val="21"/>
                <w:rFonts w:ascii="Arial" w:hAnsi="Calibri" w:eastAsia="宋体" w:cs="Times New Roman"/>
                <w:sz w:val="20"/>
                <w:szCs w:val="21"/>
              </w:rPr>
            </w:pPr>
          </w:p>
        </w:tc>
        <w:tc>
          <w:tcPr>
            <w:tcW w:w="1138" w:type="dxa"/>
            <w:tcBorders>
              <w:top w:val="single" w:color="000000" w:sz="2" w:space="0"/>
              <w:bottom w:val="single" w:color="000000" w:sz="2" w:space="0"/>
            </w:tcBorders>
            <w:noWrap w:val="0"/>
            <w:vAlign w:val="top"/>
          </w:tcPr>
          <w:p w14:paraId="05DB3760">
            <w:pPr>
              <w:pStyle w:val="54"/>
              <w:rPr>
                <w:rStyle w:val="21"/>
                <w:rFonts w:ascii="Arial" w:hAnsi="Calibri" w:eastAsia="宋体" w:cs="Times New Roman"/>
                <w:sz w:val="20"/>
                <w:szCs w:val="21"/>
              </w:rPr>
            </w:pPr>
          </w:p>
        </w:tc>
        <w:tc>
          <w:tcPr>
            <w:tcW w:w="1123" w:type="dxa"/>
            <w:tcBorders>
              <w:top w:val="single" w:color="000000" w:sz="2" w:space="0"/>
              <w:bottom w:val="single" w:color="000000" w:sz="2" w:space="0"/>
            </w:tcBorders>
            <w:noWrap w:val="0"/>
            <w:vAlign w:val="top"/>
          </w:tcPr>
          <w:p w14:paraId="3EFD7DBD">
            <w:pPr>
              <w:pStyle w:val="54"/>
              <w:rPr>
                <w:rStyle w:val="21"/>
                <w:rFonts w:ascii="Arial" w:hAnsi="Calibri" w:eastAsia="宋体" w:cs="Times New Roman"/>
                <w:sz w:val="20"/>
                <w:szCs w:val="21"/>
              </w:rPr>
            </w:pPr>
          </w:p>
        </w:tc>
        <w:tc>
          <w:tcPr>
            <w:tcW w:w="4270" w:type="dxa"/>
            <w:tcBorders>
              <w:top w:val="single" w:color="000000" w:sz="2" w:space="0"/>
              <w:bottom w:val="single" w:color="000000" w:sz="2" w:space="0"/>
            </w:tcBorders>
            <w:noWrap w:val="0"/>
            <w:vAlign w:val="top"/>
          </w:tcPr>
          <w:p w14:paraId="2B278CAC">
            <w:pPr>
              <w:pStyle w:val="54"/>
              <w:rPr>
                <w:rStyle w:val="21"/>
                <w:rFonts w:ascii="Arial" w:hAnsi="Calibri" w:eastAsia="宋体" w:cs="Times New Roman"/>
                <w:sz w:val="20"/>
                <w:szCs w:val="21"/>
              </w:rPr>
            </w:pPr>
          </w:p>
        </w:tc>
      </w:tr>
      <w:tr w14:paraId="0BF81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880" w:type="dxa"/>
            <w:vMerge w:val="restart"/>
            <w:tcBorders>
              <w:top w:val="single" w:color="000000" w:sz="2" w:space="0"/>
            </w:tcBorders>
            <w:noWrap w:val="0"/>
            <w:vAlign w:val="top"/>
          </w:tcPr>
          <w:p w14:paraId="4CA4120F">
            <w:pPr>
              <w:pStyle w:val="54"/>
              <w:spacing w:line="440" w:lineRule="auto"/>
              <w:rPr>
                <w:rStyle w:val="21"/>
                <w:rFonts w:ascii="Arial" w:hAnsi="Calibri" w:eastAsia="宋体" w:cs="Times New Roman"/>
                <w:sz w:val="20"/>
                <w:szCs w:val="21"/>
              </w:rPr>
            </w:pPr>
          </w:p>
          <w:p w14:paraId="691F52EB">
            <w:pPr>
              <w:pStyle w:val="54"/>
              <w:spacing w:before="88" w:line="220" w:lineRule="auto"/>
              <w:ind w:left="385"/>
              <w:rPr>
                <w:rStyle w:val="21"/>
                <w:rFonts w:ascii="仿宋" w:hAnsi="仿宋" w:eastAsia="仿宋" w:cs="仿宋"/>
                <w:sz w:val="24"/>
                <w:szCs w:val="24"/>
              </w:rPr>
            </w:pPr>
            <w:r>
              <w:rPr>
                <w:rStyle w:val="21"/>
                <w:rFonts w:ascii="仿宋" w:hAnsi="仿宋" w:eastAsia="仿宋" w:cs="仿宋"/>
                <w:spacing w:val="11"/>
                <w:sz w:val="24"/>
                <w:szCs w:val="24"/>
              </w:rPr>
              <w:t>其</w:t>
            </w:r>
            <w:r>
              <w:rPr>
                <w:rStyle w:val="21"/>
                <w:rFonts w:ascii="仿宋" w:hAnsi="仿宋" w:eastAsia="仿宋" w:cs="仿宋"/>
                <w:spacing w:val="9"/>
                <w:sz w:val="24"/>
                <w:szCs w:val="24"/>
              </w:rPr>
              <w:t>他人员</w:t>
            </w:r>
          </w:p>
        </w:tc>
        <w:tc>
          <w:tcPr>
            <w:tcW w:w="1426" w:type="dxa"/>
            <w:tcBorders>
              <w:top w:val="single" w:color="000000" w:sz="2" w:space="0"/>
              <w:bottom w:val="single" w:color="000000" w:sz="2" w:space="0"/>
            </w:tcBorders>
            <w:noWrap w:val="0"/>
            <w:vAlign w:val="top"/>
          </w:tcPr>
          <w:p w14:paraId="5FEBA2DD">
            <w:pPr>
              <w:pStyle w:val="54"/>
              <w:rPr>
                <w:rStyle w:val="21"/>
                <w:rFonts w:ascii="Arial" w:hAnsi="Calibri" w:eastAsia="宋体" w:cs="Times New Roman"/>
                <w:sz w:val="20"/>
                <w:szCs w:val="21"/>
              </w:rPr>
            </w:pPr>
          </w:p>
        </w:tc>
        <w:tc>
          <w:tcPr>
            <w:tcW w:w="1138" w:type="dxa"/>
            <w:tcBorders>
              <w:top w:val="single" w:color="000000" w:sz="2" w:space="0"/>
              <w:bottom w:val="single" w:color="000000" w:sz="2" w:space="0"/>
            </w:tcBorders>
            <w:noWrap w:val="0"/>
            <w:vAlign w:val="top"/>
          </w:tcPr>
          <w:p w14:paraId="176A918D">
            <w:pPr>
              <w:pStyle w:val="54"/>
              <w:rPr>
                <w:rStyle w:val="21"/>
                <w:rFonts w:ascii="Arial" w:hAnsi="Calibri" w:eastAsia="宋体" w:cs="Times New Roman"/>
                <w:sz w:val="20"/>
                <w:szCs w:val="21"/>
              </w:rPr>
            </w:pPr>
          </w:p>
        </w:tc>
        <w:tc>
          <w:tcPr>
            <w:tcW w:w="1123" w:type="dxa"/>
            <w:tcBorders>
              <w:top w:val="single" w:color="000000" w:sz="2" w:space="0"/>
              <w:bottom w:val="single" w:color="000000" w:sz="2" w:space="0"/>
            </w:tcBorders>
            <w:noWrap w:val="0"/>
            <w:vAlign w:val="top"/>
          </w:tcPr>
          <w:p w14:paraId="01E2D3D4">
            <w:pPr>
              <w:pStyle w:val="54"/>
              <w:rPr>
                <w:rStyle w:val="21"/>
                <w:rFonts w:ascii="Arial" w:hAnsi="Calibri" w:eastAsia="宋体" w:cs="Times New Roman"/>
                <w:sz w:val="20"/>
                <w:szCs w:val="21"/>
              </w:rPr>
            </w:pPr>
          </w:p>
        </w:tc>
        <w:tc>
          <w:tcPr>
            <w:tcW w:w="4270" w:type="dxa"/>
            <w:tcBorders>
              <w:top w:val="single" w:color="000000" w:sz="2" w:space="0"/>
              <w:bottom w:val="single" w:color="000000" w:sz="2" w:space="0"/>
            </w:tcBorders>
            <w:noWrap w:val="0"/>
            <w:vAlign w:val="top"/>
          </w:tcPr>
          <w:p w14:paraId="1982F8BF">
            <w:pPr>
              <w:pStyle w:val="54"/>
              <w:rPr>
                <w:rStyle w:val="21"/>
                <w:rFonts w:ascii="Arial" w:hAnsi="Calibri" w:eastAsia="宋体" w:cs="Times New Roman"/>
                <w:sz w:val="20"/>
                <w:szCs w:val="21"/>
              </w:rPr>
            </w:pPr>
          </w:p>
        </w:tc>
      </w:tr>
      <w:tr w14:paraId="76544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880" w:type="dxa"/>
            <w:vMerge w:val="continue"/>
            <w:noWrap w:val="0"/>
            <w:vAlign w:val="top"/>
          </w:tcPr>
          <w:p w14:paraId="3529AD79">
            <w:pPr>
              <w:pStyle w:val="54"/>
              <w:rPr>
                <w:rStyle w:val="21"/>
                <w:rFonts w:ascii="Arial" w:hAnsi="Calibri" w:eastAsia="宋体" w:cs="Times New Roman"/>
                <w:sz w:val="20"/>
                <w:szCs w:val="21"/>
              </w:rPr>
            </w:pPr>
          </w:p>
        </w:tc>
        <w:tc>
          <w:tcPr>
            <w:tcW w:w="1426" w:type="dxa"/>
            <w:tcBorders>
              <w:top w:val="single" w:color="000000" w:sz="2" w:space="0"/>
              <w:bottom w:val="single" w:color="000000" w:sz="2" w:space="0"/>
            </w:tcBorders>
            <w:noWrap w:val="0"/>
            <w:vAlign w:val="top"/>
          </w:tcPr>
          <w:p w14:paraId="37317756">
            <w:pPr>
              <w:pStyle w:val="54"/>
              <w:rPr>
                <w:rStyle w:val="21"/>
                <w:rFonts w:ascii="Arial" w:hAnsi="Calibri" w:eastAsia="宋体" w:cs="Times New Roman"/>
                <w:sz w:val="20"/>
                <w:szCs w:val="21"/>
              </w:rPr>
            </w:pPr>
          </w:p>
        </w:tc>
        <w:tc>
          <w:tcPr>
            <w:tcW w:w="1138" w:type="dxa"/>
            <w:tcBorders>
              <w:top w:val="single" w:color="000000" w:sz="2" w:space="0"/>
              <w:bottom w:val="single" w:color="000000" w:sz="2" w:space="0"/>
            </w:tcBorders>
            <w:noWrap w:val="0"/>
            <w:vAlign w:val="top"/>
          </w:tcPr>
          <w:p w14:paraId="0FBF274B">
            <w:pPr>
              <w:pStyle w:val="54"/>
              <w:rPr>
                <w:rStyle w:val="21"/>
                <w:rFonts w:ascii="Arial" w:hAnsi="Calibri" w:eastAsia="宋体" w:cs="Times New Roman"/>
                <w:sz w:val="20"/>
                <w:szCs w:val="21"/>
              </w:rPr>
            </w:pPr>
          </w:p>
        </w:tc>
        <w:tc>
          <w:tcPr>
            <w:tcW w:w="1123" w:type="dxa"/>
            <w:tcBorders>
              <w:top w:val="single" w:color="000000" w:sz="2" w:space="0"/>
              <w:bottom w:val="single" w:color="000000" w:sz="2" w:space="0"/>
            </w:tcBorders>
            <w:noWrap w:val="0"/>
            <w:vAlign w:val="top"/>
          </w:tcPr>
          <w:p w14:paraId="5C43D447">
            <w:pPr>
              <w:pStyle w:val="54"/>
              <w:rPr>
                <w:rStyle w:val="21"/>
                <w:rFonts w:ascii="Arial" w:hAnsi="Calibri" w:eastAsia="宋体" w:cs="Times New Roman"/>
                <w:sz w:val="20"/>
                <w:szCs w:val="21"/>
              </w:rPr>
            </w:pPr>
          </w:p>
        </w:tc>
        <w:tc>
          <w:tcPr>
            <w:tcW w:w="4270" w:type="dxa"/>
            <w:tcBorders>
              <w:top w:val="single" w:color="000000" w:sz="2" w:space="0"/>
              <w:bottom w:val="single" w:color="000000" w:sz="2" w:space="0"/>
            </w:tcBorders>
            <w:noWrap w:val="0"/>
            <w:vAlign w:val="top"/>
          </w:tcPr>
          <w:p w14:paraId="563B4D17">
            <w:pPr>
              <w:pStyle w:val="54"/>
              <w:rPr>
                <w:rStyle w:val="21"/>
                <w:rFonts w:ascii="Arial" w:hAnsi="Calibri" w:eastAsia="宋体" w:cs="Times New Roman"/>
                <w:sz w:val="20"/>
                <w:szCs w:val="21"/>
              </w:rPr>
            </w:pPr>
          </w:p>
        </w:tc>
      </w:tr>
      <w:tr w14:paraId="4DF1C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880" w:type="dxa"/>
            <w:vMerge w:val="continue"/>
            <w:tcBorders>
              <w:bottom w:val="single" w:color="000000" w:sz="2" w:space="0"/>
            </w:tcBorders>
            <w:noWrap w:val="0"/>
            <w:vAlign w:val="top"/>
          </w:tcPr>
          <w:p w14:paraId="1B400271">
            <w:pPr>
              <w:pStyle w:val="54"/>
              <w:rPr>
                <w:rStyle w:val="21"/>
                <w:rFonts w:ascii="Arial" w:hAnsi="Calibri" w:eastAsia="宋体" w:cs="Times New Roman"/>
                <w:sz w:val="20"/>
                <w:szCs w:val="21"/>
              </w:rPr>
            </w:pPr>
          </w:p>
        </w:tc>
        <w:tc>
          <w:tcPr>
            <w:tcW w:w="1426" w:type="dxa"/>
            <w:tcBorders>
              <w:top w:val="single" w:color="000000" w:sz="2" w:space="0"/>
              <w:bottom w:val="single" w:color="000000" w:sz="2" w:space="0"/>
            </w:tcBorders>
            <w:noWrap w:val="0"/>
            <w:vAlign w:val="top"/>
          </w:tcPr>
          <w:p w14:paraId="1B5959AD">
            <w:pPr>
              <w:pStyle w:val="54"/>
              <w:rPr>
                <w:rStyle w:val="21"/>
                <w:rFonts w:ascii="Arial" w:hAnsi="Calibri" w:eastAsia="宋体" w:cs="Times New Roman"/>
                <w:sz w:val="20"/>
                <w:szCs w:val="21"/>
              </w:rPr>
            </w:pPr>
          </w:p>
        </w:tc>
        <w:tc>
          <w:tcPr>
            <w:tcW w:w="1138" w:type="dxa"/>
            <w:tcBorders>
              <w:top w:val="single" w:color="000000" w:sz="2" w:space="0"/>
              <w:bottom w:val="single" w:color="000000" w:sz="2" w:space="0"/>
            </w:tcBorders>
            <w:noWrap w:val="0"/>
            <w:vAlign w:val="top"/>
          </w:tcPr>
          <w:p w14:paraId="46E1F5C2">
            <w:pPr>
              <w:pStyle w:val="54"/>
              <w:rPr>
                <w:rStyle w:val="21"/>
                <w:rFonts w:ascii="Arial" w:hAnsi="Calibri" w:eastAsia="宋体" w:cs="Times New Roman"/>
                <w:sz w:val="20"/>
                <w:szCs w:val="21"/>
              </w:rPr>
            </w:pPr>
          </w:p>
        </w:tc>
        <w:tc>
          <w:tcPr>
            <w:tcW w:w="1123" w:type="dxa"/>
            <w:tcBorders>
              <w:top w:val="single" w:color="000000" w:sz="2" w:space="0"/>
              <w:bottom w:val="single" w:color="000000" w:sz="2" w:space="0"/>
            </w:tcBorders>
            <w:noWrap w:val="0"/>
            <w:vAlign w:val="top"/>
          </w:tcPr>
          <w:p w14:paraId="2FDD8819">
            <w:pPr>
              <w:pStyle w:val="54"/>
              <w:rPr>
                <w:rStyle w:val="21"/>
                <w:rFonts w:ascii="Arial" w:hAnsi="Calibri" w:eastAsia="宋体" w:cs="Times New Roman"/>
                <w:sz w:val="20"/>
                <w:szCs w:val="21"/>
              </w:rPr>
            </w:pPr>
          </w:p>
        </w:tc>
        <w:tc>
          <w:tcPr>
            <w:tcW w:w="4270" w:type="dxa"/>
            <w:tcBorders>
              <w:top w:val="single" w:color="000000" w:sz="2" w:space="0"/>
              <w:bottom w:val="single" w:color="000000" w:sz="2" w:space="0"/>
            </w:tcBorders>
            <w:noWrap w:val="0"/>
            <w:vAlign w:val="top"/>
          </w:tcPr>
          <w:p w14:paraId="7EE0DA78">
            <w:pPr>
              <w:pStyle w:val="54"/>
              <w:rPr>
                <w:rStyle w:val="21"/>
                <w:rFonts w:ascii="Arial" w:hAnsi="Calibri" w:eastAsia="宋体" w:cs="Times New Roman"/>
                <w:sz w:val="20"/>
                <w:szCs w:val="21"/>
              </w:rPr>
            </w:pPr>
          </w:p>
        </w:tc>
      </w:tr>
      <w:tr w14:paraId="3C04C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9837" w:type="dxa"/>
            <w:gridSpan w:val="5"/>
            <w:tcBorders>
              <w:top w:val="single" w:color="000000" w:sz="2" w:space="0"/>
              <w:bottom w:val="single" w:color="000000" w:sz="2" w:space="0"/>
            </w:tcBorders>
            <w:noWrap w:val="0"/>
            <w:vAlign w:val="top"/>
          </w:tcPr>
          <w:p w14:paraId="3514A7E2">
            <w:pPr>
              <w:pStyle w:val="54"/>
              <w:spacing w:before="114" w:line="221" w:lineRule="auto"/>
              <w:ind w:left="4068"/>
              <w:rPr>
                <w:rStyle w:val="21"/>
                <w:rFonts w:ascii="仿宋" w:hAnsi="仿宋" w:eastAsia="仿宋" w:cs="仿宋"/>
                <w:sz w:val="24"/>
                <w:szCs w:val="24"/>
              </w:rPr>
            </w:pPr>
            <w:r>
              <w:rPr>
                <w:rStyle w:val="21"/>
                <w:rFonts w:ascii="仿宋" w:hAnsi="仿宋" w:eastAsia="仿宋" w:cs="仿宋"/>
                <w:spacing w:val="14"/>
                <w:sz w:val="24"/>
                <w:szCs w:val="24"/>
              </w:rPr>
              <w:t>二</w:t>
            </w:r>
            <w:r>
              <w:rPr>
                <w:rStyle w:val="21"/>
                <w:rFonts w:ascii="仿宋" w:hAnsi="仿宋" w:eastAsia="仿宋" w:cs="仿宋"/>
                <w:spacing w:val="11"/>
                <w:sz w:val="24"/>
                <w:szCs w:val="24"/>
              </w:rPr>
              <w:t>、现场人员</w:t>
            </w:r>
          </w:p>
        </w:tc>
      </w:tr>
      <w:tr w14:paraId="737DB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880" w:type="dxa"/>
            <w:tcBorders>
              <w:top w:val="single" w:color="000000" w:sz="2" w:space="0"/>
              <w:bottom w:val="single" w:color="000000" w:sz="2" w:space="0"/>
            </w:tcBorders>
            <w:noWrap w:val="0"/>
            <w:vAlign w:val="top"/>
          </w:tcPr>
          <w:p w14:paraId="19CDBFFD">
            <w:pPr>
              <w:pStyle w:val="54"/>
              <w:spacing w:before="99" w:line="222" w:lineRule="auto"/>
              <w:ind w:left="384"/>
              <w:rPr>
                <w:rStyle w:val="21"/>
                <w:rFonts w:ascii="仿宋" w:hAnsi="仿宋" w:eastAsia="仿宋" w:cs="仿宋"/>
                <w:sz w:val="24"/>
                <w:szCs w:val="24"/>
              </w:rPr>
            </w:pPr>
            <w:r>
              <w:rPr>
                <w:rStyle w:val="21"/>
                <w:rFonts w:ascii="仿宋" w:hAnsi="仿宋" w:eastAsia="仿宋" w:cs="仿宋"/>
                <w:spacing w:val="10"/>
                <w:sz w:val="24"/>
                <w:szCs w:val="24"/>
              </w:rPr>
              <w:t>项目经</w:t>
            </w:r>
            <w:r>
              <w:rPr>
                <w:rStyle w:val="21"/>
                <w:rFonts w:ascii="仿宋" w:hAnsi="仿宋" w:eastAsia="仿宋" w:cs="仿宋"/>
                <w:spacing w:val="9"/>
                <w:sz w:val="24"/>
                <w:szCs w:val="24"/>
              </w:rPr>
              <w:t>理</w:t>
            </w:r>
          </w:p>
        </w:tc>
        <w:tc>
          <w:tcPr>
            <w:tcW w:w="1426" w:type="dxa"/>
            <w:tcBorders>
              <w:top w:val="single" w:color="000000" w:sz="2" w:space="0"/>
              <w:bottom w:val="single" w:color="000000" w:sz="2" w:space="0"/>
            </w:tcBorders>
            <w:noWrap w:val="0"/>
            <w:vAlign w:val="top"/>
          </w:tcPr>
          <w:p w14:paraId="01B73CE7">
            <w:pPr>
              <w:pStyle w:val="54"/>
              <w:rPr>
                <w:rStyle w:val="21"/>
                <w:rFonts w:ascii="Arial" w:hAnsi="Calibri" w:eastAsia="宋体" w:cs="Times New Roman"/>
                <w:sz w:val="20"/>
                <w:szCs w:val="21"/>
              </w:rPr>
            </w:pPr>
          </w:p>
        </w:tc>
        <w:tc>
          <w:tcPr>
            <w:tcW w:w="1138" w:type="dxa"/>
            <w:tcBorders>
              <w:top w:val="single" w:color="000000" w:sz="2" w:space="0"/>
              <w:bottom w:val="single" w:color="000000" w:sz="2" w:space="0"/>
            </w:tcBorders>
            <w:noWrap w:val="0"/>
            <w:vAlign w:val="top"/>
          </w:tcPr>
          <w:p w14:paraId="5DE64E35">
            <w:pPr>
              <w:pStyle w:val="54"/>
              <w:rPr>
                <w:rStyle w:val="21"/>
                <w:rFonts w:ascii="Arial" w:hAnsi="Calibri" w:eastAsia="宋体" w:cs="Times New Roman"/>
                <w:sz w:val="20"/>
                <w:szCs w:val="21"/>
              </w:rPr>
            </w:pPr>
          </w:p>
        </w:tc>
        <w:tc>
          <w:tcPr>
            <w:tcW w:w="1123" w:type="dxa"/>
            <w:tcBorders>
              <w:top w:val="single" w:color="000000" w:sz="2" w:space="0"/>
              <w:bottom w:val="single" w:color="000000" w:sz="2" w:space="0"/>
            </w:tcBorders>
            <w:noWrap w:val="0"/>
            <w:vAlign w:val="top"/>
          </w:tcPr>
          <w:p w14:paraId="099E4EB8">
            <w:pPr>
              <w:pStyle w:val="54"/>
              <w:rPr>
                <w:rStyle w:val="21"/>
                <w:rFonts w:ascii="Arial" w:hAnsi="Calibri" w:eastAsia="宋体" w:cs="Times New Roman"/>
                <w:sz w:val="20"/>
                <w:szCs w:val="21"/>
              </w:rPr>
            </w:pPr>
          </w:p>
        </w:tc>
        <w:tc>
          <w:tcPr>
            <w:tcW w:w="4270" w:type="dxa"/>
            <w:tcBorders>
              <w:top w:val="single" w:color="000000" w:sz="2" w:space="0"/>
              <w:bottom w:val="single" w:color="000000" w:sz="2" w:space="0"/>
            </w:tcBorders>
            <w:noWrap w:val="0"/>
            <w:vAlign w:val="top"/>
          </w:tcPr>
          <w:p w14:paraId="2890CD1A">
            <w:pPr>
              <w:pStyle w:val="54"/>
              <w:rPr>
                <w:rStyle w:val="21"/>
                <w:rFonts w:ascii="Arial" w:hAnsi="Calibri" w:eastAsia="宋体" w:cs="Times New Roman"/>
                <w:sz w:val="20"/>
                <w:szCs w:val="21"/>
              </w:rPr>
            </w:pPr>
          </w:p>
        </w:tc>
      </w:tr>
      <w:tr w14:paraId="49DA7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880" w:type="dxa"/>
            <w:tcBorders>
              <w:top w:val="single" w:color="000000" w:sz="2" w:space="0"/>
              <w:bottom w:val="single" w:color="000000" w:sz="2" w:space="0"/>
            </w:tcBorders>
            <w:noWrap w:val="0"/>
            <w:vAlign w:val="top"/>
          </w:tcPr>
          <w:p w14:paraId="127A3C08">
            <w:pPr>
              <w:pStyle w:val="54"/>
              <w:spacing w:before="113" w:line="222" w:lineRule="auto"/>
              <w:ind w:left="240"/>
              <w:rPr>
                <w:rStyle w:val="21"/>
                <w:rFonts w:ascii="仿宋" w:hAnsi="仿宋" w:eastAsia="仿宋" w:cs="仿宋"/>
                <w:sz w:val="24"/>
                <w:szCs w:val="24"/>
              </w:rPr>
            </w:pPr>
            <w:r>
              <w:rPr>
                <w:rStyle w:val="21"/>
                <w:rFonts w:ascii="仿宋" w:hAnsi="仿宋" w:eastAsia="仿宋" w:cs="仿宋"/>
                <w:spacing w:val="14"/>
                <w:sz w:val="24"/>
                <w:szCs w:val="24"/>
              </w:rPr>
              <w:t>项</w:t>
            </w:r>
            <w:r>
              <w:rPr>
                <w:rStyle w:val="21"/>
                <w:rFonts w:ascii="仿宋" w:hAnsi="仿宋" w:eastAsia="仿宋" w:cs="仿宋"/>
                <w:spacing w:val="11"/>
                <w:sz w:val="24"/>
                <w:szCs w:val="24"/>
              </w:rPr>
              <w:t>目副经理</w:t>
            </w:r>
          </w:p>
        </w:tc>
        <w:tc>
          <w:tcPr>
            <w:tcW w:w="1426" w:type="dxa"/>
            <w:tcBorders>
              <w:top w:val="single" w:color="000000" w:sz="2" w:space="0"/>
              <w:bottom w:val="single" w:color="000000" w:sz="2" w:space="0"/>
            </w:tcBorders>
            <w:noWrap w:val="0"/>
            <w:vAlign w:val="top"/>
          </w:tcPr>
          <w:p w14:paraId="4368AA76">
            <w:pPr>
              <w:pStyle w:val="54"/>
              <w:rPr>
                <w:rStyle w:val="21"/>
                <w:rFonts w:ascii="Arial" w:hAnsi="Calibri" w:eastAsia="宋体" w:cs="Times New Roman"/>
                <w:sz w:val="20"/>
                <w:szCs w:val="21"/>
              </w:rPr>
            </w:pPr>
          </w:p>
        </w:tc>
        <w:tc>
          <w:tcPr>
            <w:tcW w:w="1138" w:type="dxa"/>
            <w:tcBorders>
              <w:top w:val="single" w:color="000000" w:sz="2" w:space="0"/>
              <w:bottom w:val="single" w:color="000000" w:sz="2" w:space="0"/>
            </w:tcBorders>
            <w:noWrap w:val="0"/>
            <w:vAlign w:val="top"/>
          </w:tcPr>
          <w:p w14:paraId="329E35C5">
            <w:pPr>
              <w:pStyle w:val="54"/>
              <w:rPr>
                <w:rStyle w:val="21"/>
                <w:rFonts w:ascii="Arial" w:hAnsi="Calibri" w:eastAsia="宋体" w:cs="Times New Roman"/>
                <w:sz w:val="20"/>
                <w:szCs w:val="21"/>
              </w:rPr>
            </w:pPr>
          </w:p>
        </w:tc>
        <w:tc>
          <w:tcPr>
            <w:tcW w:w="1123" w:type="dxa"/>
            <w:tcBorders>
              <w:top w:val="single" w:color="000000" w:sz="2" w:space="0"/>
              <w:bottom w:val="single" w:color="000000" w:sz="2" w:space="0"/>
            </w:tcBorders>
            <w:noWrap w:val="0"/>
            <w:vAlign w:val="top"/>
          </w:tcPr>
          <w:p w14:paraId="1DA35F63">
            <w:pPr>
              <w:pStyle w:val="54"/>
              <w:rPr>
                <w:rStyle w:val="21"/>
                <w:rFonts w:ascii="Arial" w:hAnsi="Calibri" w:eastAsia="宋体" w:cs="Times New Roman"/>
                <w:sz w:val="20"/>
                <w:szCs w:val="21"/>
              </w:rPr>
            </w:pPr>
          </w:p>
        </w:tc>
        <w:tc>
          <w:tcPr>
            <w:tcW w:w="4270" w:type="dxa"/>
            <w:tcBorders>
              <w:top w:val="single" w:color="000000" w:sz="2" w:space="0"/>
              <w:bottom w:val="single" w:color="000000" w:sz="2" w:space="0"/>
            </w:tcBorders>
            <w:noWrap w:val="0"/>
            <w:vAlign w:val="top"/>
          </w:tcPr>
          <w:p w14:paraId="34D5B241">
            <w:pPr>
              <w:pStyle w:val="54"/>
              <w:rPr>
                <w:rStyle w:val="21"/>
                <w:rFonts w:ascii="Arial" w:hAnsi="Calibri" w:eastAsia="宋体" w:cs="Times New Roman"/>
                <w:sz w:val="20"/>
                <w:szCs w:val="21"/>
              </w:rPr>
            </w:pPr>
          </w:p>
        </w:tc>
      </w:tr>
      <w:tr w14:paraId="75E22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880" w:type="dxa"/>
            <w:tcBorders>
              <w:top w:val="single" w:color="000000" w:sz="2" w:space="0"/>
              <w:bottom w:val="single" w:color="000000" w:sz="2" w:space="0"/>
            </w:tcBorders>
            <w:noWrap w:val="0"/>
            <w:vAlign w:val="top"/>
          </w:tcPr>
          <w:p w14:paraId="31555B81">
            <w:pPr>
              <w:pStyle w:val="54"/>
              <w:spacing w:before="113" w:line="221" w:lineRule="auto"/>
              <w:ind w:left="240"/>
              <w:rPr>
                <w:rStyle w:val="21"/>
                <w:rFonts w:ascii="仿宋" w:hAnsi="仿宋" w:eastAsia="仿宋" w:cs="仿宋"/>
                <w:sz w:val="24"/>
                <w:szCs w:val="24"/>
              </w:rPr>
            </w:pPr>
            <w:r>
              <w:rPr>
                <w:rStyle w:val="21"/>
                <w:rFonts w:ascii="仿宋" w:hAnsi="仿宋" w:eastAsia="仿宋" w:cs="仿宋"/>
                <w:spacing w:val="14"/>
                <w:sz w:val="24"/>
                <w:szCs w:val="24"/>
              </w:rPr>
              <w:t>技</w:t>
            </w:r>
            <w:r>
              <w:rPr>
                <w:rStyle w:val="21"/>
                <w:rFonts w:ascii="仿宋" w:hAnsi="仿宋" w:eastAsia="仿宋" w:cs="仿宋"/>
                <w:spacing w:val="11"/>
                <w:sz w:val="24"/>
                <w:szCs w:val="24"/>
              </w:rPr>
              <w:t>术负责人</w:t>
            </w:r>
          </w:p>
        </w:tc>
        <w:tc>
          <w:tcPr>
            <w:tcW w:w="1426" w:type="dxa"/>
            <w:tcBorders>
              <w:top w:val="single" w:color="000000" w:sz="2" w:space="0"/>
              <w:bottom w:val="single" w:color="000000" w:sz="2" w:space="0"/>
            </w:tcBorders>
            <w:noWrap w:val="0"/>
            <w:vAlign w:val="top"/>
          </w:tcPr>
          <w:p w14:paraId="2725C508">
            <w:pPr>
              <w:pStyle w:val="54"/>
              <w:rPr>
                <w:rStyle w:val="21"/>
                <w:rFonts w:ascii="Arial" w:hAnsi="Calibri" w:eastAsia="宋体" w:cs="Times New Roman"/>
                <w:sz w:val="20"/>
                <w:szCs w:val="21"/>
              </w:rPr>
            </w:pPr>
          </w:p>
        </w:tc>
        <w:tc>
          <w:tcPr>
            <w:tcW w:w="1138" w:type="dxa"/>
            <w:tcBorders>
              <w:top w:val="single" w:color="000000" w:sz="2" w:space="0"/>
              <w:bottom w:val="single" w:color="000000" w:sz="2" w:space="0"/>
            </w:tcBorders>
            <w:noWrap w:val="0"/>
            <w:vAlign w:val="top"/>
          </w:tcPr>
          <w:p w14:paraId="7394E4A2">
            <w:pPr>
              <w:pStyle w:val="54"/>
              <w:rPr>
                <w:rStyle w:val="21"/>
                <w:rFonts w:ascii="Arial" w:hAnsi="Calibri" w:eastAsia="宋体" w:cs="Times New Roman"/>
                <w:sz w:val="20"/>
                <w:szCs w:val="21"/>
              </w:rPr>
            </w:pPr>
          </w:p>
        </w:tc>
        <w:tc>
          <w:tcPr>
            <w:tcW w:w="1123" w:type="dxa"/>
            <w:tcBorders>
              <w:top w:val="single" w:color="000000" w:sz="2" w:space="0"/>
              <w:bottom w:val="single" w:color="000000" w:sz="2" w:space="0"/>
            </w:tcBorders>
            <w:noWrap w:val="0"/>
            <w:vAlign w:val="top"/>
          </w:tcPr>
          <w:p w14:paraId="1E06C06A">
            <w:pPr>
              <w:pStyle w:val="54"/>
              <w:rPr>
                <w:rStyle w:val="21"/>
                <w:rFonts w:ascii="Arial" w:hAnsi="Calibri" w:eastAsia="宋体" w:cs="Times New Roman"/>
                <w:sz w:val="20"/>
                <w:szCs w:val="21"/>
              </w:rPr>
            </w:pPr>
          </w:p>
        </w:tc>
        <w:tc>
          <w:tcPr>
            <w:tcW w:w="4270" w:type="dxa"/>
            <w:tcBorders>
              <w:top w:val="single" w:color="000000" w:sz="2" w:space="0"/>
              <w:bottom w:val="single" w:color="000000" w:sz="2" w:space="0"/>
            </w:tcBorders>
            <w:noWrap w:val="0"/>
            <w:vAlign w:val="top"/>
          </w:tcPr>
          <w:p w14:paraId="4514519F">
            <w:pPr>
              <w:pStyle w:val="54"/>
              <w:rPr>
                <w:rStyle w:val="21"/>
                <w:rFonts w:ascii="Arial" w:hAnsi="Calibri" w:eastAsia="宋体" w:cs="Times New Roman"/>
                <w:sz w:val="20"/>
                <w:szCs w:val="21"/>
              </w:rPr>
            </w:pPr>
          </w:p>
        </w:tc>
      </w:tr>
      <w:tr w14:paraId="2D7A9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1880" w:type="dxa"/>
            <w:tcBorders>
              <w:top w:val="single" w:color="000000" w:sz="2" w:space="0"/>
              <w:bottom w:val="single" w:color="000000" w:sz="2" w:space="0"/>
            </w:tcBorders>
            <w:noWrap w:val="0"/>
            <w:vAlign w:val="top"/>
          </w:tcPr>
          <w:p w14:paraId="1FC20C92">
            <w:pPr>
              <w:pStyle w:val="54"/>
              <w:spacing w:before="114" w:line="221" w:lineRule="auto"/>
              <w:ind w:left="382"/>
              <w:rPr>
                <w:rStyle w:val="21"/>
                <w:rFonts w:ascii="仿宋" w:hAnsi="仿宋" w:eastAsia="仿宋" w:cs="仿宋"/>
                <w:sz w:val="24"/>
                <w:szCs w:val="24"/>
              </w:rPr>
            </w:pPr>
            <w:r>
              <w:rPr>
                <w:rStyle w:val="21"/>
                <w:rFonts w:ascii="仿宋" w:hAnsi="仿宋" w:eastAsia="仿宋" w:cs="仿宋"/>
                <w:spacing w:val="11"/>
                <w:sz w:val="24"/>
                <w:szCs w:val="24"/>
              </w:rPr>
              <w:t>造</w:t>
            </w:r>
            <w:r>
              <w:rPr>
                <w:rStyle w:val="21"/>
                <w:rFonts w:ascii="仿宋" w:hAnsi="仿宋" w:eastAsia="仿宋" w:cs="仿宋"/>
                <w:spacing w:val="10"/>
                <w:sz w:val="24"/>
                <w:szCs w:val="24"/>
              </w:rPr>
              <w:t>价管理</w:t>
            </w:r>
          </w:p>
        </w:tc>
        <w:tc>
          <w:tcPr>
            <w:tcW w:w="1426" w:type="dxa"/>
            <w:tcBorders>
              <w:top w:val="single" w:color="000000" w:sz="2" w:space="0"/>
              <w:bottom w:val="single" w:color="000000" w:sz="2" w:space="0"/>
            </w:tcBorders>
            <w:noWrap w:val="0"/>
            <w:vAlign w:val="top"/>
          </w:tcPr>
          <w:p w14:paraId="3D3E38BC">
            <w:pPr>
              <w:pStyle w:val="54"/>
              <w:rPr>
                <w:rStyle w:val="21"/>
                <w:rFonts w:ascii="Arial" w:hAnsi="Calibri" w:eastAsia="宋体" w:cs="Times New Roman"/>
                <w:sz w:val="20"/>
                <w:szCs w:val="21"/>
              </w:rPr>
            </w:pPr>
          </w:p>
        </w:tc>
        <w:tc>
          <w:tcPr>
            <w:tcW w:w="1138" w:type="dxa"/>
            <w:tcBorders>
              <w:top w:val="single" w:color="000000" w:sz="2" w:space="0"/>
              <w:bottom w:val="single" w:color="000000" w:sz="2" w:space="0"/>
            </w:tcBorders>
            <w:noWrap w:val="0"/>
            <w:vAlign w:val="top"/>
          </w:tcPr>
          <w:p w14:paraId="70097D43">
            <w:pPr>
              <w:pStyle w:val="54"/>
              <w:rPr>
                <w:rStyle w:val="21"/>
                <w:rFonts w:ascii="Arial" w:hAnsi="Calibri" w:eastAsia="宋体" w:cs="Times New Roman"/>
                <w:sz w:val="20"/>
                <w:szCs w:val="21"/>
              </w:rPr>
            </w:pPr>
          </w:p>
        </w:tc>
        <w:tc>
          <w:tcPr>
            <w:tcW w:w="1123" w:type="dxa"/>
            <w:tcBorders>
              <w:top w:val="single" w:color="000000" w:sz="2" w:space="0"/>
              <w:bottom w:val="single" w:color="000000" w:sz="2" w:space="0"/>
            </w:tcBorders>
            <w:noWrap w:val="0"/>
            <w:vAlign w:val="top"/>
          </w:tcPr>
          <w:p w14:paraId="6DECDD4B">
            <w:pPr>
              <w:pStyle w:val="54"/>
              <w:rPr>
                <w:rStyle w:val="21"/>
                <w:rFonts w:ascii="Arial" w:hAnsi="Calibri" w:eastAsia="宋体" w:cs="Times New Roman"/>
                <w:sz w:val="20"/>
                <w:szCs w:val="21"/>
              </w:rPr>
            </w:pPr>
          </w:p>
        </w:tc>
        <w:tc>
          <w:tcPr>
            <w:tcW w:w="4270" w:type="dxa"/>
            <w:tcBorders>
              <w:top w:val="single" w:color="000000" w:sz="2" w:space="0"/>
              <w:bottom w:val="single" w:color="000000" w:sz="2" w:space="0"/>
            </w:tcBorders>
            <w:noWrap w:val="0"/>
            <w:vAlign w:val="top"/>
          </w:tcPr>
          <w:p w14:paraId="7273334B">
            <w:pPr>
              <w:pStyle w:val="54"/>
              <w:rPr>
                <w:rStyle w:val="21"/>
                <w:rFonts w:ascii="Arial" w:hAnsi="Calibri" w:eastAsia="宋体" w:cs="Times New Roman"/>
                <w:sz w:val="20"/>
                <w:szCs w:val="21"/>
              </w:rPr>
            </w:pPr>
          </w:p>
        </w:tc>
      </w:tr>
      <w:tr w14:paraId="6FA9F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880" w:type="dxa"/>
            <w:vMerge w:val="restart"/>
            <w:tcBorders>
              <w:top w:val="single" w:color="000000" w:sz="2" w:space="0"/>
            </w:tcBorders>
            <w:noWrap w:val="0"/>
            <w:vAlign w:val="top"/>
          </w:tcPr>
          <w:p w14:paraId="318E87D4">
            <w:pPr>
              <w:pStyle w:val="54"/>
              <w:spacing w:line="442" w:lineRule="auto"/>
              <w:rPr>
                <w:rStyle w:val="21"/>
                <w:rFonts w:ascii="Arial" w:hAnsi="Calibri" w:eastAsia="宋体" w:cs="Times New Roman"/>
                <w:sz w:val="20"/>
                <w:szCs w:val="21"/>
              </w:rPr>
            </w:pPr>
          </w:p>
          <w:p w14:paraId="013F60D4">
            <w:pPr>
              <w:pStyle w:val="54"/>
              <w:spacing w:before="88" w:line="222" w:lineRule="auto"/>
              <w:ind w:left="389"/>
              <w:rPr>
                <w:rStyle w:val="21"/>
                <w:rFonts w:ascii="仿宋" w:hAnsi="仿宋" w:eastAsia="仿宋" w:cs="仿宋"/>
                <w:sz w:val="24"/>
                <w:szCs w:val="24"/>
              </w:rPr>
            </w:pPr>
            <w:r>
              <w:rPr>
                <w:rStyle w:val="21"/>
                <w:rFonts w:ascii="仿宋" w:hAnsi="仿宋" w:eastAsia="仿宋" w:cs="仿宋"/>
                <w:spacing w:val="10"/>
                <w:sz w:val="24"/>
                <w:szCs w:val="24"/>
              </w:rPr>
              <w:t>质</w:t>
            </w:r>
            <w:r>
              <w:rPr>
                <w:rStyle w:val="21"/>
                <w:rFonts w:ascii="仿宋" w:hAnsi="仿宋" w:eastAsia="仿宋" w:cs="仿宋"/>
                <w:spacing w:val="8"/>
                <w:sz w:val="24"/>
                <w:szCs w:val="24"/>
              </w:rPr>
              <w:t>量管理</w:t>
            </w:r>
          </w:p>
        </w:tc>
        <w:tc>
          <w:tcPr>
            <w:tcW w:w="1426" w:type="dxa"/>
            <w:tcBorders>
              <w:top w:val="single" w:color="000000" w:sz="2" w:space="0"/>
              <w:bottom w:val="single" w:color="000000" w:sz="2" w:space="0"/>
            </w:tcBorders>
            <w:noWrap w:val="0"/>
            <w:vAlign w:val="top"/>
          </w:tcPr>
          <w:p w14:paraId="566AE50A">
            <w:pPr>
              <w:pStyle w:val="54"/>
              <w:rPr>
                <w:rStyle w:val="21"/>
                <w:rFonts w:ascii="Arial" w:hAnsi="Calibri" w:eastAsia="宋体" w:cs="Times New Roman"/>
                <w:sz w:val="20"/>
                <w:szCs w:val="21"/>
              </w:rPr>
            </w:pPr>
          </w:p>
        </w:tc>
        <w:tc>
          <w:tcPr>
            <w:tcW w:w="1138" w:type="dxa"/>
            <w:tcBorders>
              <w:top w:val="single" w:color="000000" w:sz="2" w:space="0"/>
              <w:bottom w:val="single" w:color="000000" w:sz="2" w:space="0"/>
            </w:tcBorders>
            <w:noWrap w:val="0"/>
            <w:vAlign w:val="top"/>
          </w:tcPr>
          <w:p w14:paraId="72EB2085">
            <w:pPr>
              <w:pStyle w:val="54"/>
              <w:rPr>
                <w:rStyle w:val="21"/>
                <w:rFonts w:ascii="Arial" w:hAnsi="Calibri" w:eastAsia="宋体" w:cs="Times New Roman"/>
                <w:sz w:val="20"/>
                <w:szCs w:val="21"/>
              </w:rPr>
            </w:pPr>
          </w:p>
        </w:tc>
        <w:tc>
          <w:tcPr>
            <w:tcW w:w="1123" w:type="dxa"/>
            <w:tcBorders>
              <w:top w:val="single" w:color="000000" w:sz="2" w:space="0"/>
              <w:bottom w:val="single" w:color="000000" w:sz="2" w:space="0"/>
            </w:tcBorders>
            <w:noWrap w:val="0"/>
            <w:vAlign w:val="top"/>
          </w:tcPr>
          <w:p w14:paraId="4AD0B28E">
            <w:pPr>
              <w:pStyle w:val="54"/>
              <w:rPr>
                <w:rStyle w:val="21"/>
                <w:rFonts w:ascii="Arial" w:hAnsi="Calibri" w:eastAsia="宋体" w:cs="Times New Roman"/>
                <w:sz w:val="20"/>
                <w:szCs w:val="21"/>
              </w:rPr>
            </w:pPr>
          </w:p>
        </w:tc>
        <w:tc>
          <w:tcPr>
            <w:tcW w:w="4270" w:type="dxa"/>
            <w:tcBorders>
              <w:top w:val="single" w:color="000000" w:sz="2" w:space="0"/>
              <w:bottom w:val="single" w:color="000000" w:sz="2" w:space="0"/>
            </w:tcBorders>
            <w:noWrap w:val="0"/>
            <w:vAlign w:val="top"/>
          </w:tcPr>
          <w:p w14:paraId="28A90DAB">
            <w:pPr>
              <w:pStyle w:val="54"/>
              <w:rPr>
                <w:rStyle w:val="21"/>
                <w:rFonts w:ascii="Arial" w:hAnsi="Calibri" w:eastAsia="宋体" w:cs="Times New Roman"/>
                <w:sz w:val="20"/>
                <w:szCs w:val="21"/>
              </w:rPr>
            </w:pPr>
          </w:p>
        </w:tc>
      </w:tr>
      <w:tr w14:paraId="2CCD0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880" w:type="dxa"/>
            <w:vMerge w:val="continue"/>
            <w:noWrap w:val="0"/>
            <w:vAlign w:val="top"/>
          </w:tcPr>
          <w:p w14:paraId="32055717">
            <w:pPr>
              <w:pStyle w:val="54"/>
              <w:rPr>
                <w:rStyle w:val="21"/>
                <w:rFonts w:ascii="Arial" w:hAnsi="Calibri" w:eastAsia="宋体" w:cs="Times New Roman"/>
                <w:sz w:val="20"/>
                <w:szCs w:val="21"/>
              </w:rPr>
            </w:pPr>
          </w:p>
        </w:tc>
        <w:tc>
          <w:tcPr>
            <w:tcW w:w="1426" w:type="dxa"/>
            <w:tcBorders>
              <w:top w:val="single" w:color="000000" w:sz="2" w:space="0"/>
              <w:bottom w:val="single" w:color="000000" w:sz="2" w:space="0"/>
            </w:tcBorders>
            <w:noWrap w:val="0"/>
            <w:vAlign w:val="top"/>
          </w:tcPr>
          <w:p w14:paraId="4C8B368F">
            <w:pPr>
              <w:pStyle w:val="54"/>
              <w:rPr>
                <w:rStyle w:val="21"/>
                <w:rFonts w:ascii="Arial" w:hAnsi="Calibri" w:eastAsia="宋体" w:cs="Times New Roman"/>
                <w:sz w:val="20"/>
                <w:szCs w:val="21"/>
              </w:rPr>
            </w:pPr>
          </w:p>
        </w:tc>
        <w:tc>
          <w:tcPr>
            <w:tcW w:w="1138" w:type="dxa"/>
            <w:tcBorders>
              <w:top w:val="single" w:color="000000" w:sz="2" w:space="0"/>
              <w:bottom w:val="single" w:color="000000" w:sz="2" w:space="0"/>
            </w:tcBorders>
            <w:noWrap w:val="0"/>
            <w:vAlign w:val="top"/>
          </w:tcPr>
          <w:p w14:paraId="7AF83482">
            <w:pPr>
              <w:pStyle w:val="54"/>
              <w:rPr>
                <w:rStyle w:val="21"/>
                <w:rFonts w:ascii="Arial" w:hAnsi="Calibri" w:eastAsia="宋体" w:cs="Times New Roman"/>
                <w:sz w:val="20"/>
                <w:szCs w:val="21"/>
              </w:rPr>
            </w:pPr>
          </w:p>
        </w:tc>
        <w:tc>
          <w:tcPr>
            <w:tcW w:w="1123" w:type="dxa"/>
            <w:tcBorders>
              <w:top w:val="single" w:color="000000" w:sz="2" w:space="0"/>
              <w:bottom w:val="single" w:color="000000" w:sz="2" w:space="0"/>
            </w:tcBorders>
            <w:noWrap w:val="0"/>
            <w:vAlign w:val="top"/>
          </w:tcPr>
          <w:p w14:paraId="61FFDAA4">
            <w:pPr>
              <w:pStyle w:val="54"/>
              <w:rPr>
                <w:rStyle w:val="21"/>
                <w:rFonts w:ascii="Arial" w:hAnsi="Calibri" w:eastAsia="宋体" w:cs="Times New Roman"/>
                <w:sz w:val="20"/>
                <w:szCs w:val="21"/>
              </w:rPr>
            </w:pPr>
          </w:p>
        </w:tc>
        <w:tc>
          <w:tcPr>
            <w:tcW w:w="4270" w:type="dxa"/>
            <w:tcBorders>
              <w:top w:val="single" w:color="000000" w:sz="2" w:space="0"/>
              <w:bottom w:val="single" w:color="000000" w:sz="2" w:space="0"/>
            </w:tcBorders>
            <w:noWrap w:val="0"/>
            <w:vAlign w:val="top"/>
          </w:tcPr>
          <w:p w14:paraId="14E15FA1">
            <w:pPr>
              <w:pStyle w:val="54"/>
              <w:rPr>
                <w:rStyle w:val="21"/>
                <w:rFonts w:ascii="Arial" w:hAnsi="Calibri" w:eastAsia="宋体" w:cs="Times New Roman"/>
                <w:sz w:val="20"/>
                <w:szCs w:val="21"/>
              </w:rPr>
            </w:pPr>
          </w:p>
        </w:tc>
      </w:tr>
      <w:tr w14:paraId="23470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880" w:type="dxa"/>
            <w:vMerge w:val="continue"/>
            <w:tcBorders>
              <w:bottom w:val="single" w:color="000000" w:sz="2" w:space="0"/>
            </w:tcBorders>
            <w:noWrap w:val="0"/>
            <w:vAlign w:val="top"/>
          </w:tcPr>
          <w:p w14:paraId="74128027">
            <w:pPr>
              <w:pStyle w:val="54"/>
              <w:rPr>
                <w:rStyle w:val="21"/>
                <w:rFonts w:ascii="Arial" w:hAnsi="Calibri" w:eastAsia="宋体" w:cs="Times New Roman"/>
                <w:sz w:val="20"/>
                <w:szCs w:val="21"/>
              </w:rPr>
            </w:pPr>
          </w:p>
        </w:tc>
        <w:tc>
          <w:tcPr>
            <w:tcW w:w="1426" w:type="dxa"/>
            <w:tcBorders>
              <w:top w:val="single" w:color="000000" w:sz="2" w:space="0"/>
              <w:bottom w:val="single" w:color="000000" w:sz="2" w:space="0"/>
            </w:tcBorders>
            <w:noWrap w:val="0"/>
            <w:vAlign w:val="top"/>
          </w:tcPr>
          <w:p w14:paraId="1C35A16E">
            <w:pPr>
              <w:pStyle w:val="54"/>
              <w:rPr>
                <w:rStyle w:val="21"/>
                <w:rFonts w:ascii="Arial" w:hAnsi="Calibri" w:eastAsia="宋体" w:cs="Times New Roman"/>
                <w:sz w:val="20"/>
                <w:szCs w:val="21"/>
              </w:rPr>
            </w:pPr>
          </w:p>
        </w:tc>
        <w:tc>
          <w:tcPr>
            <w:tcW w:w="1138" w:type="dxa"/>
            <w:tcBorders>
              <w:top w:val="single" w:color="000000" w:sz="2" w:space="0"/>
              <w:bottom w:val="single" w:color="000000" w:sz="2" w:space="0"/>
            </w:tcBorders>
            <w:noWrap w:val="0"/>
            <w:vAlign w:val="top"/>
          </w:tcPr>
          <w:p w14:paraId="37E600DF">
            <w:pPr>
              <w:pStyle w:val="54"/>
              <w:rPr>
                <w:rStyle w:val="21"/>
                <w:rFonts w:ascii="Arial" w:hAnsi="Calibri" w:eastAsia="宋体" w:cs="Times New Roman"/>
                <w:sz w:val="20"/>
                <w:szCs w:val="21"/>
              </w:rPr>
            </w:pPr>
          </w:p>
        </w:tc>
        <w:tc>
          <w:tcPr>
            <w:tcW w:w="1123" w:type="dxa"/>
            <w:tcBorders>
              <w:top w:val="single" w:color="000000" w:sz="2" w:space="0"/>
              <w:bottom w:val="single" w:color="000000" w:sz="2" w:space="0"/>
            </w:tcBorders>
            <w:noWrap w:val="0"/>
            <w:vAlign w:val="top"/>
          </w:tcPr>
          <w:p w14:paraId="570F5408">
            <w:pPr>
              <w:pStyle w:val="54"/>
              <w:rPr>
                <w:rStyle w:val="21"/>
                <w:rFonts w:ascii="Arial" w:hAnsi="Calibri" w:eastAsia="宋体" w:cs="Times New Roman"/>
                <w:sz w:val="20"/>
                <w:szCs w:val="21"/>
              </w:rPr>
            </w:pPr>
          </w:p>
        </w:tc>
        <w:tc>
          <w:tcPr>
            <w:tcW w:w="4270" w:type="dxa"/>
            <w:tcBorders>
              <w:top w:val="single" w:color="000000" w:sz="2" w:space="0"/>
              <w:bottom w:val="single" w:color="000000" w:sz="2" w:space="0"/>
            </w:tcBorders>
            <w:noWrap w:val="0"/>
            <w:vAlign w:val="top"/>
          </w:tcPr>
          <w:p w14:paraId="17D149C4">
            <w:pPr>
              <w:pStyle w:val="54"/>
              <w:rPr>
                <w:rStyle w:val="21"/>
                <w:rFonts w:ascii="Arial" w:hAnsi="Calibri" w:eastAsia="宋体" w:cs="Times New Roman"/>
                <w:sz w:val="20"/>
                <w:szCs w:val="21"/>
              </w:rPr>
            </w:pPr>
          </w:p>
        </w:tc>
      </w:tr>
      <w:tr w14:paraId="59DD5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1880" w:type="dxa"/>
            <w:tcBorders>
              <w:top w:val="single" w:color="000000" w:sz="2" w:space="0"/>
              <w:bottom w:val="single" w:color="000000" w:sz="2" w:space="0"/>
            </w:tcBorders>
            <w:noWrap w:val="0"/>
            <w:vAlign w:val="top"/>
          </w:tcPr>
          <w:p w14:paraId="142FE491">
            <w:pPr>
              <w:pStyle w:val="54"/>
              <w:spacing w:before="117" w:line="218" w:lineRule="auto"/>
              <w:ind w:left="382"/>
              <w:rPr>
                <w:rStyle w:val="21"/>
                <w:rFonts w:ascii="仿宋" w:hAnsi="仿宋" w:eastAsia="仿宋" w:cs="仿宋"/>
                <w:sz w:val="24"/>
                <w:szCs w:val="24"/>
              </w:rPr>
            </w:pPr>
            <w:r>
              <w:rPr>
                <w:rStyle w:val="21"/>
                <w:rFonts w:ascii="仿宋" w:hAnsi="仿宋" w:eastAsia="仿宋" w:cs="仿宋"/>
                <w:spacing w:val="11"/>
                <w:sz w:val="24"/>
                <w:szCs w:val="24"/>
              </w:rPr>
              <w:t>材</w:t>
            </w:r>
            <w:r>
              <w:rPr>
                <w:rStyle w:val="21"/>
                <w:rFonts w:ascii="仿宋" w:hAnsi="仿宋" w:eastAsia="仿宋" w:cs="仿宋"/>
                <w:spacing w:val="10"/>
                <w:sz w:val="24"/>
                <w:szCs w:val="24"/>
              </w:rPr>
              <w:t>料管理</w:t>
            </w:r>
          </w:p>
        </w:tc>
        <w:tc>
          <w:tcPr>
            <w:tcW w:w="1426" w:type="dxa"/>
            <w:tcBorders>
              <w:top w:val="single" w:color="000000" w:sz="2" w:space="0"/>
              <w:bottom w:val="single" w:color="000000" w:sz="2" w:space="0"/>
            </w:tcBorders>
            <w:noWrap w:val="0"/>
            <w:vAlign w:val="top"/>
          </w:tcPr>
          <w:p w14:paraId="1AC1EF16">
            <w:pPr>
              <w:pStyle w:val="54"/>
              <w:rPr>
                <w:rStyle w:val="21"/>
                <w:rFonts w:ascii="Arial" w:hAnsi="Calibri" w:eastAsia="宋体" w:cs="Times New Roman"/>
                <w:sz w:val="20"/>
                <w:szCs w:val="21"/>
              </w:rPr>
            </w:pPr>
          </w:p>
        </w:tc>
        <w:tc>
          <w:tcPr>
            <w:tcW w:w="1138" w:type="dxa"/>
            <w:tcBorders>
              <w:top w:val="single" w:color="000000" w:sz="2" w:space="0"/>
              <w:bottom w:val="single" w:color="000000" w:sz="2" w:space="0"/>
            </w:tcBorders>
            <w:noWrap w:val="0"/>
            <w:vAlign w:val="top"/>
          </w:tcPr>
          <w:p w14:paraId="07ED136E">
            <w:pPr>
              <w:pStyle w:val="54"/>
              <w:rPr>
                <w:rStyle w:val="21"/>
                <w:rFonts w:ascii="Arial" w:hAnsi="Calibri" w:eastAsia="宋体" w:cs="Times New Roman"/>
                <w:sz w:val="20"/>
                <w:szCs w:val="21"/>
              </w:rPr>
            </w:pPr>
          </w:p>
        </w:tc>
        <w:tc>
          <w:tcPr>
            <w:tcW w:w="1123" w:type="dxa"/>
            <w:tcBorders>
              <w:top w:val="single" w:color="000000" w:sz="2" w:space="0"/>
              <w:bottom w:val="single" w:color="000000" w:sz="2" w:space="0"/>
            </w:tcBorders>
            <w:noWrap w:val="0"/>
            <w:vAlign w:val="top"/>
          </w:tcPr>
          <w:p w14:paraId="1A6687BD">
            <w:pPr>
              <w:pStyle w:val="54"/>
              <w:rPr>
                <w:rStyle w:val="21"/>
                <w:rFonts w:ascii="Arial" w:hAnsi="Calibri" w:eastAsia="宋体" w:cs="Times New Roman"/>
                <w:sz w:val="20"/>
                <w:szCs w:val="21"/>
              </w:rPr>
            </w:pPr>
          </w:p>
        </w:tc>
        <w:tc>
          <w:tcPr>
            <w:tcW w:w="4270" w:type="dxa"/>
            <w:tcBorders>
              <w:top w:val="single" w:color="000000" w:sz="2" w:space="0"/>
              <w:bottom w:val="single" w:color="000000" w:sz="2" w:space="0"/>
            </w:tcBorders>
            <w:noWrap w:val="0"/>
            <w:vAlign w:val="top"/>
          </w:tcPr>
          <w:p w14:paraId="46BDDD33">
            <w:pPr>
              <w:pStyle w:val="54"/>
              <w:rPr>
                <w:rStyle w:val="21"/>
                <w:rFonts w:ascii="Arial" w:hAnsi="Calibri" w:eastAsia="宋体" w:cs="Times New Roman"/>
                <w:sz w:val="20"/>
                <w:szCs w:val="21"/>
              </w:rPr>
            </w:pPr>
          </w:p>
        </w:tc>
      </w:tr>
      <w:tr w14:paraId="695BD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880" w:type="dxa"/>
            <w:tcBorders>
              <w:top w:val="single" w:color="000000" w:sz="2" w:space="0"/>
              <w:bottom w:val="single" w:color="000000" w:sz="2" w:space="0"/>
            </w:tcBorders>
            <w:noWrap w:val="0"/>
            <w:vAlign w:val="top"/>
          </w:tcPr>
          <w:p w14:paraId="6F8499D2">
            <w:pPr>
              <w:pStyle w:val="54"/>
              <w:spacing w:before="101" w:line="221" w:lineRule="auto"/>
              <w:ind w:left="382"/>
              <w:rPr>
                <w:rStyle w:val="21"/>
                <w:rFonts w:ascii="仿宋" w:hAnsi="仿宋" w:eastAsia="仿宋" w:cs="仿宋"/>
                <w:sz w:val="24"/>
                <w:szCs w:val="24"/>
              </w:rPr>
            </w:pPr>
            <w:r>
              <w:rPr>
                <w:rStyle w:val="21"/>
                <w:rFonts w:ascii="仿宋" w:hAnsi="仿宋" w:eastAsia="仿宋" w:cs="仿宋"/>
                <w:spacing w:val="11"/>
                <w:sz w:val="24"/>
                <w:szCs w:val="24"/>
              </w:rPr>
              <w:t>计</w:t>
            </w:r>
            <w:r>
              <w:rPr>
                <w:rStyle w:val="21"/>
                <w:rFonts w:ascii="仿宋" w:hAnsi="仿宋" w:eastAsia="仿宋" w:cs="仿宋"/>
                <w:spacing w:val="10"/>
                <w:sz w:val="24"/>
                <w:szCs w:val="24"/>
              </w:rPr>
              <w:t>划管理</w:t>
            </w:r>
          </w:p>
        </w:tc>
        <w:tc>
          <w:tcPr>
            <w:tcW w:w="1426" w:type="dxa"/>
            <w:tcBorders>
              <w:top w:val="single" w:color="000000" w:sz="2" w:space="0"/>
              <w:bottom w:val="single" w:color="000000" w:sz="2" w:space="0"/>
            </w:tcBorders>
            <w:noWrap w:val="0"/>
            <w:vAlign w:val="top"/>
          </w:tcPr>
          <w:p w14:paraId="586AB83B">
            <w:pPr>
              <w:pStyle w:val="54"/>
              <w:rPr>
                <w:rStyle w:val="21"/>
                <w:rFonts w:ascii="Arial" w:hAnsi="Calibri" w:eastAsia="宋体" w:cs="Times New Roman"/>
                <w:sz w:val="20"/>
                <w:szCs w:val="21"/>
              </w:rPr>
            </w:pPr>
          </w:p>
        </w:tc>
        <w:tc>
          <w:tcPr>
            <w:tcW w:w="1138" w:type="dxa"/>
            <w:tcBorders>
              <w:top w:val="single" w:color="000000" w:sz="2" w:space="0"/>
              <w:bottom w:val="single" w:color="000000" w:sz="2" w:space="0"/>
            </w:tcBorders>
            <w:noWrap w:val="0"/>
            <w:vAlign w:val="top"/>
          </w:tcPr>
          <w:p w14:paraId="712020DC">
            <w:pPr>
              <w:pStyle w:val="54"/>
              <w:rPr>
                <w:rStyle w:val="21"/>
                <w:rFonts w:ascii="Arial" w:hAnsi="Calibri" w:eastAsia="宋体" w:cs="Times New Roman"/>
                <w:sz w:val="20"/>
                <w:szCs w:val="21"/>
              </w:rPr>
            </w:pPr>
          </w:p>
        </w:tc>
        <w:tc>
          <w:tcPr>
            <w:tcW w:w="1123" w:type="dxa"/>
            <w:tcBorders>
              <w:top w:val="single" w:color="000000" w:sz="2" w:space="0"/>
              <w:bottom w:val="single" w:color="000000" w:sz="2" w:space="0"/>
            </w:tcBorders>
            <w:noWrap w:val="0"/>
            <w:vAlign w:val="top"/>
          </w:tcPr>
          <w:p w14:paraId="367FEA2F">
            <w:pPr>
              <w:pStyle w:val="54"/>
              <w:rPr>
                <w:rStyle w:val="21"/>
                <w:rFonts w:ascii="Arial" w:hAnsi="Calibri" w:eastAsia="宋体" w:cs="Times New Roman"/>
                <w:sz w:val="20"/>
                <w:szCs w:val="21"/>
              </w:rPr>
            </w:pPr>
          </w:p>
        </w:tc>
        <w:tc>
          <w:tcPr>
            <w:tcW w:w="4270" w:type="dxa"/>
            <w:tcBorders>
              <w:top w:val="single" w:color="000000" w:sz="2" w:space="0"/>
              <w:bottom w:val="single" w:color="000000" w:sz="2" w:space="0"/>
            </w:tcBorders>
            <w:noWrap w:val="0"/>
            <w:vAlign w:val="top"/>
          </w:tcPr>
          <w:p w14:paraId="6BDBA18B">
            <w:pPr>
              <w:pStyle w:val="54"/>
              <w:rPr>
                <w:rStyle w:val="21"/>
                <w:rFonts w:ascii="Arial" w:hAnsi="Calibri" w:eastAsia="宋体" w:cs="Times New Roman"/>
                <w:sz w:val="20"/>
                <w:szCs w:val="21"/>
              </w:rPr>
            </w:pPr>
          </w:p>
        </w:tc>
      </w:tr>
      <w:tr w14:paraId="53284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880" w:type="dxa"/>
            <w:vMerge w:val="restart"/>
            <w:tcBorders>
              <w:top w:val="single" w:color="000000" w:sz="2" w:space="0"/>
            </w:tcBorders>
            <w:noWrap w:val="0"/>
            <w:vAlign w:val="top"/>
          </w:tcPr>
          <w:p w14:paraId="7E1C6744">
            <w:pPr>
              <w:pStyle w:val="54"/>
              <w:spacing w:line="444" w:lineRule="auto"/>
              <w:rPr>
                <w:rStyle w:val="21"/>
                <w:rFonts w:ascii="Arial" w:hAnsi="Calibri" w:eastAsia="宋体" w:cs="Times New Roman"/>
                <w:sz w:val="20"/>
                <w:szCs w:val="21"/>
              </w:rPr>
            </w:pPr>
          </w:p>
          <w:p w14:paraId="1228674A">
            <w:pPr>
              <w:pStyle w:val="54"/>
              <w:spacing w:before="87" w:line="222" w:lineRule="auto"/>
              <w:ind w:left="386"/>
              <w:rPr>
                <w:rStyle w:val="21"/>
                <w:rFonts w:ascii="仿宋" w:hAnsi="仿宋" w:eastAsia="仿宋" w:cs="仿宋"/>
                <w:sz w:val="24"/>
                <w:szCs w:val="24"/>
              </w:rPr>
            </w:pPr>
            <w:r>
              <w:rPr>
                <w:rStyle w:val="21"/>
                <w:rFonts w:ascii="仿宋" w:hAnsi="仿宋" w:eastAsia="仿宋" w:cs="仿宋"/>
                <w:spacing w:val="10"/>
                <w:sz w:val="24"/>
                <w:szCs w:val="24"/>
              </w:rPr>
              <w:t>安</w:t>
            </w:r>
            <w:r>
              <w:rPr>
                <w:rStyle w:val="21"/>
                <w:rFonts w:ascii="仿宋" w:hAnsi="仿宋" w:eastAsia="仿宋" w:cs="仿宋"/>
                <w:spacing w:val="9"/>
                <w:sz w:val="24"/>
                <w:szCs w:val="24"/>
              </w:rPr>
              <w:t>全管理</w:t>
            </w:r>
          </w:p>
        </w:tc>
        <w:tc>
          <w:tcPr>
            <w:tcW w:w="1426" w:type="dxa"/>
            <w:tcBorders>
              <w:top w:val="single" w:color="000000" w:sz="2" w:space="0"/>
              <w:bottom w:val="single" w:color="000000" w:sz="2" w:space="0"/>
            </w:tcBorders>
            <w:noWrap w:val="0"/>
            <w:vAlign w:val="top"/>
          </w:tcPr>
          <w:p w14:paraId="0BD20238">
            <w:pPr>
              <w:pStyle w:val="54"/>
              <w:rPr>
                <w:rStyle w:val="21"/>
                <w:rFonts w:ascii="Arial" w:hAnsi="Calibri" w:eastAsia="宋体" w:cs="Times New Roman"/>
                <w:sz w:val="20"/>
                <w:szCs w:val="21"/>
              </w:rPr>
            </w:pPr>
          </w:p>
        </w:tc>
        <w:tc>
          <w:tcPr>
            <w:tcW w:w="1138" w:type="dxa"/>
            <w:tcBorders>
              <w:top w:val="single" w:color="000000" w:sz="2" w:space="0"/>
              <w:bottom w:val="single" w:color="000000" w:sz="2" w:space="0"/>
            </w:tcBorders>
            <w:noWrap w:val="0"/>
            <w:vAlign w:val="top"/>
          </w:tcPr>
          <w:p w14:paraId="424C29D1">
            <w:pPr>
              <w:pStyle w:val="54"/>
              <w:rPr>
                <w:rStyle w:val="21"/>
                <w:rFonts w:ascii="Arial" w:hAnsi="Calibri" w:eastAsia="宋体" w:cs="Times New Roman"/>
                <w:sz w:val="20"/>
                <w:szCs w:val="21"/>
              </w:rPr>
            </w:pPr>
          </w:p>
        </w:tc>
        <w:tc>
          <w:tcPr>
            <w:tcW w:w="1123" w:type="dxa"/>
            <w:tcBorders>
              <w:top w:val="single" w:color="000000" w:sz="2" w:space="0"/>
              <w:bottom w:val="single" w:color="000000" w:sz="2" w:space="0"/>
            </w:tcBorders>
            <w:noWrap w:val="0"/>
            <w:vAlign w:val="top"/>
          </w:tcPr>
          <w:p w14:paraId="7167A15D">
            <w:pPr>
              <w:pStyle w:val="54"/>
              <w:rPr>
                <w:rStyle w:val="21"/>
                <w:rFonts w:ascii="Arial" w:hAnsi="Calibri" w:eastAsia="宋体" w:cs="Times New Roman"/>
                <w:sz w:val="20"/>
                <w:szCs w:val="21"/>
              </w:rPr>
            </w:pPr>
          </w:p>
        </w:tc>
        <w:tc>
          <w:tcPr>
            <w:tcW w:w="4270" w:type="dxa"/>
            <w:tcBorders>
              <w:top w:val="single" w:color="000000" w:sz="2" w:space="0"/>
              <w:bottom w:val="single" w:color="000000" w:sz="2" w:space="0"/>
            </w:tcBorders>
            <w:noWrap w:val="0"/>
            <w:vAlign w:val="top"/>
          </w:tcPr>
          <w:p w14:paraId="16D06CEB">
            <w:pPr>
              <w:pStyle w:val="54"/>
              <w:rPr>
                <w:rStyle w:val="21"/>
                <w:rFonts w:ascii="Arial" w:hAnsi="Calibri" w:eastAsia="宋体" w:cs="Times New Roman"/>
                <w:sz w:val="20"/>
                <w:szCs w:val="21"/>
              </w:rPr>
            </w:pPr>
          </w:p>
        </w:tc>
      </w:tr>
      <w:tr w14:paraId="355D6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880" w:type="dxa"/>
            <w:vMerge w:val="continue"/>
            <w:noWrap w:val="0"/>
            <w:vAlign w:val="top"/>
          </w:tcPr>
          <w:p w14:paraId="2420A9DC">
            <w:pPr>
              <w:pStyle w:val="54"/>
              <w:rPr>
                <w:rStyle w:val="21"/>
                <w:rFonts w:ascii="Arial" w:hAnsi="Calibri" w:eastAsia="宋体" w:cs="Times New Roman"/>
                <w:sz w:val="20"/>
                <w:szCs w:val="21"/>
              </w:rPr>
            </w:pPr>
          </w:p>
        </w:tc>
        <w:tc>
          <w:tcPr>
            <w:tcW w:w="1426" w:type="dxa"/>
            <w:tcBorders>
              <w:top w:val="single" w:color="000000" w:sz="2" w:space="0"/>
              <w:bottom w:val="single" w:color="000000" w:sz="2" w:space="0"/>
            </w:tcBorders>
            <w:noWrap w:val="0"/>
            <w:vAlign w:val="top"/>
          </w:tcPr>
          <w:p w14:paraId="68F84A6E">
            <w:pPr>
              <w:pStyle w:val="54"/>
              <w:rPr>
                <w:rStyle w:val="21"/>
                <w:rFonts w:ascii="Arial" w:hAnsi="Calibri" w:eastAsia="宋体" w:cs="Times New Roman"/>
                <w:sz w:val="20"/>
                <w:szCs w:val="21"/>
              </w:rPr>
            </w:pPr>
          </w:p>
        </w:tc>
        <w:tc>
          <w:tcPr>
            <w:tcW w:w="1138" w:type="dxa"/>
            <w:tcBorders>
              <w:top w:val="single" w:color="000000" w:sz="2" w:space="0"/>
              <w:bottom w:val="single" w:color="000000" w:sz="2" w:space="0"/>
            </w:tcBorders>
            <w:noWrap w:val="0"/>
            <w:vAlign w:val="top"/>
          </w:tcPr>
          <w:p w14:paraId="4CF04EAA">
            <w:pPr>
              <w:pStyle w:val="54"/>
              <w:rPr>
                <w:rStyle w:val="21"/>
                <w:rFonts w:ascii="Arial" w:hAnsi="Calibri" w:eastAsia="宋体" w:cs="Times New Roman"/>
                <w:sz w:val="20"/>
                <w:szCs w:val="21"/>
              </w:rPr>
            </w:pPr>
          </w:p>
        </w:tc>
        <w:tc>
          <w:tcPr>
            <w:tcW w:w="1123" w:type="dxa"/>
            <w:tcBorders>
              <w:top w:val="single" w:color="000000" w:sz="2" w:space="0"/>
              <w:bottom w:val="single" w:color="000000" w:sz="2" w:space="0"/>
            </w:tcBorders>
            <w:noWrap w:val="0"/>
            <w:vAlign w:val="top"/>
          </w:tcPr>
          <w:p w14:paraId="1306E8B9">
            <w:pPr>
              <w:pStyle w:val="54"/>
              <w:rPr>
                <w:rStyle w:val="21"/>
                <w:rFonts w:ascii="Arial" w:hAnsi="Calibri" w:eastAsia="宋体" w:cs="Times New Roman"/>
                <w:sz w:val="20"/>
                <w:szCs w:val="21"/>
              </w:rPr>
            </w:pPr>
          </w:p>
        </w:tc>
        <w:tc>
          <w:tcPr>
            <w:tcW w:w="4270" w:type="dxa"/>
            <w:tcBorders>
              <w:top w:val="single" w:color="000000" w:sz="2" w:space="0"/>
              <w:bottom w:val="single" w:color="000000" w:sz="2" w:space="0"/>
            </w:tcBorders>
            <w:noWrap w:val="0"/>
            <w:vAlign w:val="top"/>
          </w:tcPr>
          <w:p w14:paraId="1E087F56">
            <w:pPr>
              <w:pStyle w:val="54"/>
              <w:rPr>
                <w:rStyle w:val="21"/>
                <w:rFonts w:ascii="Arial" w:hAnsi="Calibri" w:eastAsia="宋体" w:cs="Times New Roman"/>
                <w:sz w:val="20"/>
                <w:szCs w:val="21"/>
              </w:rPr>
            </w:pPr>
          </w:p>
        </w:tc>
      </w:tr>
      <w:tr w14:paraId="5AF23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1880" w:type="dxa"/>
            <w:vMerge w:val="continue"/>
            <w:tcBorders>
              <w:bottom w:val="single" w:color="000000" w:sz="2" w:space="0"/>
            </w:tcBorders>
            <w:noWrap w:val="0"/>
            <w:vAlign w:val="top"/>
          </w:tcPr>
          <w:p w14:paraId="78785C6B">
            <w:pPr>
              <w:pStyle w:val="54"/>
              <w:rPr>
                <w:rStyle w:val="21"/>
                <w:rFonts w:ascii="Arial" w:hAnsi="Calibri" w:eastAsia="宋体" w:cs="Times New Roman"/>
                <w:sz w:val="20"/>
                <w:szCs w:val="21"/>
              </w:rPr>
            </w:pPr>
          </w:p>
        </w:tc>
        <w:tc>
          <w:tcPr>
            <w:tcW w:w="1426" w:type="dxa"/>
            <w:tcBorders>
              <w:top w:val="single" w:color="000000" w:sz="2" w:space="0"/>
              <w:bottom w:val="single" w:color="000000" w:sz="2" w:space="0"/>
            </w:tcBorders>
            <w:noWrap w:val="0"/>
            <w:vAlign w:val="top"/>
          </w:tcPr>
          <w:p w14:paraId="2A8486EE">
            <w:pPr>
              <w:pStyle w:val="54"/>
              <w:rPr>
                <w:rStyle w:val="21"/>
                <w:rFonts w:ascii="Arial" w:hAnsi="Calibri" w:eastAsia="宋体" w:cs="Times New Roman"/>
                <w:sz w:val="20"/>
                <w:szCs w:val="21"/>
              </w:rPr>
            </w:pPr>
          </w:p>
        </w:tc>
        <w:tc>
          <w:tcPr>
            <w:tcW w:w="1138" w:type="dxa"/>
            <w:tcBorders>
              <w:top w:val="single" w:color="000000" w:sz="2" w:space="0"/>
              <w:bottom w:val="single" w:color="000000" w:sz="2" w:space="0"/>
            </w:tcBorders>
            <w:noWrap w:val="0"/>
            <w:vAlign w:val="top"/>
          </w:tcPr>
          <w:p w14:paraId="13152A81">
            <w:pPr>
              <w:pStyle w:val="54"/>
              <w:rPr>
                <w:rStyle w:val="21"/>
                <w:rFonts w:ascii="Arial" w:hAnsi="Calibri" w:eastAsia="宋体" w:cs="Times New Roman"/>
                <w:sz w:val="20"/>
                <w:szCs w:val="21"/>
              </w:rPr>
            </w:pPr>
          </w:p>
        </w:tc>
        <w:tc>
          <w:tcPr>
            <w:tcW w:w="1123" w:type="dxa"/>
            <w:tcBorders>
              <w:top w:val="single" w:color="000000" w:sz="2" w:space="0"/>
              <w:bottom w:val="single" w:color="000000" w:sz="2" w:space="0"/>
            </w:tcBorders>
            <w:noWrap w:val="0"/>
            <w:vAlign w:val="top"/>
          </w:tcPr>
          <w:p w14:paraId="4F11A252">
            <w:pPr>
              <w:pStyle w:val="54"/>
              <w:rPr>
                <w:rStyle w:val="21"/>
                <w:rFonts w:ascii="Arial" w:hAnsi="Calibri" w:eastAsia="宋体" w:cs="Times New Roman"/>
                <w:sz w:val="20"/>
                <w:szCs w:val="21"/>
              </w:rPr>
            </w:pPr>
          </w:p>
        </w:tc>
        <w:tc>
          <w:tcPr>
            <w:tcW w:w="4270" w:type="dxa"/>
            <w:tcBorders>
              <w:top w:val="single" w:color="000000" w:sz="2" w:space="0"/>
              <w:bottom w:val="single" w:color="000000" w:sz="2" w:space="0"/>
            </w:tcBorders>
            <w:noWrap w:val="0"/>
            <w:vAlign w:val="top"/>
          </w:tcPr>
          <w:p w14:paraId="03EFAD9D">
            <w:pPr>
              <w:pStyle w:val="54"/>
              <w:rPr>
                <w:rStyle w:val="21"/>
                <w:rFonts w:ascii="Arial" w:hAnsi="Calibri" w:eastAsia="宋体" w:cs="Times New Roman"/>
                <w:sz w:val="20"/>
                <w:szCs w:val="21"/>
              </w:rPr>
            </w:pPr>
          </w:p>
        </w:tc>
      </w:tr>
      <w:tr w14:paraId="54FA6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880" w:type="dxa"/>
            <w:vMerge w:val="restart"/>
            <w:tcBorders>
              <w:top w:val="single" w:color="000000" w:sz="2" w:space="0"/>
            </w:tcBorders>
            <w:noWrap w:val="0"/>
            <w:vAlign w:val="top"/>
          </w:tcPr>
          <w:p w14:paraId="7C602B1D">
            <w:pPr>
              <w:pStyle w:val="54"/>
              <w:spacing w:line="282" w:lineRule="auto"/>
              <w:rPr>
                <w:rStyle w:val="21"/>
                <w:rFonts w:ascii="Arial" w:hAnsi="Calibri" w:eastAsia="宋体" w:cs="Times New Roman"/>
                <w:sz w:val="20"/>
                <w:szCs w:val="21"/>
              </w:rPr>
            </w:pPr>
          </w:p>
          <w:p w14:paraId="5C6F8971">
            <w:pPr>
              <w:pStyle w:val="54"/>
              <w:spacing w:line="283" w:lineRule="auto"/>
              <w:rPr>
                <w:rStyle w:val="21"/>
                <w:rFonts w:ascii="Arial" w:hAnsi="Calibri" w:eastAsia="宋体" w:cs="Times New Roman"/>
                <w:sz w:val="20"/>
                <w:szCs w:val="21"/>
              </w:rPr>
            </w:pPr>
          </w:p>
          <w:p w14:paraId="6738A538">
            <w:pPr>
              <w:pStyle w:val="54"/>
              <w:spacing w:line="283" w:lineRule="auto"/>
              <w:rPr>
                <w:rStyle w:val="21"/>
                <w:rFonts w:ascii="Arial" w:hAnsi="Calibri" w:eastAsia="宋体" w:cs="Times New Roman"/>
                <w:sz w:val="20"/>
                <w:szCs w:val="21"/>
              </w:rPr>
            </w:pPr>
          </w:p>
          <w:p w14:paraId="2B466A3D">
            <w:pPr>
              <w:pStyle w:val="54"/>
              <w:spacing w:line="283" w:lineRule="auto"/>
              <w:rPr>
                <w:rStyle w:val="21"/>
                <w:rFonts w:ascii="Arial" w:hAnsi="Calibri" w:eastAsia="宋体" w:cs="Times New Roman"/>
                <w:sz w:val="20"/>
                <w:szCs w:val="21"/>
              </w:rPr>
            </w:pPr>
          </w:p>
          <w:p w14:paraId="681C9E53">
            <w:pPr>
              <w:pStyle w:val="54"/>
              <w:spacing w:before="88" w:line="220" w:lineRule="auto"/>
              <w:ind w:left="385"/>
              <w:rPr>
                <w:rStyle w:val="21"/>
                <w:rFonts w:ascii="仿宋" w:hAnsi="仿宋" w:eastAsia="仿宋" w:cs="仿宋"/>
                <w:sz w:val="24"/>
                <w:szCs w:val="24"/>
              </w:rPr>
            </w:pPr>
            <w:r>
              <w:rPr>
                <w:rStyle w:val="21"/>
                <w:rFonts w:ascii="仿宋" w:hAnsi="仿宋" w:eastAsia="仿宋" w:cs="仿宋"/>
                <w:spacing w:val="11"/>
                <w:sz w:val="24"/>
                <w:szCs w:val="24"/>
              </w:rPr>
              <w:t>其</w:t>
            </w:r>
            <w:r>
              <w:rPr>
                <w:rStyle w:val="21"/>
                <w:rFonts w:ascii="仿宋" w:hAnsi="仿宋" w:eastAsia="仿宋" w:cs="仿宋"/>
                <w:spacing w:val="9"/>
                <w:sz w:val="24"/>
                <w:szCs w:val="24"/>
              </w:rPr>
              <w:t>他人员</w:t>
            </w:r>
          </w:p>
        </w:tc>
        <w:tc>
          <w:tcPr>
            <w:tcW w:w="1426" w:type="dxa"/>
            <w:tcBorders>
              <w:top w:val="single" w:color="000000" w:sz="2" w:space="0"/>
              <w:bottom w:val="single" w:color="000000" w:sz="2" w:space="0"/>
            </w:tcBorders>
            <w:noWrap w:val="0"/>
            <w:vAlign w:val="top"/>
          </w:tcPr>
          <w:p w14:paraId="6464057D">
            <w:pPr>
              <w:pStyle w:val="54"/>
              <w:rPr>
                <w:rStyle w:val="21"/>
                <w:rFonts w:ascii="Arial" w:hAnsi="Calibri" w:eastAsia="宋体" w:cs="Times New Roman"/>
                <w:sz w:val="20"/>
                <w:szCs w:val="21"/>
              </w:rPr>
            </w:pPr>
          </w:p>
        </w:tc>
        <w:tc>
          <w:tcPr>
            <w:tcW w:w="1138" w:type="dxa"/>
            <w:tcBorders>
              <w:top w:val="single" w:color="000000" w:sz="2" w:space="0"/>
              <w:bottom w:val="single" w:color="000000" w:sz="2" w:space="0"/>
            </w:tcBorders>
            <w:noWrap w:val="0"/>
            <w:vAlign w:val="top"/>
          </w:tcPr>
          <w:p w14:paraId="0F13F341">
            <w:pPr>
              <w:pStyle w:val="54"/>
              <w:rPr>
                <w:rStyle w:val="21"/>
                <w:rFonts w:ascii="Arial" w:hAnsi="Calibri" w:eastAsia="宋体" w:cs="Times New Roman"/>
                <w:sz w:val="20"/>
                <w:szCs w:val="21"/>
              </w:rPr>
            </w:pPr>
          </w:p>
        </w:tc>
        <w:tc>
          <w:tcPr>
            <w:tcW w:w="1123" w:type="dxa"/>
            <w:tcBorders>
              <w:top w:val="single" w:color="000000" w:sz="2" w:space="0"/>
              <w:bottom w:val="single" w:color="000000" w:sz="2" w:space="0"/>
            </w:tcBorders>
            <w:noWrap w:val="0"/>
            <w:vAlign w:val="top"/>
          </w:tcPr>
          <w:p w14:paraId="663AF984">
            <w:pPr>
              <w:pStyle w:val="54"/>
              <w:rPr>
                <w:rStyle w:val="21"/>
                <w:rFonts w:ascii="Arial" w:hAnsi="Calibri" w:eastAsia="宋体" w:cs="Times New Roman"/>
                <w:sz w:val="20"/>
                <w:szCs w:val="21"/>
              </w:rPr>
            </w:pPr>
          </w:p>
        </w:tc>
        <w:tc>
          <w:tcPr>
            <w:tcW w:w="4270" w:type="dxa"/>
            <w:tcBorders>
              <w:top w:val="single" w:color="000000" w:sz="2" w:space="0"/>
              <w:bottom w:val="single" w:color="000000" w:sz="2" w:space="0"/>
            </w:tcBorders>
            <w:noWrap w:val="0"/>
            <w:vAlign w:val="top"/>
          </w:tcPr>
          <w:p w14:paraId="1DF5DAD6">
            <w:pPr>
              <w:pStyle w:val="54"/>
              <w:rPr>
                <w:rStyle w:val="21"/>
                <w:rFonts w:ascii="Arial" w:hAnsi="Calibri" w:eastAsia="宋体" w:cs="Times New Roman"/>
                <w:sz w:val="20"/>
                <w:szCs w:val="21"/>
              </w:rPr>
            </w:pPr>
          </w:p>
        </w:tc>
      </w:tr>
      <w:tr w14:paraId="414FB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880" w:type="dxa"/>
            <w:vMerge w:val="continue"/>
            <w:noWrap w:val="0"/>
            <w:vAlign w:val="top"/>
          </w:tcPr>
          <w:p w14:paraId="0CA1639A">
            <w:pPr>
              <w:pStyle w:val="54"/>
              <w:rPr>
                <w:rStyle w:val="21"/>
                <w:rFonts w:ascii="Arial" w:hAnsi="Calibri" w:eastAsia="宋体" w:cs="Times New Roman"/>
                <w:sz w:val="20"/>
                <w:szCs w:val="21"/>
              </w:rPr>
            </w:pPr>
          </w:p>
        </w:tc>
        <w:tc>
          <w:tcPr>
            <w:tcW w:w="1426" w:type="dxa"/>
            <w:tcBorders>
              <w:top w:val="single" w:color="000000" w:sz="2" w:space="0"/>
              <w:bottom w:val="single" w:color="000000" w:sz="2" w:space="0"/>
            </w:tcBorders>
            <w:noWrap w:val="0"/>
            <w:vAlign w:val="top"/>
          </w:tcPr>
          <w:p w14:paraId="01903E0D">
            <w:pPr>
              <w:pStyle w:val="54"/>
              <w:rPr>
                <w:rStyle w:val="21"/>
                <w:rFonts w:ascii="Arial" w:hAnsi="Calibri" w:eastAsia="宋体" w:cs="Times New Roman"/>
                <w:sz w:val="20"/>
                <w:szCs w:val="21"/>
              </w:rPr>
            </w:pPr>
          </w:p>
        </w:tc>
        <w:tc>
          <w:tcPr>
            <w:tcW w:w="1138" w:type="dxa"/>
            <w:tcBorders>
              <w:top w:val="single" w:color="000000" w:sz="2" w:space="0"/>
              <w:bottom w:val="single" w:color="000000" w:sz="2" w:space="0"/>
            </w:tcBorders>
            <w:noWrap w:val="0"/>
            <w:vAlign w:val="top"/>
          </w:tcPr>
          <w:p w14:paraId="473C1EED">
            <w:pPr>
              <w:pStyle w:val="54"/>
              <w:rPr>
                <w:rStyle w:val="21"/>
                <w:rFonts w:ascii="Arial" w:hAnsi="Calibri" w:eastAsia="宋体" w:cs="Times New Roman"/>
                <w:sz w:val="20"/>
                <w:szCs w:val="21"/>
              </w:rPr>
            </w:pPr>
          </w:p>
        </w:tc>
        <w:tc>
          <w:tcPr>
            <w:tcW w:w="1123" w:type="dxa"/>
            <w:tcBorders>
              <w:top w:val="single" w:color="000000" w:sz="2" w:space="0"/>
              <w:bottom w:val="single" w:color="000000" w:sz="2" w:space="0"/>
            </w:tcBorders>
            <w:noWrap w:val="0"/>
            <w:vAlign w:val="top"/>
          </w:tcPr>
          <w:p w14:paraId="5DA33B77">
            <w:pPr>
              <w:pStyle w:val="54"/>
              <w:rPr>
                <w:rStyle w:val="21"/>
                <w:rFonts w:ascii="Arial" w:hAnsi="Calibri" w:eastAsia="宋体" w:cs="Times New Roman"/>
                <w:sz w:val="20"/>
                <w:szCs w:val="21"/>
              </w:rPr>
            </w:pPr>
          </w:p>
        </w:tc>
        <w:tc>
          <w:tcPr>
            <w:tcW w:w="4270" w:type="dxa"/>
            <w:tcBorders>
              <w:top w:val="single" w:color="000000" w:sz="2" w:space="0"/>
              <w:bottom w:val="single" w:color="000000" w:sz="2" w:space="0"/>
            </w:tcBorders>
            <w:noWrap w:val="0"/>
            <w:vAlign w:val="top"/>
          </w:tcPr>
          <w:p w14:paraId="5AE38467">
            <w:pPr>
              <w:pStyle w:val="54"/>
              <w:rPr>
                <w:rStyle w:val="21"/>
                <w:rFonts w:ascii="Arial" w:hAnsi="Calibri" w:eastAsia="宋体" w:cs="Times New Roman"/>
                <w:sz w:val="20"/>
                <w:szCs w:val="21"/>
              </w:rPr>
            </w:pPr>
          </w:p>
        </w:tc>
      </w:tr>
      <w:tr w14:paraId="19038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880" w:type="dxa"/>
            <w:vMerge w:val="continue"/>
            <w:noWrap w:val="0"/>
            <w:vAlign w:val="top"/>
          </w:tcPr>
          <w:p w14:paraId="075A2F46">
            <w:pPr>
              <w:pStyle w:val="54"/>
              <w:rPr>
                <w:rStyle w:val="21"/>
                <w:rFonts w:ascii="Arial" w:hAnsi="Calibri" w:eastAsia="宋体" w:cs="Times New Roman"/>
                <w:sz w:val="20"/>
                <w:szCs w:val="21"/>
              </w:rPr>
            </w:pPr>
          </w:p>
        </w:tc>
        <w:tc>
          <w:tcPr>
            <w:tcW w:w="1426" w:type="dxa"/>
            <w:tcBorders>
              <w:top w:val="single" w:color="000000" w:sz="2" w:space="0"/>
              <w:bottom w:val="single" w:color="000000" w:sz="2" w:space="0"/>
            </w:tcBorders>
            <w:noWrap w:val="0"/>
            <w:vAlign w:val="top"/>
          </w:tcPr>
          <w:p w14:paraId="578D3F10">
            <w:pPr>
              <w:pStyle w:val="54"/>
              <w:rPr>
                <w:rStyle w:val="21"/>
                <w:rFonts w:ascii="Arial" w:hAnsi="Calibri" w:eastAsia="宋体" w:cs="Times New Roman"/>
                <w:sz w:val="20"/>
                <w:szCs w:val="21"/>
              </w:rPr>
            </w:pPr>
          </w:p>
        </w:tc>
        <w:tc>
          <w:tcPr>
            <w:tcW w:w="1138" w:type="dxa"/>
            <w:tcBorders>
              <w:top w:val="single" w:color="000000" w:sz="2" w:space="0"/>
              <w:bottom w:val="single" w:color="000000" w:sz="2" w:space="0"/>
            </w:tcBorders>
            <w:noWrap w:val="0"/>
            <w:vAlign w:val="top"/>
          </w:tcPr>
          <w:p w14:paraId="5258C444">
            <w:pPr>
              <w:pStyle w:val="54"/>
              <w:rPr>
                <w:rStyle w:val="21"/>
                <w:rFonts w:ascii="Arial" w:hAnsi="Calibri" w:eastAsia="宋体" w:cs="Times New Roman"/>
                <w:sz w:val="20"/>
                <w:szCs w:val="21"/>
              </w:rPr>
            </w:pPr>
          </w:p>
        </w:tc>
        <w:tc>
          <w:tcPr>
            <w:tcW w:w="1123" w:type="dxa"/>
            <w:tcBorders>
              <w:top w:val="single" w:color="000000" w:sz="2" w:space="0"/>
              <w:bottom w:val="single" w:color="000000" w:sz="2" w:space="0"/>
            </w:tcBorders>
            <w:noWrap w:val="0"/>
            <w:vAlign w:val="top"/>
          </w:tcPr>
          <w:p w14:paraId="1C5DA07D">
            <w:pPr>
              <w:pStyle w:val="54"/>
              <w:rPr>
                <w:rStyle w:val="21"/>
                <w:rFonts w:ascii="Arial" w:hAnsi="Calibri" w:eastAsia="宋体" w:cs="Times New Roman"/>
                <w:sz w:val="20"/>
                <w:szCs w:val="21"/>
              </w:rPr>
            </w:pPr>
          </w:p>
        </w:tc>
        <w:tc>
          <w:tcPr>
            <w:tcW w:w="4270" w:type="dxa"/>
            <w:tcBorders>
              <w:top w:val="single" w:color="000000" w:sz="2" w:space="0"/>
              <w:bottom w:val="single" w:color="000000" w:sz="2" w:space="0"/>
            </w:tcBorders>
            <w:noWrap w:val="0"/>
            <w:vAlign w:val="top"/>
          </w:tcPr>
          <w:p w14:paraId="1E8FE1C8">
            <w:pPr>
              <w:pStyle w:val="54"/>
              <w:rPr>
                <w:rStyle w:val="21"/>
                <w:rFonts w:ascii="Arial" w:hAnsi="Calibri" w:eastAsia="宋体" w:cs="Times New Roman"/>
                <w:sz w:val="20"/>
                <w:szCs w:val="21"/>
              </w:rPr>
            </w:pPr>
          </w:p>
        </w:tc>
      </w:tr>
      <w:tr w14:paraId="3374B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1880" w:type="dxa"/>
            <w:vMerge w:val="continue"/>
            <w:noWrap w:val="0"/>
            <w:vAlign w:val="top"/>
          </w:tcPr>
          <w:p w14:paraId="0B0DC40F">
            <w:pPr>
              <w:pStyle w:val="54"/>
              <w:rPr>
                <w:rStyle w:val="21"/>
                <w:rFonts w:ascii="Arial" w:hAnsi="Calibri" w:eastAsia="宋体" w:cs="Times New Roman"/>
                <w:sz w:val="20"/>
                <w:szCs w:val="21"/>
              </w:rPr>
            </w:pPr>
          </w:p>
        </w:tc>
        <w:tc>
          <w:tcPr>
            <w:tcW w:w="1426" w:type="dxa"/>
            <w:tcBorders>
              <w:top w:val="single" w:color="000000" w:sz="2" w:space="0"/>
              <w:bottom w:val="single" w:color="000000" w:sz="2" w:space="0"/>
            </w:tcBorders>
            <w:noWrap w:val="0"/>
            <w:vAlign w:val="top"/>
          </w:tcPr>
          <w:p w14:paraId="76BF70C7">
            <w:pPr>
              <w:pStyle w:val="54"/>
              <w:rPr>
                <w:rStyle w:val="21"/>
                <w:rFonts w:ascii="Arial" w:hAnsi="Calibri" w:eastAsia="宋体" w:cs="Times New Roman"/>
                <w:sz w:val="20"/>
                <w:szCs w:val="21"/>
              </w:rPr>
            </w:pPr>
          </w:p>
        </w:tc>
        <w:tc>
          <w:tcPr>
            <w:tcW w:w="1138" w:type="dxa"/>
            <w:tcBorders>
              <w:top w:val="single" w:color="000000" w:sz="2" w:space="0"/>
              <w:bottom w:val="single" w:color="000000" w:sz="2" w:space="0"/>
            </w:tcBorders>
            <w:noWrap w:val="0"/>
            <w:vAlign w:val="top"/>
          </w:tcPr>
          <w:p w14:paraId="717E4703">
            <w:pPr>
              <w:pStyle w:val="54"/>
              <w:rPr>
                <w:rStyle w:val="21"/>
                <w:rFonts w:ascii="Arial" w:hAnsi="Calibri" w:eastAsia="宋体" w:cs="Times New Roman"/>
                <w:sz w:val="20"/>
                <w:szCs w:val="21"/>
              </w:rPr>
            </w:pPr>
          </w:p>
        </w:tc>
        <w:tc>
          <w:tcPr>
            <w:tcW w:w="1123" w:type="dxa"/>
            <w:tcBorders>
              <w:top w:val="single" w:color="000000" w:sz="2" w:space="0"/>
              <w:bottom w:val="single" w:color="000000" w:sz="2" w:space="0"/>
            </w:tcBorders>
            <w:noWrap w:val="0"/>
            <w:vAlign w:val="top"/>
          </w:tcPr>
          <w:p w14:paraId="1AFF607A">
            <w:pPr>
              <w:pStyle w:val="54"/>
              <w:rPr>
                <w:rStyle w:val="21"/>
                <w:rFonts w:ascii="Arial" w:hAnsi="Calibri" w:eastAsia="宋体" w:cs="Times New Roman"/>
                <w:sz w:val="20"/>
                <w:szCs w:val="21"/>
              </w:rPr>
            </w:pPr>
          </w:p>
        </w:tc>
        <w:tc>
          <w:tcPr>
            <w:tcW w:w="4270" w:type="dxa"/>
            <w:tcBorders>
              <w:top w:val="single" w:color="000000" w:sz="2" w:space="0"/>
              <w:bottom w:val="single" w:color="000000" w:sz="2" w:space="0"/>
            </w:tcBorders>
            <w:noWrap w:val="0"/>
            <w:vAlign w:val="top"/>
          </w:tcPr>
          <w:p w14:paraId="456AA70A">
            <w:pPr>
              <w:pStyle w:val="54"/>
              <w:rPr>
                <w:rStyle w:val="21"/>
                <w:rFonts w:ascii="Arial" w:hAnsi="Calibri" w:eastAsia="宋体" w:cs="Times New Roman"/>
                <w:sz w:val="20"/>
                <w:szCs w:val="21"/>
              </w:rPr>
            </w:pPr>
          </w:p>
        </w:tc>
      </w:tr>
      <w:tr w14:paraId="7D82B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880" w:type="dxa"/>
            <w:vMerge w:val="continue"/>
            <w:noWrap w:val="0"/>
            <w:vAlign w:val="top"/>
          </w:tcPr>
          <w:p w14:paraId="7941D7E0">
            <w:pPr>
              <w:pStyle w:val="54"/>
              <w:rPr>
                <w:rStyle w:val="21"/>
                <w:rFonts w:ascii="Arial" w:hAnsi="Calibri" w:eastAsia="宋体" w:cs="Times New Roman"/>
                <w:sz w:val="20"/>
                <w:szCs w:val="21"/>
              </w:rPr>
            </w:pPr>
          </w:p>
        </w:tc>
        <w:tc>
          <w:tcPr>
            <w:tcW w:w="1426" w:type="dxa"/>
            <w:tcBorders>
              <w:top w:val="single" w:color="000000" w:sz="2" w:space="0"/>
              <w:bottom w:val="single" w:color="000000" w:sz="2" w:space="0"/>
            </w:tcBorders>
            <w:noWrap w:val="0"/>
            <w:vAlign w:val="top"/>
          </w:tcPr>
          <w:p w14:paraId="11712A07">
            <w:pPr>
              <w:pStyle w:val="54"/>
              <w:rPr>
                <w:rStyle w:val="21"/>
                <w:rFonts w:ascii="Arial" w:hAnsi="Calibri" w:eastAsia="宋体" w:cs="Times New Roman"/>
                <w:sz w:val="20"/>
                <w:szCs w:val="21"/>
              </w:rPr>
            </w:pPr>
          </w:p>
        </w:tc>
        <w:tc>
          <w:tcPr>
            <w:tcW w:w="1138" w:type="dxa"/>
            <w:tcBorders>
              <w:top w:val="single" w:color="000000" w:sz="2" w:space="0"/>
              <w:bottom w:val="single" w:color="000000" w:sz="2" w:space="0"/>
            </w:tcBorders>
            <w:noWrap w:val="0"/>
            <w:vAlign w:val="top"/>
          </w:tcPr>
          <w:p w14:paraId="1D4658AB">
            <w:pPr>
              <w:pStyle w:val="54"/>
              <w:rPr>
                <w:rStyle w:val="21"/>
                <w:rFonts w:ascii="Arial" w:hAnsi="Calibri" w:eastAsia="宋体" w:cs="Times New Roman"/>
                <w:sz w:val="20"/>
                <w:szCs w:val="21"/>
              </w:rPr>
            </w:pPr>
          </w:p>
        </w:tc>
        <w:tc>
          <w:tcPr>
            <w:tcW w:w="1123" w:type="dxa"/>
            <w:tcBorders>
              <w:top w:val="single" w:color="000000" w:sz="2" w:space="0"/>
              <w:bottom w:val="single" w:color="000000" w:sz="2" w:space="0"/>
            </w:tcBorders>
            <w:noWrap w:val="0"/>
            <w:vAlign w:val="top"/>
          </w:tcPr>
          <w:p w14:paraId="2E71A433">
            <w:pPr>
              <w:pStyle w:val="54"/>
              <w:rPr>
                <w:rStyle w:val="21"/>
                <w:rFonts w:ascii="Arial" w:hAnsi="Calibri" w:eastAsia="宋体" w:cs="Times New Roman"/>
                <w:sz w:val="20"/>
                <w:szCs w:val="21"/>
              </w:rPr>
            </w:pPr>
          </w:p>
        </w:tc>
        <w:tc>
          <w:tcPr>
            <w:tcW w:w="4270" w:type="dxa"/>
            <w:tcBorders>
              <w:top w:val="single" w:color="000000" w:sz="2" w:space="0"/>
              <w:bottom w:val="single" w:color="000000" w:sz="2" w:space="0"/>
            </w:tcBorders>
            <w:noWrap w:val="0"/>
            <w:vAlign w:val="top"/>
          </w:tcPr>
          <w:p w14:paraId="22E0288E">
            <w:pPr>
              <w:pStyle w:val="54"/>
              <w:rPr>
                <w:rStyle w:val="21"/>
                <w:rFonts w:ascii="Arial" w:hAnsi="Calibri" w:eastAsia="宋体" w:cs="Times New Roman"/>
                <w:sz w:val="20"/>
                <w:szCs w:val="21"/>
              </w:rPr>
            </w:pPr>
          </w:p>
        </w:tc>
      </w:tr>
      <w:tr w14:paraId="30E9D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880" w:type="dxa"/>
            <w:vMerge w:val="continue"/>
            <w:tcBorders>
              <w:bottom w:val="single" w:color="000000" w:sz="2" w:space="0"/>
            </w:tcBorders>
            <w:noWrap w:val="0"/>
            <w:vAlign w:val="top"/>
          </w:tcPr>
          <w:p w14:paraId="4FBBC4B0">
            <w:pPr>
              <w:pStyle w:val="54"/>
              <w:rPr>
                <w:rStyle w:val="21"/>
                <w:rFonts w:ascii="Arial" w:hAnsi="Calibri" w:eastAsia="宋体" w:cs="Times New Roman"/>
                <w:sz w:val="20"/>
                <w:szCs w:val="21"/>
              </w:rPr>
            </w:pPr>
          </w:p>
        </w:tc>
        <w:tc>
          <w:tcPr>
            <w:tcW w:w="1426" w:type="dxa"/>
            <w:tcBorders>
              <w:top w:val="single" w:color="000000" w:sz="2" w:space="0"/>
              <w:bottom w:val="single" w:color="000000" w:sz="2" w:space="0"/>
            </w:tcBorders>
            <w:noWrap w:val="0"/>
            <w:vAlign w:val="top"/>
          </w:tcPr>
          <w:p w14:paraId="1BF1EE12">
            <w:pPr>
              <w:pStyle w:val="54"/>
              <w:rPr>
                <w:rStyle w:val="21"/>
                <w:rFonts w:ascii="Arial" w:hAnsi="Calibri" w:eastAsia="宋体" w:cs="Times New Roman"/>
                <w:sz w:val="20"/>
                <w:szCs w:val="21"/>
              </w:rPr>
            </w:pPr>
          </w:p>
        </w:tc>
        <w:tc>
          <w:tcPr>
            <w:tcW w:w="1138" w:type="dxa"/>
            <w:tcBorders>
              <w:top w:val="single" w:color="000000" w:sz="2" w:space="0"/>
              <w:bottom w:val="single" w:color="000000" w:sz="2" w:space="0"/>
            </w:tcBorders>
            <w:noWrap w:val="0"/>
            <w:vAlign w:val="top"/>
          </w:tcPr>
          <w:p w14:paraId="5B4C9D52">
            <w:pPr>
              <w:pStyle w:val="54"/>
              <w:rPr>
                <w:rStyle w:val="21"/>
                <w:rFonts w:ascii="Arial" w:hAnsi="Calibri" w:eastAsia="宋体" w:cs="Times New Roman"/>
                <w:sz w:val="20"/>
                <w:szCs w:val="21"/>
              </w:rPr>
            </w:pPr>
          </w:p>
        </w:tc>
        <w:tc>
          <w:tcPr>
            <w:tcW w:w="1123" w:type="dxa"/>
            <w:tcBorders>
              <w:top w:val="single" w:color="000000" w:sz="2" w:space="0"/>
              <w:bottom w:val="single" w:color="000000" w:sz="2" w:space="0"/>
            </w:tcBorders>
            <w:noWrap w:val="0"/>
            <w:vAlign w:val="top"/>
          </w:tcPr>
          <w:p w14:paraId="664E3588">
            <w:pPr>
              <w:pStyle w:val="54"/>
              <w:rPr>
                <w:rStyle w:val="21"/>
                <w:rFonts w:ascii="Arial" w:hAnsi="Calibri" w:eastAsia="宋体" w:cs="Times New Roman"/>
                <w:sz w:val="20"/>
                <w:szCs w:val="21"/>
              </w:rPr>
            </w:pPr>
          </w:p>
        </w:tc>
        <w:tc>
          <w:tcPr>
            <w:tcW w:w="4270" w:type="dxa"/>
            <w:tcBorders>
              <w:top w:val="single" w:color="000000" w:sz="2" w:space="0"/>
              <w:bottom w:val="single" w:color="000000" w:sz="2" w:space="0"/>
            </w:tcBorders>
            <w:noWrap w:val="0"/>
            <w:vAlign w:val="top"/>
          </w:tcPr>
          <w:p w14:paraId="5C7F392C">
            <w:pPr>
              <w:pStyle w:val="54"/>
              <w:rPr>
                <w:rStyle w:val="21"/>
                <w:rFonts w:ascii="Arial" w:hAnsi="Calibri" w:eastAsia="宋体" w:cs="Times New Roman"/>
                <w:sz w:val="20"/>
                <w:szCs w:val="21"/>
              </w:rPr>
            </w:pPr>
          </w:p>
        </w:tc>
      </w:tr>
    </w:tbl>
    <w:p w14:paraId="660301A6">
      <w:pPr>
        <w:pStyle w:val="54"/>
        <w:spacing w:before="98" w:line="220" w:lineRule="auto"/>
        <w:rPr>
          <w:rStyle w:val="21"/>
          <w:rFonts w:ascii="仿宋" w:hAnsi="仿宋" w:eastAsia="仿宋" w:cs="仿宋"/>
          <w:spacing w:val="-15"/>
          <w:sz w:val="30"/>
          <w:szCs w:val="30"/>
        </w:rPr>
      </w:pPr>
    </w:p>
    <w:p w14:paraId="42E73F07">
      <w:pPr>
        <w:pStyle w:val="54"/>
        <w:spacing w:before="98" w:line="220" w:lineRule="auto"/>
        <w:rPr>
          <w:rStyle w:val="21"/>
          <w:rFonts w:ascii="仿宋" w:hAnsi="仿宋" w:eastAsia="仿宋" w:cs="仿宋"/>
          <w:spacing w:val="-15"/>
          <w:sz w:val="30"/>
          <w:szCs w:val="30"/>
        </w:rPr>
      </w:pPr>
    </w:p>
    <w:p w14:paraId="61C69FF6">
      <w:pPr>
        <w:pStyle w:val="54"/>
        <w:spacing w:before="98" w:line="220" w:lineRule="auto"/>
        <w:rPr>
          <w:rStyle w:val="21"/>
          <w:rFonts w:ascii="仿宋" w:hAnsi="仿宋" w:eastAsia="仿宋" w:cs="仿宋"/>
          <w:spacing w:val="-15"/>
          <w:sz w:val="30"/>
          <w:szCs w:val="30"/>
        </w:rPr>
      </w:pPr>
    </w:p>
    <w:p w14:paraId="27C10F8F">
      <w:pPr>
        <w:pStyle w:val="54"/>
        <w:spacing w:before="98" w:line="220" w:lineRule="auto"/>
        <w:rPr>
          <w:rStyle w:val="21"/>
          <w:rFonts w:ascii="仿宋" w:hAnsi="仿宋" w:eastAsia="仿宋" w:cs="仿宋"/>
          <w:spacing w:val="-15"/>
          <w:sz w:val="30"/>
          <w:szCs w:val="30"/>
        </w:rPr>
      </w:pPr>
    </w:p>
    <w:p w14:paraId="41D38B84">
      <w:pPr>
        <w:pStyle w:val="54"/>
        <w:spacing w:before="98" w:line="220" w:lineRule="auto"/>
        <w:rPr>
          <w:rStyle w:val="21"/>
          <w:rFonts w:ascii="仿宋" w:hAnsi="仿宋" w:eastAsia="仿宋" w:cs="仿宋"/>
          <w:spacing w:val="-15"/>
          <w:sz w:val="30"/>
          <w:szCs w:val="30"/>
        </w:rPr>
      </w:pPr>
    </w:p>
    <w:p w14:paraId="56A5D12F">
      <w:pPr>
        <w:pStyle w:val="54"/>
        <w:spacing w:before="98" w:line="220" w:lineRule="auto"/>
        <w:rPr>
          <w:rStyle w:val="21"/>
          <w:rFonts w:ascii="黑体" w:hAnsi="黑体" w:eastAsia="黑体" w:cs="黑体"/>
          <w:sz w:val="30"/>
          <w:szCs w:val="30"/>
        </w:rPr>
      </w:pPr>
      <w:r>
        <w:rPr>
          <w:rStyle w:val="21"/>
          <w:rFonts w:ascii="仿宋" w:hAnsi="仿宋" w:eastAsia="仿宋" w:cs="仿宋"/>
          <w:spacing w:val="-15"/>
          <w:sz w:val="30"/>
          <w:szCs w:val="30"/>
        </w:rPr>
        <w:t xml:space="preserve">附件 </w:t>
      </w:r>
      <w:r>
        <w:rPr>
          <w:rStyle w:val="21"/>
          <w:rFonts w:hint="eastAsia" w:ascii="Times New Roman" w:hAnsi="Times New Roman" w:cs="Times New Roman"/>
          <w:spacing w:val="-15"/>
          <w:sz w:val="30"/>
          <w:szCs w:val="30"/>
          <w:lang w:val="en-US" w:eastAsia="zh-CN"/>
        </w:rPr>
        <w:t>2</w:t>
      </w:r>
      <w:r>
        <w:rPr>
          <w:rStyle w:val="21"/>
          <w:rFonts w:ascii="仿宋" w:hAnsi="仿宋" w:eastAsia="仿宋" w:cs="仿宋"/>
          <w:spacing w:val="-15"/>
          <w:sz w:val="30"/>
          <w:szCs w:val="30"/>
        </w:rPr>
        <w:t>：</w:t>
      </w:r>
      <w:r>
        <w:rPr>
          <w:rStyle w:val="21"/>
          <w:rFonts w:ascii="黑体" w:hAnsi="黑体" w:eastAsia="黑体" w:cs="黑体"/>
          <w:spacing w:val="26"/>
          <w:sz w:val="28"/>
          <w:szCs w:val="28"/>
        </w:rPr>
        <w:t>承</w:t>
      </w:r>
      <w:r>
        <w:rPr>
          <w:rStyle w:val="21"/>
          <w:rFonts w:ascii="黑体" w:hAnsi="黑体" w:eastAsia="黑体" w:cs="黑体"/>
          <w:spacing w:val="15"/>
          <w:sz w:val="28"/>
          <w:szCs w:val="28"/>
        </w:rPr>
        <w:t>包人用于本工程施工的机械设备表</w:t>
      </w:r>
    </w:p>
    <w:tbl>
      <w:tblPr>
        <w:tblStyle w:val="19"/>
        <w:tblpPr w:leftFromText="180" w:rightFromText="180" w:vertAnchor="text" w:horzAnchor="page" w:tblpX="1217" w:tblpY="99"/>
        <w:tblOverlap w:val="never"/>
        <w:tblW w:w="983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74"/>
        <w:gridCol w:w="1425"/>
        <w:gridCol w:w="850"/>
        <w:gridCol w:w="1052"/>
        <w:gridCol w:w="878"/>
        <w:gridCol w:w="1023"/>
        <w:gridCol w:w="1483"/>
        <w:gridCol w:w="1023"/>
        <w:gridCol w:w="929"/>
      </w:tblGrid>
      <w:tr w14:paraId="012BAB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6" w:hRule="atLeast"/>
        </w:trPr>
        <w:tc>
          <w:tcPr>
            <w:tcW w:w="1174" w:type="dxa"/>
            <w:tcBorders>
              <w:top w:val="single" w:color="000000" w:sz="2" w:space="0"/>
              <w:bottom w:val="single" w:color="000000" w:sz="2" w:space="0"/>
            </w:tcBorders>
            <w:noWrap w:val="0"/>
            <w:vAlign w:val="top"/>
          </w:tcPr>
          <w:p w14:paraId="4BB4D1CC">
            <w:pPr>
              <w:pStyle w:val="54"/>
              <w:spacing w:line="246" w:lineRule="auto"/>
              <w:rPr>
                <w:rStyle w:val="21"/>
                <w:rFonts w:ascii="Arial" w:hAnsi="Calibri" w:eastAsia="宋体" w:cs="Times New Roman"/>
              </w:rPr>
            </w:pPr>
          </w:p>
          <w:p w14:paraId="6B23E3B0">
            <w:pPr>
              <w:pStyle w:val="54"/>
              <w:spacing w:before="88" w:line="221" w:lineRule="auto"/>
              <w:ind w:left="310"/>
              <w:rPr>
                <w:rStyle w:val="21"/>
                <w:rFonts w:ascii="仿宋" w:hAnsi="仿宋" w:eastAsia="仿宋" w:cs="仿宋"/>
                <w:sz w:val="27"/>
                <w:szCs w:val="27"/>
              </w:rPr>
            </w:pPr>
            <w:r>
              <w:rPr>
                <w:rStyle w:val="21"/>
                <w:rFonts w:ascii="仿宋" w:hAnsi="仿宋" w:eastAsia="仿宋" w:cs="仿宋"/>
                <w:spacing w:val="2"/>
                <w:sz w:val="27"/>
                <w:szCs w:val="27"/>
              </w:rPr>
              <w:t>序号</w:t>
            </w:r>
          </w:p>
        </w:tc>
        <w:tc>
          <w:tcPr>
            <w:tcW w:w="1425" w:type="dxa"/>
            <w:tcBorders>
              <w:top w:val="single" w:color="000000" w:sz="2" w:space="0"/>
              <w:bottom w:val="single" w:color="000000" w:sz="2" w:space="0"/>
            </w:tcBorders>
            <w:noWrap w:val="0"/>
            <w:vAlign w:val="top"/>
          </w:tcPr>
          <w:p w14:paraId="7BD8C75B">
            <w:pPr>
              <w:pStyle w:val="54"/>
              <w:spacing w:before="105" w:line="447" w:lineRule="exact"/>
              <w:ind w:left="145"/>
              <w:rPr>
                <w:rStyle w:val="21"/>
                <w:rFonts w:ascii="仿宋" w:hAnsi="仿宋" w:eastAsia="仿宋" w:cs="仿宋"/>
                <w:sz w:val="27"/>
                <w:szCs w:val="27"/>
              </w:rPr>
            </w:pPr>
            <w:r>
              <w:rPr>
                <w:rStyle w:val="21"/>
                <w:rFonts w:ascii="仿宋" w:hAnsi="仿宋" w:eastAsia="仿宋" w:cs="仿宋"/>
                <w:spacing w:val="11"/>
                <w:position w:val="13"/>
                <w:sz w:val="27"/>
                <w:szCs w:val="27"/>
              </w:rPr>
              <w:t>机</w:t>
            </w:r>
            <w:r>
              <w:rPr>
                <w:rStyle w:val="21"/>
                <w:rFonts w:ascii="仿宋" w:hAnsi="仿宋" w:eastAsia="仿宋" w:cs="仿宋"/>
                <w:spacing w:val="10"/>
                <w:position w:val="13"/>
                <w:sz w:val="27"/>
                <w:szCs w:val="27"/>
              </w:rPr>
              <w:t>械或设</w:t>
            </w:r>
          </w:p>
          <w:p w14:paraId="1F88AA77">
            <w:pPr>
              <w:pStyle w:val="54"/>
              <w:spacing w:line="219" w:lineRule="auto"/>
              <w:ind w:left="292"/>
              <w:rPr>
                <w:rStyle w:val="21"/>
                <w:rFonts w:ascii="仿宋" w:hAnsi="仿宋" w:eastAsia="仿宋" w:cs="仿宋"/>
                <w:sz w:val="27"/>
                <w:szCs w:val="27"/>
              </w:rPr>
            </w:pPr>
            <w:r>
              <w:rPr>
                <w:rStyle w:val="21"/>
                <w:rFonts w:ascii="仿宋" w:hAnsi="仿宋" w:eastAsia="仿宋" w:cs="仿宋"/>
                <w:spacing w:val="8"/>
                <w:sz w:val="27"/>
                <w:szCs w:val="27"/>
              </w:rPr>
              <w:t>备</w:t>
            </w:r>
            <w:r>
              <w:rPr>
                <w:rStyle w:val="21"/>
                <w:rFonts w:ascii="仿宋" w:hAnsi="仿宋" w:eastAsia="仿宋" w:cs="仿宋"/>
                <w:spacing w:val="6"/>
                <w:sz w:val="27"/>
                <w:szCs w:val="27"/>
              </w:rPr>
              <w:t>名称</w:t>
            </w:r>
          </w:p>
        </w:tc>
        <w:tc>
          <w:tcPr>
            <w:tcW w:w="850" w:type="dxa"/>
            <w:tcBorders>
              <w:top w:val="single" w:color="000000" w:sz="2" w:space="0"/>
              <w:bottom w:val="single" w:color="000000" w:sz="2" w:space="0"/>
            </w:tcBorders>
            <w:noWrap w:val="0"/>
            <w:vAlign w:val="top"/>
          </w:tcPr>
          <w:p w14:paraId="1C30E5A5">
            <w:pPr>
              <w:pStyle w:val="54"/>
              <w:spacing w:before="105" w:line="447" w:lineRule="exact"/>
              <w:ind w:left="133"/>
              <w:rPr>
                <w:rStyle w:val="21"/>
                <w:rFonts w:ascii="仿宋" w:hAnsi="仿宋" w:eastAsia="仿宋" w:cs="仿宋"/>
                <w:sz w:val="27"/>
                <w:szCs w:val="27"/>
              </w:rPr>
            </w:pPr>
            <w:r>
              <w:rPr>
                <w:rStyle w:val="21"/>
                <w:rFonts w:ascii="仿宋" w:hAnsi="仿宋" w:eastAsia="仿宋" w:cs="仿宋"/>
                <w:spacing w:val="2"/>
                <w:position w:val="13"/>
                <w:sz w:val="27"/>
                <w:szCs w:val="27"/>
              </w:rPr>
              <w:t>规格</w:t>
            </w:r>
          </w:p>
          <w:p w14:paraId="122BAFC7">
            <w:pPr>
              <w:pStyle w:val="54"/>
              <w:spacing w:before="1" w:line="221" w:lineRule="auto"/>
              <w:ind w:left="147"/>
              <w:rPr>
                <w:rStyle w:val="21"/>
                <w:rFonts w:ascii="仿宋" w:hAnsi="仿宋" w:eastAsia="仿宋" w:cs="仿宋"/>
                <w:sz w:val="27"/>
                <w:szCs w:val="27"/>
              </w:rPr>
            </w:pPr>
            <w:r>
              <w:rPr>
                <w:rStyle w:val="21"/>
                <w:rFonts w:ascii="仿宋" w:hAnsi="仿宋" w:eastAsia="仿宋" w:cs="仿宋"/>
                <w:spacing w:val="-3"/>
                <w:sz w:val="27"/>
                <w:szCs w:val="27"/>
              </w:rPr>
              <w:t>型</w:t>
            </w:r>
            <w:r>
              <w:rPr>
                <w:rStyle w:val="21"/>
                <w:rFonts w:ascii="仿宋" w:hAnsi="仿宋" w:eastAsia="仿宋" w:cs="仿宋"/>
                <w:spacing w:val="-2"/>
                <w:sz w:val="27"/>
                <w:szCs w:val="27"/>
              </w:rPr>
              <w:t>号</w:t>
            </w:r>
          </w:p>
        </w:tc>
        <w:tc>
          <w:tcPr>
            <w:tcW w:w="1052" w:type="dxa"/>
            <w:tcBorders>
              <w:top w:val="single" w:color="000000" w:sz="2" w:space="0"/>
              <w:bottom w:val="single" w:color="000000" w:sz="2" w:space="0"/>
            </w:tcBorders>
            <w:noWrap w:val="0"/>
            <w:vAlign w:val="top"/>
          </w:tcPr>
          <w:p w14:paraId="2838C57A">
            <w:pPr>
              <w:pStyle w:val="54"/>
              <w:spacing w:line="247" w:lineRule="auto"/>
              <w:rPr>
                <w:rStyle w:val="21"/>
                <w:rFonts w:ascii="Arial" w:hAnsi="Calibri" w:eastAsia="宋体" w:cs="Times New Roman"/>
              </w:rPr>
            </w:pPr>
          </w:p>
          <w:p w14:paraId="00BB3AF9">
            <w:pPr>
              <w:pStyle w:val="54"/>
              <w:spacing w:before="88" w:line="221" w:lineRule="auto"/>
              <w:ind w:left="234"/>
              <w:rPr>
                <w:rStyle w:val="21"/>
                <w:rFonts w:ascii="仿宋" w:hAnsi="仿宋" w:eastAsia="仿宋" w:cs="仿宋"/>
                <w:sz w:val="27"/>
                <w:szCs w:val="27"/>
              </w:rPr>
            </w:pPr>
            <w:r>
              <w:rPr>
                <w:rStyle w:val="21"/>
                <w:rFonts w:ascii="仿宋" w:hAnsi="仿宋" w:eastAsia="仿宋" w:cs="仿宋"/>
                <w:spacing w:val="2"/>
                <w:sz w:val="27"/>
                <w:szCs w:val="27"/>
              </w:rPr>
              <w:t>数量</w:t>
            </w:r>
          </w:p>
        </w:tc>
        <w:tc>
          <w:tcPr>
            <w:tcW w:w="878" w:type="dxa"/>
            <w:tcBorders>
              <w:top w:val="single" w:color="000000" w:sz="2" w:space="0"/>
              <w:bottom w:val="single" w:color="000000" w:sz="2" w:space="0"/>
            </w:tcBorders>
            <w:noWrap w:val="0"/>
            <w:vAlign w:val="top"/>
          </w:tcPr>
          <w:p w14:paraId="1D39A590">
            <w:pPr>
              <w:pStyle w:val="54"/>
              <w:spacing w:line="247" w:lineRule="auto"/>
              <w:rPr>
                <w:rStyle w:val="21"/>
                <w:rFonts w:ascii="Arial" w:hAnsi="Calibri" w:eastAsia="宋体" w:cs="Times New Roman"/>
              </w:rPr>
            </w:pPr>
          </w:p>
          <w:p w14:paraId="7C735127">
            <w:pPr>
              <w:pStyle w:val="54"/>
              <w:spacing w:before="87" w:line="222" w:lineRule="auto"/>
              <w:ind w:left="165"/>
              <w:rPr>
                <w:rStyle w:val="21"/>
                <w:rFonts w:ascii="仿宋" w:hAnsi="仿宋" w:eastAsia="仿宋" w:cs="仿宋"/>
                <w:sz w:val="27"/>
                <w:szCs w:val="27"/>
              </w:rPr>
            </w:pPr>
            <w:r>
              <w:rPr>
                <w:rStyle w:val="21"/>
                <w:rFonts w:ascii="仿宋" w:hAnsi="仿宋" w:eastAsia="仿宋" w:cs="仿宋"/>
                <w:spacing w:val="1"/>
                <w:sz w:val="27"/>
                <w:szCs w:val="27"/>
              </w:rPr>
              <w:t>产</w:t>
            </w:r>
            <w:r>
              <w:rPr>
                <w:rStyle w:val="21"/>
                <w:rFonts w:ascii="仿宋" w:hAnsi="仿宋" w:eastAsia="仿宋" w:cs="仿宋"/>
                <w:sz w:val="27"/>
                <w:szCs w:val="27"/>
              </w:rPr>
              <w:t>地</w:t>
            </w:r>
          </w:p>
        </w:tc>
        <w:tc>
          <w:tcPr>
            <w:tcW w:w="1023" w:type="dxa"/>
            <w:tcBorders>
              <w:top w:val="single" w:color="000000" w:sz="2" w:space="0"/>
              <w:bottom w:val="single" w:color="000000" w:sz="2" w:space="0"/>
            </w:tcBorders>
            <w:noWrap w:val="0"/>
            <w:vAlign w:val="top"/>
          </w:tcPr>
          <w:p w14:paraId="61E9CE58">
            <w:pPr>
              <w:pStyle w:val="54"/>
              <w:spacing w:before="105" w:line="447" w:lineRule="exact"/>
              <w:ind w:left="238"/>
              <w:rPr>
                <w:rStyle w:val="21"/>
                <w:rFonts w:ascii="仿宋" w:hAnsi="仿宋" w:eastAsia="仿宋" w:cs="仿宋"/>
                <w:sz w:val="27"/>
                <w:szCs w:val="27"/>
              </w:rPr>
            </w:pPr>
            <w:r>
              <w:rPr>
                <w:rStyle w:val="21"/>
                <w:rFonts w:ascii="仿宋" w:hAnsi="仿宋" w:eastAsia="仿宋" w:cs="仿宋"/>
                <w:spacing w:val="1"/>
                <w:position w:val="13"/>
                <w:sz w:val="27"/>
                <w:szCs w:val="27"/>
              </w:rPr>
              <w:t>制造</w:t>
            </w:r>
          </w:p>
          <w:p w14:paraId="20CD256B">
            <w:pPr>
              <w:pStyle w:val="54"/>
              <w:spacing w:line="220" w:lineRule="auto"/>
              <w:ind w:left="243"/>
              <w:rPr>
                <w:rStyle w:val="21"/>
                <w:rFonts w:ascii="仿宋" w:hAnsi="仿宋" w:eastAsia="仿宋" w:cs="仿宋"/>
                <w:sz w:val="27"/>
                <w:szCs w:val="27"/>
              </w:rPr>
            </w:pPr>
            <w:r>
              <w:rPr>
                <w:rStyle w:val="21"/>
                <w:rFonts w:ascii="仿宋" w:hAnsi="仿宋" w:eastAsia="仿宋" w:cs="仿宋"/>
                <w:spacing w:val="-1"/>
                <w:sz w:val="27"/>
                <w:szCs w:val="27"/>
              </w:rPr>
              <w:t>年</w:t>
            </w:r>
            <w:r>
              <w:rPr>
                <w:rStyle w:val="21"/>
                <w:rFonts w:ascii="仿宋" w:hAnsi="仿宋" w:eastAsia="仿宋" w:cs="仿宋"/>
                <w:sz w:val="27"/>
                <w:szCs w:val="27"/>
              </w:rPr>
              <w:t>份</w:t>
            </w:r>
          </w:p>
        </w:tc>
        <w:tc>
          <w:tcPr>
            <w:tcW w:w="1483" w:type="dxa"/>
            <w:tcBorders>
              <w:top w:val="single" w:color="000000" w:sz="2" w:space="0"/>
              <w:bottom w:val="single" w:color="000000" w:sz="2" w:space="0"/>
            </w:tcBorders>
            <w:noWrap w:val="0"/>
            <w:vAlign w:val="top"/>
          </w:tcPr>
          <w:p w14:paraId="4B8F3EBB">
            <w:pPr>
              <w:pStyle w:val="54"/>
              <w:spacing w:before="106" w:line="221" w:lineRule="auto"/>
              <w:ind w:left="179"/>
              <w:rPr>
                <w:rStyle w:val="21"/>
                <w:rFonts w:ascii="仿宋" w:hAnsi="仿宋" w:eastAsia="仿宋" w:cs="仿宋"/>
                <w:sz w:val="27"/>
                <w:szCs w:val="27"/>
              </w:rPr>
            </w:pPr>
            <w:r>
              <w:rPr>
                <w:rStyle w:val="21"/>
                <w:rFonts w:ascii="仿宋" w:hAnsi="仿宋" w:eastAsia="仿宋" w:cs="仿宋"/>
                <w:spacing w:val="11"/>
                <w:sz w:val="27"/>
                <w:szCs w:val="27"/>
              </w:rPr>
              <w:t>额</w:t>
            </w:r>
            <w:r>
              <w:rPr>
                <w:rStyle w:val="21"/>
                <w:rFonts w:ascii="仿宋" w:hAnsi="仿宋" w:eastAsia="仿宋" w:cs="仿宋"/>
                <w:spacing w:val="10"/>
                <w:sz w:val="27"/>
                <w:szCs w:val="27"/>
              </w:rPr>
              <w:t>定功率</w:t>
            </w:r>
          </w:p>
          <w:p w14:paraId="5F794B5A">
            <w:pPr>
              <w:pStyle w:val="54"/>
              <w:spacing w:before="123" w:line="222" w:lineRule="auto"/>
              <w:ind w:left="282"/>
              <w:rPr>
                <w:rStyle w:val="21"/>
                <w:rFonts w:ascii="仿宋" w:hAnsi="仿宋" w:eastAsia="仿宋" w:cs="仿宋"/>
                <w:sz w:val="27"/>
                <w:szCs w:val="27"/>
              </w:rPr>
            </w:pPr>
            <w:r>
              <w:rPr>
                <w:rStyle w:val="21"/>
                <w:rFonts w:ascii="仿宋" w:hAnsi="仿宋" w:eastAsia="仿宋" w:cs="仿宋"/>
                <w:spacing w:val="66"/>
                <w:sz w:val="27"/>
                <w:szCs w:val="27"/>
              </w:rPr>
              <w:t>(</w:t>
            </w:r>
            <w:r>
              <w:rPr>
                <w:rStyle w:val="21"/>
                <w:rFonts w:ascii="Times New Roman" w:hAnsi="Times New Roman" w:eastAsia="Times New Roman" w:cs="Times New Roman"/>
                <w:sz w:val="27"/>
                <w:szCs w:val="27"/>
              </w:rPr>
              <w:t>kW</w:t>
            </w:r>
            <w:r>
              <w:rPr>
                <w:rStyle w:val="21"/>
                <w:rFonts w:ascii="仿宋" w:hAnsi="仿宋" w:eastAsia="仿宋" w:cs="仿宋"/>
                <w:spacing w:val="65"/>
                <w:sz w:val="27"/>
                <w:szCs w:val="27"/>
              </w:rPr>
              <w:t>)</w:t>
            </w:r>
          </w:p>
        </w:tc>
        <w:tc>
          <w:tcPr>
            <w:tcW w:w="1023" w:type="dxa"/>
            <w:tcBorders>
              <w:top w:val="single" w:color="000000" w:sz="2" w:space="0"/>
              <w:bottom w:val="single" w:color="000000" w:sz="2" w:space="0"/>
            </w:tcBorders>
            <w:noWrap w:val="0"/>
            <w:vAlign w:val="top"/>
          </w:tcPr>
          <w:p w14:paraId="430AC912">
            <w:pPr>
              <w:pStyle w:val="54"/>
              <w:spacing w:before="105" w:line="447" w:lineRule="exact"/>
              <w:ind w:left="256"/>
              <w:rPr>
                <w:rStyle w:val="21"/>
                <w:rFonts w:ascii="仿宋" w:hAnsi="仿宋" w:eastAsia="仿宋" w:cs="仿宋"/>
                <w:sz w:val="27"/>
                <w:szCs w:val="27"/>
              </w:rPr>
            </w:pPr>
            <w:r>
              <w:rPr>
                <w:rStyle w:val="21"/>
                <w:rFonts w:ascii="仿宋" w:hAnsi="仿宋" w:eastAsia="仿宋" w:cs="仿宋"/>
                <w:spacing w:val="-4"/>
                <w:position w:val="12"/>
                <w:sz w:val="27"/>
                <w:szCs w:val="27"/>
              </w:rPr>
              <w:t>生</w:t>
            </w:r>
            <w:r>
              <w:rPr>
                <w:rStyle w:val="21"/>
                <w:rFonts w:ascii="仿宋" w:hAnsi="仿宋" w:eastAsia="仿宋" w:cs="仿宋"/>
                <w:spacing w:val="-3"/>
                <w:position w:val="12"/>
                <w:sz w:val="27"/>
                <w:szCs w:val="27"/>
              </w:rPr>
              <w:t>产</w:t>
            </w:r>
          </w:p>
          <w:p w14:paraId="6A414F4E">
            <w:pPr>
              <w:pStyle w:val="54"/>
              <w:spacing w:before="1" w:line="219" w:lineRule="auto"/>
              <w:ind w:left="256"/>
              <w:rPr>
                <w:rStyle w:val="21"/>
                <w:rFonts w:ascii="仿宋" w:hAnsi="仿宋" w:eastAsia="仿宋" w:cs="仿宋"/>
                <w:sz w:val="27"/>
                <w:szCs w:val="27"/>
              </w:rPr>
            </w:pPr>
            <w:r>
              <w:rPr>
                <w:rStyle w:val="21"/>
                <w:rFonts w:ascii="仿宋" w:hAnsi="仿宋" w:eastAsia="仿宋" w:cs="仿宋"/>
                <w:spacing w:val="-4"/>
                <w:sz w:val="27"/>
                <w:szCs w:val="27"/>
              </w:rPr>
              <w:t>能</w:t>
            </w:r>
            <w:r>
              <w:rPr>
                <w:rStyle w:val="21"/>
                <w:rFonts w:ascii="仿宋" w:hAnsi="仿宋" w:eastAsia="仿宋" w:cs="仿宋"/>
                <w:spacing w:val="-3"/>
                <w:sz w:val="27"/>
                <w:szCs w:val="27"/>
              </w:rPr>
              <w:t>力</w:t>
            </w:r>
          </w:p>
        </w:tc>
        <w:tc>
          <w:tcPr>
            <w:tcW w:w="929" w:type="dxa"/>
            <w:tcBorders>
              <w:top w:val="single" w:color="000000" w:sz="2" w:space="0"/>
              <w:bottom w:val="single" w:color="000000" w:sz="2" w:space="0"/>
            </w:tcBorders>
            <w:noWrap w:val="0"/>
            <w:vAlign w:val="top"/>
          </w:tcPr>
          <w:p w14:paraId="5FFBE5A9">
            <w:pPr>
              <w:pStyle w:val="54"/>
              <w:spacing w:line="246" w:lineRule="auto"/>
              <w:rPr>
                <w:rStyle w:val="21"/>
                <w:rFonts w:ascii="Arial" w:hAnsi="Calibri" w:eastAsia="宋体" w:cs="Times New Roman"/>
              </w:rPr>
            </w:pPr>
          </w:p>
          <w:p w14:paraId="4D39B687">
            <w:pPr>
              <w:pStyle w:val="54"/>
              <w:spacing w:before="88" w:line="223" w:lineRule="auto"/>
              <w:ind w:left="185"/>
              <w:rPr>
                <w:rStyle w:val="21"/>
                <w:rFonts w:ascii="仿宋" w:hAnsi="仿宋" w:eastAsia="仿宋" w:cs="仿宋"/>
                <w:sz w:val="27"/>
                <w:szCs w:val="27"/>
              </w:rPr>
            </w:pPr>
            <w:r>
              <w:rPr>
                <w:rStyle w:val="21"/>
                <w:rFonts w:ascii="仿宋" w:hAnsi="仿宋" w:eastAsia="仿宋" w:cs="仿宋"/>
                <w:spacing w:val="1"/>
                <w:sz w:val="27"/>
                <w:szCs w:val="27"/>
              </w:rPr>
              <w:t>备</w:t>
            </w:r>
            <w:r>
              <w:rPr>
                <w:rStyle w:val="21"/>
                <w:rFonts w:ascii="仿宋" w:hAnsi="仿宋" w:eastAsia="仿宋" w:cs="仿宋"/>
                <w:sz w:val="27"/>
                <w:szCs w:val="27"/>
              </w:rPr>
              <w:t>注</w:t>
            </w:r>
          </w:p>
        </w:tc>
      </w:tr>
      <w:tr w14:paraId="63E5C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top w:val="single" w:color="000000" w:sz="2" w:space="0"/>
              <w:bottom w:val="single" w:color="000000" w:sz="2" w:space="0"/>
            </w:tcBorders>
            <w:noWrap w:val="0"/>
            <w:vAlign w:val="top"/>
          </w:tcPr>
          <w:p w14:paraId="45B6A226">
            <w:pPr>
              <w:pStyle w:val="54"/>
              <w:rPr>
                <w:rStyle w:val="21"/>
                <w:rFonts w:ascii="Arial" w:hAnsi="Calibri" w:eastAsia="宋体" w:cs="Times New Roman"/>
              </w:rPr>
            </w:pPr>
          </w:p>
        </w:tc>
        <w:tc>
          <w:tcPr>
            <w:tcW w:w="1425" w:type="dxa"/>
            <w:tcBorders>
              <w:top w:val="single" w:color="000000" w:sz="2" w:space="0"/>
              <w:bottom w:val="single" w:color="000000" w:sz="2" w:space="0"/>
            </w:tcBorders>
            <w:noWrap w:val="0"/>
            <w:vAlign w:val="top"/>
          </w:tcPr>
          <w:p w14:paraId="01D64386">
            <w:pPr>
              <w:pStyle w:val="54"/>
              <w:rPr>
                <w:rStyle w:val="21"/>
                <w:rFonts w:ascii="Arial" w:hAnsi="Calibri" w:eastAsia="宋体" w:cs="Times New Roman"/>
              </w:rPr>
            </w:pPr>
          </w:p>
        </w:tc>
        <w:tc>
          <w:tcPr>
            <w:tcW w:w="850" w:type="dxa"/>
            <w:tcBorders>
              <w:top w:val="single" w:color="000000" w:sz="2" w:space="0"/>
              <w:bottom w:val="single" w:color="000000" w:sz="2" w:space="0"/>
            </w:tcBorders>
            <w:noWrap w:val="0"/>
            <w:vAlign w:val="top"/>
          </w:tcPr>
          <w:p w14:paraId="62C681B2">
            <w:pPr>
              <w:pStyle w:val="54"/>
              <w:rPr>
                <w:rStyle w:val="21"/>
                <w:rFonts w:ascii="Arial" w:hAnsi="Calibri" w:eastAsia="宋体" w:cs="Times New Roman"/>
              </w:rPr>
            </w:pPr>
          </w:p>
        </w:tc>
        <w:tc>
          <w:tcPr>
            <w:tcW w:w="1052" w:type="dxa"/>
            <w:tcBorders>
              <w:top w:val="single" w:color="000000" w:sz="2" w:space="0"/>
              <w:bottom w:val="single" w:color="000000" w:sz="2" w:space="0"/>
            </w:tcBorders>
            <w:noWrap w:val="0"/>
            <w:vAlign w:val="top"/>
          </w:tcPr>
          <w:p w14:paraId="03C3C0B0">
            <w:pPr>
              <w:pStyle w:val="54"/>
              <w:rPr>
                <w:rStyle w:val="21"/>
                <w:rFonts w:ascii="Arial" w:hAnsi="Calibri" w:eastAsia="宋体" w:cs="Times New Roman"/>
              </w:rPr>
            </w:pPr>
          </w:p>
        </w:tc>
        <w:tc>
          <w:tcPr>
            <w:tcW w:w="878" w:type="dxa"/>
            <w:tcBorders>
              <w:top w:val="single" w:color="000000" w:sz="2" w:space="0"/>
              <w:bottom w:val="single" w:color="000000" w:sz="2" w:space="0"/>
            </w:tcBorders>
            <w:noWrap w:val="0"/>
            <w:vAlign w:val="top"/>
          </w:tcPr>
          <w:p w14:paraId="3AB84837">
            <w:pPr>
              <w:pStyle w:val="54"/>
              <w:rPr>
                <w:rStyle w:val="21"/>
                <w:rFonts w:ascii="Arial" w:hAnsi="Calibri" w:eastAsia="宋体" w:cs="Times New Roman"/>
              </w:rPr>
            </w:pPr>
          </w:p>
        </w:tc>
        <w:tc>
          <w:tcPr>
            <w:tcW w:w="1023" w:type="dxa"/>
            <w:tcBorders>
              <w:top w:val="single" w:color="000000" w:sz="2" w:space="0"/>
              <w:bottom w:val="single" w:color="000000" w:sz="2" w:space="0"/>
            </w:tcBorders>
            <w:noWrap w:val="0"/>
            <w:vAlign w:val="top"/>
          </w:tcPr>
          <w:p w14:paraId="54440585">
            <w:pPr>
              <w:pStyle w:val="54"/>
              <w:rPr>
                <w:rStyle w:val="21"/>
                <w:rFonts w:ascii="Arial" w:hAnsi="Calibri" w:eastAsia="宋体" w:cs="Times New Roman"/>
              </w:rPr>
            </w:pPr>
          </w:p>
        </w:tc>
        <w:tc>
          <w:tcPr>
            <w:tcW w:w="1483" w:type="dxa"/>
            <w:tcBorders>
              <w:top w:val="single" w:color="000000" w:sz="2" w:space="0"/>
              <w:bottom w:val="single" w:color="000000" w:sz="2" w:space="0"/>
            </w:tcBorders>
            <w:noWrap w:val="0"/>
            <w:vAlign w:val="top"/>
          </w:tcPr>
          <w:p w14:paraId="308A15BD">
            <w:pPr>
              <w:pStyle w:val="54"/>
              <w:rPr>
                <w:rStyle w:val="21"/>
                <w:rFonts w:ascii="Arial" w:hAnsi="Calibri" w:eastAsia="宋体" w:cs="Times New Roman"/>
              </w:rPr>
            </w:pPr>
          </w:p>
        </w:tc>
        <w:tc>
          <w:tcPr>
            <w:tcW w:w="1023" w:type="dxa"/>
            <w:tcBorders>
              <w:top w:val="single" w:color="000000" w:sz="2" w:space="0"/>
              <w:bottom w:val="single" w:color="000000" w:sz="2" w:space="0"/>
            </w:tcBorders>
            <w:noWrap w:val="0"/>
            <w:vAlign w:val="top"/>
          </w:tcPr>
          <w:p w14:paraId="3642B471">
            <w:pPr>
              <w:pStyle w:val="54"/>
              <w:rPr>
                <w:rStyle w:val="21"/>
                <w:rFonts w:ascii="Arial" w:hAnsi="Calibri" w:eastAsia="宋体" w:cs="Times New Roman"/>
              </w:rPr>
            </w:pPr>
          </w:p>
        </w:tc>
        <w:tc>
          <w:tcPr>
            <w:tcW w:w="929" w:type="dxa"/>
            <w:tcBorders>
              <w:top w:val="single" w:color="000000" w:sz="2" w:space="0"/>
              <w:bottom w:val="single" w:color="000000" w:sz="2" w:space="0"/>
            </w:tcBorders>
            <w:noWrap w:val="0"/>
            <w:vAlign w:val="top"/>
          </w:tcPr>
          <w:p w14:paraId="796258E6">
            <w:pPr>
              <w:pStyle w:val="54"/>
              <w:rPr>
                <w:rStyle w:val="21"/>
                <w:rFonts w:ascii="Arial" w:hAnsi="Calibri" w:eastAsia="宋体" w:cs="Times New Roman"/>
              </w:rPr>
            </w:pPr>
          </w:p>
        </w:tc>
      </w:tr>
      <w:tr w14:paraId="240AC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174" w:type="dxa"/>
            <w:tcBorders>
              <w:top w:val="single" w:color="000000" w:sz="2" w:space="0"/>
              <w:bottom w:val="single" w:color="000000" w:sz="2" w:space="0"/>
            </w:tcBorders>
            <w:noWrap w:val="0"/>
            <w:vAlign w:val="top"/>
          </w:tcPr>
          <w:p w14:paraId="314A61EC">
            <w:pPr>
              <w:pStyle w:val="54"/>
              <w:rPr>
                <w:rStyle w:val="21"/>
                <w:rFonts w:ascii="Arial" w:hAnsi="Calibri" w:eastAsia="宋体" w:cs="Times New Roman"/>
              </w:rPr>
            </w:pPr>
          </w:p>
        </w:tc>
        <w:tc>
          <w:tcPr>
            <w:tcW w:w="1425" w:type="dxa"/>
            <w:tcBorders>
              <w:top w:val="single" w:color="000000" w:sz="2" w:space="0"/>
              <w:bottom w:val="single" w:color="000000" w:sz="2" w:space="0"/>
            </w:tcBorders>
            <w:noWrap w:val="0"/>
            <w:vAlign w:val="top"/>
          </w:tcPr>
          <w:p w14:paraId="65CEDF43">
            <w:pPr>
              <w:pStyle w:val="54"/>
              <w:rPr>
                <w:rStyle w:val="21"/>
                <w:rFonts w:ascii="Arial" w:hAnsi="Calibri" w:eastAsia="宋体" w:cs="Times New Roman"/>
              </w:rPr>
            </w:pPr>
          </w:p>
        </w:tc>
        <w:tc>
          <w:tcPr>
            <w:tcW w:w="850" w:type="dxa"/>
            <w:tcBorders>
              <w:top w:val="single" w:color="000000" w:sz="2" w:space="0"/>
              <w:bottom w:val="single" w:color="000000" w:sz="2" w:space="0"/>
            </w:tcBorders>
            <w:noWrap w:val="0"/>
            <w:vAlign w:val="top"/>
          </w:tcPr>
          <w:p w14:paraId="394B6AA2">
            <w:pPr>
              <w:pStyle w:val="54"/>
              <w:rPr>
                <w:rStyle w:val="21"/>
                <w:rFonts w:ascii="Arial" w:hAnsi="Calibri" w:eastAsia="宋体" w:cs="Times New Roman"/>
              </w:rPr>
            </w:pPr>
          </w:p>
        </w:tc>
        <w:tc>
          <w:tcPr>
            <w:tcW w:w="1052" w:type="dxa"/>
            <w:tcBorders>
              <w:top w:val="single" w:color="000000" w:sz="2" w:space="0"/>
              <w:bottom w:val="single" w:color="000000" w:sz="2" w:space="0"/>
            </w:tcBorders>
            <w:noWrap w:val="0"/>
            <w:vAlign w:val="top"/>
          </w:tcPr>
          <w:p w14:paraId="23EBCEAE">
            <w:pPr>
              <w:pStyle w:val="54"/>
              <w:rPr>
                <w:rStyle w:val="21"/>
                <w:rFonts w:ascii="Arial" w:hAnsi="Calibri" w:eastAsia="宋体" w:cs="Times New Roman"/>
              </w:rPr>
            </w:pPr>
          </w:p>
        </w:tc>
        <w:tc>
          <w:tcPr>
            <w:tcW w:w="878" w:type="dxa"/>
            <w:tcBorders>
              <w:top w:val="single" w:color="000000" w:sz="2" w:space="0"/>
              <w:bottom w:val="single" w:color="000000" w:sz="2" w:space="0"/>
            </w:tcBorders>
            <w:noWrap w:val="0"/>
            <w:vAlign w:val="top"/>
          </w:tcPr>
          <w:p w14:paraId="1B67B510">
            <w:pPr>
              <w:pStyle w:val="54"/>
              <w:rPr>
                <w:rStyle w:val="21"/>
                <w:rFonts w:ascii="Arial" w:hAnsi="Calibri" w:eastAsia="宋体" w:cs="Times New Roman"/>
              </w:rPr>
            </w:pPr>
          </w:p>
        </w:tc>
        <w:tc>
          <w:tcPr>
            <w:tcW w:w="1023" w:type="dxa"/>
            <w:tcBorders>
              <w:top w:val="single" w:color="000000" w:sz="2" w:space="0"/>
              <w:bottom w:val="single" w:color="000000" w:sz="2" w:space="0"/>
            </w:tcBorders>
            <w:noWrap w:val="0"/>
            <w:vAlign w:val="top"/>
          </w:tcPr>
          <w:p w14:paraId="241AD57E">
            <w:pPr>
              <w:pStyle w:val="54"/>
              <w:rPr>
                <w:rStyle w:val="21"/>
                <w:rFonts w:ascii="Arial" w:hAnsi="Calibri" w:eastAsia="宋体" w:cs="Times New Roman"/>
              </w:rPr>
            </w:pPr>
          </w:p>
        </w:tc>
        <w:tc>
          <w:tcPr>
            <w:tcW w:w="1483" w:type="dxa"/>
            <w:tcBorders>
              <w:top w:val="single" w:color="000000" w:sz="2" w:space="0"/>
              <w:bottom w:val="single" w:color="000000" w:sz="2" w:space="0"/>
            </w:tcBorders>
            <w:noWrap w:val="0"/>
            <w:vAlign w:val="top"/>
          </w:tcPr>
          <w:p w14:paraId="2885222C">
            <w:pPr>
              <w:pStyle w:val="54"/>
              <w:rPr>
                <w:rStyle w:val="21"/>
                <w:rFonts w:ascii="Arial" w:hAnsi="Calibri" w:eastAsia="宋体" w:cs="Times New Roman"/>
              </w:rPr>
            </w:pPr>
          </w:p>
        </w:tc>
        <w:tc>
          <w:tcPr>
            <w:tcW w:w="1023" w:type="dxa"/>
            <w:tcBorders>
              <w:top w:val="single" w:color="000000" w:sz="2" w:space="0"/>
              <w:bottom w:val="single" w:color="000000" w:sz="2" w:space="0"/>
            </w:tcBorders>
            <w:noWrap w:val="0"/>
            <w:vAlign w:val="top"/>
          </w:tcPr>
          <w:p w14:paraId="0A1CDE96">
            <w:pPr>
              <w:pStyle w:val="54"/>
              <w:rPr>
                <w:rStyle w:val="21"/>
                <w:rFonts w:ascii="Arial" w:hAnsi="Calibri" w:eastAsia="宋体" w:cs="Times New Roman"/>
              </w:rPr>
            </w:pPr>
          </w:p>
        </w:tc>
        <w:tc>
          <w:tcPr>
            <w:tcW w:w="929" w:type="dxa"/>
            <w:tcBorders>
              <w:top w:val="single" w:color="000000" w:sz="2" w:space="0"/>
              <w:bottom w:val="single" w:color="000000" w:sz="2" w:space="0"/>
            </w:tcBorders>
            <w:noWrap w:val="0"/>
            <w:vAlign w:val="top"/>
          </w:tcPr>
          <w:p w14:paraId="3D007617">
            <w:pPr>
              <w:pStyle w:val="54"/>
              <w:rPr>
                <w:rStyle w:val="21"/>
                <w:rFonts w:ascii="Arial" w:hAnsi="Calibri" w:eastAsia="宋体" w:cs="Times New Roman"/>
              </w:rPr>
            </w:pPr>
          </w:p>
        </w:tc>
      </w:tr>
      <w:tr w14:paraId="48FD0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top w:val="single" w:color="000000" w:sz="2" w:space="0"/>
              <w:bottom w:val="single" w:color="000000" w:sz="2" w:space="0"/>
            </w:tcBorders>
            <w:noWrap w:val="0"/>
            <w:vAlign w:val="top"/>
          </w:tcPr>
          <w:p w14:paraId="13E8BF70">
            <w:pPr>
              <w:pStyle w:val="54"/>
              <w:rPr>
                <w:rStyle w:val="21"/>
                <w:rFonts w:ascii="Arial" w:hAnsi="Calibri" w:eastAsia="宋体" w:cs="Times New Roman"/>
              </w:rPr>
            </w:pPr>
          </w:p>
        </w:tc>
        <w:tc>
          <w:tcPr>
            <w:tcW w:w="1425" w:type="dxa"/>
            <w:tcBorders>
              <w:top w:val="single" w:color="000000" w:sz="2" w:space="0"/>
              <w:bottom w:val="single" w:color="000000" w:sz="2" w:space="0"/>
            </w:tcBorders>
            <w:noWrap w:val="0"/>
            <w:vAlign w:val="top"/>
          </w:tcPr>
          <w:p w14:paraId="7CF83B0D">
            <w:pPr>
              <w:pStyle w:val="54"/>
              <w:rPr>
                <w:rStyle w:val="21"/>
                <w:rFonts w:ascii="Arial" w:hAnsi="Calibri" w:eastAsia="宋体" w:cs="Times New Roman"/>
              </w:rPr>
            </w:pPr>
          </w:p>
        </w:tc>
        <w:tc>
          <w:tcPr>
            <w:tcW w:w="850" w:type="dxa"/>
            <w:tcBorders>
              <w:top w:val="single" w:color="000000" w:sz="2" w:space="0"/>
              <w:bottom w:val="single" w:color="000000" w:sz="2" w:space="0"/>
            </w:tcBorders>
            <w:noWrap w:val="0"/>
            <w:vAlign w:val="top"/>
          </w:tcPr>
          <w:p w14:paraId="53F12CE5">
            <w:pPr>
              <w:pStyle w:val="54"/>
              <w:rPr>
                <w:rStyle w:val="21"/>
                <w:rFonts w:ascii="Arial" w:hAnsi="Calibri" w:eastAsia="宋体" w:cs="Times New Roman"/>
              </w:rPr>
            </w:pPr>
          </w:p>
        </w:tc>
        <w:tc>
          <w:tcPr>
            <w:tcW w:w="1052" w:type="dxa"/>
            <w:tcBorders>
              <w:top w:val="single" w:color="000000" w:sz="2" w:space="0"/>
              <w:bottom w:val="single" w:color="000000" w:sz="2" w:space="0"/>
            </w:tcBorders>
            <w:noWrap w:val="0"/>
            <w:vAlign w:val="top"/>
          </w:tcPr>
          <w:p w14:paraId="4E7432B0">
            <w:pPr>
              <w:pStyle w:val="54"/>
              <w:rPr>
                <w:rStyle w:val="21"/>
                <w:rFonts w:ascii="Arial" w:hAnsi="Calibri" w:eastAsia="宋体" w:cs="Times New Roman"/>
              </w:rPr>
            </w:pPr>
          </w:p>
        </w:tc>
        <w:tc>
          <w:tcPr>
            <w:tcW w:w="878" w:type="dxa"/>
            <w:tcBorders>
              <w:top w:val="single" w:color="000000" w:sz="2" w:space="0"/>
              <w:bottom w:val="single" w:color="000000" w:sz="2" w:space="0"/>
            </w:tcBorders>
            <w:noWrap w:val="0"/>
            <w:vAlign w:val="top"/>
          </w:tcPr>
          <w:p w14:paraId="0FFD3C9F">
            <w:pPr>
              <w:pStyle w:val="54"/>
              <w:rPr>
                <w:rStyle w:val="21"/>
                <w:rFonts w:ascii="Arial" w:hAnsi="Calibri" w:eastAsia="宋体" w:cs="Times New Roman"/>
              </w:rPr>
            </w:pPr>
          </w:p>
        </w:tc>
        <w:tc>
          <w:tcPr>
            <w:tcW w:w="1023" w:type="dxa"/>
            <w:tcBorders>
              <w:top w:val="single" w:color="000000" w:sz="2" w:space="0"/>
              <w:bottom w:val="single" w:color="000000" w:sz="2" w:space="0"/>
            </w:tcBorders>
            <w:noWrap w:val="0"/>
            <w:vAlign w:val="top"/>
          </w:tcPr>
          <w:p w14:paraId="05534840">
            <w:pPr>
              <w:pStyle w:val="54"/>
              <w:rPr>
                <w:rStyle w:val="21"/>
                <w:rFonts w:ascii="Arial" w:hAnsi="Calibri" w:eastAsia="宋体" w:cs="Times New Roman"/>
              </w:rPr>
            </w:pPr>
          </w:p>
        </w:tc>
        <w:tc>
          <w:tcPr>
            <w:tcW w:w="1483" w:type="dxa"/>
            <w:tcBorders>
              <w:top w:val="single" w:color="000000" w:sz="2" w:space="0"/>
              <w:bottom w:val="single" w:color="000000" w:sz="2" w:space="0"/>
            </w:tcBorders>
            <w:noWrap w:val="0"/>
            <w:vAlign w:val="top"/>
          </w:tcPr>
          <w:p w14:paraId="0E25BA52">
            <w:pPr>
              <w:pStyle w:val="54"/>
              <w:rPr>
                <w:rStyle w:val="21"/>
                <w:rFonts w:ascii="Arial" w:hAnsi="Calibri" w:eastAsia="宋体" w:cs="Times New Roman"/>
              </w:rPr>
            </w:pPr>
          </w:p>
        </w:tc>
        <w:tc>
          <w:tcPr>
            <w:tcW w:w="1023" w:type="dxa"/>
            <w:tcBorders>
              <w:top w:val="single" w:color="000000" w:sz="2" w:space="0"/>
              <w:bottom w:val="single" w:color="000000" w:sz="2" w:space="0"/>
            </w:tcBorders>
            <w:noWrap w:val="0"/>
            <w:vAlign w:val="top"/>
          </w:tcPr>
          <w:p w14:paraId="67C58B48">
            <w:pPr>
              <w:pStyle w:val="54"/>
              <w:rPr>
                <w:rStyle w:val="21"/>
                <w:rFonts w:ascii="Arial" w:hAnsi="Calibri" w:eastAsia="宋体" w:cs="Times New Roman"/>
              </w:rPr>
            </w:pPr>
          </w:p>
        </w:tc>
        <w:tc>
          <w:tcPr>
            <w:tcW w:w="929" w:type="dxa"/>
            <w:tcBorders>
              <w:top w:val="single" w:color="000000" w:sz="2" w:space="0"/>
              <w:bottom w:val="single" w:color="000000" w:sz="2" w:space="0"/>
            </w:tcBorders>
            <w:noWrap w:val="0"/>
            <w:vAlign w:val="top"/>
          </w:tcPr>
          <w:p w14:paraId="25CD2764">
            <w:pPr>
              <w:pStyle w:val="54"/>
              <w:rPr>
                <w:rStyle w:val="21"/>
                <w:rFonts w:ascii="Arial" w:hAnsi="Calibri" w:eastAsia="宋体" w:cs="Times New Roman"/>
              </w:rPr>
            </w:pPr>
          </w:p>
        </w:tc>
      </w:tr>
      <w:tr w14:paraId="1AC63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top w:val="single" w:color="000000" w:sz="2" w:space="0"/>
              <w:bottom w:val="single" w:color="000000" w:sz="2" w:space="0"/>
            </w:tcBorders>
            <w:noWrap w:val="0"/>
            <w:vAlign w:val="top"/>
          </w:tcPr>
          <w:p w14:paraId="4BD9B1DD">
            <w:pPr>
              <w:pStyle w:val="54"/>
              <w:rPr>
                <w:rStyle w:val="21"/>
                <w:rFonts w:ascii="Arial" w:hAnsi="Calibri" w:eastAsia="宋体" w:cs="Times New Roman"/>
              </w:rPr>
            </w:pPr>
          </w:p>
        </w:tc>
        <w:tc>
          <w:tcPr>
            <w:tcW w:w="1425" w:type="dxa"/>
            <w:tcBorders>
              <w:top w:val="single" w:color="000000" w:sz="2" w:space="0"/>
              <w:bottom w:val="single" w:color="000000" w:sz="2" w:space="0"/>
            </w:tcBorders>
            <w:noWrap w:val="0"/>
            <w:vAlign w:val="top"/>
          </w:tcPr>
          <w:p w14:paraId="656E5712">
            <w:pPr>
              <w:pStyle w:val="54"/>
              <w:rPr>
                <w:rStyle w:val="21"/>
                <w:rFonts w:ascii="Arial" w:hAnsi="Calibri" w:eastAsia="宋体" w:cs="Times New Roman"/>
              </w:rPr>
            </w:pPr>
          </w:p>
        </w:tc>
        <w:tc>
          <w:tcPr>
            <w:tcW w:w="850" w:type="dxa"/>
            <w:tcBorders>
              <w:top w:val="single" w:color="000000" w:sz="2" w:space="0"/>
              <w:bottom w:val="single" w:color="000000" w:sz="2" w:space="0"/>
            </w:tcBorders>
            <w:noWrap w:val="0"/>
            <w:vAlign w:val="top"/>
          </w:tcPr>
          <w:p w14:paraId="2E761816">
            <w:pPr>
              <w:pStyle w:val="54"/>
              <w:rPr>
                <w:rStyle w:val="21"/>
                <w:rFonts w:ascii="Arial" w:hAnsi="Calibri" w:eastAsia="宋体" w:cs="Times New Roman"/>
              </w:rPr>
            </w:pPr>
          </w:p>
        </w:tc>
        <w:tc>
          <w:tcPr>
            <w:tcW w:w="1052" w:type="dxa"/>
            <w:tcBorders>
              <w:top w:val="single" w:color="000000" w:sz="2" w:space="0"/>
              <w:bottom w:val="single" w:color="000000" w:sz="2" w:space="0"/>
            </w:tcBorders>
            <w:noWrap w:val="0"/>
            <w:vAlign w:val="top"/>
          </w:tcPr>
          <w:p w14:paraId="50F04FFF">
            <w:pPr>
              <w:pStyle w:val="54"/>
              <w:rPr>
                <w:rStyle w:val="21"/>
                <w:rFonts w:ascii="Arial" w:hAnsi="Calibri" w:eastAsia="宋体" w:cs="Times New Roman"/>
              </w:rPr>
            </w:pPr>
          </w:p>
        </w:tc>
        <w:tc>
          <w:tcPr>
            <w:tcW w:w="878" w:type="dxa"/>
            <w:tcBorders>
              <w:top w:val="single" w:color="000000" w:sz="2" w:space="0"/>
              <w:bottom w:val="single" w:color="000000" w:sz="2" w:space="0"/>
            </w:tcBorders>
            <w:noWrap w:val="0"/>
            <w:vAlign w:val="top"/>
          </w:tcPr>
          <w:p w14:paraId="17DBAA30">
            <w:pPr>
              <w:pStyle w:val="54"/>
              <w:rPr>
                <w:rStyle w:val="21"/>
                <w:rFonts w:ascii="Arial" w:hAnsi="Calibri" w:eastAsia="宋体" w:cs="Times New Roman"/>
              </w:rPr>
            </w:pPr>
          </w:p>
        </w:tc>
        <w:tc>
          <w:tcPr>
            <w:tcW w:w="1023" w:type="dxa"/>
            <w:tcBorders>
              <w:top w:val="single" w:color="000000" w:sz="2" w:space="0"/>
              <w:bottom w:val="single" w:color="000000" w:sz="2" w:space="0"/>
            </w:tcBorders>
            <w:noWrap w:val="0"/>
            <w:vAlign w:val="top"/>
          </w:tcPr>
          <w:p w14:paraId="30664B98">
            <w:pPr>
              <w:pStyle w:val="54"/>
              <w:rPr>
                <w:rStyle w:val="21"/>
                <w:rFonts w:ascii="Arial" w:hAnsi="Calibri" w:eastAsia="宋体" w:cs="Times New Roman"/>
              </w:rPr>
            </w:pPr>
          </w:p>
        </w:tc>
        <w:tc>
          <w:tcPr>
            <w:tcW w:w="1483" w:type="dxa"/>
            <w:tcBorders>
              <w:top w:val="single" w:color="000000" w:sz="2" w:space="0"/>
              <w:bottom w:val="single" w:color="000000" w:sz="2" w:space="0"/>
            </w:tcBorders>
            <w:noWrap w:val="0"/>
            <w:vAlign w:val="top"/>
          </w:tcPr>
          <w:p w14:paraId="3BB6D0F3">
            <w:pPr>
              <w:pStyle w:val="54"/>
              <w:rPr>
                <w:rStyle w:val="21"/>
                <w:rFonts w:ascii="Arial" w:hAnsi="Calibri" w:eastAsia="宋体" w:cs="Times New Roman"/>
              </w:rPr>
            </w:pPr>
          </w:p>
        </w:tc>
        <w:tc>
          <w:tcPr>
            <w:tcW w:w="1023" w:type="dxa"/>
            <w:tcBorders>
              <w:top w:val="single" w:color="000000" w:sz="2" w:space="0"/>
              <w:bottom w:val="single" w:color="000000" w:sz="2" w:space="0"/>
            </w:tcBorders>
            <w:noWrap w:val="0"/>
            <w:vAlign w:val="top"/>
          </w:tcPr>
          <w:p w14:paraId="79CC19CF">
            <w:pPr>
              <w:pStyle w:val="54"/>
              <w:rPr>
                <w:rStyle w:val="21"/>
                <w:rFonts w:ascii="Arial" w:hAnsi="Calibri" w:eastAsia="宋体" w:cs="Times New Roman"/>
              </w:rPr>
            </w:pPr>
          </w:p>
        </w:tc>
        <w:tc>
          <w:tcPr>
            <w:tcW w:w="929" w:type="dxa"/>
            <w:tcBorders>
              <w:top w:val="single" w:color="000000" w:sz="2" w:space="0"/>
              <w:bottom w:val="single" w:color="000000" w:sz="2" w:space="0"/>
            </w:tcBorders>
            <w:noWrap w:val="0"/>
            <w:vAlign w:val="top"/>
          </w:tcPr>
          <w:p w14:paraId="5A41BF82">
            <w:pPr>
              <w:pStyle w:val="54"/>
              <w:rPr>
                <w:rStyle w:val="21"/>
                <w:rFonts w:ascii="Arial" w:hAnsi="Calibri" w:eastAsia="宋体" w:cs="Times New Roman"/>
              </w:rPr>
            </w:pPr>
          </w:p>
        </w:tc>
      </w:tr>
      <w:tr w14:paraId="7B3CB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top w:val="single" w:color="000000" w:sz="2" w:space="0"/>
              <w:bottom w:val="single" w:color="000000" w:sz="2" w:space="0"/>
            </w:tcBorders>
            <w:noWrap w:val="0"/>
            <w:vAlign w:val="top"/>
          </w:tcPr>
          <w:p w14:paraId="6B600A5A">
            <w:pPr>
              <w:pStyle w:val="54"/>
              <w:rPr>
                <w:rStyle w:val="21"/>
                <w:rFonts w:ascii="Arial" w:hAnsi="Calibri" w:eastAsia="宋体" w:cs="Times New Roman"/>
              </w:rPr>
            </w:pPr>
          </w:p>
        </w:tc>
        <w:tc>
          <w:tcPr>
            <w:tcW w:w="1425" w:type="dxa"/>
            <w:tcBorders>
              <w:top w:val="single" w:color="000000" w:sz="2" w:space="0"/>
              <w:bottom w:val="single" w:color="000000" w:sz="2" w:space="0"/>
            </w:tcBorders>
            <w:noWrap w:val="0"/>
            <w:vAlign w:val="top"/>
          </w:tcPr>
          <w:p w14:paraId="4E092DEA">
            <w:pPr>
              <w:pStyle w:val="54"/>
              <w:rPr>
                <w:rStyle w:val="21"/>
                <w:rFonts w:ascii="Arial" w:hAnsi="Calibri" w:eastAsia="宋体" w:cs="Times New Roman"/>
              </w:rPr>
            </w:pPr>
          </w:p>
        </w:tc>
        <w:tc>
          <w:tcPr>
            <w:tcW w:w="850" w:type="dxa"/>
            <w:tcBorders>
              <w:top w:val="single" w:color="000000" w:sz="2" w:space="0"/>
              <w:bottom w:val="single" w:color="000000" w:sz="2" w:space="0"/>
            </w:tcBorders>
            <w:noWrap w:val="0"/>
            <w:vAlign w:val="top"/>
          </w:tcPr>
          <w:p w14:paraId="3C2A8394">
            <w:pPr>
              <w:pStyle w:val="54"/>
              <w:rPr>
                <w:rStyle w:val="21"/>
                <w:rFonts w:ascii="Arial" w:hAnsi="Calibri" w:eastAsia="宋体" w:cs="Times New Roman"/>
              </w:rPr>
            </w:pPr>
          </w:p>
        </w:tc>
        <w:tc>
          <w:tcPr>
            <w:tcW w:w="1052" w:type="dxa"/>
            <w:tcBorders>
              <w:top w:val="single" w:color="000000" w:sz="2" w:space="0"/>
              <w:bottom w:val="single" w:color="000000" w:sz="2" w:space="0"/>
            </w:tcBorders>
            <w:noWrap w:val="0"/>
            <w:vAlign w:val="top"/>
          </w:tcPr>
          <w:p w14:paraId="447022CF">
            <w:pPr>
              <w:pStyle w:val="54"/>
              <w:rPr>
                <w:rStyle w:val="21"/>
                <w:rFonts w:ascii="Arial" w:hAnsi="Calibri" w:eastAsia="宋体" w:cs="Times New Roman"/>
              </w:rPr>
            </w:pPr>
          </w:p>
        </w:tc>
        <w:tc>
          <w:tcPr>
            <w:tcW w:w="878" w:type="dxa"/>
            <w:tcBorders>
              <w:top w:val="single" w:color="000000" w:sz="2" w:space="0"/>
              <w:bottom w:val="single" w:color="000000" w:sz="2" w:space="0"/>
            </w:tcBorders>
            <w:noWrap w:val="0"/>
            <w:vAlign w:val="top"/>
          </w:tcPr>
          <w:p w14:paraId="6D4F6AAE">
            <w:pPr>
              <w:pStyle w:val="54"/>
              <w:rPr>
                <w:rStyle w:val="21"/>
                <w:rFonts w:ascii="Arial" w:hAnsi="Calibri" w:eastAsia="宋体" w:cs="Times New Roman"/>
              </w:rPr>
            </w:pPr>
          </w:p>
        </w:tc>
        <w:tc>
          <w:tcPr>
            <w:tcW w:w="1023" w:type="dxa"/>
            <w:tcBorders>
              <w:top w:val="single" w:color="000000" w:sz="2" w:space="0"/>
              <w:bottom w:val="single" w:color="000000" w:sz="2" w:space="0"/>
            </w:tcBorders>
            <w:noWrap w:val="0"/>
            <w:vAlign w:val="top"/>
          </w:tcPr>
          <w:p w14:paraId="414298AC">
            <w:pPr>
              <w:pStyle w:val="54"/>
              <w:rPr>
                <w:rStyle w:val="21"/>
                <w:rFonts w:ascii="Arial" w:hAnsi="Calibri" w:eastAsia="宋体" w:cs="Times New Roman"/>
              </w:rPr>
            </w:pPr>
          </w:p>
        </w:tc>
        <w:tc>
          <w:tcPr>
            <w:tcW w:w="1483" w:type="dxa"/>
            <w:tcBorders>
              <w:top w:val="single" w:color="000000" w:sz="2" w:space="0"/>
              <w:bottom w:val="single" w:color="000000" w:sz="2" w:space="0"/>
            </w:tcBorders>
            <w:noWrap w:val="0"/>
            <w:vAlign w:val="top"/>
          </w:tcPr>
          <w:p w14:paraId="0970603B">
            <w:pPr>
              <w:pStyle w:val="54"/>
              <w:rPr>
                <w:rStyle w:val="21"/>
                <w:rFonts w:ascii="Arial" w:hAnsi="Calibri" w:eastAsia="宋体" w:cs="Times New Roman"/>
              </w:rPr>
            </w:pPr>
          </w:p>
        </w:tc>
        <w:tc>
          <w:tcPr>
            <w:tcW w:w="1023" w:type="dxa"/>
            <w:tcBorders>
              <w:top w:val="single" w:color="000000" w:sz="2" w:space="0"/>
              <w:bottom w:val="single" w:color="000000" w:sz="2" w:space="0"/>
            </w:tcBorders>
            <w:noWrap w:val="0"/>
            <w:vAlign w:val="top"/>
          </w:tcPr>
          <w:p w14:paraId="7B07B87A">
            <w:pPr>
              <w:pStyle w:val="54"/>
              <w:rPr>
                <w:rStyle w:val="21"/>
                <w:rFonts w:ascii="Arial" w:hAnsi="Calibri" w:eastAsia="宋体" w:cs="Times New Roman"/>
              </w:rPr>
            </w:pPr>
          </w:p>
        </w:tc>
        <w:tc>
          <w:tcPr>
            <w:tcW w:w="929" w:type="dxa"/>
            <w:tcBorders>
              <w:top w:val="single" w:color="000000" w:sz="2" w:space="0"/>
              <w:bottom w:val="single" w:color="000000" w:sz="2" w:space="0"/>
            </w:tcBorders>
            <w:noWrap w:val="0"/>
            <w:vAlign w:val="top"/>
          </w:tcPr>
          <w:p w14:paraId="66082982">
            <w:pPr>
              <w:pStyle w:val="54"/>
              <w:rPr>
                <w:rStyle w:val="21"/>
                <w:rFonts w:ascii="Arial" w:hAnsi="Calibri" w:eastAsia="宋体" w:cs="Times New Roman"/>
              </w:rPr>
            </w:pPr>
          </w:p>
        </w:tc>
      </w:tr>
      <w:tr w14:paraId="52D3C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top w:val="single" w:color="000000" w:sz="2" w:space="0"/>
              <w:bottom w:val="single" w:color="000000" w:sz="2" w:space="0"/>
            </w:tcBorders>
            <w:noWrap w:val="0"/>
            <w:vAlign w:val="top"/>
          </w:tcPr>
          <w:p w14:paraId="73576895">
            <w:pPr>
              <w:pStyle w:val="54"/>
              <w:rPr>
                <w:rStyle w:val="21"/>
                <w:rFonts w:ascii="Arial" w:hAnsi="Calibri" w:eastAsia="宋体" w:cs="Times New Roman"/>
              </w:rPr>
            </w:pPr>
          </w:p>
        </w:tc>
        <w:tc>
          <w:tcPr>
            <w:tcW w:w="1425" w:type="dxa"/>
            <w:tcBorders>
              <w:top w:val="single" w:color="000000" w:sz="2" w:space="0"/>
              <w:bottom w:val="single" w:color="000000" w:sz="2" w:space="0"/>
            </w:tcBorders>
            <w:noWrap w:val="0"/>
            <w:vAlign w:val="top"/>
          </w:tcPr>
          <w:p w14:paraId="6DAA6337">
            <w:pPr>
              <w:pStyle w:val="54"/>
              <w:rPr>
                <w:rStyle w:val="21"/>
                <w:rFonts w:ascii="Arial" w:hAnsi="Calibri" w:eastAsia="宋体" w:cs="Times New Roman"/>
              </w:rPr>
            </w:pPr>
          </w:p>
        </w:tc>
        <w:tc>
          <w:tcPr>
            <w:tcW w:w="850" w:type="dxa"/>
            <w:tcBorders>
              <w:top w:val="single" w:color="000000" w:sz="2" w:space="0"/>
              <w:bottom w:val="single" w:color="000000" w:sz="2" w:space="0"/>
            </w:tcBorders>
            <w:noWrap w:val="0"/>
            <w:vAlign w:val="top"/>
          </w:tcPr>
          <w:p w14:paraId="09B7FBB9">
            <w:pPr>
              <w:pStyle w:val="54"/>
              <w:rPr>
                <w:rStyle w:val="21"/>
                <w:rFonts w:ascii="Arial" w:hAnsi="Calibri" w:eastAsia="宋体" w:cs="Times New Roman"/>
              </w:rPr>
            </w:pPr>
          </w:p>
        </w:tc>
        <w:tc>
          <w:tcPr>
            <w:tcW w:w="1052" w:type="dxa"/>
            <w:tcBorders>
              <w:top w:val="single" w:color="000000" w:sz="2" w:space="0"/>
              <w:bottom w:val="single" w:color="000000" w:sz="2" w:space="0"/>
            </w:tcBorders>
            <w:noWrap w:val="0"/>
            <w:vAlign w:val="top"/>
          </w:tcPr>
          <w:p w14:paraId="3314D536">
            <w:pPr>
              <w:pStyle w:val="54"/>
              <w:rPr>
                <w:rStyle w:val="21"/>
                <w:rFonts w:ascii="Arial" w:hAnsi="Calibri" w:eastAsia="宋体" w:cs="Times New Roman"/>
              </w:rPr>
            </w:pPr>
          </w:p>
        </w:tc>
        <w:tc>
          <w:tcPr>
            <w:tcW w:w="878" w:type="dxa"/>
            <w:tcBorders>
              <w:top w:val="single" w:color="000000" w:sz="2" w:space="0"/>
              <w:bottom w:val="single" w:color="000000" w:sz="2" w:space="0"/>
            </w:tcBorders>
            <w:noWrap w:val="0"/>
            <w:vAlign w:val="top"/>
          </w:tcPr>
          <w:p w14:paraId="587F8108">
            <w:pPr>
              <w:pStyle w:val="54"/>
              <w:rPr>
                <w:rStyle w:val="21"/>
                <w:rFonts w:ascii="Arial" w:hAnsi="Calibri" w:eastAsia="宋体" w:cs="Times New Roman"/>
              </w:rPr>
            </w:pPr>
          </w:p>
        </w:tc>
        <w:tc>
          <w:tcPr>
            <w:tcW w:w="1023" w:type="dxa"/>
            <w:tcBorders>
              <w:top w:val="single" w:color="000000" w:sz="2" w:space="0"/>
              <w:bottom w:val="single" w:color="000000" w:sz="2" w:space="0"/>
            </w:tcBorders>
            <w:noWrap w:val="0"/>
            <w:vAlign w:val="top"/>
          </w:tcPr>
          <w:p w14:paraId="47934FFB">
            <w:pPr>
              <w:pStyle w:val="54"/>
              <w:rPr>
                <w:rStyle w:val="21"/>
                <w:rFonts w:ascii="Arial" w:hAnsi="Calibri" w:eastAsia="宋体" w:cs="Times New Roman"/>
              </w:rPr>
            </w:pPr>
          </w:p>
        </w:tc>
        <w:tc>
          <w:tcPr>
            <w:tcW w:w="1483" w:type="dxa"/>
            <w:tcBorders>
              <w:top w:val="single" w:color="000000" w:sz="2" w:space="0"/>
              <w:bottom w:val="single" w:color="000000" w:sz="2" w:space="0"/>
            </w:tcBorders>
            <w:noWrap w:val="0"/>
            <w:vAlign w:val="top"/>
          </w:tcPr>
          <w:p w14:paraId="38354751">
            <w:pPr>
              <w:pStyle w:val="54"/>
              <w:rPr>
                <w:rStyle w:val="21"/>
                <w:rFonts w:ascii="Arial" w:hAnsi="Calibri" w:eastAsia="宋体" w:cs="Times New Roman"/>
              </w:rPr>
            </w:pPr>
          </w:p>
        </w:tc>
        <w:tc>
          <w:tcPr>
            <w:tcW w:w="1023" w:type="dxa"/>
            <w:tcBorders>
              <w:top w:val="single" w:color="000000" w:sz="2" w:space="0"/>
              <w:bottom w:val="single" w:color="000000" w:sz="2" w:space="0"/>
            </w:tcBorders>
            <w:noWrap w:val="0"/>
            <w:vAlign w:val="top"/>
          </w:tcPr>
          <w:p w14:paraId="151AA432">
            <w:pPr>
              <w:pStyle w:val="54"/>
              <w:rPr>
                <w:rStyle w:val="21"/>
                <w:rFonts w:ascii="Arial" w:hAnsi="Calibri" w:eastAsia="宋体" w:cs="Times New Roman"/>
              </w:rPr>
            </w:pPr>
          </w:p>
        </w:tc>
        <w:tc>
          <w:tcPr>
            <w:tcW w:w="929" w:type="dxa"/>
            <w:tcBorders>
              <w:top w:val="single" w:color="000000" w:sz="2" w:space="0"/>
              <w:bottom w:val="single" w:color="000000" w:sz="2" w:space="0"/>
            </w:tcBorders>
            <w:noWrap w:val="0"/>
            <w:vAlign w:val="top"/>
          </w:tcPr>
          <w:p w14:paraId="1E05371B">
            <w:pPr>
              <w:pStyle w:val="54"/>
              <w:rPr>
                <w:rStyle w:val="21"/>
                <w:rFonts w:ascii="Arial" w:hAnsi="Calibri" w:eastAsia="宋体" w:cs="Times New Roman"/>
              </w:rPr>
            </w:pPr>
          </w:p>
        </w:tc>
      </w:tr>
      <w:tr w14:paraId="63858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top w:val="single" w:color="000000" w:sz="2" w:space="0"/>
              <w:bottom w:val="single" w:color="000000" w:sz="2" w:space="0"/>
            </w:tcBorders>
            <w:noWrap w:val="0"/>
            <w:vAlign w:val="top"/>
          </w:tcPr>
          <w:p w14:paraId="35377B04">
            <w:pPr>
              <w:pStyle w:val="54"/>
              <w:rPr>
                <w:rStyle w:val="21"/>
                <w:rFonts w:ascii="Arial" w:hAnsi="Calibri" w:eastAsia="宋体" w:cs="Times New Roman"/>
              </w:rPr>
            </w:pPr>
          </w:p>
        </w:tc>
        <w:tc>
          <w:tcPr>
            <w:tcW w:w="1425" w:type="dxa"/>
            <w:tcBorders>
              <w:top w:val="single" w:color="000000" w:sz="2" w:space="0"/>
              <w:bottom w:val="single" w:color="000000" w:sz="2" w:space="0"/>
            </w:tcBorders>
            <w:noWrap w:val="0"/>
            <w:vAlign w:val="top"/>
          </w:tcPr>
          <w:p w14:paraId="628811B0">
            <w:pPr>
              <w:pStyle w:val="54"/>
              <w:rPr>
                <w:rStyle w:val="21"/>
                <w:rFonts w:ascii="Arial" w:hAnsi="Calibri" w:eastAsia="宋体" w:cs="Times New Roman"/>
              </w:rPr>
            </w:pPr>
          </w:p>
        </w:tc>
        <w:tc>
          <w:tcPr>
            <w:tcW w:w="850" w:type="dxa"/>
            <w:tcBorders>
              <w:top w:val="single" w:color="000000" w:sz="2" w:space="0"/>
              <w:bottom w:val="single" w:color="000000" w:sz="2" w:space="0"/>
            </w:tcBorders>
            <w:noWrap w:val="0"/>
            <w:vAlign w:val="top"/>
          </w:tcPr>
          <w:p w14:paraId="6CB2E934">
            <w:pPr>
              <w:pStyle w:val="54"/>
              <w:rPr>
                <w:rStyle w:val="21"/>
                <w:rFonts w:ascii="Arial" w:hAnsi="Calibri" w:eastAsia="宋体" w:cs="Times New Roman"/>
              </w:rPr>
            </w:pPr>
          </w:p>
        </w:tc>
        <w:tc>
          <w:tcPr>
            <w:tcW w:w="1052" w:type="dxa"/>
            <w:tcBorders>
              <w:top w:val="single" w:color="000000" w:sz="2" w:space="0"/>
              <w:bottom w:val="single" w:color="000000" w:sz="2" w:space="0"/>
            </w:tcBorders>
            <w:noWrap w:val="0"/>
            <w:vAlign w:val="top"/>
          </w:tcPr>
          <w:p w14:paraId="1F1CE8E3">
            <w:pPr>
              <w:pStyle w:val="54"/>
              <w:rPr>
                <w:rStyle w:val="21"/>
                <w:rFonts w:ascii="Arial" w:hAnsi="Calibri" w:eastAsia="宋体" w:cs="Times New Roman"/>
              </w:rPr>
            </w:pPr>
          </w:p>
        </w:tc>
        <w:tc>
          <w:tcPr>
            <w:tcW w:w="878" w:type="dxa"/>
            <w:tcBorders>
              <w:top w:val="single" w:color="000000" w:sz="2" w:space="0"/>
              <w:bottom w:val="single" w:color="000000" w:sz="2" w:space="0"/>
            </w:tcBorders>
            <w:noWrap w:val="0"/>
            <w:vAlign w:val="top"/>
          </w:tcPr>
          <w:p w14:paraId="32CAD2CC">
            <w:pPr>
              <w:pStyle w:val="54"/>
              <w:rPr>
                <w:rStyle w:val="21"/>
                <w:rFonts w:ascii="Arial" w:hAnsi="Calibri" w:eastAsia="宋体" w:cs="Times New Roman"/>
              </w:rPr>
            </w:pPr>
          </w:p>
        </w:tc>
        <w:tc>
          <w:tcPr>
            <w:tcW w:w="1023" w:type="dxa"/>
            <w:tcBorders>
              <w:top w:val="single" w:color="000000" w:sz="2" w:space="0"/>
              <w:bottom w:val="single" w:color="000000" w:sz="2" w:space="0"/>
            </w:tcBorders>
            <w:noWrap w:val="0"/>
            <w:vAlign w:val="top"/>
          </w:tcPr>
          <w:p w14:paraId="6C65C485">
            <w:pPr>
              <w:pStyle w:val="54"/>
              <w:rPr>
                <w:rStyle w:val="21"/>
                <w:rFonts w:ascii="Arial" w:hAnsi="Calibri" w:eastAsia="宋体" w:cs="Times New Roman"/>
              </w:rPr>
            </w:pPr>
          </w:p>
        </w:tc>
        <w:tc>
          <w:tcPr>
            <w:tcW w:w="1483" w:type="dxa"/>
            <w:tcBorders>
              <w:top w:val="single" w:color="000000" w:sz="2" w:space="0"/>
              <w:bottom w:val="single" w:color="000000" w:sz="2" w:space="0"/>
            </w:tcBorders>
            <w:noWrap w:val="0"/>
            <w:vAlign w:val="top"/>
          </w:tcPr>
          <w:p w14:paraId="718CBDA1">
            <w:pPr>
              <w:pStyle w:val="54"/>
              <w:rPr>
                <w:rStyle w:val="21"/>
                <w:rFonts w:ascii="Arial" w:hAnsi="Calibri" w:eastAsia="宋体" w:cs="Times New Roman"/>
              </w:rPr>
            </w:pPr>
          </w:p>
        </w:tc>
        <w:tc>
          <w:tcPr>
            <w:tcW w:w="1023" w:type="dxa"/>
            <w:tcBorders>
              <w:top w:val="single" w:color="000000" w:sz="2" w:space="0"/>
              <w:bottom w:val="single" w:color="000000" w:sz="2" w:space="0"/>
            </w:tcBorders>
            <w:noWrap w:val="0"/>
            <w:vAlign w:val="top"/>
          </w:tcPr>
          <w:p w14:paraId="7EFD4FA7">
            <w:pPr>
              <w:pStyle w:val="54"/>
              <w:rPr>
                <w:rStyle w:val="21"/>
                <w:rFonts w:ascii="Arial" w:hAnsi="Calibri" w:eastAsia="宋体" w:cs="Times New Roman"/>
              </w:rPr>
            </w:pPr>
          </w:p>
        </w:tc>
        <w:tc>
          <w:tcPr>
            <w:tcW w:w="929" w:type="dxa"/>
            <w:tcBorders>
              <w:top w:val="single" w:color="000000" w:sz="2" w:space="0"/>
              <w:bottom w:val="single" w:color="000000" w:sz="2" w:space="0"/>
            </w:tcBorders>
            <w:noWrap w:val="0"/>
            <w:vAlign w:val="top"/>
          </w:tcPr>
          <w:p w14:paraId="54064363">
            <w:pPr>
              <w:pStyle w:val="54"/>
              <w:rPr>
                <w:rStyle w:val="21"/>
                <w:rFonts w:ascii="Arial" w:hAnsi="Calibri" w:eastAsia="宋体" w:cs="Times New Roman"/>
              </w:rPr>
            </w:pPr>
          </w:p>
        </w:tc>
      </w:tr>
      <w:tr w14:paraId="3E28D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top w:val="single" w:color="000000" w:sz="2" w:space="0"/>
              <w:bottom w:val="single" w:color="000000" w:sz="2" w:space="0"/>
            </w:tcBorders>
            <w:noWrap w:val="0"/>
            <w:vAlign w:val="top"/>
          </w:tcPr>
          <w:p w14:paraId="345B47F2">
            <w:pPr>
              <w:pStyle w:val="54"/>
              <w:rPr>
                <w:rStyle w:val="21"/>
                <w:rFonts w:ascii="Arial" w:hAnsi="Calibri" w:eastAsia="宋体" w:cs="Times New Roman"/>
              </w:rPr>
            </w:pPr>
          </w:p>
        </w:tc>
        <w:tc>
          <w:tcPr>
            <w:tcW w:w="1425" w:type="dxa"/>
            <w:tcBorders>
              <w:top w:val="single" w:color="000000" w:sz="2" w:space="0"/>
              <w:bottom w:val="single" w:color="000000" w:sz="2" w:space="0"/>
            </w:tcBorders>
            <w:noWrap w:val="0"/>
            <w:vAlign w:val="top"/>
          </w:tcPr>
          <w:p w14:paraId="0F7CFE12">
            <w:pPr>
              <w:pStyle w:val="54"/>
              <w:rPr>
                <w:rStyle w:val="21"/>
                <w:rFonts w:ascii="Arial" w:hAnsi="Calibri" w:eastAsia="宋体" w:cs="Times New Roman"/>
              </w:rPr>
            </w:pPr>
          </w:p>
        </w:tc>
        <w:tc>
          <w:tcPr>
            <w:tcW w:w="850" w:type="dxa"/>
            <w:tcBorders>
              <w:top w:val="single" w:color="000000" w:sz="2" w:space="0"/>
              <w:bottom w:val="single" w:color="000000" w:sz="2" w:space="0"/>
            </w:tcBorders>
            <w:noWrap w:val="0"/>
            <w:vAlign w:val="top"/>
          </w:tcPr>
          <w:p w14:paraId="0D9357C3">
            <w:pPr>
              <w:pStyle w:val="54"/>
              <w:rPr>
                <w:rStyle w:val="21"/>
                <w:rFonts w:ascii="Arial" w:hAnsi="Calibri" w:eastAsia="宋体" w:cs="Times New Roman"/>
              </w:rPr>
            </w:pPr>
          </w:p>
        </w:tc>
        <w:tc>
          <w:tcPr>
            <w:tcW w:w="1052" w:type="dxa"/>
            <w:tcBorders>
              <w:top w:val="single" w:color="000000" w:sz="2" w:space="0"/>
              <w:bottom w:val="single" w:color="000000" w:sz="2" w:space="0"/>
            </w:tcBorders>
            <w:noWrap w:val="0"/>
            <w:vAlign w:val="top"/>
          </w:tcPr>
          <w:p w14:paraId="5B9E2A64">
            <w:pPr>
              <w:pStyle w:val="54"/>
              <w:rPr>
                <w:rStyle w:val="21"/>
                <w:rFonts w:ascii="Arial" w:hAnsi="Calibri" w:eastAsia="宋体" w:cs="Times New Roman"/>
              </w:rPr>
            </w:pPr>
          </w:p>
        </w:tc>
        <w:tc>
          <w:tcPr>
            <w:tcW w:w="878" w:type="dxa"/>
            <w:tcBorders>
              <w:top w:val="single" w:color="000000" w:sz="2" w:space="0"/>
              <w:bottom w:val="single" w:color="000000" w:sz="2" w:space="0"/>
            </w:tcBorders>
            <w:noWrap w:val="0"/>
            <w:vAlign w:val="top"/>
          </w:tcPr>
          <w:p w14:paraId="178E4E33">
            <w:pPr>
              <w:pStyle w:val="54"/>
              <w:rPr>
                <w:rStyle w:val="21"/>
                <w:rFonts w:ascii="Arial" w:hAnsi="Calibri" w:eastAsia="宋体" w:cs="Times New Roman"/>
              </w:rPr>
            </w:pPr>
          </w:p>
        </w:tc>
        <w:tc>
          <w:tcPr>
            <w:tcW w:w="1023" w:type="dxa"/>
            <w:tcBorders>
              <w:top w:val="single" w:color="000000" w:sz="2" w:space="0"/>
              <w:bottom w:val="single" w:color="000000" w:sz="2" w:space="0"/>
            </w:tcBorders>
            <w:noWrap w:val="0"/>
            <w:vAlign w:val="top"/>
          </w:tcPr>
          <w:p w14:paraId="267AB0A2">
            <w:pPr>
              <w:pStyle w:val="54"/>
              <w:rPr>
                <w:rStyle w:val="21"/>
                <w:rFonts w:ascii="Arial" w:hAnsi="Calibri" w:eastAsia="宋体" w:cs="Times New Roman"/>
              </w:rPr>
            </w:pPr>
          </w:p>
        </w:tc>
        <w:tc>
          <w:tcPr>
            <w:tcW w:w="1483" w:type="dxa"/>
            <w:tcBorders>
              <w:top w:val="single" w:color="000000" w:sz="2" w:space="0"/>
              <w:bottom w:val="single" w:color="000000" w:sz="2" w:space="0"/>
            </w:tcBorders>
            <w:noWrap w:val="0"/>
            <w:vAlign w:val="top"/>
          </w:tcPr>
          <w:p w14:paraId="54E047A3">
            <w:pPr>
              <w:pStyle w:val="54"/>
              <w:rPr>
                <w:rStyle w:val="21"/>
                <w:rFonts w:ascii="Arial" w:hAnsi="Calibri" w:eastAsia="宋体" w:cs="Times New Roman"/>
              </w:rPr>
            </w:pPr>
          </w:p>
        </w:tc>
        <w:tc>
          <w:tcPr>
            <w:tcW w:w="1023" w:type="dxa"/>
            <w:tcBorders>
              <w:top w:val="single" w:color="000000" w:sz="2" w:space="0"/>
              <w:bottom w:val="single" w:color="000000" w:sz="2" w:space="0"/>
            </w:tcBorders>
            <w:noWrap w:val="0"/>
            <w:vAlign w:val="top"/>
          </w:tcPr>
          <w:p w14:paraId="75D68B09">
            <w:pPr>
              <w:pStyle w:val="54"/>
              <w:rPr>
                <w:rStyle w:val="21"/>
                <w:rFonts w:ascii="Arial" w:hAnsi="Calibri" w:eastAsia="宋体" w:cs="Times New Roman"/>
              </w:rPr>
            </w:pPr>
          </w:p>
        </w:tc>
        <w:tc>
          <w:tcPr>
            <w:tcW w:w="929" w:type="dxa"/>
            <w:tcBorders>
              <w:top w:val="single" w:color="000000" w:sz="2" w:space="0"/>
              <w:bottom w:val="single" w:color="000000" w:sz="2" w:space="0"/>
            </w:tcBorders>
            <w:noWrap w:val="0"/>
            <w:vAlign w:val="top"/>
          </w:tcPr>
          <w:p w14:paraId="6DC2AB13">
            <w:pPr>
              <w:pStyle w:val="54"/>
              <w:rPr>
                <w:rStyle w:val="21"/>
                <w:rFonts w:ascii="Arial" w:hAnsi="Calibri" w:eastAsia="宋体" w:cs="Times New Roman"/>
              </w:rPr>
            </w:pPr>
          </w:p>
        </w:tc>
      </w:tr>
      <w:tr w14:paraId="0BD28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top w:val="single" w:color="000000" w:sz="2" w:space="0"/>
              <w:bottom w:val="single" w:color="000000" w:sz="2" w:space="0"/>
            </w:tcBorders>
            <w:noWrap w:val="0"/>
            <w:vAlign w:val="top"/>
          </w:tcPr>
          <w:p w14:paraId="0B286663">
            <w:pPr>
              <w:pStyle w:val="54"/>
              <w:rPr>
                <w:rStyle w:val="21"/>
                <w:rFonts w:ascii="Arial" w:hAnsi="Calibri" w:eastAsia="宋体" w:cs="Times New Roman"/>
              </w:rPr>
            </w:pPr>
          </w:p>
        </w:tc>
        <w:tc>
          <w:tcPr>
            <w:tcW w:w="1425" w:type="dxa"/>
            <w:tcBorders>
              <w:top w:val="single" w:color="000000" w:sz="2" w:space="0"/>
              <w:bottom w:val="single" w:color="000000" w:sz="2" w:space="0"/>
            </w:tcBorders>
            <w:noWrap w:val="0"/>
            <w:vAlign w:val="top"/>
          </w:tcPr>
          <w:p w14:paraId="7B5C8DF5">
            <w:pPr>
              <w:pStyle w:val="54"/>
              <w:rPr>
                <w:rStyle w:val="21"/>
                <w:rFonts w:ascii="Arial" w:hAnsi="Calibri" w:eastAsia="宋体" w:cs="Times New Roman"/>
              </w:rPr>
            </w:pPr>
          </w:p>
        </w:tc>
        <w:tc>
          <w:tcPr>
            <w:tcW w:w="850" w:type="dxa"/>
            <w:tcBorders>
              <w:top w:val="single" w:color="000000" w:sz="2" w:space="0"/>
              <w:bottom w:val="single" w:color="000000" w:sz="2" w:space="0"/>
            </w:tcBorders>
            <w:noWrap w:val="0"/>
            <w:vAlign w:val="top"/>
          </w:tcPr>
          <w:p w14:paraId="62D8233B">
            <w:pPr>
              <w:pStyle w:val="54"/>
              <w:rPr>
                <w:rStyle w:val="21"/>
                <w:rFonts w:ascii="Arial" w:hAnsi="Calibri" w:eastAsia="宋体" w:cs="Times New Roman"/>
              </w:rPr>
            </w:pPr>
          </w:p>
        </w:tc>
        <w:tc>
          <w:tcPr>
            <w:tcW w:w="1052" w:type="dxa"/>
            <w:tcBorders>
              <w:top w:val="single" w:color="000000" w:sz="2" w:space="0"/>
              <w:bottom w:val="single" w:color="000000" w:sz="2" w:space="0"/>
            </w:tcBorders>
            <w:noWrap w:val="0"/>
            <w:vAlign w:val="top"/>
          </w:tcPr>
          <w:p w14:paraId="33202A67">
            <w:pPr>
              <w:pStyle w:val="54"/>
              <w:rPr>
                <w:rStyle w:val="21"/>
                <w:rFonts w:ascii="Arial" w:hAnsi="Calibri" w:eastAsia="宋体" w:cs="Times New Roman"/>
              </w:rPr>
            </w:pPr>
          </w:p>
        </w:tc>
        <w:tc>
          <w:tcPr>
            <w:tcW w:w="878" w:type="dxa"/>
            <w:tcBorders>
              <w:top w:val="single" w:color="000000" w:sz="2" w:space="0"/>
              <w:bottom w:val="single" w:color="000000" w:sz="2" w:space="0"/>
            </w:tcBorders>
            <w:noWrap w:val="0"/>
            <w:vAlign w:val="top"/>
          </w:tcPr>
          <w:p w14:paraId="4F765759">
            <w:pPr>
              <w:pStyle w:val="54"/>
              <w:rPr>
                <w:rStyle w:val="21"/>
                <w:rFonts w:ascii="Arial" w:hAnsi="Calibri" w:eastAsia="宋体" w:cs="Times New Roman"/>
              </w:rPr>
            </w:pPr>
          </w:p>
        </w:tc>
        <w:tc>
          <w:tcPr>
            <w:tcW w:w="1023" w:type="dxa"/>
            <w:tcBorders>
              <w:top w:val="single" w:color="000000" w:sz="2" w:space="0"/>
              <w:bottom w:val="single" w:color="000000" w:sz="2" w:space="0"/>
            </w:tcBorders>
            <w:noWrap w:val="0"/>
            <w:vAlign w:val="top"/>
          </w:tcPr>
          <w:p w14:paraId="6BB4F992">
            <w:pPr>
              <w:pStyle w:val="54"/>
              <w:rPr>
                <w:rStyle w:val="21"/>
                <w:rFonts w:ascii="Arial" w:hAnsi="Calibri" w:eastAsia="宋体" w:cs="Times New Roman"/>
              </w:rPr>
            </w:pPr>
          </w:p>
        </w:tc>
        <w:tc>
          <w:tcPr>
            <w:tcW w:w="1483" w:type="dxa"/>
            <w:tcBorders>
              <w:top w:val="single" w:color="000000" w:sz="2" w:space="0"/>
              <w:bottom w:val="single" w:color="000000" w:sz="2" w:space="0"/>
            </w:tcBorders>
            <w:noWrap w:val="0"/>
            <w:vAlign w:val="top"/>
          </w:tcPr>
          <w:p w14:paraId="70C901B5">
            <w:pPr>
              <w:pStyle w:val="54"/>
              <w:rPr>
                <w:rStyle w:val="21"/>
                <w:rFonts w:ascii="Arial" w:hAnsi="Calibri" w:eastAsia="宋体" w:cs="Times New Roman"/>
              </w:rPr>
            </w:pPr>
          </w:p>
        </w:tc>
        <w:tc>
          <w:tcPr>
            <w:tcW w:w="1023" w:type="dxa"/>
            <w:tcBorders>
              <w:top w:val="single" w:color="000000" w:sz="2" w:space="0"/>
              <w:bottom w:val="single" w:color="000000" w:sz="2" w:space="0"/>
            </w:tcBorders>
            <w:noWrap w:val="0"/>
            <w:vAlign w:val="top"/>
          </w:tcPr>
          <w:p w14:paraId="0719862D">
            <w:pPr>
              <w:pStyle w:val="54"/>
              <w:rPr>
                <w:rStyle w:val="21"/>
                <w:rFonts w:ascii="Arial" w:hAnsi="Calibri" w:eastAsia="宋体" w:cs="Times New Roman"/>
              </w:rPr>
            </w:pPr>
          </w:p>
        </w:tc>
        <w:tc>
          <w:tcPr>
            <w:tcW w:w="929" w:type="dxa"/>
            <w:tcBorders>
              <w:top w:val="single" w:color="000000" w:sz="2" w:space="0"/>
              <w:bottom w:val="single" w:color="000000" w:sz="2" w:space="0"/>
            </w:tcBorders>
            <w:noWrap w:val="0"/>
            <w:vAlign w:val="top"/>
          </w:tcPr>
          <w:p w14:paraId="2679092E">
            <w:pPr>
              <w:pStyle w:val="54"/>
              <w:rPr>
                <w:rStyle w:val="21"/>
                <w:rFonts w:ascii="Arial" w:hAnsi="Calibri" w:eastAsia="宋体" w:cs="Times New Roman"/>
              </w:rPr>
            </w:pPr>
          </w:p>
        </w:tc>
      </w:tr>
      <w:tr w14:paraId="7643B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174" w:type="dxa"/>
            <w:tcBorders>
              <w:top w:val="single" w:color="000000" w:sz="2" w:space="0"/>
              <w:bottom w:val="single" w:color="000000" w:sz="2" w:space="0"/>
            </w:tcBorders>
            <w:noWrap w:val="0"/>
            <w:vAlign w:val="top"/>
          </w:tcPr>
          <w:p w14:paraId="76E6E115">
            <w:pPr>
              <w:pStyle w:val="54"/>
              <w:rPr>
                <w:rStyle w:val="21"/>
                <w:rFonts w:ascii="Arial" w:hAnsi="Calibri" w:eastAsia="宋体" w:cs="Times New Roman"/>
              </w:rPr>
            </w:pPr>
          </w:p>
        </w:tc>
        <w:tc>
          <w:tcPr>
            <w:tcW w:w="1425" w:type="dxa"/>
            <w:tcBorders>
              <w:top w:val="single" w:color="000000" w:sz="2" w:space="0"/>
              <w:bottom w:val="single" w:color="000000" w:sz="2" w:space="0"/>
            </w:tcBorders>
            <w:noWrap w:val="0"/>
            <w:vAlign w:val="top"/>
          </w:tcPr>
          <w:p w14:paraId="0B23AB9F">
            <w:pPr>
              <w:pStyle w:val="54"/>
              <w:rPr>
                <w:rStyle w:val="21"/>
                <w:rFonts w:ascii="Arial" w:hAnsi="Calibri" w:eastAsia="宋体" w:cs="Times New Roman"/>
              </w:rPr>
            </w:pPr>
          </w:p>
        </w:tc>
        <w:tc>
          <w:tcPr>
            <w:tcW w:w="850" w:type="dxa"/>
            <w:tcBorders>
              <w:top w:val="single" w:color="000000" w:sz="2" w:space="0"/>
              <w:bottom w:val="single" w:color="000000" w:sz="2" w:space="0"/>
            </w:tcBorders>
            <w:noWrap w:val="0"/>
            <w:vAlign w:val="top"/>
          </w:tcPr>
          <w:p w14:paraId="03F3EA23">
            <w:pPr>
              <w:pStyle w:val="54"/>
              <w:rPr>
                <w:rStyle w:val="21"/>
                <w:rFonts w:ascii="Arial" w:hAnsi="Calibri" w:eastAsia="宋体" w:cs="Times New Roman"/>
              </w:rPr>
            </w:pPr>
          </w:p>
        </w:tc>
        <w:tc>
          <w:tcPr>
            <w:tcW w:w="1052" w:type="dxa"/>
            <w:tcBorders>
              <w:top w:val="single" w:color="000000" w:sz="2" w:space="0"/>
              <w:bottom w:val="single" w:color="000000" w:sz="2" w:space="0"/>
            </w:tcBorders>
            <w:noWrap w:val="0"/>
            <w:vAlign w:val="top"/>
          </w:tcPr>
          <w:p w14:paraId="3A5443BF">
            <w:pPr>
              <w:pStyle w:val="54"/>
              <w:rPr>
                <w:rStyle w:val="21"/>
                <w:rFonts w:ascii="Arial" w:hAnsi="Calibri" w:eastAsia="宋体" w:cs="Times New Roman"/>
              </w:rPr>
            </w:pPr>
          </w:p>
        </w:tc>
        <w:tc>
          <w:tcPr>
            <w:tcW w:w="878" w:type="dxa"/>
            <w:tcBorders>
              <w:top w:val="single" w:color="000000" w:sz="2" w:space="0"/>
              <w:bottom w:val="single" w:color="000000" w:sz="2" w:space="0"/>
            </w:tcBorders>
            <w:noWrap w:val="0"/>
            <w:vAlign w:val="top"/>
          </w:tcPr>
          <w:p w14:paraId="32F3A8D6">
            <w:pPr>
              <w:pStyle w:val="54"/>
              <w:rPr>
                <w:rStyle w:val="21"/>
                <w:rFonts w:ascii="Arial" w:hAnsi="Calibri" w:eastAsia="宋体" w:cs="Times New Roman"/>
              </w:rPr>
            </w:pPr>
          </w:p>
        </w:tc>
        <w:tc>
          <w:tcPr>
            <w:tcW w:w="1023" w:type="dxa"/>
            <w:tcBorders>
              <w:top w:val="single" w:color="000000" w:sz="2" w:space="0"/>
              <w:bottom w:val="single" w:color="000000" w:sz="2" w:space="0"/>
            </w:tcBorders>
            <w:noWrap w:val="0"/>
            <w:vAlign w:val="top"/>
          </w:tcPr>
          <w:p w14:paraId="569DAAF4">
            <w:pPr>
              <w:pStyle w:val="54"/>
              <w:rPr>
                <w:rStyle w:val="21"/>
                <w:rFonts w:ascii="Arial" w:hAnsi="Calibri" w:eastAsia="宋体" w:cs="Times New Roman"/>
              </w:rPr>
            </w:pPr>
          </w:p>
        </w:tc>
        <w:tc>
          <w:tcPr>
            <w:tcW w:w="1483" w:type="dxa"/>
            <w:tcBorders>
              <w:top w:val="single" w:color="000000" w:sz="2" w:space="0"/>
              <w:bottom w:val="single" w:color="000000" w:sz="2" w:space="0"/>
            </w:tcBorders>
            <w:noWrap w:val="0"/>
            <w:vAlign w:val="top"/>
          </w:tcPr>
          <w:p w14:paraId="36DB2EDB">
            <w:pPr>
              <w:pStyle w:val="54"/>
              <w:rPr>
                <w:rStyle w:val="21"/>
                <w:rFonts w:ascii="Arial" w:hAnsi="Calibri" w:eastAsia="宋体" w:cs="Times New Roman"/>
              </w:rPr>
            </w:pPr>
          </w:p>
        </w:tc>
        <w:tc>
          <w:tcPr>
            <w:tcW w:w="1023" w:type="dxa"/>
            <w:tcBorders>
              <w:top w:val="single" w:color="000000" w:sz="2" w:space="0"/>
              <w:bottom w:val="single" w:color="000000" w:sz="2" w:space="0"/>
            </w:tcBorders>
            <w:noWrap w:val="0"/>
            <w:vAlign w:val="top"/>
          </w:tcPr>
          <w:p w14:paraId="421F5741">
            <w:pPr>
              <w:pStyle w:val="54"/>
              <w:rPr>
                <w:rStyle w:val="21"/>
                <w:rFonts w:ascii="Arial" w:hAnsi="Calibri" w:eastAsia="宋体" w:cs="Times New Roman"/>
              </w:rPr>
            </w:pPr>
          </w:p>
        </w:tc>
        <w:tc>
          <w:tcPr>
            <w:tcW w:w="929" w:type="dxa"/>
            <w:tcBorders>
              <w:top w:val="single" w:color="000000" w:sz="2" w:space="0"/>
              <w:bottom w:val="single" w:color="000000" w:sz="2" w:space="0"/>
            </w:tcBorders>
            <w:noWrap w:val="0"/>
            <w:vAlign w:val="top"/>
          </w:tcPr>
          <w:p w14:paraId="6A55114A">
            <w:pPr>
              <w:pStyle w:val="54"/>
              <w:rPr>
                <w:rStyle w:val="21"/>
                <w:rFonts w:ascii="Arial" w:hAnsi="Calibri" w:eastAsia="宋体" w:cs="Times New Roman"/>
              </w:rPr>
            </w:pPr>
          </w:p>
        </w:tc>
      </w:tr>
      <w:tr w14:paraId="1AF34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top w:val="single" w:color="000000" w:sz="2" w:space="0"/>
              <w:bottom w:val="single" w:color="000000" w:sz="2" w:space="0"/>
            </w:tcBorders>
            <w:noWrap w:val="0"/>
            <w:vAlign w:val="top"/>
          </w:tcPr>
          <w:p w14:paraId="3C5FCCE5">
            <w:pPr>
              <w:pStyle w:val="54"/>
              <w:rPr>
                <w:rStyle w:val="21"/>
                <w:rFonts w:ascii="Arial" w:hAnsi="Calibri" w:eastAsia="宋体" w:cs="Times New Roman"/>
              </w:rPr>
            </w:pPr>
          </w:p>
        </w:tc>
        <w:tc>
          <w:tcPr>
            <w:tcW w:w="1425" w:type="dxa"/>
            <w:tcBorders>
              <w:top w:val="single" w:color="000000" w:sz="2" w:space="0"/>
              <w:bottom w:val="single" w:color="000000" w:sz="2" w:space="0"/>
            </w:tcBorders>
            <w:noWrap w:val="0"/>
            <w:vAlign w:val="top"/>
          </w:tcPr>
          <w:p w14:paraId="171011B1">
            <w:pPr>
              <w:pStyle w:val="54"/>
              <w:rPr>
                <w:rStyle w:val="21"/>
                <w:rFonts w:ascii="Arial" w:hAnsi="Calibri" w:eastAsia="宋体" w:cs="Times New Roman"/>
              </w:rPr>
            </w:pPr>
          </w:p>
        </w:tc>
        <w:tc>
          <w:tcPr>
            <w:tcW w:w="850" w:type="dxa"/>
            <w:tcBorders>
              <w:top w:val="single" w:color="000000" w:sz="2" w:space="0"/>
              <w:bottom w:val="single" w:color="000000" w:sz="2" w:space="0"/>
            </w:tcBorders>
            <w:noWrap w:val="0"/>
            <w:vAlign w:val="top"/>
          </w:tcPr>
          <w:p w14:paraId="250904A9">
            <w:pPr>
              <w:pStyle w:val="54"/>
              <w:rPr>
                <w:rStyle w:val="21"/>
                <w:rFonts w:ascii="Arial" w:hAnsi="Calibri" w:eastAsia="宋体" w:cs="Times New Roman"/>
              </w:rPr>
            </w:pPr>
          </w:p>
        </w:tc>
        <w:tc>
          <w:tcPr>
            <w:tcW w:w="1052" w:type="dxa"/>
            <w:tcBorders>
              <w:top w:val="single" w:color="000000" w:sz="2" w:space="0"/>
              <w:bottom w:val="single" w:color="000000" w:sz="2" w:space="0"/>
            </w:tcBorders>
            <w:noWrap w:val="0"/>
            <w:vAlign w:val="top"/>
          </w:tcPr>
          <w:p w14:paraId="18C36A37">
            <w:pPr>
              <w:pStyle w:val="54"/>
              <w:rPr>
                <w:rStyle w:val="21"/>
                <w:rFonts w:ascii="Arial" w:hAnsi="Calibri" w:eastAsia="宋体" w:cs="Times New Roman"/>
              </w:rPr>
            </w:pPr>
          </w:p>
        </w:tc>
        <w:tc>
          <w:tcPr>
            <w:tcW w:w="878" w:type="dxa"/>
            <w:tcBorders>
              <w:top w:val="single" w:color="000000" w:sz="2" w:space="0"/>
              <w:bottom w:val="single" w:color="000000" w:sz="2" w:space="0"/>
            </w:tcBorders>
            <w:noWrap w:val="0"/>
            <w:vAlign w:val="top"/>
          </w:tcPr>
          <w:p w14:paraId="691C7C4F">
            <w:pPr>
              <w:pStyle w:val="54"/>
              <w:rPr>
                <w:rStyle w:val="21"/>
                <w:rFonts w:ascii="Arial" w:hAnsi="Calibri" w:eastAsia="宋体" w:cs="Times New Roman"/>
              </w:rPr>
            </w:pPr>
          </w:p>
        </w:tc>
        <w:tc>
          <w:tcPr>
            <w:tcW w:w="1023" w:type="dxa"/>
            <w:tcBorders>
              <w:top w:val="single" w:color="000000" w:sz="2" w:space="0"/>
              <w:bottom w:val="single" w:color="000000" w:sz="2" w:space="0"/>
            </w:tcBorders>
            <w:noWrap w:val="0"/>
            <w:vAlign w:val="top"/>
          </w:tcPr>
          <w:p w14:paraId="042D1CDA">
            <w:pPr>
              <w:pStyle w:val="54"/>
              <w:rPr>
                <w:rStyle w:val="21"/>
                <w:rFonts w:ascii="Arial" w:hAnsi="Calibri" w:eastAsia="宋体" w:cs="Times New Roman"/>
              </w:rPr>
            </w:pPr>
          </w:p>
        </w:tc>
        <w:tc>
          <w:tcPr>
            <w:tcW w:w="1483" w:type="dxa"/>
            <w:tcBorders>
              <w:top w:val="single" w:color="000000" w:sz="2" w:space="0"/>
              <w:bottom w:val="single" w:color="000000" w:sz="2" w:space="0"/>
            </w:tcBorders>
            <w:noWrap w:val="0"/>
            <w:vAlign w:val="top"/>
          </w:tcPr>
          <w:p w14:paraId="462C188B">
            <w:pPr>
              <w:pStyle w:val="54"/>
              <w:rPr>
                <w:rStyle w:val="21"/>
                <w:rFonts w:ascii="Arial" w:hAnsi="Calibri" w:eastAsia="宋体" w:cs="Times New Roman"/>
              </w:rPr>
            </w:pPr>
          </w:p>
        </w:tc>
        <w:tc>
          <w:tcPr>
            <w:tcW w:w="1023" w:type="dxa"/>
            <w:tcBorders>
              <w:top w:val="single" w:color="000000" w:sz="2" w:space="0"/>
              <w:bottom w:val="single" w:color="000000" w:sz="2" w:space="0"/>
            </w:tcBorders>
            <w:noWrap w:val="0"/>
            <w:vAlign w:val="top"/>
          </w:tcPr>
          <w:p w14:paraId="03D62A1C">
            <w:pPr>
              <w:pStyle w:val="54"/>
              <w:rPr>
                <w:rStyle w:val="21"/>
                <w:rFonts w:ascii="Arial" w:hAnsi="Calibri" w:eastAsia="宋体" w:cs="Times New Roman"/>
              </w:rPr>
            </w:pPr>
          </w:p>
        </w:tc>
        <w:tc>
          <w:tcPr>
            <w:tcW w:w="929" w:type="dxa"/>
            <w:tcBorders>
              <w:top w:val="single" w:color="000000" w:sz="2" w:space="0"/>
              <w:bottom w:val="single" w:color="000000" w:sz="2" w:space="0"/>
            </w:tcBorders>
            <w:noWrap w:val="0"/>
            <w:vAlign w:val="top"/>
          </w:tcPr>
          <w:p w14:paraId="07DFDC46">
            <w:pPr>
              <w:pStyle w:val="54"/>
              <w:rPr>
                <w:rStyle w:val="21"/>
                <w:rFonts w:ascii="Arial" w:hAnsi="Calibri" w:eastAsia="宋体" w:cs="Times New Roman"/>
              </w:rPr>
            </w:pPr>
          </w:p>
        </w:tc>
      </w:tr>
      <w:tr w14:paraId="5CE38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top w:val="single" w:color="000000" w:sz="2" w:space="0"/>
              <w:bottom w:val="single" w:color="000000" w:sz="2" w:space="0"/>
            </w:tcBorders>
            <w:noWrap w:val="0"/>
            <w:vAlign w:val="top"/>
          </w:tcPr>
          <w:p w14:paraId="79B00084">
            <w:pPr>
              <w:pStyle w:val="54"/>
              <w:rPr>
                <w:rStyle w:val="21"/>
                <w:rFonts w:ascii="Arial" w:hAnsi="Calibri" w:eastAsia="宋体" w:cs="Times New Roman"/>
              </w:rPr>
            </w:pPr>
          </w:p>
        </w:tc>
        <w:tc>
          <w:tcPr>
            <w:tcW w:w="1425" w:type="dxa"/>
            <w:tcBorders>
              <w:top w:val="single" w:color="000000" w:sz="2" w:space="0"/>
              <w:bottom w:val="single" w:color="000000" w:sz="2" w:space="0"/>
            </w:tcBorders>
            <w:noWrap w:val="0"/>
            <w:vAlign w:val="top"/>
          </w:tcPr>
          <w:p w14:paraId="38A3B512">
            <w:pPr>
              <w:pStyle w:val="54"/>
              <w:rPr>
                <w:rStyle w:val="21"/>
                <w:rFonts w:ascii="Arial" w:hAnsi="Calibri" w:eastAsia="宋体" w:cs="Times New Roman"/>
              </w:rPr>
            </w:pPr>
          </w:p>
        </w:tc>
        <w:tc>
          <w:tcPr>
            <w:tcW w:w="850" w:type="dxa"/>
            <w:tcBorders>
              <w:top w:val="single" w:color="000000" w:sz="2" w:space="0"/>
              <w:bottom w:val="single" w:color="000000" w:sz="2" w:space="0"/>
            </w:tcBorders>
            <w:noWrap w:val="0"/>
            <w:vAlign w:val="top"/>
          </w:tcPr>
          <w:p w14:paraId="4EFA5E5E">
            <w:pPr>
              <w:pStyle w:val="54"/>
              <w:rPr>
                <w:rStyle w:val="21"/>
                <w:rFonts w:ascii="Arial" w:hAnsi="Calibri" w:eastAsia="宋体" w:cs="Times New Roman"/>
              </w:rPr>
            </w:pPr>
          </w:p>
        </w:tc>
        <w:tc>
          <w:tcPr>
            <w:tcW w:w="1052" w:type="dxa"/>
            <w:tcBorders>
              <w:top w:val="single" w:color="000000" w:sz="2" w:space="0"/>
              <w:bottom w:val="single" w:color="000000" w:sz="2" w:space="0"/>
            </w:tcBorders>
            <w:noWrap w:val="0"/>
            <w:vAlign w:val="top"/>
          </w:tcPr>
          <w:p w14:paraId="65F70B10">
            <w:pPr>
              <w:pStyle w:val="54"/>
              <w:rPr>
                <w:rStyle w:val="21"/>
                <w:rFonts w:ascii="Arial" w:hAnsi="Calibri" w:eastAsia="宋体" w:cs="Times New Roman"/>
              </w:rPr>
            </w:pPr>
          </w:p>
        </w:tc>
        <w:tc>
          <w:tcPr>
            <w:tcW w:w="878" w:type="dxa"/>
            <w:tcBorders>
              <w:top w:val="single" w:color="000000" w:sz="2" w:space="0"/>
              <w:bottom w:val="single" w:color="000000" w:sz="2" w:space="0"/>
            </w:tcBorders>
            <w:noWrap w:val="0"/>
            <w:vAlign w:val="top"/>
          </w:tcPr>
          <w:p w14:paraId="480D57BA">
            <w:pPr>
              <w:pStyle w:val="54"/>
              <w:rPr>
                <w:rStyle w:val="21"/>
                <w:rFonts w:ascii="Arial" w:hAnsi="Calibri" w:eastAsia="宋体" w:cs="Times New Roman"/>
              </w:rPr>
            </w:pPr>
          </w:p>
        </w:tc>
        <w:tc>
          <w:tcPr>
            <w:tcW w:w="1023" w:type="dxa"/>
            <w:tcBorders>
              <w:top w:val="single" w:color="000000" w:sz="2" w:space="0"/>
              <w:bottom w:val="single" w:color="000000" w:sz="2" w:space="0"/>
            </w:tcBorders>
            <w:noWrap w:val="0"/>
            <w:vAlign w:val="top"/>
          </w:tcPr>
          <w:p w14:paraId="4BAA871F">
            <w:pPr>
              <w:pStyle w:val="54"/>
              <w:rPr>
                <w:rStyle w:val="21"/>
                <w:rFonts w:ascii="Arial" w:hAnsi="Calibri" w:eastAsia="宋体" w:cs="Times New Roman"/>
              </w:rPr>
            </w:pPr>
          </w:p>
        </w:tc>
        <w:tc>
          <w:tcPr>
            <w:tcW w:w="1483" w:type="dxa"/>
            <w:tcBorders>
              <w:top w:val="single" w:color="000000" w:sz="2" w:space="0"/>
              <w:bottom w:val="single" w:color="000000" w:sz="2" w:space="0"/>
            </w:tcBorders>
            <w:noWrap w:val="0"/>
            <w:vAlign w:val="top"/>
          </w:tcPr>
          <w:p w14:paraId="0D8431D1">
            <w:pPr>
              <w:pStyle w:val="54"/>
              <w:rPr>
                <w:rStyle w:val="21"/>
                <w:rFonts w:ascii="Arial" w:hAnsi="Calibri" w:eastAsia="宋体" w:cs="Times New Roman"/>
              </w:rPr>
            </w:pPr>
          </w:p>
        </w:tc>
        <w:tc>
          <w:tcPr>
            <w:tcW w:w="1023" w:type="dxa"/>
            <w:tcBorders>
              <w:top w:val="single" w:color="000000" w:sz="2" w:space="0"/>
              <w:bottom w:val="single" w:color="000000" w:sz="2" w:space="0"/>
            </w:tcBorders>
            <w:noWrap w:val="0"/>
            <w:vAlign w:val="top"/>
          </w:tcPr>
          <w:p w14:paraId="4E9A86DF">
            <w:pPr>
              <w:pStyle w:val="54"/>
              <w:rPr>
                <w:rStyle w:val="21"/>
                <w:rFonts w:ascii="Arial" w:hAnsi="Calibri" w:eastAsia="宋体" w:cs="Times New Roman"/>
              </w:rPr>
            </w:pPr>
          </w:p>
        </w:tc>
        <w:tc>
          <w:tcPr>
            <w:tcW w:w="929" w:type="dxa"/>
            <w:tcBorders>
              <w:top w:val="single" w:color="000000" w:sz="2" w:space="0"/>
              <w:bottom w:val="single" w:color="000000" w:sz="2" w:space="0"/>
            </w:tcBorders>
            <w:noWrap w:val="0"/>
            <w:vAlign w:val="top"/>
          </w:tcPr>
          <w:p w14:paraId="1153387C">
            <w:pPr>
              <w:pStyle w:val="54"/>
              <w:rPr>
                <w:rStyle w:val="21"/>
                <w:rFonts w:ascii="Arial" w:hAnsi="Calibri" w:eastAsia="宋体" w:cs="Times New Roman"/>
              </w:rPr>
            </w:pPr>
          </w:p>
        </w:tc>
      </w:tr>
      <w:tr w14:paraId="47ED8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top w:val="single" w:color="000000" w:sz="2" w:space="0"/>
              <w:bottom w:val="single" w:color="000000" w:sz="2" w:space="0"/>
            </w:tcBorders>
            <w:noWrap w:val="0"/>
            <w:vAlign w:val="top"/>
          </w:tcPr>
          <w:p w14:paraId="336D6A48">
            <w:pPr>
              <w:pStyle w:val="54"/>
              <w:rPr>
                <w:rStyle w:val="21"/>
                <w:rFonts w:ascii="Arial" w:hAnsi="Calibri" w:eastAsia="宋体" w:cs="Times New Roman"/>
              </w:rPr>
            </w:pPr>
          </w:p>
        </w:tc>
        <w:tc>
          <w:tcPr>
            <w:tcW w:w="1425" w:type="dxa"/>
            <w:tcBorders>
              <w:top w:val="single" w:color="000000" w:sz="2" w:space="0"/>
              <w:bottom w:val="single" w:color="000000" w:sz="2" w:space="0"/>
            </w:tcBorders>
            <w:noWrap w:val="0"/>
            <w:vAlign w:val="top"/>
          </w:tcPr>
          <w:p w14:paraId="4B381552">
            <w:pPr>
              <w:pStyle w:val="54"/>
              <w:rPr>
                <w:rStyle w:val="21"/>
                <w:rFonts w:ascii="Arial" w:hAnsi="Calibri" w:eastAsia="宋体" w:cs="Times New Roman"/>
              </w:rPr>
            </w:pPr>
          </w:p>
        </w:tc>
        <w:tc>
          <w:tcPr>
            <w:tcW w:w="850" w:type="dxa"/>
            <w:tcBorders>
              <w:top w:val="single" w:color="000000" w:sz="2" w:space="0"/>
              <w:bottom w:val="single" w:color="000000" w:sz="2" w:space="0"/>
            </w:tcBorders>
            <w:noWrap w:val="0"/>
            <w:vAlign w:val="top"/>
          </w:tcPr>
          <w:p w14:paraId="620CF36B">
            <w:pPr>
              <w:pStyle w:val="54"/>
              <w:rPr>
                <w:rStyle w:val="21"/>
                <w:rFonts w:ascii="Arial" w:hAnsi="Calibri" w:eastAsia="宋体" w:cs="Times New Roman"/>
              </w:rPr>
            </w:pPr>
          </w:p>
        </w:tc>
        <w:tc>
          <w:tcPr>
            <w:tcW w:w="1052" w:type="dxa"/>
            <w:tcBorders>
              <w:top w:val="single" w:color="000000" w:sz="2" w:space="0"/>
              <w:bottom w:val="single" w:color="000000" w:sz="2" w:space="0"/>
            </w:tcBorders>
            <w:noWrap w:val="0"/>
            <w:vAlign w:val="top"/>
          </w:tcPr>
          <w:p w14:paraId="24315CFD">
            <w:pPr>
              <w:pStyle w:val="54"/>
              <w:rPr>
                <w:rStyle w:val="21"/>
                <w:rFonts w:ascii="Arial" w:hAnsi="Calibri" w:eastAsia="宋体" w:cs="Times New Roman"/>
              </w:rPr>
            </w:pPr>
          </w:p>
        </w:tc>
        <w:tc>
          <w:tcPr>
            <w:tcW w:w="878" w:type="dxa"/>
            <w:tcBorders>
              <w:top w:val="single" w:color="000000" w:sz="2" w:space="0"/>
              <w:bottom w:val="single" w:color="000000" w:sz="2" w:space="0"/>
            </w:tcBorders>
            <w:noWrap w:val="0"/>
            <w:vAlign w:val="top"/>
          </w:tcPr>
          <w:p w14:paraId="2BF944D5">
            <w:pPr>
              <w:pStyle w:val="54"/>
              <w:rPr>
                <w:rStyle w:val="21"/>
                <w:rFonts w:ascii="Arial" w:hAnsi="Calibri" w:eastAsia="宋体" w:cs="Times New Roman"/>
              </w:rPr>
            </w:pPr>
          </w:p>
        </w:tc>
        <w:tc>
          <w:tcPr>
            <w:tcW w:w="1023" w:type="dxa"/>
            <w:tcBorders>
              <w:top w:val="single" w:color="000000" w:sz="2" w:space="0"/>
              <w:bottom w:val="single" w:color="000000" w:sz="2" w:space="0"/>
            </w:tcBorders>
            <w:noWrap w:val="0"/>
            <w:vAlign w:val="top"/>
          </w:tcPr>
          <w:p w14:paraId="1C38C20D">
            <w:pPr>
              <w:pStyle w:val="54"/>
              <w:rPr>
                <w:rStyle w:val="21"/>
                <w:rFonts w:ascii="Arial" w:hAnsi="Calibri" w:eastAsia="宋体" w:cs="Times New Roman"/>
              </w:rPr>
            </w:pPr>
          </w:p>
        </w:tc>
        <w:tc>
          <w:tcPr>
            <w:tcW w:w="1483" w:type="dxa"/>
            <w:tcBorders>
              <w:top w:val="single" w:color="000000" w:sz="2" w:space="0"/>
              <w:bottom w:val="single" w:color="000000" w:sz="2" w:space="0"/>
            </w:tcBorders>
            <w:noWrap w:val="0"/>
            <w:vAlign w:val="top"/>
          </w:tcPr>
          <w:p w14:paraId="202C96A8">
            <w:pPr>
              <w:pStyle w:val="54"/>
              <w:rPr>
                <w:rStyle w:val="21"/>
                <w:rFonts w:ascii="Arial" w:hAnsi="Calibri" w:eastAsia="宋体" w:cs="Times New Roman"/>
              </w:rPr>
            </w:pPr>
          </w:p>
        </w:tc>
        <w:tc>
          <w:tcPr>
            <w:tcW w:w="1023" w:type="dxa"/>
            <w:tcBorders>
              <w:top w:val="single" w:color="000000" w:sz="2" w:space="0"/>
              <w:bottom w:val="single" w:color="000000" w:sz="2" w:space="0"/>
            </w:tcBorders>
            <w:noWrap w:val="0"/>
            <w:vAlign w:val="top"/>
          </w:tcPr>
          <w:p w14:paraId="13208DD7">
            <w:pPr>
              <w:pStyle w:val="54"/>
              <w:rPr>
                <w:rStyle w:val="21"/>
                <w:rFonts w:ascii="Arial" w:hAnsi="Calibri" w:eastAsia="宋体" w:cs="Times New Roman"/>
              </w:rPr>
            </w:pPr>
          </w:p>
        </w:tc>
        <w:tc>
          <w:tcPr>
            <w:tcW w:w="929" w:type="dxa"/>
            <w:tcBorders>
              <w:top w:val="single" w:color="000000" w:sz="2" w:space="0"/>
              <w:bottom w:val="single" w:color="000000" w:sz="2" w:space="0"/>
            </w:tcBorders>
            <w:noWrap w:val="0"/>
            <w:vAlign w:val="top"/>
          </w:tcPr>
          <w:p w14:paraId="6DB41B9F">
            <w:pPr>
              <w:pStyle w:val="54"/>
              <w:rPr>
                <w:rStyle w:val="21"/>
                <w:rFonts w:ascii="Arial" w:hAnsi="Calibri" w:eastAsia="宋体" w:cs="Times New Roman"/>
              </w:rPr>
            </w:pPr>
          </w:p>
        </w:tc>
      </w:tr>
      <w:tr w14:paraId="72F40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1174" w:type="dxa"/>
            <w:tcBorders>
              <w:top w:val="single" w:color="000000" w:sz="2" w:space="0"/>
              <w:bottom w:val="single" w:color="000000" w:sz="2" w:space="0"/>
            </w:tcBorders>
            <w:noWrap w:val="0"/>
            <w:vAlign w:val="top"/>
          </w:tcPr>
          <w:p w14:paraId="1AF419AB">
            <w:pPr>
              <w:pStyle w:val="54"/>
              <w:rPr>
                <w:rStyle w:val="21"/>
                <w:rFonts w:ascii="Arial" w:hAnsi="Calibri" w:eastAsia="宋体" w:cs="Times New Roman"/>
              </w:rPr>
            </w:pPr>
          </w:p>
        </w:tc>
        <w:tc>
          <w:tcPr>
            <w:tcW w:w="1425" w:type="dxa"/>
            <w:tcBorders>
              <w:top w:val="single" w:color="000000" w:sz="2" w:space="0"/>
              <w:bottom w:val="single" w:color="000000" w:sz="2" w:space="0"/>
            </w:tcBorders>
            <w:noWrap w:val="0"/>
            <w:vAlign w:val="top"/>
          </w:tcPr>
          <w:p w14:paraId="2425294D">
            <w:pPr>
              <w:pStyle w:val="54"/>
              <w:rPr>
                <w:rStyle w:val="21"/>
                <w:rFonts w:ascii="Arial" w:hAnsi="Calibri" w:eastAsia="宋体" w:cs="Times New Roman"/>
              </w:rPr>
            </w:pPr>
          </w:p>
        </w:tc>
        <w:tc>
          <w:tcPr>
            <w:tcW w:w="850" w:type="dxa"/>
            <w:tcBorders>
              <w:top w:val="single" w:color="000000" w:sz="2" w:space="0"/>
              <w:bottom w:val="single" w:color="000000" w:sz="2" w:space="0"/>
            </w:tcBorders>
            <w:noWrap w:val="0"/>
            <w:vAlign w:val="top"/>
          </w:tcPr>
          <w:p w14:paraId="10262C4A">
            <w:pPr>
              <w:pStyle w:val="54"/>
              <w:rPr>
                <w:rStyle w:val="21"/>
                <w:rFonts w:ascii="Arial" w:hAnsi="Calibri" w:eastAsia="宋体" w:cs="Times New Roman"/>
              </w:rPr>
            </w:pPr>
          </w:p>
        </w:tc>
        <w:tc>
          <w:tcPr>
            <w:tcW w:w="1052" w:type="dxa"/>
            <w:tcBorders>
              <w:top w:val="single" w:color="000000" w:sz="2" w:space="0"/>
              <w:bottom w:val="single" w:color="000000" w:sz="2" w:space="0"/>
            </w:tcBorders>
            <w:noWrap w:val="0"/>
            <w:vAlign w:val="top"/>
          </w:tcPr>
          <w:p w14:paraId="1FEA4CD3">
            <w:pPr>
              <w:pStyle w:val="54"/>
              <w:rPr>
                <w:rStyle w:val="21"/>
                <w:rFonts w:ascii="Arial" w:hAnsi="Calibri" w:eastAsia="宋体" w:cs="Times New Roman"/>
              </w:rPr>
            </w:pPr>
          </w:p>
        </w:tc>
        <w:tc>
          <w:tcPr>
            <w:tcW w:w="878" w:type="dxa"/>
            <w:tcBorders>
              <w:top w:val="single" w:color="000000" w:sz="2" w:space="0"/>
              <w:bottom w:val="single" w:color="000000" w:sz="2" w:space="0"/>
            </w:tcBorders>
            <w:noWrap w:val="0"/>
            <w:vAlign w:val="top"/>
          </w:tcPr>
          <w:p w14:paraId="31411E90">
            <w:pPr>
              <w:pStyle w:val="54"/>
              <w:rPr>
                <w:rStyle w:val="21"/>
                <w:rFonts w:ascii="Arial" w:hAnsi="Calibri" w:eastAsia="宋体" w:cs="Times New Roman"/>
              </w:rPr>
            </w:pPr>
          </w:p>
        </w:tc>
        <w:tc>
          <w:tcPr>
            <w:tcW w:w="1023" w:type="dxa"/>
            <w:tcBorders>
              <w:top w:val="single" w:color="000000" w:sz="2" w:space="0"/>
              <w:bottom w:val="single" w:color="000000" w:sz="2" w:space="0"/>
            </w:tcBorders>
            <w:noWrap w:val="0"/>
            <w:vAlign w:val="top"/>
          </w:tcPr>
          <w:p w14:paraId="7EF1CEB9">
            <w:pPr>
              <w:pStyle w:val="54"/>
              <w:rPr>
                <w:rStyle w:val="21"/>
                <w:rFonts w:ascii="Arial" w:hAnsi="Calibri" w:eastAsia="宋体" w:cs="Times New Roman"/>
              </w:rPr>
            </w:pPr>
          </w:p>
        </w:tc>
        <w:tc>
          <w:tcPr>
            <w:tcW w:w="1483" w:type="dxa"/>
            <w:tcBorders>
              <w:top w:val="single" w:color="000000" w:sz="2" w:space="0"/>
              <w:bottom w:val="single" w:color="000000" w:sz="2" w:space="0"/>
            </w:tcBorders>
            <w:noWrap w:val="0"/>
            <w:vAlign w:val="top"/>
          </w:tcPr>
          <w:p w14:paraId="48E09B06">
            <w:pPr>
              <w:pStyle w:val="54"/>
              <w:rPr>
                <w:rStyle w:val="21"/>
                <w:rFonts w:ascii="Arial" w:hAnsi="Calibri" w:eastAsia="宋体" w:cs="Times New Roman"/>
              </w:rPr>
            </w:pPr>
          </w:p>
        </w:tc>
        <w:tc>
          <w:tcPr>
            <w:tcW w:w="1023" w:type="dxa"/>
            <w:tcBorders>
              <w:top w:val="single" w:color="000000" w:sz="2" w:space="0"/>
              <w:bottom w:val="single" w:color="000000" w:sz="2" w:space="0"/>
            </w:tcBorders>
            <w:noWrap w:val="0"/>
            <w:vAlign w:val="top"/>
          </w:tcPr>
          <w:p w14:paraId="03A60DBB">
            <w:pPr>
              <w:pStyle w:val="54"/>
              <w:rPr>
                <w:rStyle w:val="21"/>
                <w:rFonts w:ascii="Arial" w:hAnsi="Calibri" w:eastAsia="宋体" w:cs="Times New Roman"/>
              </w:rPr>
            </w:pPr>
          </w:p>
        </w:tc>
        <w:tc>
          <w:tcPr>
            <w:tcW w:w="929" w:type="dxa"/>
            <w:tcBorders>
              <w:top w:val="single" w:color="000000" w:sz="2" w:space="0"/>
              <w:bottom w:val="single" w:color="000000" w:sz="2" w:space="0"/>
            </w:tcBorders>
            <w:noWrap w:val="0"/>
            <w:vAlign w:val="top"/>
          </w:tcPr>
          <w:p w14:paraId="6A8624BC">
            <w:pPr>
              <w:pStyle w:val="54"/>
              <w:rPr>
                <w:rStyle w:val="21"/>
                <w:rFonts w:ascii="Arial" w:hAnsi="Calibri" w:eastAsia="宋体" w:cs="Times New Roman"/>
              </w:rPr>
            </w:pPr>
          </w:p>
        </w:tc>
      </w:tr>
      <w:tr w14:paraId="06858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1174" w:type="dxa"/>
            <w:tcBorders>
              <w:top w:val="single" w:color="000000" w:sz="2" w:space="0"/>
              <w:bottom w:val="single" w:color="000000" w:sz="2" w:space="0"/>
            </w:tcBorders>
            <w:noWrap w:val="0"/>
            <w:vAlign w:val="top"/>
          </w:tcPr>
          <w:p w14:paraId="5F7C63B2">
            <w:pPr>
              <w:pStyle w:val="54"/>
              <w:rPr>
                <w:rStyle w:val="21"/>
                <w:rFonts w:ascii="Arial" w:hAnsi="Calibri" w:eastAsia="宋体" w:cs="Times New Roman"/>
              </w:rPr>
            </w:pPr>
          </w:p>
        </w:tc>
        <w:tc>
          <w:tcPr>
            <w:tcW w:w="1425" w:type="dxa"/>
            <w:tcBorders>
              <w:top w:val="single" w:color="000000" w:sz="2" w:space="0"/>
              <w:bottom w:val="single" w:color="000000" w:sz="2" w:space="0"/>
            </w:tcBorders>
            <w:noWrap w:val="0"/>
            <w:vAlign w:val="top"/>
          </w:tcPr>
          <w:p w14:paraId="39B5C72D">
            <w:pPr>
              <w:pStyle w:val="54"/>
              <w:rPr>
                <w:rStyle w:val="21"/>
                <w:rFonts w:ascii="Arial" w:hAnsi="Calibri" w:eastAsia="宋体" w:cs="Times New Roman"/>
              </w:rPr>
            </w:pPr>
          </w:p>
        </w:tc>
        <w:tc>
          <w:tcPr>
            <w:tcW w:w="850" w:type="dxa"/>
            <w:tcBorders>
              <w:top w:val="single" w:color="000000" w:sz="2" w:space="0"/>
              <w:bottom w:val="single" w:color="000000" w:sz="2" w:space="0"/>
            </w:tcBorders>
            <w:noWrap w:val="0"/>
            <w:vAlign w:val="top"/>
          </w:tcPr>
          <w:p w14:paraId="781DEE3C">
            <w:pPr>
              <w:pStyle w:val="54"/>
              <w:rPr>
                <w:rStyle w:val="21"/>
                <w:rFonts w:ascii="Arial" w:hAnsi="Calibri" w:eastAsia="宋体" w:cs="Times New Roman"/>
              </w:rPr>
            </w:pPr>
          </w:p>
        </w:tc>
        <w:tc>
          <w:tcPr>
            <w:tcW w:w="1052" w:type="dxa"/>
            <w:tcBorders>
              <w:top w:val="single" w:color="000000" w:sz="2" w:space="0"/>
              <w:bottom w:val="single" w:color="000000" w:sz="2" w:space="0"/>
            </w:tcBorders>
            <w:noWrap w:val="0"/>
            <w:vAlign w:val="top"/>
          </w:tcPr>
          <w:p w14:paraId="03174A6D">
            <w:pPr>
              <w:pStyle w:val="54"/>
              <w:rPr>
                <w:rStyle w:val="21"/>
                <w:rFonts w:ascii="Arial" w:hAnsi="Calibri" w:eastAsia="宋体" w:cs="Times New Roman"/>
              </w:rPr>
            </w:pPr>
          </w:p>
        </w:tc>
        <w:tc>
          <w:tcPr>
            <w:tcW w:w="878" w:type="dxa"/>
            <w:tcBorders>
              <w:top w:val="single" w:color="000000" w:sz="2" w:space="0"/>
              <w:bottom w:val="single" w:color="000000" w:sz="2" w:space="0"/>
            </w:tcBorders>
            <w:noWrap w:val="0"/>
            <w:vAlign w:val="top"/>
          </w:tcPr>
          <w:p w14:paraId="11C51046">
            <w:pPr>
              <w:pStyle w:val="54"/>
              <w:rPr>
                <w:rStyle w:val="21"/>
                <w:rFonts w:ascii="Arial" w:hAnsi="Calibri" w:eastAsia="宋体" w:cs="Times New Roman"/>
              </w:rPr>
            </w:pPr>
          </w:p>
        </w:tc>
        <w:tc>
          <w:tcPr>
            <w:tcW w:w="1023" w:type="dxa"/>
            <w:tcBorders>
              <w:top w:val="single" w:color="000000" w:sz="2" w:space="0"/>
              <w:bottom w:val="single" w:color="000000" w:sz="2" w:space="0"/>
            </w:tcBorders>
            <w:noWrap w:val="0"/>
            <w:vAlign w:val="top"/>
          </w:tcPr>
          <w:p w14:paraId="2C7857CA">
            <w:pPr>
              <w:pStyle w:val="54"/>
              <w:rPr>
                <w:rStyle w:val="21"/>
                <w:rFonts w:ascii="Arial" w:hAnsi="Calibri" w:eastAsia="宋体" w:cs="Times New Roman"/>
              </w:rPr>
            </w:pPr>
          </w:p>
        </w:tc>
        <w:tc>
          <w:tcPr>
            <w:tcW w:w="1483" w:type="dxa"/>
            <w:tcBorders>
              <w:top w:val="single" w:color="000000" w:sz="2" w:space="0"/>
              <w:bottom w:val="single" w:color="000000" w:sz="2" w:space="0"/>
            </w:tcBorders>
            <w:noWrap w:val="0"/>
            <w:vAlign w:val="top"/>
          </w:tcPr>
          <w:p w14:paraId="7313DF51">
            <w:pPr>
              <w:pStyle w:val="54"/>
              <w:rPr>
                <w:rStyle w:val="21"/>
                <w:rFonts w:ascii="Arial" w:hAnsi="Calibri" w:eastAsia="宋体" w:cs="Times New Roman"/>
              </w:rPr>
            </w:pPr>
          </w:p>
        </w:tc>
        <w:tc>
          <w:tcPr>
            <w:tcW w:w="1023" w:type="dxa"/>
            <w:tcBorders>
              <w:top w:val="single" w:color="000000" w:sz="2" w:space="0"/>
              <w:bottom w:val="single" w:color="000000" w:sz="2" w:space="0"/>
            </w:tcBorders>
            <w:noWrap w:val="0"/>
            <w:vAlign w:val="top"/>
          </w:tcPr>
          <w:p w14:paraId="22F78A65">
            <w:pPr>
              <w:pStyle w:val="54"/>
              <w:rPr>
                <w:rStyle w:val="21"/>
                <w:rFonts w:ascii="Arial" w:hAnsi="Calibri" w:eastAsia="宋体" w:cs="Times New Roman"/>
              </w:rPr>
            </w:pPr>
          </w:p>
        </w:tc>
        <w:tc>
          <w:tcPr>
            <w:tcW w:w="929" w:type="dxa"/>
            <w:tcBorders>
              <w:top w:val="single" w:color="000000" w:sz="2" w:space="0"/>
              <w:bottom w:val="single" w:color="000000" w:sz="2" w:space="0"/>
            </w:tcBorders>
            <w:noWrap w:val="0"/>
            <w:vAlign w:val="top"/>
          </w:tcPr>
          <w:p w14:paraId="57DBA68F">
            <w:pPr>
              <w:pStyle w:val="54"/>
              <w:rPr>
                <w:rStyle w:val="21"/>
                <w:rFonts w:ascii="Arial" w:hAnsi="Calibri" w:eastAsia="宋体" w:cs="Times New Roman"/>
              </w:rPr>
            </w:pPr>
          </w:p>
        </w:tc>
      </w:tr>
    </w:tbl>
    <w:p w14:paraId="758B136C">
      <w:pPr>
        <w:pStyle w:val="54"/>
        <w:spacing w:line="103" w:lineRule="exact"/>
        <w:rPr>
          <w:rStyle w:val="21"/>
          <w:rFonts w:ascii="Calibri" w:hAnsi="Calibri" w:eastAsia="宋体" w:cs="Times New Roman"/>
        </w:rPr>
      </w:pPr>
    </w:p>
    <w:p w14:paraId="38C42B57">
      <w:pPr>
        <w:pStyle w:val="54"/>
        <w:spacing w:before="85" w:line="220" w:lineRule="auto"/>
        <w:rPr>
          <w:rStyle w:val="21"/>
          <w:rFonts w:ascii="仿宋" w:hAnsi="仿宋" w:eastAsia="仿宋" w:cs="仿宋"/>
          <w:spacing w:val="-15"/>
          <w:sz w:val="30"/>
          <w:szCs w:val="30"/>
        </w:rPr>
      </w:pPr>
    </w:p>
    <w:p w14:paraId="000A6AAC">
      <w:pPr>
        <w:pStyle w:val="54"/>
        <w:spacing w:line="259" w:lineRule="auto"/>
        <w:rPr>
          <w:rStyle w:val="21"/>
          <w:rFonts w:ascii="仿宋" w:hAnsi="仿宋" w:eastAsia="仿宋" w:cs="仿宋"/>
          <w:spacing w:val="-15"/>
          <w:sz w:val="30"/>
          <w:szCs w:val="30"/>
        </w:rPr>
      </w:pPr>
    </w:p>
    <w:p w14:paraId="710B2124">
      <w:pPr>
        <w:pStyle w:val="54"/>
        <w:spacing w:line="259" w:lineRule="auto"/>
        <w:rPr>
          <w:rStyle w:val="21"/>
          <w:rFonts w:ascii="仿宋" w:hAnsi="仿宋" w:eastAsia="仿宋" w:cs="仿宋"/>
          <w:spacing w:val="-15"/>
          <w:sz w:val="30"/>
          <w:szCs w:val="30"/>
        </w:rPr>
      </w:pPr>
    </w:p>
    <w:p w14:paraId="22C33AF5">
      <w:pPr>
        <w:pStyle w:val="54"/>
        <w:spacing w:line="259" w:lineRule="auto"/>
        <w:rPr>
          <w:rStyle w:val="21"/>
          <w:rFonts w:ascii="仿宋" w:hAnsi="仿宋" w:eastAsia="仿宋" w:cs="仿宋"/>
          <w:spacing w:val="-15"/>
          <w:sz w:val="30"/>
          <w:szCs w:val="30"/>
        </w:rPr>
      </w:pPr>
    </w:p>
    <w:p w14:paraId="5F7EB177">
      <w:pPr>
        <w:pStyle w:val="54"/>
        <w:spacing w:line="259" w:lineRule="auto"/>
        <w:rPr>
          <w:rStyle w:val="21"/>
          <w:rFonts w:ascii="仿宋" w:hAnsi="仿宋" w:eastAsia="仿宋" w:cs="仿宋"/>
          <w:spacing w:val="-15"/>
          <w:sz w:val="30"/>
          <w:szCs w:val="30"/>
        </w:rPr>
      </w:pPr>
    </w:p>
    <w:p w14:paraId="1FCFA234">
      <w:pPr>
        <w:pStyle w:val="54"/>
        <w:spacing w:line="259" w:lineRule="auto"/>
        <w:rPr>
          <w:rStyle w:val="21"/>
          <w:rFonts w:ascii="仿宋" w:hAnsi="仿宋" w:eastAsia="仿宋" w:cs="仿宋"/>
          <w:spacing w:val="-15"/>
          <w:sz w:val="30"/>
          <w:szCs w:val="30"/>
        </w:rPr>
      </w:pPr>
    </w:p>
    <w:p w14:paraId="0547C7E6">
      <w:pPr>
        <w:pStyle w:val="54"/>
        <w:spacing w:line="259" w:lineRule="auto"/>
        <w:rPr>
          <w:rStyle w:val="21"/>
          <w:rFonts w:ascii="仿宋" w:hAnsi="仿宋" w:eastAsia="仿宋" w:cs="仿宋"/>
          <w:spacing w:val="-15"/>
          <w:sz w:val="30"/>
          <w:szCs w:val="30"/>
        </w:rPr>
      </w:pPr>
    </w:p>
    <w:p w14:paraId="4FBF493B">
      <w:pPr>
        <w:pStyle w:val="54"/>
        <w:spacing w:line="259" w:lineRule="auto"/>
        <w:rPr>
          <w:rStyle w:val="21"/>
          <w:rFonts w:ascii="仿宋" w:hAnsi="仿宋" w:eastAsia="仿宋" w:cs="仿宋"/>
          <w:spacing w:val="-15"/>
          <w:sz w:val="30"/>
          <w:szCs w:val="30"/>
        </w:rPr>
      </w:pPr>
    </w:p>
    <w:p w14:paraId="3A9C6148">
      <w:pPr>
        <w:pStyle w:val="54"/>
        <w:spacing w:line="259" w:lineRule="auto"/>
        <w:rPr>
          <w:rStyle w:val="21"/>
          <w:rFonts w:ascii="仿宋" w:hAnsi="仿宋" w:eastAsia="仿宋" w:cs="仿宋"/>
          <w:spacing w:val="-15"/>
          <w:sz w:val="30"/>
          <w:szCs w:val="30"/>
        </w:rPr>
      </w:pPr>
    </w:p>
    <w:p w14:paraId="05B2EF16">
      <w:pPr>
        <w:pStyle w:val="54"/>
        <w:spacing w:line="259" w:lineRule="auto"/>
        <w:rPr>
          <w:rStyle w:val="21"/>
          <w:rFonts w:ascii="仿宋" w:hAnsi="仿宋" w:eastAsia="仿宋" w:cs="仿宋"/>
          <w:spacing w:val="-15"/>
          <w:sz w:val="30"/>
          <w:szCs w:val="30"/>
        </w:rPr>
      </w:pPr>
    </w:p>
    <w:p w14:paraId="67B92F8D">
      <w:pPr>
        <w:pStyle w:val="54"/>
        <w:spacing w:line="259" w:lineRule="auto"/>
        <w:rPr>
          <w:rStyle w:val="21"/>
          <w:rFonts w:ascii="Arial" w:hAnsi="Calibri" w:eastAsia="宋体" w:cs="Times New Roman"/>
        </w:rPr>
      </w:pPr>
      <w:r>
        <w:rPr>
          <w:rStyle w:val="21"/>
          <w:rFonts w:ascii="仿宋" w:hAnsi="仿宋" w:eastAsia="仿宋" w:cs="仿宋"/>
          <w:spacing w:val="-15"/>
          <w:sz w:val="30"/>
          <w:szCs w:val="30"/>
        </w:rPr>
        <w:t xml:space="preserve">附件 </w:t>
      </w:r>
      <w:r>
        <w:rPr>
          <w:rStyle w:val="21"/>
          <w:rFonts w:hint="eastAsia" w:ascii="Times New Roman" w:hAnsi="Times New Roman" w:cs="Times New Roman"/>
          <w:spacing w:val="-15"/>
          <w:sz w:val="30"/>
          <w:szCs w:val="30"/>
          <w:lang w:val="en-US" w:eastAsia="zh-CN"/>
        </w:rPr>
        <w:t>3</w:t>
      </w:r>
      <w:r>
        <w:rPr>
          <w:rStyle w:val="21"/>
          <w:rFonts w:ascii="仿宋" w:hAnsi="仿宋" w:eastAsia="仿宋" w:cs="仿宋"/>
          <w:spacing w:val="-15"/>
          <w:sz w:val="30"/>
          <w:szCs w:val="30"/>
        </w:rPr>
        <w:t>：</w:t>
      </w:r>
    </w:p>
    <w:p w14:paraId="3490A5CE">
      <w:pPr>
        <w:pStyle w:val="52"/>
        <w:spacing w:before="120" w:beforeLines="50" w:after="120" w:afterLines="50" w:line="440" w:lineRule="exact"/>
        <w:jc w:val="center"/>
        <w:rPr>
          <w:rFonts w:hint="eastAsia" w:ascii="宋体" w:hAnsi="宋体"/>
          <w:sz w:val="28"/>
          <w:szCs w:val="28"/>
        </w:rPr>
      </w:pPr>
      <w:r>
        <w:rPr>
          <w:rFonts w:hint="eastAsia" w:ascii="宋体" w:hAnsi="宋体"/>
          <w:sz w:val="28"/>
          <w:szCs w:val="28"/>
        </w:rPr>
        <w:t>工程质量保修书</w:t>
      </w:r>
    </w:p>
    <w:p w14:paraId="5AF31746">
      <w:pPr>
        <w:pStyle w:val="52"/>
        <w:spacing w:before="120" w:beforeLines="50" w:after="120" w:afterLines="50" w:line="440" w:lineRule="exact"/>
        <w:jc w:val="center"/>
        <w:rPr>
          <w:rFonts w:hint="eastAsia" w:ascii="宋体" w:hAnsi="宋体"/>
          <w:sz w:val="32"/>
          <w:szCs w:val="32"/>
        </w:rPr>
      </w:pPr>
      <w:r>
        <w:rPr>
          <w:rFonts w:hint="eastAsia" w:ascii="宋体" w:hAnsi="宋体"/>
          <w:sz w:val="32"/>
          <w:szCs w:val="32"/>
        </w:rPr>
        <w:t xml:space="preserve"> </w:t>
      </w:r>
    </w:p>
    <w:p w14:paraId="7FB01698">
      <w:pPr>
        <w:pStyle w:val="52"/>
        <w:spacing w:line="440" w:lineRule="exact"/>
        <w:ind w:firstLine="420" w:firstLineChars="200"/>
        <w:rPr>
          <w:rFonts w:hint="eastAsia" w:ascii="宋体" w:hAnsi="宋体"/>
          <w:szCs w:val="21"/>
        </w:rPr>
      </w:pPr>
      <w:r>
        <w:rPr>
          <w:rFonts w:hint="eastAsia" w:ascii="宋体" w:hAnsi="宋体"/>
        </w:rPr>
        <w:t>发包人（全称）：</w:t>
      </w:r>
      <w:r>
        <w:rPr>
          <w:rFonts w:hint="eastAsia" w:ascii="宋体" w:hAnsi="宋体"/>
          <w:u w:val="single"/>
        </w:rPr>
        <w:t xml:space="preserve">         </w:t>
      </w:r>
      <w:r>
        <w:rPr>
          <w:rFonts w:hint="eastAsia" w:ascii="宋体" w:hAnsi="宋体"/>
        </w:rPr>
        <w:t xml:space="preserve"> </w:t>
      </w:r>
    </w:p>
    <w:p w14:paraId="63A2CD6F">
      <w:pPr>
        <w:pStyle w:val="52"/>
        <w:spacing w:line="440" w:lineRule="exact"/>
        <w:ind w:firstLine="420" w:firstLineChars="200"/>
        <w:rPr>
          <w:rFonts w:hint="eastAsia" w:ascii="宋体" w:hAnsi="宋体"/>
        </w:rPr>
      </w:pPr>
      <w:r>
        <w:rPr>
          <w:rFonts w:hint="eastAsia" w:ascii="宋体" w:hAnsi="宋体"/>
        </w:rPr>
        <w:t>承包人（全称）：</w:t>
      </w:r>
      <w:r>
        <w:rPr>
          <w:rFonts w:hint="eastAsia" w:ascii="宋体" w:hAnsi="宋体"/>
          <w:u w:val="single"/>
        </w:rPr>
        <w:t xml:space="preserve">               </w:t>
      </w:r>
      <w:r>
        <w:rPr>
          <w:rFonts w:hint="eastAsia" w:ascii="宋体" w:hAnsi="宋体"/>
        </w:rPr>
        <w:t xml:space="preserve"> </w:t>
      </w:r>
    </w:p>
    <w:p w14:paraId="65DF6F48">
      <w:pPr>
        <w:pStyle w:val="52"/>
        <w:spacing w:line="440" w:lineRule="exact"/>
        <w:rPr>
          <w:rFonts w:hint="eastAsia" w:ascii="宋体" w:hAnsi="宋体"/>
        </w:rPr>
      </w:pPr>
      <w:r>
        <w:rPr>
          <w:rFonts w:hint="eastAsia" w:ascii="宋体" w:hAnsi="宋体"/>
        </w:rPr>
        <w:t xml:space="preserve"> </w:t>
      </w:r>
    </w:p>
    <w:p w14:paraId="2F091868">
      <w:pPr>
        <w:pStyle w:val="52"/>
        <w:spacing w:line="360" w:lineRule="auto"/>
        <w:ind w:firstLine="420" w:firstLineChars="200"/>
        <w:rPr>
          <w:rFonts w:hint="eastAsia" w:ascii="宋体" w:hAnsi="宋体"/>
        </w:rPr>
      </w:pPr>
      <w:r>
        <w:rPr>
          <w:rFonts w:hint="eastAsia" w:ascii="宋体" w:hAnsi="宋体"/>
        </w:rPr>
        <w:t>发包人和承包人根据《中华人民共和国建筑法》和《建设工程质量管理条例》，经协商一致就</w:t>
      </w:r>
      <w:r>
        <w:rPr>
          <w:rFonts w:hint="eastAsia" w:ascii="宋体" w:hAnsi="宋体"/>
          <w:u w:val="single"/>
        </w:rPr>
        <w:t xml:space="preserve">             </w:t>
      </w:r>
      <w:r>
        <w:rPr>
          <w:rFonts w:hint="eastAsia" w:ascii="宋体" w:hAnsi="宋体"/>
        </w:rPr>
        <w:t>（工程全称）签订工程质量保修书。</w:t>
      </w:r>
    </w:p>
    <w:p w14:paraId="7DAB7123">
      <w:pPr>
        <w:pStyle w:val="52"/>
        <w:spacing w:line="360" w:lineRule="auto"/>
        <w:ind w:firstLine="420" w:firstLineChars="200"/>
        <w:rPr>
          <w:rFonts w:hint="eastAsia" w:ascii="宋体" w:hAnsi="宋体"/>
        </w:rPr>
      </w:pPr>
      <w:r>
        <w:rPr>
          <w:rFonts w:hint="eastAsia" w:ascii="宋体" w:hAnsi="宋体"/>
        </w:rPr>
        <w:t>一、工程质量保修范围和内容</w:t>
      </w:r>
    </w:p>
    <w:p w14:paraId="2A614358">
      <w:pPr>
        <w:pStyle w:val="52"/>
        <w:spacing w:line="360" w:lineRule="auto"/>
        <w:ind w:firstLine="420" w:firstLineChars="200"/>
        <w:rPr>
          <w:rFonts w:hint="eastAsia" w:ascii="宋体" w:hAnsi="宋体"/>
        </w:rPr>
      </w:pPr>
      <w:r>
        <w:rPr>
          <w:rFonts w:hint="eastAsia" w:ascii="宋体" w:hAnsi="宋体"/>
        </w:rPr>
        <w:t>承包人在质量保修期内，按照有关法律规定和合同约定，承担工程质量保修责任。</w:t>
      </w:r>
    </w:p>
    <w:p w14:paraId="54838B8E">
      <w:pPr>
        <w:pStyle w:val="52"/>
        <w:spacing w:line="360" w:lineRule="auto"/>
        <w:ind w:firstLine="420"/>
        <w:rPr>
          <w:rFonts w:hint="eastAsia" w:ascii="宋体" w:hAnsi="宋体"/>
        </w:rPr>
      </w:pPr>
      <w:r>
        <w:rPr>
          <w:rFonts w:hint="eastAsia" w:ascii="宋体" w:hAnsi="宋体"/>
        </w:rPr>
        <w:t>质量保修范围包括地基基础工程、主体结构工程，屋面防水工程、有防水要求的卫生间、房间和外墙面的防渗漏，供热与供冷系统，电气管线、给排水管道、设备安装和装修工程，以及双方约定的其他项目。具体保修的内</w:t>
      </w:r>
      <w:r>
        <w:rPr>
          <w:rFonts w:hint="eastAsia" w:ascii="宋体" w:hAnsi="宋体"/>
          <w:color w:val="auto"/>
        </w:rPr>
        <w:t>容，双方约定如下：</w:t>
      </w:r>
      <w:r>
        <w:rPr>
          <w:rFonts w:hint="eastAsia" w:ascii="宋体" w:hAnsi="宋体"/>
          <w:color w:val="auto"/>
          <w:u w:val="single"/>
          <w:lang w:val="en-US" w:eastAsia="zh-CN"/>
        </w:rPr>
        <w:t xml:space="preserve">                        </w:t>
      </w:r>
      <w:r>
        <w:rPr>
          <w:rFonts w:hint="eastAsia" w:ascii="宋体" w:hAnsi="宋体"/>
          <w:color w:val="auto"/>
        </w:rPr>
        <w:t>。</w:t>
      </w:r>
    </w:p>
    <w:p w14:paraId="7960BF24">
      <w:pPr>
        <w:pStyle w:val="52"/>
        <w:spacing w:line="360" w:lineRule="auto"/>
        <w:ind w:firstLine="420"/>
        <w:rPr>
          <w:rFonts w:hint="eastAsia" w:ascii="宋体" w:hAnsi="宋体"/>
        </w:rPr>
      </w:pPr>
      <w:r>
        <w:rPr>
          <w:rFonts w:hint="eastAsia" w:ascii="宋体" w:hAnsi="宋体"/>
        </w:rPr>
        <w:t>二、质量保修期</w:t>
      </w:r>
    </w:p>
    <w:p w14:paraId="29064185">
      <w:pPr>
        <w:pStyle w:val="52"/>
        <w:spacing w:line="360" w:lineRule="auto"/>
        <w:ind w:firstLine="420"/>
        <w:rPr>
          <w:rFonts w:hint="eastAsia" w:ascii="宋体" w:hAnsi="宋体"/>
        </w:rPr>
      </w:pPr>
      <w:r>
        <w:rPr>
          <w:rFonts w:hint="eastAsia" w:ascii="宋体" w:hAnsi="宋体"/>
        </w:rPr>
        <w:t>根据《建设工程质量管理条例》及有关规定，工程的质量保修期如下：</w:t>
      </w:r>
    </w:p>
    <w:p w14:paraId="78628B6E">
      <w:pPr>
        <w:pStyle w:val="52"/>
        <w:spacing w:line="360" w:lineRule="auto"/>
        <w:ind w:firstLine="420"/>
        <w:rPr>
          <w:rFonts w:hint="eastAsia" w:ascii="宋体" w:hAnsi="宋体"/>
        </w:rPr>
      </w:pPr>
      <w:r>
        <w:rPr>
          <w:rFonts w:hint="eastAsia" w:ascii="宋体" w:hAnsi="宋体"/>
        </w:rPr>
        <w:t>1．地基基础工程和主体结构工程为设计文件规定的工程合理使用年限；</w:t>
      </w:r>
    </w:p>
    <w:p w14:paraId="6F8687E5">
      <w:pPr>
        <w:pStyle w:val="52"/>
        <w:spacing w:line="360" w:lineRule="auto"/>
        <w:ind w:firstLine="420"/>
        <w:rPr>
          <w:rFonts w:hint="eastAsia" w:ascii="宋体" w:hAnsi="宋体"/>
        </w:rPr>
      </w:pPr>
      <w:r>
        <w:rPr>
          <w:rFonts w:hint="eastAsia" w:ascii="宋体" w:hAnsi="宋体"/>
        </w:rPr>
        <w:t>2．屋面防水工程、有防水要求的卫生间、房间和外墙面的防渗为</w:t>
      </w:r>
      <w:r>
        <w:rPr>
          <w:rFonts w:hint="eastAsia" w:ascii="宋体" w:hAnsi="宋体"/>
          <w:u w:val="single"/>
        </w:rPr>
        <w:t xml:space="preserve">    </w:t>
      </w:r>
      <w:r>
        <w:rPr>
          <w:rFonts w:hint="eastAsia" w:ascii="宋体" w:hAnsi="宋体"/>
        </w:rPr>
        <w:t>年；</w:t>
      </w:r>
    </w:p>
    <w:p w14:paraId="3D18D996">
      <w:pPr>
        <w:pStyle w:val="52"/>
        <w:spacing w:line="360" w:lineRule="auto"/>
        <w:ind w:firstLine="420"/>
        <w:rPr>
          <w:rFonts w:hint="eastAsia" w:ascii="宋体" w:hAnsi="宋体"/>
        </w:rPr>
      </w:pPr>
      <w:r>
        <w:rPr>
          <w:rFonts w:hint="eastAsia" w:ascii="宋体" w:hAnsi="宋体"/>
        </w:rPr>
        <w:t>3．装修工程为</w:t>
      </w:r>
      <w:r>
        <w:rPr>
          <w:rFonts w:hint="eastAsia" w:ascii="宋体" w:hAnsi="宋体"/>
          <w:u w:val="single"/>
        </w:rPr>
        <w:t xml:space="preserve">    </w:t>
      </w:r>
      <w:r>
        <w:rPr>
          <w:rFonts w:hint="eastAsia" w:ascii="宋体" w:hAnsi="宋体"/>
        </w:rPr>
        <w:t>年；</w:t>
      </w:r>
    </w:p>
    <w:p w14:paraId="1135854F">
      <w:pPr>
        <w:pStyle w:val="52"/>
        <w:spacing w:line="360" w:lineRule="auto"/>
        <w:ind w:firstLine="420"/>
        <w:rPr>
          <w:rFonts w:hint="eastAsia" w:ascii="宋体" w:hAnsi="宋体"/>
        </w:rPr>
      </w:pPr>
      <w:r>
        <w:rPr>
          <w:rFonts w:hint="eastAsia" w:ascii="宋体" w:hAnsi="宋体"/>
        </w:rPr>
        <w:t>4．电气管线、给排水管道、设备安装工程为</w:t>
      </w:r>
      <w:r>
        <w:rPr>
          <w:rFonts w:hint="eastAsia" w:ascii="宋体" w:hAnsi="宋体"/>
          <w:u w:val="single"/>
        </w:rPr>
        <w:t xml:space="preserve">    </w:t>
      </w:r>
      <w:r>
        <w:rPr>
          <w:rFonts w:hint="eastAsia" w:ascii="宋体" w:hAnsi="宋体"/>
        </w:rPr>
        <w:t>年；</w:t>
      </w:r>
    </w:p>
    <w:p w14:paraId="5FAD777D">
      <w:pPr>
        <w:pStyle w:val="52"/>
        <w:spacing w:line="360" w:lineRule="auto"/>
        <w:ind w:firstLine="420"/>
        <w:rPr>
          <w:rFonts w:hint="eastAsia" w:ascii="宋体" w:hAnsi="宋体"/>
        </w:rPr>
      </w:pPr>
      <w:r>
        <w:rPr>
          <w:rFonts w:hint="eastAsia" w:ascii="宋体" w:hAnsi="宋体"/>
        </w:rPr>
        <w:t>5．供热与供冷系统为</w:t>
      </w:r>
      <w:r>
        <w:rPr>
          <w:rFonts w:hint="eastAsia" w:ascii="宋体" w:hAnsi="宋体"/>
          <w:u w:val="single"/>
        </w:rPr>
        <w:t xml:space="preserve">     </w:t>
      </w:r>
      <w:r>
        <w:rPr>
          <w:rFonts w:hint="eastAsia" w:ascii="宋体" w:hAnsi="宋体"/>
        </w:rPr>
        <w:t>个采暖期、供冷期；</w:t>
      </w:r>
    </w:p>
    <w:p w14:paraId="30DA13AF">
      <w:pPr>
        <w:pStyle w:val="52"/>
        <w:spacing w:line="360" w:lineRule="auto"/>
        <w:ind w:firstLine="420"/>
        <w:rPr>
          <w:rFonts w:hint="eastAsia" w:ascii="宋体" w:hAnsi="宋体"/>
        </w:rPr>
      </w:pPr>
      <w:r>
        <w:rPr>
          <w:rFonts w:hint="eastAsia" w:ascii="宋体" w:hAnsi="宋体"/>
        </w:rPr>
        <w:t>6．住宅小区内的给排水设施、道路等配套工程为</w:t>
      </w:r>
      <w:r>
        <w:rPr>
          <w:rFonts w:hint="eastAsia" w:ascii="宋体" w:hAnsi="宋体"/>
          <w:u w:val="single"/>
        </w:rPr>
        <w:t xml:space="preserve">  </w:t>
      </w:r>
      <w:r>
        <w:rPr>
          <w:rFonts w:hint="eastAsia" w:ascii="宋体" w:hAnsi="宋体"/>
          <w:u w:val="single"/>
          <w:lang w:val="en-US" w:eastAsia="zh-CN"/>
        </w:rPr>
        <w:t xml:space="preserve">  </w:t>
      </w:r>
      <w:r>
        <w:rPr>
          <w:rFonts w:hint="eastAsia" w:ascii="宋体" w:hAnsi="宋体"/>
          <w:u w:val="single"/>
        </w:rPr>
        <w:t xml:space="preserve"> </w:t>
      </w:r>
      <w:r>
        <w:rPr>
          <w:rFonts w:hint="eastAsia" w:ascii="宋体" w:hAnsi="宋体"/>
        </w:rPr>
        <w:t>年；</w:t>
      </w:r>
    </w:p>
    <w:p w14:paraId="44837D83">
      <w:pPr>
        <w:pStyle w:val="52"/>
        <w:spacing w:line="360" w:lineRule="auto"/>
        <w:ind w:firstLine="420"/>
        <w:rPr>
          <w:rFonts w:hint="eastAsia" w:ascii="宋体" w:hAnsi="宋体"/>
        </w:rPr>
      </w:pPr>
      <w:r>
        <w:rPr>
          <w:rFonts w:hint="eastAsia" w:ascii="宋体" w:hAnsi="宋体"/>
        </w:rPr>
        <w:t>7．其他项目保修期限约定如下：</w:t>
      </w:r>
    </w:p>
    <w:p w14:paraId="33F236D1">
      <w:pPr>
        <w:pStyle w:val="52"/>
        <w:spacing w:line="360" w:lineRule="auto"/>
        <w:ind w:firstLine="420"/>
        <w:rPr>
          <w:rFonts w:hint="eastAsia" w:ascii="宋体" w:hAnsi="宋体"/>
        </w:rPr>
      </w:pPr>
      <w:r>
        <w:rPr>
          <w:rFonts w:hint="eastAsia" w:ascii="宋体" w:hAnsi="宋体"/>
          <w:u w:val="single"/>
        </w:rPr>
        <w:t xml:space="preserve">                                                                    </w:t>
      </w:r>
      <w:r>
        <w:rPr>
          <w:rFonts w:hint="eastAsia" w:ascii="宋体" w:hAnsi="宋体"/>
        </w:rPr>
        <w:t>。</w:t>
      </w:r>
    </w:p>
    <w:p w14:paraId="325D27CC">
      <w:pPr>
        <w:pStyle w:val="52"/>
        <w:spacing w:line="360" w:lineRule="auto"/>
        <w:ind w:firstLine="420"/>
        <w:rPr>
          <w:rFonts w:hint="eastAsia" w:ascii="宋体" w:hAnsi="宋体"/>
        </w:rPr>
      </w:pPr>
      <w:r>
        <w:rPr>
          <w:rFonts w:hint="eastAsia" w:ascii="宋体" w:hAnsi="宋体"/>
        </w:rPr>
        <w:t>质量保修期自工程竣工验收合格之日起计算。</w:t>
      </w:r>
    </w:p>
    <w:p w14:paraId="5D5B57EB">
      <w:pPr>
        <w:pStyle w:val="52"/>
        <w:spacing w:line="360" w:lineRule="auto"/>
        <w:ind w:firstLine="420"/>
        <w:rPr>
          <w:rFonts w:hint="eastAsia" w:ascii="宋体" w:hAnsi="宋体"/>
        </w:rPr>
      </w:pPr>
      <w:r>
        <w:rPr>
          <w:rFonts w:hint="eastAsia" w:ascii="宋体" w:hAnsi="宋体"/>
        </w:rPr>
        <w:t>三、缺陷责任期</w:t>
      </w:r>
    </w:p>
    <w:p w14:paraId="383C0470">
      <w:pPr>
        <w:pStyle w:val="52"/>
        <w:spacing w:line="360" w:lineRule="auto"/>
        <w:ind w:firstLine="420"/>
        <w:rPr>
          <w:rFonts w:hint="eastAsia" w:ascii="宋体" w:hAnsi="宋体"/>
        </w:rPr>
      </w:pPr>
      <w:r>
        <w:rPr>
          <w:rFonts w:hint="eastAsia" w:ascii="宋体" w:hAnsi="宋体"/>
        </w:rPr>
        <w:t>工程缺陷责任期为</w:t>
      </w:r>
      <w:r>
        <w:rPr>
          <w:rFonts w:hint="eastAsia" w:ascii="宋体" w:hAnsi="宋体"/>
          <w:u w:val="single"/>
        </w:rPr>
        <w:t xml:space="preserve"> 24 </w:t>
      </w:r>
      <w:r>
        <w:rPr>
          <w:rFonts w:hint="eastAsia" w:ascii="宋体" w:hAnsi="宋体"/>
        </w:rPr>
        <w:t>个月（最长不超过24个月），缺陷责任期自工程竣工验收合格之日起计算。单位工程先于全部工程进行验收，单位工程缺陷责任期自单位工程验收合格之日起算。</w:t>
      </w:r>
    </w:p>
    <w:p w14:paraId="018C6144">
      <w:pPr>
        <w:pStyle w:val="52"/>
        <w:spacing w:line="360" w:lineRule="auto"/>
        <w:ind w:firstLine="420"/>
        <w:rPr>
          <w:rFonts w:hint="eastAsia" w:ascii="宋体" w:hAnsi="宋体"/>
        </w:rPr>
      </w:pPr>
      <w:r>
        <w:rPr>
          <w:rFonts w:hint="eastAsia" w:ascii="宋体" w:hAnsi="宋体"/>
        </w:rPr>
        <w:t>缺陷责任期终止后，发包人应退还剩余的质量保证金。</w:t>
      </w:r>
    </w:p>
    <w:p w14:paraId="22B51EA4">
      <w:pPr>
        <w:pStyle w:val="52"/>
        <w:spacing w:line="360" w:lineRule="auto"/>
        <w:ind w:firstLine="420"/>
        <w:rPr>
          <w:rFonts w:hint="eastAsia" w:ascii="宋体" w:hAnsi="宋体"/>
        </w:rPr>
      </w:pPr>
      <w:r>
        <w:rPr>
          <w:rFonts w:hint="eastAsia" w:ascii="宋体" w:hAnsi="宋体"/>
        </w:rPr>
        <w:t>四、质量保修责任</w:t>
      </w:r>
    </w:p>
    <w:p w14:paraId="5F32EAD4">
      <w:pPr>
        <w:pStyle w:val="52"/>
        <w:spacing w:line="360" w:lineRule="auto"/>
        <w:ind w:left="105" w:leftChars="50" w:firstLine="430" w:firstLineChars="205"/>
        <w:rPr>
          <w:rFonts w:hint="eastAsia" w:ascii="宋体" w:hAnsi="宋体"/>
        </w:rPr>
      </w:pPr>
      <w:r>
        <w:rPr>
          <w:rFonts w:hint="eastAsia" w:ascii="宋体" w:hAnsi="宋体"/>
        </w:rPr>
        <w:t>1．属于保修范围、内容的项目，承包人应当在接到保修通知之日起</w:t>
      </w:r>
      <w:r>
        <w:rPr>
          <w:rFonts w:hint="eastAsia" w:ascii="宋体" w:hAnsi="宋体"/>
          <w:u w:val="single"/>
        </w:rPr>
        <w:t xml:space="preserve">   7   </w:t>
      </w:r>
      <w:r>
        <w:rPr>
          <w:rFonts w:hint="eastAsia" w:ascii="宋体" w:hAnsi="宋体"/>
        </w:rPr>
        <w:t>天内派人保修。承包人不在约定期限内派人保修的，发包人可以委托他人修理，修理费用从质量保修金内扣除。</w:t>
      </w:r>
    </w:p>
    <w:p w14:paraId="295ED056">
      <w:pPr>
        <w:pStyle w:val="52"/>
        <w:spacing w:line="360" w:lineRule="auto"/>
        <w:ind w:firstLine="420"/>
        <w:rPr>
          <w:rFonts w:hint="eastAsia" w:ascii="宋体" w:hAnsi="宋体"/>
        </w:rPr>
      </w:pPr>
      <w:r>
        <w:rPr>
          <w:rFonts w:hint="eastAsia" w:ascii="宋体" w:hAnsi="宋体"/>
        </w:rPr>
        <w:t>2．发生紧急事故需抢修的，承包人在接到事故通知后，应当立即到达事故现场抢修。</w:t>
      </w:r>
    </w:p>
    <w:p w14:paraId="125DB03D">
      <w:pPr>
        <w:pStyle w:val="52"/>
        <w:spacing w:line="360" w:lineRule="auto"/>
        <w:ind w:firstLine="420"/>
        <w:rPr>
          <w:rFonts w:hint="eastAsia" w:ascii="宋体" w:hAnsi="宋体"/>
        </w:rPr>
      </w:pPr>
      <w:r>
        <w:rPr>
          <w:rFonts w:hint="eastAsia" w:ascii="宋体" w:hAnsi="宋体"/>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287C4EF">
      <w:pPr>
        <w:pStyle w:val="52"/>
        <w:spacing w:line="360" w:lineRule="auto"/>
        <w:ind w:firstLine="420"/>
        <w:rPr>
          <w:rFonts w:hint="eastAsia" w:ascii="宋体" w:hAnsi="宋体"/>
        </w:rPr>
      </w:pPr>
      <w:r>
        <w:rPr>
          <w:rFonts w:hint="eastAsia" w:ascii="宋体" w:hAnsi="宋体"/>
        </w:rPr>
        <w:t>4．质量保修完成后，由发包人组织验收。</w:t>
      </w:r>
    </w:p>
    <w:p w14:paraId="5E0060D6">
      <w:pPr>
        <w:pStyle w:val="52"/>
        <w:spacing w:line="360" w:lineRule="auto"/>
        <w:ind w:firstLine="420"/>
        <w:rPr>
          <w:rFonts w:hint="eastAsia" w:ascii="宋体" w:hAnsi="宋体"/>
        </w:rPr>
      </w:pPr>
      <w:r>
        <w:rPr>
          <w:rFonts w:hint="eastAsia" w:ascii="宋体" w:hAnsi="宋体"/>
        </w:rPr>
        <w:t>五、保修费用</w:t>
      </w:r>
    </w:p>
    <w:p w14:paraId="7BD1B5C2">
      <w:pPr>
        <w:pStyle w:val="52"/>
        <w:spacing w:line="360" w:lineRule="auto"/>
        <w:ind w:firstLine="420"/>
        <w:rPr>
          <w:rFonts w:hint="eastAsia" w:ascii="宋体" w:hAnsi="宋体"/>
        </w:rPr>
      </w:pPr>
      <w:r>
        <w:rPr>
          <w:rFonts w:hint="eastAsia" w:ascii="宋体" w:hAnsi="宋体"/>
        </w:rPr>
        <w:t>保修费用由造成质量缺陷的责任方承担。</w:t>
      </w:r>
    </w:p>
    <w:p w14:paraId="4D298FCA">
      <w:pPr>
        <w:pStyle w:val="52"/>
        <w:spacing w:line="360" w:lineRule="auto"/>
        <w:ind w:firstLine="420"/>
        <w:rPr>
          <w:rFonts w:hint="eastAsia" w:ascii="宋体" w:hAnsi="宋体"/>
        </w:rPr>
      </w:pPr>
      <w:r>
        <w:rPr>
          <w:rFonts w:hint="eastAsia" w:ascii="宋体" w:hAnsi="宋体"/>
        </w:rPr>
        <w:t xml:space="preserve">六、双方约定的其他工程质量保修事项： </w:t>
      </w:r>
    </w:p>
    <w:p w14:paraId="2DB58A03">
      <w:pPr>
        <w:pStyle w:val="52"/>
        <w:spacing w:line="360" w:lineRule="auto"/>
        <w:ind w:firstLine="420" w:firstLineChars="200"/>
        <w:jc w:val="left"/>
        <w:rPr>
          <w:rFonts w:hint="eastAsia" w:ascii="宋体" w:hAnsi="宋体"/>
        </w:rPr>
      </w:pPr>
      <w:r>
        <w:rPr>
          <w:rFonts w:hint="eastAsia" w:ascii="宋体" w:hAnsi="宋体"/>
          <w:u w:val="single"/>
        </w:rPr>
        <w:t xml:space="preserve">                                                                          </w:t>
      </w:r>
      <w:r>
        <w:rPr>
          <w:rFonts w:hint="eastAsia" w:ascii="宋体" w:hAnsi="宋体"/>
        </w:rPr>
        <w:t>。</w:t>
      </w:r>
    </w:p>
    <w:p w14:paraId="745ECAF4">
      <w:pPr>
        <w:pStyle w:val="52"/>
        <w:spacing w:line="360" w:lineRule="auto"/>
        <w:ind w:firstLine="399" w:firstLineChars="190"/>
        <w:rPr>
          <w:rFonts w:hint="eastAsia" w:ascii="宋体" w:hAnsi="宋体"/>
        </w:rPr>
      </w:pPr>
      <w:r>
        <w:rPr>
          <w:rFonts w:hint="eastAsia" w:ascii="宋体" w:hAnsi="宋体"/>
        </w:rPr>
        <w:t>工程质量保修书由发包人、承包人在工程竣工验收前共同签署，作为施工合同附件，其有效期限至保修期满。</w:t>
      </w:r>
    </w:p>
    <w:p w14:paraId="44FBD518">
      <w:pPr>
        <w:pStyle w:val="52"/>
        <w:spacing w:line="360" w:lineRule="auto"/>
        <w:ind w:firstLine="420"/>
        <w:rPr>
          <w:rFonts w:hint="eastAsia" w:ascii="宋体" w:hAnsi="宋体"/>
        </w:rPr>
      </w:pPr>
      <w:r>
        <w:rPr>
          <w:rFonts w:hint="eastAsia" w:ascii="宋体" w:hAnsi="宋体"/>
        </w:rPr>
        <w:t xml:space="preserve"> </w:t>
      </w:r>
    </w:p>
    <w:p w14:paraId="6F0899C2">
      <w:pPr>
        <w:pStyle w:val="59"/>
        <w:rPr>
          <w:rFonts w:hint="eastAsia" w:ascii="Calibri" w:hAnsi="Calibri"/>
        </w:rPr>
      </w:pPr>
      <w:r>
        <w:t xml:space="preserve"> </w:t>
      </w:r>
    </w:p>
    <w:p w14:paraId="0E377B4D">
      <w:pPr>
        <w:pStyle w:val="52"/>
        <w:spacing w:before="240" w:beforeLines="100" w:line="360" w:lineRule="auto"/>
        <w:ind w:left="-850" w:leftChars="-405" w:right="-1331" w:rightChars="-634" w:firstLine="840" w:firstLineChars="400"/>
        <w:rPr>
          <w:rFonts w:ascii="宋体" w:hAnsi="宋体"/>
        </w:rPr>
      </w:pPr>
      <w:r>
        <w:rPr>
          <w:rFonts w:hint="eastAsia" w:ascii="宋体" w:hAnsi="宋体"/>
        </w:rPr>
        <w:t>发包人：  （盖章）                              承包人：  （盖章）</w:t>
      </w:r>
    </w:p>
    <w:p w14:paraId="17D8341A">
      <w:pPr>
        <w:pStyle w:val="52"/>
        <w:spacing w:line="360" w:lineRule="auto"/>
        <w:ind w:left="-850" w:leftChars="-405" w:right="-1331" w:rightChars="-634" w:firstLine="840" w:firstLineChars="400"/>
        <w:rPr>
          <w:rFonts w:hint="eastAsia" w:ascii="宋体" w:hAnsi="宋体"/>
          <w:u w:val="single"/>
        </w:rPr>
      </w:pPr>
      <w:r>
        <w:rPr>
          <w:rFonts w:hint="eastAsia" w:ascii="宋体" w:hAnsi="宋体"/>
        </w:rPr>
        <w:t>地  址：</w:t>
      </w:r>
      <w:r>
        <w:rPr>
          <w:rFonts w:hint="eastAsia" w:ascii="宋体" w:hAnsi="宋体"/>
          <w:u w:val="single"/>
        </w:rPr>
        <w:t xml:space="preserve">                    </w:t>
      </w:r>
      <w:r>
        <w:rPr>
          <w:rFonts w:hint="eastAsia" w:ascii="宋体" w:hAnsi="宋体"/>
        </w:rPr>
        <w:t xml:space="preserve">                    地  址：</w:t>
      </w:r>
      <w:r>
        <w:rPr>
          <w:rFonts w:hint="eastAsia" w:ascii="宋体" w:hAnsi="宋体"/>
          <w:u w:val="single"/>
        </w:rPr>
        <w:t xml:space="preserve">                      </w:t>
      </w:r>
    </w:p>
    <w:p w14:paraId="514AE017">
      <w:pPr>
        <w:pStyle w:val="52"/>
        <w:spacing w:line="360" w:lineRule="auto"/>
        <w:ind w:left="-850" w:leftChars="-405" w:right="-1331" w:rightChars="-634" w:firstLine="1680" w:firstLineChars="800"/>
        <w:rPr>
          <w:rFonts w:hint="eastAsia" w:ascii="宋体" w:hAnsi="宋体"/>
          <w:u w:val="single"/>
        </w:rPr>
      </w:pPr>
      <w:r>
        <w:rPr>
          <w:rFonts w:hint="eastAsia" w:ascii="宋体" w:hAnsi="宋体"/>
        </w:rPr>
        <w:t xml:space="preserve">           </w:t>
      </w:r>
    </w:p>
    <w:p w14:paraId="146F5920">
      <w:pPr>
        <w:pStyle w:val="52"/>
        <w:spacing w:line="360" w:lineRule="auto"/>
        <w:ind w:left="-850" w:leftChars="-405" w:right="-1331" w:rightChars="-634" w:firstLine="840" w:firstLineChars="400"/>
        <w:rPr>
          <w:rFonts w:hint="eastAsia" w:ascii="宋体" w:hAnsi="宋体"/>
        </w:rPr>
      </w:pPr>
      <w:r>
        <w:rPr>
          <w:rFonts w:hint="eastAsia" w:ascii="宋体" w:hAnsi="宋体"/>
        </w:rPr>
        <w:t>法定代表人或其委托代理人：                      法定代表人或其委托代理人：</w:t>
      </w:r>
    </w:p>
    <w:p w14:paraId="25B6096E">
      <w:pPr>
        <w:pStyle w:val="52"/>
        <w:spacing w:line="360" w:lineRule="auto"/>
        <w:ind w:right="-1331" w:rightChars="-634" w:firstLine="1155" w:firstLineChars="550"/>
        <w:rPr>
          <w:rFonts w:hint="eastAsia" w:ascii="宋体" w:hAnsi="宋体"/>
        </w:rPr>
      </w:pPr>
      <w:r>
        <w:rPr>
          <w:rFonts w:hint="eastAsia" w:ascii="宋体" w:hAnsi="宋体"/>
        </w:rPr>
        <w:t>（签字或盖章）                                  （签字或盖章）</w:t>
      </w:r>
    </w:p>
    <w:p w14:paraId="58BA1F1A">
      <w:pPr>
        <w:pStyle w:val="52"/>
        <w:spacing w:line="360" w:lineRule="auto"/>
        <w:ind w:left="-850" w:leftChars="-405" w:right="-1331" w:rightChars="-634" w:firstLine="840" w:firstLineChars="400"/>
        <w:rPr>
          <w:rFonts w:hint="eastAsia" w:ascii="宋体" w:hAnsi="宋体"/>
        </w:rPr>
      </w:pPr>
      <w:r>
        <w:rPr>
          <w:rFonts w:hint="eastAsia" w:ascii="宋体" w:hAnsi="宋体"/>
        </w:rPr>
        <w:t>电  话：</w:t>
      </w:r>
      <w:r>
        <w:rPr>
          <w:rFonts w:hint="eastAsia" w:ascii="宋体" w:hAnsi="宋体"/>
          <w:u w:val="single"/>
        </w:rPr>
        <w:t xml:space="preserve">                  </w:t>
      </w:r>
      <w:r>
        <w:rPr>
          <w:rFonts w:hint="eastAsia" w:ascii="宋体" w:hAnsi="宋体"/>
        </w:rPr>
        <w:t xml:space="preserve">                     电  话：</w:t>
      </w:r>
      <w:r>
        <w:rPr>
          <w:rFonts w:hint="eastAsia" w:ascii="宋体" w:hAnsi="宋体"/>
          <w:u w:val="single"/>
        </w:rPr>
        <w:t xml:space="preserve">                            </w:t>
      </w:r>
    </w:p>
    <w:p w14:paraId="01A3C57E">
      <w:pPr>
        <w:pStyle w:val="52"/>
        <w:spacing w:line="360" w:lineRule="auto"/>
        <w:ind w:left="-850" w:leftChars="-405" w:right="-1331" w:rightChars="-634" w:firstLine="840" w:firstLineChars="400"/>
        <w:rPr>
          <w:rFonts w:hint="eastAsia" w:ascii="宋体" w:hAnsi="宋体"/>
        </w:rPr>
      </w:pPr>
      <w:r>
        <w:rPr>
          <w:rFonts w:hint="eastAsia" w:ascii="宋体" w:hAnsi="宋体"/>
        </w:rPr>
        <w:t>传  真：</w:t>
      </w:r>
      <w:r>
        <w:rPr>
          <w:rFonts w:hint="eastAsia" w:ascii="宋体" w:hAnsi="宋体"/>
          <w:u w:val="single"/>
        </w:rPr>
        <w:t xml:space="preserve">                  </w:t>
      </w:r>
      <w:r>
        <w:rPr>
          <w:rFonts w:hint="eastAsia" w:ascii="宋体" w:hAnsi="宋体"/>
        </w:rPr>
        <w:t xml:space="preserve">                     传  真：</w:t>
      </w:r>
      <w:r>
        <w:rPr>
          <w:rFonts w:hint="eastAsia" w:ascii="宋体" w:hAnsi="宋体"/>
          <w:u w:val="single"/>
        </w:rPr>
        <w:t xml:space="preserve">                            </w:t>
      </w:r>
    </w:p>
    <w:p w14:paraId="0F674077">
      <w:pPr>
        <w:pStyle w:val="52"/>
        <w:spacing w:line="360" w:lineRule="auto"/>
        <w:ind w:left="-141" w:leftChars="-67" w:right="-1331" w:rightChars="-634" w:firstLine="105" w:firstLineChars="50"/>
        <w:rPr>
          <w:rFonts w:hint="eastAsia" w:ascii="宋体" w:hAnsi="宋体"/>
        </w:rPr>
      </w:pPr>
      <w:r>
        <w:rPr>
          <w:rFonts w:hint="eastAsia" w:ascii="宋体" w:hAnsi="宋体"/>
        </w:rPr>
        <w:t>开户银行：</w:t>
      </w:r>
      <w:r>
        <w:rPr>
          <w:rFonts w:hint="eastAsia" w:ascii="宋体" w:hAnsi="宋体"/>
          <w:u w:val="single"/>
        </w:rPr>
        <w:t xml:space="preserve">                </w:t>
      </w:r>
      <w:r>
        <w:rPr>
          <w:rFonts w:hint="eastAsia" w:ascii="宋体" w:hAnsi="宋体"/>
        </w:rPr>
        <w:t xml:space="preserve">                     开户银行：</w:t>
      </w:r>
      <w:r>
        <w:rPr>
          <w:rFonts w:hint="eastAsia" w:ascii="宋体" w:hAnsi="宋体"/>
          <w:u w:val="single"/>
        </w:rPr>
        <w:t xml:space="preserve">                           </w:t>
      </w:r>
    </w:p>
    <w:p w14:paraId="1DE2B646">
      <w:pPr>
        <w:pStyle w:val="52"/>
        <w:spacing w:line="360" w:lineRule="auto"/>
        <w:ind w:left="-850" w:leftChars="-405" w:right="-1331" w:rightChars="-634" w:firstLine="840" w:firstLineChars="400"/>
        <w:rPr>
          <w:rFonts w:hint="eastAsia" w:ascii="宋体" w:hAnsi="宋体"/>
          <w:bCs/>
          <w:sz w:val="18"/>
          <w:szCs w:val="18"/>
        </w:rPr>
      </w:pPr>
      <w:r>
        <w:rPr>
          <w:rFonts w:hint="eastAsia" w:ascii="宋体" w:hAnsi="宋体"/>
        </w:rPr>
        <w:t>账  号：</w:t>
      </w:r>
      <w:r>
        <w:rPr>
          <w:rFonts w:hint="eastAsia" w:ascii="宋体" w:hAnsi="宋体"/>
          <w:u w:val="single"/>
        </w:rPr>
        <w:t xml:space="preserve">                 </w:t>
      </w:r>
      <w:r>
        <w:rPr>
          <w:rFonts w:hint="eastAsia" w:ascii="宋体" w:hAnsi="宋体"/>
        </w:rPr>
        <w:t xml:space="preserve">                      账  号：</w:t>
      </w:r>
      <w:r>
        <w:rPr>
          <w:rFonts w:hint="eastAsia" w:ascii="宋体" w:hAnsi="宋体"/>
          <w:u w:val="single"/>
        </w:rPr>
        <w:t xml:space="preserve">                             </w:t>
      </w:r>
    </w:p>
    <w:p w14:paraId="247EF499">
      <w:pPr>
        <w:pStyle w:val="52"/>
        <w:spacing w:line="360" w:lineRule="auto"/>
        <w:ind w:left="-850" w:leftChars="-405" w:right="-1331" w:rightChars="-634" w:firstLine="840" w:firstLineChars="400"/>
        <w:rPr>
          <w:rFonts w:hint="eastAsia" w:ascii="宋体" w:hAnsi="宋体"/>
          <w:szCs w:val="21"/>
          <w:u w:val="single"/>
        </w:rPr>
      </w:pPr>
      <w:r>
        <w:rPr>
          <w:rFonts w:hint="eastAsia" w:ascii="宋体" w:hAnsi="宋体"/>
        </w:rPr>
        <w:t>邮政编码：</w:t>
      </w:r>
      <w:r>
        <w:rPr>
          <w:rFonts w:hint="eastAsia" w:ascii="宋体" w:hAnsi="宋体"/>
          <w:u w:val="single"/>
        </w:rPr>
        <w:t xml:space="preserve">               </w:t>
      </w:r>
      <w:r>
        <w:rPr>
          <w:rFonts w:hint="eastAsia" w:ascii="宋体" w:hAnsi="宋体"/>
        </w:rPr>
        <w:t xml:space="preserve">                       邮政编码：</w:t>
      </w:r>
      <w:r>
        <w:rPr>
          <w:rFonts w:hint="eastAsia" w:ascii="宋体" w:hAnsi="宋体"/>
          <w:u w:val="single"/>
        </w:rPr>
        <w:t xml:space="preserve">                          </w:t>
      </w:r>
    </w:p>
    <w:p w14:paraId="77101BF4">
      <w:pPr>
        <w:pStyle w:val="54"/>
        <w:spacing w:line="260" w:lineRule="auto"/>
        <w:rPr>
          <w:rStyle w:val="21"/>
          <w:rFonts w:ascii="Arial" w:hAnsi="Calibri" w:eastAsia="宋体" w:cs="Times New Roman"/>
          <w:b/>
          <w:bCs/>
        </w:rPr>
      </w:pPr>
    </w:p>
    <w:p w14:paraId="0BA57654">
      <w:pPr>
        <w:pStyle w:val="54"/>
        <w:rPr>
          <w:rStyle w:val="21"/>
          <w:rFonts w:ascii="Arial" w:hAnsi="Calibri" w:eastAsia="宋体" w:cs="Times New Roman"/>
        </w:rPr>
      </w:pPr>
    </w:p>
    <w:p w14:paraId="28301FCA">
      <w:pPr>
        <w:pStyle w:val="54"/>
        <w:spacing w:line="255" w:lineRule="auto"/>
        <w:rPr>
          <w:rStyle w:val="21"/>
          <w:rFonts w:ascii="Arial" w:hAnsi="Calibri" w:eastAsia="宋体" w:cs="Times New Roman"/>
        </w:rPr>
      </w:pPr>
    </w:p>
    <w:p w14:paraId="5FC9248D">
      <w:pPr>
        <w:pStyle w:val="54"/>
        <w:spacing w:line="255" w:lineRule="auto"/>
        <w:rPr>
          <w:rStyle w:val="21"/>
          <w:rFonts w:ascii="Arial" w:hAnsi="Calibri" w:eastAsia="宋体" w:cs="Times New Roman"/>
        </w:rPr>
      </w:pPr>
    </w:p>
    <w:p w14:paraId="5E958BB3">
      <w:pPr>
        <w:pStyle w:val="54"/>
        <w:spacing w:line="255" w:lineRule="auto"/>
        <w:rPr>
          <w:rStyle w:val="21"/>
          <w:rFonts w:ascii="Arial" w:hAnsi="Calibri" w:eastAsia="宋体" w:cs="Times New Roman"/>
        </w:rPr>
      </w:pPr>
    </w:p>
    <w:p w14:paraId="73AB5EAB">
      <w:pPr>
        <w:pStyle w:val="54"/>
        <w:spacing w:line="255" w:lineRule="auto"/>
        <w:rPr>
          <w:rStyle w:val="21"/>
          <w:rFonts w:ascii="Arial" w:hAnsi="Calibri" w:eastAsia="宋体" w:cs="Times New Roman"/>
        </w:rPr>
      </w:pPr>
    </w:p>
    <w:p w14:paraId="72044909">
      <w:pPr>
        <w:pStyle w:val="54"/>
        <w:spacing w:line="255" w:lineRule="auto"/>
        <w:rPr>
          <w:rStyle w:val="21"/>
          <w:rFonts w:ascii="Arial" w:hAnsi="Calibri" w:eastAsia="宋体" w:cs="Times New Roman"/>
        </w:rPr>
      </w:pPr>
    </w:p>
    <w:p w14:paraId="195A7BA7">
      <w:pPr>
        <w:pStyle w:val="54"/>
        <w:spacing w:line="255" w:lineRule="auto"/>
        <w:rPr>
          <w:rStyle w:val="21"/>
          <w:rFonts w:ascii="Arial" w:hAnsi="Calibri" w:eastAsia="宋体" w:cs="Times New Roman"/>
        </w:rPr>
      </w:pPr>
    </w:p>
    <w:p w14:paraId="34AFD155">
      <w:pPr>
        <w:pStyle w:val="54"/>
        <w:spacing w:line="255" w:lineRule="auto"/>
        <w:rPr>
          <w:rStyle w:val="21"/>
          <w:rFonts w:ascii="Arial" w:hAnsi="Calibri" w:eastAsia="宋体" w:cs="Times New Roman"/>
        </w:rPr>
      </w:pPr>
    </w:p>
    <w:p w14:paraId="392472C2">
      <w:pPr>
        <w:pStyle w:val="54"/>
        <w:spacing w:line="255" w:lineRule="auto"/>
        <w:rPr>
          <w:rStyle w:val="21"/>
          <w:rFonts w:ascii="Arial" w:hAnsi="Calibri" w:eastAsia="宋体" w:cs="Times New Roman"/>
        </w:rPr>
      </w:pPr>
    </w:p>
    <w:p w14:paraId="736FB04E">
      <w:pPr>
        <w:pStyle w:val="54"/>
        <w:spacing w:line="255" w:lineRule="auto"/>
        <w:rPr>
          <w:rStyle w:val="21"/>
          <w:rFonts w:ascii="Arial" w:hAnsi="Calibri" w:eastAsia="宋体" w:cs="Times New Roman"/>
        </w:rPr>
      </w:pPr>
    </w:p>
    <w:p w14:paraId="268862A9">
      <w:pPr>
        <w:pStyle w:val="54"/>
        <w:spacing w:line="255" w:lineRule="auto"/>
        <w:rPr>
          <w:rStyle w:val="21"/>
          <w:rFonts w:ascii="Arial" w:hAnsi="Calibri" w:eastAsia="宋体" w:cs="Times New Roman"/>
        </w:rPr>
      </w:pPr>
    </w:p>
    <w:p w14:paraId="438BE9E7">
      <w:pPr>
        <w:pStyle w:val="54"/>
        <w:spacing w:line="255" w:lineRule="auto"/>
        <w:rPr>
          <w:rStyle w:val="21"/>
          <w:rFonts w:ascii="Arial" w:hAnsi="Calibri" w:eastAsia="宋体" w:cs="Times New Roman"/>
        </w:rPr>
      </w:pPr>
    </w:p>
    <w:p w14:paraId="5E5CCE59">
      <w:pPr>
        <w:pStyle w:val="54"/>
        <w:spacing w:line="255" w:lineRule="auto"/>
        <w:rPr>
          <w:rStyle w:val="21"/>
          <w:rFonts w:ascii="Arial" w:hAnsi="Calibri" w:eastAsia="宋体" w:cs="Times New Roman"/>
        </w:rPr>
      </w:pPr>
    </w:p>
    <w:p w14:paraId="76B2BB27">
      <w:pPr>
        <w:pStyle w:val="54"/>
        <w:spacing w:line="255" w:lineRule="auto"/>
        <w:rPr>
          <w:rStyle w:val="21"/>
          <w:rFonts w:ascii="Arial" w:hAnsi="Calibri" w:eastAsia="宋体" w:cs="Times New Roman"/>
        </w:rPr>
      </w:pPr>
    </w:p>
    <w:p w14:paraId="3B7168F5">
      <w:pPr>
        <w:pStyle w:val="54"/>
        <w:spacing w:line="255" w:lineRule="auto"/>
        <w:rPr>
          <w:rStyle w:val="21"/>
          <w:rFonts w:ascii="Arial" w:hAnsi="Calibri" w:eastAsia="宋体" w:cs="Times New Roman"/>
        </w:rPr>
      </w:pPr>
    </w:p>
    <w:p w14:paraId="6B11D8FF">
      <w:pPr>
        <w:pStyle w:val="54"/>
        <w:spacing w:line="255" w:lineRule="auto"/>
        <w:rPr>
          <w:rStyle w:val="21"/>
          <w:rFonts w:ascii="Arial" w:hAnsi="Calibri" w:eastAsia="宋体" w:cs="Times New Roman"/>
        </w:rPr>
      </w:pPr>
    </w:p>
    <w:p w14:paraId="60CFD847">
      <w:pPr>
        <w:pStyle w:val="54"/>
        <w:spacing w:line="255" w:lineRule="auto"/>
        <w:rPr>
          <w:rStyle w:val="21"/>
          <w:rFonts w:ascii="Arial" w:hAnsi="Calibri" w:eastAsia="宋体" w:cs="Times New Roman"/>
        </w:rPr>
      </w:pPr>
    </w:p>
    <w:p w14:paraId="3CD0AA5E">
      <w:pPr>
        <w:pStyle w:val="54"/>
        <w:spacing w:line="255" w:lineRule="auto"/>
        <w:rPr>
          <w:rStyle w:val="21"/>
          <w:rFonts w:ascii="Arial" w:hAnsi="Calibri" w:eastAsia="宋体" w:cs="Times New Roman"/>
        </w:rPr>
      </w:pPr>
    </w:p>
    <w:p w14:paraId="748940DA">
      <w:pPr>
        <w:pStyle w:val="54"/>
        <w:spacing w:line="255" w:lineRule="auto"/>
        <w:rPr>
          <w:rStyle w:val="21"/>
          <w:rFonts w:ascii="Arial" w:hAnsi="Calibri" w:eastAsia="宋体" w:cs="Times New Roman"/>
        </w:rPr>
      </w:pPr>
    </w:p>
    <w:p w14:paraId="3C757190">
      <w:pPr>
        <w:pStyle w:val="54"/>
        <w:spacing w:line="255" w:lineRule="auto"/>
        <w:rPr>
          <w:rStyle w:val="21"/>
          <w:rFonts w:ascii="Arial" w:hAnsi="Calibri" w:eastAsia="宋体" w:cs="Times New Roman"/>
        </w:rPr>
      </w:pPr>
    </w:p>
    <w:p w14:paraId="24A7EEFC">
      <w:pPr>
        <w:pStyle w:val="54"/>
        <w:spacing w:line="255" w:lineRule="auto"/>
        <w:rPr>
          <w:rStyle w:val="21"/>
          <w:rFonts w:ascii="Arial" w:hAnsi="Calibri" w:eastAsia="宋体" w:cs="Times New Roman"/>
        </w:rPr>
      </w:pPr>
    </w:p>
    <w:p w14:paraId="27124A14">
      <w:pPr>
        <w:pStyle w:val="54"/>
        <w:spacing w:line="255" w:lineRule="auto"/>
        <w:rPr>
          <w:rStyle w:val="21"/>
          <w:rFonts w:ascii="Arial" w:hAnsi="Calibri" w:eastAsia="宋体" w:cs="Times New Roman"/>
        </w:rPr>
      </w:pPr>
    </w:p>
    <w:p w14:paraId="45B0E2BA">
      <w:pPr>
        <w:pStyle w:val="54"/>
        <w:spacing w:line="255" w:lineRule="auto"/>
        <w:rPr>
          <w:rStyle w:val="21"/>
          <w:rFonts w:ascii="Arial" w:hAnsi="Calibri" w:eastAsia="宋体" w:cs="Times New Roman"/>
        </w:rPr>
      </w:pPr>
    </w:p>
    <w:p w14:paraId="66A6D632">
      <w:pPr>
        <w:pStyle w:val="54"/>
        <w:spacing w:line="256" w:lineRule="auto"/>
        <w:rPr>
          <w:rStyle w:val="21"/>
          <w:rFonts w:ascii="Arial" w:hAnsi="Calibri" w:eastAsia="宋体" w:cs="Times New Roman"/>
        </w:rPr>
      </w:pPr>
    </w:p>
    <w:p w14:paraId="1E51A167">
      <w:pPr>
        <w:pStyle w:val="54"/>
        <w:spacing w:before="98" w:line="220" w:lineRule="auto"/>
        <w:rPr>
          <w:rStyle w:val="21"/>
          <w:rFonts w:ascii="仿宋" w:hAnsi="仿宋" w:eastAsia="仿宋" w:cs="仿宋"/>
          <w:sz w:val="30"/>
          <w:szCs w:val="30"/>
        </w:rPr>
      </w:pPr>
      <w:r>
        <w:rPr>
          <w:rStyle w:val="21"/>
          <w:rFonts w:ascii="仿宋" w:hAnsi="仿宋" w:eastAsia="仿宋" w:cs="仿宋"/>
          <w:spacing w:val="-15"/>
          <w:sz w:val="30"/>
          <w:szCs w:val="30"/>
        </w:rPr>
        <w:t xml:space="preserve">附件 </w:t>
      </w:r>
      <w:r>
        <w:rPr>
          <w:rStyle w:val="21"/>
          <w:rFonts w:hint="eastAsia" w:ascii="Times New Roman" w:hAnsi="Times New Roman" w:cs="Times New Roman"/>
          <w:spacing w:val="-15"/>
          <w:sz w:val="30"/>
          <w:szCs w:val="30"/>
          <w:lang w:val="en-US" w:eastAsia="zh-CN"/>
        </w:rPr>
        <w:t>4</w:t>
      </w:r>
      <w:r>
        <w:rPr>
          <w:rStyle w:val="21"/>
          <w:rFonts w:ascii="仿宋" w:hAnsi="仿宋" w:eastAsia="仿宋" w:cs="仿宋"/>
          <w:spacing w:val="-15"/>
          <w:sz w:val="30"/>
          <w:szCs w:val="30"/>
        </w:rPr>
        <w:t>：</w:t>
      </w:r>
    </w:p>
    <w:p w14:paraId="25DBF4EB">
      <w:pPr>
        <w:pStyle w:val="6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廉政合同</w:t>
      </w:r>
    </w:p>
    <w:p w14:paraId="65EDA1A0">
      <w:pPr>
        <w:pStyle w:val="60"/>
        <w:spacing w:line="360" w:lineRule="auto"/>
        <w:ind w:firstLine="420" w:firstLineChars="200"/>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z w:val="21"/>
          <w:szCs w:val="21"/>
        </w:rPr>
        <w:t>根据国家有关工程建设、廉政建设的规定，为做好工程建设中的党风廉政建设，保证工程建设高效优质，保证建设资金的安全和有效使用以及投资效益，建设工程的项目法人</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（以下简称“甲方”）与施工单位</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（以下简称“乙方”），特订立如下合同。</w:t>
      </w:r>
      <w:bookmarkStart w:id="1270" w:name="_Toc419363880"/>
    </w:p>
    <w:p w14:paraId="30E88A39">
      <w:pPr>
        <w:pStyle w:val="60"/>
        <w:snapToGrid w:val="0"/>
        <w:spacing w:line="360" w:lineRule="auto"/>
        <w:ind w:firstLine="420" w:firstLineChars="200"/>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z w:val="21"/>
          <w:szCs w:val="21"/>
        </w:rPr>
        <w:t>1.甲乙双方的权利和义务</w:t>
      </w:r>
      <w:bookmarkEnd w:id="1270"/>
    </w:p>
    <w:p w14:paraId="5ECE225C">
      <w:pPr>
        <w:pStyle w:val="60"/>
        <w:snapToGrid w:val="0"/>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（1）严格遵守党和国家的有关法律法规及中纪委监察部的有关规定。</w:t>
      </w:r>
    </w:p>
    <w:p w14:paraId="332A38B4">
      <w:pPr>
        <w:pStyle w:val="60"/>
        <w:snapToGrid w:val="0"/>
        <w:spacing w:line="360" w:lineRule="auto"/>
        <w:ind w:firstLine="41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w w:val="98"/>
          <w:sz w:val="21"/>
          <w:szCs w:val="21"/>
        </w:rPr>
        <w:t>（2）</w:t>
      </w:r>
      <w:r>
        <w:rPr>
          <w:rFonts w:hint="eastAsia" w:asciiTheme="minorEastAsia" w:hAnsiTheme="minorEastAsia" w:eastAsiaTheme="minorEastAsia" w:cstheme="minorEastAsia"/>
          <w:color w:val="auto"/>
          <w:sz w:val="21"/>
          <w:szCs w:val="21"/>
        </w:rPr>
        <w:t>严格执行</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工程的合同文件，自觉按合同办事。</w:t>
      </w:r>
    </w:p>
    <w:p w14:paraId="1560CF3D">
      <w:pPr>
        <w:pStyle w:val="60"/>
        <w:snapToGrid w:val="0"/>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（3）双方的业务活动坚持公开、公正、诚信、透明的原则（法律认定的商业秘密和合同文件另有规定除外），不得损害国家和集体利益，违反工程建设管理规章制度。</w:t>
      </w:r>
    </w:p>
    <w:p w14:paraId="2E28A059">
      <w:pPr>
        <w:pStyle w:val="60"/>
        <w:snapToGrid w:val="0"/>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（4）建立健全廉政制度，开展廉政教育，设立廉政告示牌，公布举报电话，监督并认真查处违法违纪行为。</w:t>
      </w:r>
    </w:p>
    <w:p w14:paraId="32FA2B62">
      <w:pPr>
        <w:pStyle w:val="60"/>
        <w:snapToGrid w:val="0"/>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（5）发现对方在业务活动中有违反廉政规定的行为，有及时提醒对方纠正的权利及义务。</w:t>
      </w:r>
    </w:p>
    <w:p w14:paraId="5E3F186A">
      <w:pPr>
        <w:pStyle w:val="60"/>
        <w:snapToGrid w:val="0"/>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（6）发现对方严重违反本合同义务条款的行为，有向其上级有关部门举报、建议给予处理并要求告知处理结果的权利。</w:t>
      </w:r>
      <w:bookmarkStart w:id="1271" w:name="_Toc419363881"/>
    </w:p>
    <w:p w14:paraId="1D38751A">
      <w:pPr>
        <w:pStyle w:val="60"/>
        <w:snapToGrid w:val="0"/>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2.甲方的义务</w:t>
      </w:r>
      <w:bookmarkEnd w:id="1271"/>
    </w:p>
    <w:p w14:paraId="148AB046">
      <w:pPr>
        <w:pStyle w:val="60"/>
        <w:spacing w:line="360" w:lineRule="auto"/>
        <w:ind w:firstLine="4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（1）甲方及其工作人员不得索要或接受乙方的礼金、有价证券和贵重物品，不得在乙方报销任何应由甲方或甲方工作人员个人支付的费用等。</w:t>
      </w:r>
    </w:p>
    <w:p w14:paraId="55D3EF5D">
      <w:pPr>
        <w:pStyle w:val="60"/>
        <w:spacing w:line="360" w:lineRule="auto"/>
        <w:ind w:firstLine="4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（2）甲方工作人员不得参加乙方安排的超标准宴请和娱乐活动；不得接受乙方提供的通讯工具、交通工具和高档办公用品等。</w:t>
      </w:r>
    </w:p>
    <w:p w14:paraId="5D608282">
      <w:pPr>
        <w:pStyle w:val="60"/>
        <w:spacing w:line="360" w:lineRule="auto"/>
        <w:ind w:firstLine="4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（3）甲方及其工作人员不得要求或者接受乙方为其住房装修、婚丧嫁娶活动、配偶子女的工作安排以及出国出境、旅游等提供方便等。</w:t>
      </w:r>
    </w:p>
    <w:p w14:paraId="0465E649">
      <w:pPr>
        <w:pStyle w:val="60"/>
        <w:spacing w:line="360" w:lineRule="auto"/>
        <w:ind w:firstLine="4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（4）甲方工作人及其配偶、子女不得从事与甲方工程有关的材料设备供应、工程分包、劳务等经济活动等。</w:t>
      </w:r>
    </w:p>
    <w:p w14:paraId="7F745A53">
      <w:pPr>
        <w:pStyle w:val="60"/>
        <w:spacing w:line="360" w:lineRule="auto"/>
        <w:ind w:firstLine="4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（5）甲方及其工作人员不得以任何理由向乙方推荐分包单位或推销材料，不得要求乙方购买合同规定外的材料和设备。</w:t>
      </w:r>
    </w:p>
    <w:p w14:paraId="4DDA7B83">
      <w:pPr>
        <w:pStyle w:val="60"/>
        <w:spacing w:line="360" w:lineRule="auto"/>
        <w:ind w:firstLine="4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（6）甲方工作人员要秉公办事，不准营私舞弊，不准利用职权从事各种个人有偿中介活动和安排个人施工队伍。</w:t>
      </w:r>
      <w:bookmarkStart w:id="1272" w:name="_Toc419363882"/>
    </w:p>
    <w:p w14:paraId="6CED04D6">
      <w:pPr>
        <w:pStyle w:val="60"/>
        <w:spacing w:line="360" w:lineRule="auto"/>
        <w:ind w:firstLine="4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3.乙方义务</w:t>
      </w:r>
      <w:bookmarkEnd w:id="1272"/>
    </w:p>
    <w:p w14:paraId="7CD55E94">
      <w:pPr>
        <w:pStyle w:val="60"/>
        <w:snapToGrid w:val="0"/>
        <w:spacing w:line="360" w:lineRule="auto"/>
        <w:ind w:firstLine="630" w:firstLineChars="3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（1）乙方不得以任何理由向甲方及其工作人员行贿或馈赠礼金、有价证券、贵重礼品。</w:t>
      </w:r>
    </w:p>
    <w:p w14:paraId="27D96693">
      <w:pPr>
        <w:pStyle w:val="60"/>
        <w:snapToGrid w:val="0"/>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（2）乙方不得以任何名义为甲方及其工作人员报销应由甲方单位或个人支付的任何费用。</w:t>
      </w:r>
    </w:p>
    <w:p w14:paraId="3EB3740F">
      <w:pPr>
        <w:pStyle w:val="60"/>
        <w:snapToGrid w:val="0"/>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（3）乙方不得以任何理由安排甲方工作人员参加超标准宴请及娱乐活动。</w:t>
      </w:r>
    </w:p>
    <w:p w14:paraId="25150619">
      <w:pPr>
        <w:pStyle w:val="60"/>
        <w:snapToGrid w:val="0"/>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（4）乙方不得为甲方单位和个人购置或提供通讯工具、交通工具和高档办公用品等。</w:t>
      </w:r>
    </w:p>
    <w:p w14:paraId="155FEBF0">
      <w:pPr>
        <w:pStyle w:val="60"/>
        <w:spacing w:line="360" w:lineRule="auto"/>
        <w:ind w:firstLine="4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4.违约责任</w:t>
      </w:r>
    </w:p>
    <w:p w14:paraId="709B2983">
      <w:pPr>
        <w:pStyle w:val="60"/>
        <w:spacing w:line="360" w:lineRule="auto"/>
        <w:ind w:firstLine="4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（1）甲方及其工作人员违反本合同第一、二条，按管理权限，依据有关规定给予党纪、政纪或组织处理；涉嫌犯罪的，移交司法机关追究刑事责任；给乙方单位造成经济损失的，应予以赔偿。</w:t>
      </w:r>
    </w:p>
    <w:p w14:paraId="691C839E">
      <w:pPr>
        <w:pStyle w:val="60"/>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2）乙方及其工作人员违反本合同第一、三条，按管理权限，依据有关规定给予党纪、政纪或组织处理；给甲方单位造成经济损失的，应予以赔偿；情节严重的，甲方建议工程建设主管部门给予乙方一至三年内不得进入其主管的工程建设市场的处罚。</w:t>
      </w:r>
    </w:p>
    <w:p w14:paraId="7B3E4FCD">
      <w:pPr>
        <w:pStyle w:val="60"/>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5.双方约定：本合同由双方或双方上级单位的纪检监察机关负责监督执行。由甲方或甲方上级单位的纪检监察机关约请乙方或乙方上级单位纪检监察机关对本合同执行情况进行检查，提出在本合同规定范围内的裁定意见。</w:t>
      </w:r>
    </w:p>
    <w:p w14:paraId="72A2F982">
      <w:pPr>
        <w:pStyle w:val="60"/>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6.本合同有效期为甲乙双签署之日起至该工程项目竣工验收后止。</w:t>
      </w:r>
    </w:p>
    <w:p w14:paraId="0D2A0D3E">
      <w:pPr>
        <w:pStyle w:val="60"/>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7.本合同作为</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工程施工合同的附件，与工程施工合同具有同等的法律效力。</w:t>
      </w:r>
    </w:p>
    <w:p w14:paraId="4B35DBF6">
      <w:pPr>
        <w:pStyle w:val="60"/>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8.本合同作为主合同附件。由双方法定代表人或其授权的代理人签署与加盖公章后生效，全部工程竣工验收后失效。</w:t>
      </w:r>
    </w:p>
    <w:p w14:paraId="368BEAAA">
      <w:pPr>
        <w:pStyle w:val="60"/>
        <w:spacing w:line="360" w:lineRule="auto"/>
        <w:rPr>
          <w:rFonts w:hint="eastAsia" w:asciiTheme="minorEastAsia" w:hAnsiTheme="minorEastAsia" w:eastAsiaTheme="minorEastAsia" w:cstheme="minorEastAsia"/>
          <w:color w:val="auto"/>
          <w:sz w:val="21"/>
          <w:szCs w:val="21"/>
        </w:rPr>
      </w:pPr>
    </w:p>
    <w:tbl>
      <w:tblPr>
        <w:tblStyle w:val="19"/>
        <w:tblW w:w="0" w:type="auto"/>
        <w:tblInd w:w="0" w:type="dxa"/>
        <w:tblLayout w:type="fixed"/>
        <w:tblCellMar>
          <w:top w:w="0" w:type="dxa"/>
          <w:left w:w="108" w:type="dxa"/>
          <w:bottom w:w="0" w:type="dxa"/>
          <w:right w:w="108" w:type="dxa"/>
        </w:tblCellMar>
      </w:tblPr>
      <w:tblGrid>
        <w:gridCol w:w="4443"/>
        <w:gridCol w:w="4443"/>
      </w:tblGrid>
      <w:tr w14:paraId="02FA1768">
        <w:tblPrEx>
          <w:tblCellMar>
            <w:top w:w="0" w:type="dxa"/>
            <w:left w:w="108" w:type="dxa"/>
            <w:bottom w:w="0" w:type="dxa"/>
            <w:right w:w="108" w:type="dxa"/>
          </w:tblCellMar>
        </w:tblPrEx>
        <w:trPr>
          <w:trHeight w:val="716" w:hRule="atLeast"/>
        </w:trPr>
        <w:tc>
          <w:tcPr>
            <w:tcW w:w="4443" w:type="dxa"/>
            <w:noWrap w:val="0"/>
            <w:vAlign w:val="center"/>
          </w:tcPr>
          <w:p w14:paraId="2173C1B7">
            <w:pPr>
              <w:pStyle w:val="62"/>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发包人（公章）：  </w:t>
            </w:r>
          </w:p>
        </w:tc>
        <w:tc>
          <w:tcPr>
            <w:tcW w:w="4443" w:type="dxa"/>
            <w:noWrap w:val="0"/>
            <w:vAlign w:val="center"/>
          </w:tcPr>
          <w:p w14:paraId="27B026E4">
            <w:pPr>
              <w:pStyle w:val="62"/>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承包人（公章）：  </w:t>
            </w:r>
          </w:p>
        </w:tc>
      </w:tr>
      <w:tr w14:paraId="0461F010">
        <w:tblPrEx>
          <w:tblCellMar>
            <w:top w:w="0" w:type="dxa"/>
            <w:left w:w="108" w:type="dxa"/>
            <w:bottom w:w="0" w:type="dxa"/>
            <w:right w:w="108" w:type="dxa"/>
          </w:tblCellMar>
        </w:tblPrEx>
        <w:tc>
          <w:tcPr>
            <w:tcW w:w="4443" w:type="dxa"/>
            <w:noWrap w:val="0"/>
            <w:vAlign w:val="center"/>
          </w:tcPr>
          <w:p w14:paraId="2609046A">
            <w:pPr>
              <w:pStyle w:val="62"/>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法定代表人或</w:t>
            </w:r>
          </w:p>
          <w:p w14:paraId="5C89BDA1">
            <w:pPr>
              <w:pStyle w:val="62"/>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其委托代理人：</w:t>
            </w:r>
          </w:p>
        </w:tc>
        <w:tc>
          <w:tcPr>
            <w:tcW w:w="4443" w:type="dxa"/>
            <w:noWrap w:val="0"/>
            <w:vAlign w:val="center"/>
          </w:tcPr>
          <w:p w14:paraId="0F969BFA">
            <w:pPr>
              <w:pStyle w:val="62"/>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法定代表人或</w:t>
            </w:r>
          </w:p>
          <w:p w14:paraId="1B32F556">
            <w:pPr>
              <w:pStyle w:val="62"/>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其委托代理人：</w:t>
            </w:r>
          </w:p>
        </w:tc>
      </w:tr>
      <w:tr w14:paraId="0628DF99">
        <w:tblPrEx>
          <w:tblCellMar>
            <w:top w:w="0" w:type="dxa"/>
            <w:left w:w="108" w:type="dxa"/>
            <w:bottom w:w="0" w:type="dxa"/>
            <w:right w:w="108" w:type="dxa"/>
          </w:tblCellMar>
        </w:tblPrEx>
        <w:tc>
          <w:tcPr>
            <w:tcW w:w="4443" w:type="dxa"/>
            <w:noWrap w:val="0"/>
            <w:vAlign w:val="center"/>
          </w:tcPr>
          <w:p w14:paraId="60C37A29">
            <w:pPr>
              <w:pStyle w:val="62"/>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联 系 人：</w:t>
            </w:r>
          </w:p>
        </w:tc>
        <w:tc>
          <w:tcPr>
            <w:tcW w:w="4443" w:type="dxa"/>
            <w:noWrap w:val="0"/>
            <w:vAlign w:val="center"/>
          </w:tcPr>
          <w:p w14:paraId="02276B0D">
            <w:pPr>
              <w:pStyle w:val="62"/>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联 系 人：</w:t>
            </w:r>
          </w:p>
        </w:tc>
      </w:tr>
      <w:tr w14:paraId="7D238190">
        <w:tblPrEx>
          <w:tblCellMar>
            <w:top w:w="0" w:type="dxa"/>
            <w:left w:w="108" w:type="dxa"/>
            <w:bottom w:w="0" w:type="dxa"/>
            <w:right w:w="108" w:type="dxa"/>
          </w:tblCellMar>
        </w:tblPrEx>
        <w:tc>
          <w:tcPr>
            <w:tcW w:w="4443" w:type="dxa"/>
            <w:noWrap w:val="0"/>
            <w:vAlign w:val="center"/>
          </w:tcPr>
          <w:p w14:paraId="04C308CF">
            <w:pPr>
              <w:pStyle w:val="62"/>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固定电话：</w:t>
            </w:r>
          </w:p>
        </w:tc>
        <w:tc>
          <w:tcPr>
            <w:tcW w:w="4443" w:type="dxa"/>
            <w:noWrap w:val="0"/>
            <w:vAlign w:val="center"/>
          </w:tcPr>
          <w:p w14:paraId="67CE2453">
            <w:pPr>
              <w:pStyle w:val="62"/>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移动电话： </w:t>
            </w:r>
          </w:p>
        </w:tc>
      </w:tr>
      <w:tr w14:paraId="43CD3DDF">
        <w:tblPrEx>
          <w:tblCellMar>
            <w:top w:w="0" w:type="dxa"/>
            <w:left w:w="108" w:type="dxa"/>
            <w:bottom w:w="0" w:type="dxa"/>
            <w:right w:w="108" w:type="dxa"/>
          </w:tblCellMar>
        </w:tblPrEx>
        <w:tc>
          <w:tcPr>
            <w:tcW w:w="4443" w:type="dxa"/>
            <w:noWrap w:val="0"/>
            <w:vAlign w:val="center"/>
          </w:tcPr>
          <w:p w14:paraId="1B1134ED">
            <w:pPr>
              <w:pStyle w:val="62"/>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地    址：</w:t>
            </w:r>
          </w:p>
        </w:tc>
        <w:tc>
          <w:tcPr>
            <w:tcW w:w="4443" w:type="dxa"/>
            <w:noWrap w:val="0"/>
            <w:vAlign w:val="center"/>
          </w:tcPr>
          <w:p w14:paraId="727C784B">
            <w:pPr>
              <w:pStyle w:val="62"/>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地    址：</w:t>
            </w:r>
          </w:p>
        </w:tc>
      </w:tr>
    </w:tbl>
    <w:p w14:paraId="1E413060">
      <w:pPr>
        <w:pStyle w:val="52"/>
        <w:autoSpaceDE w:val="0"/>
        <w:autoSpaceDN w:val="0"/>
        <w:spacing w:line="326" w:lineRule="auto"/>
        <w:ind w:left="1084" w:right="389" w:hanging="660"/>
        <w:rPr>
          <w:rFonts w:ascii="宋体" w:hAnsi="宋体" w:cs="宋体"/>
          <w:color w:val="auto"/>
          <w:kern w:val="0"/>
          <w:sz w:val="24"/>
          <w:szCs w:val="24"/>
          <w:highlight w:val="none"/>
          <w:lang w:bidi="zh-CN"/>
        </w:rPr>
      </w:pPr>
    </w:p>
    <w:bookmarkEnd w:id="142"/>
    <w:p w14:paraId="06278B6F">
      <w:pPr>
        <w:rPr>
          <w:rFonts w:hint="eastAsia"/>
          <w:color w:val="auto"/>
          <w:sz w:val="20"/>
          <w:highlight w:val="none"/>
        </w:rPr>
      </w:pPr>
    </w:p>
    <w:p w14:paraId="5F6D1D37">
      <w:pPr>
        <w:rPr>
          <w:color w:val="auto"/>
          <w:highlight w:val="none"/>
        </w:rPr>
      </w:pPr>
    </w:p>
    <w:p w14:paraId="5A899BCE">
      <w:pPr>
        <w:pStyle w:val="8"/>
        <w:spacing w:before="27"/>
        <w:rPr>
          <w:rFonts w:ascii="Times New Roman"/>
          <w:color w:val="auto"/>
          <w:sz w:val="19"/>
          <w:highlight w:val="none"/>
        </w:rPr>
      </w:pPr>
      <w:r>
        <w:rPr>
          <w:rFonts w:ascii="Times New Roman"/>
          <w:b/>
          <w:color w:val="auto"/>
          <w:highlight w:val="none"/>
          <w:u w:val="single"/>
        </w:rPr>
        <w:br w:type="page"/>
      </w:r>
    </w:p>
    <w:p w14:paraId="06E03617">
      <w:pPr>
        <w:spacing w:before="41"/>
        <w:ind w:left="2659"/>
        <w:outlineLvl w:val="1"/>
        <w:rPr>
          <w:rFonts w:hint="eastAsia"/>
          <w:b/>
          <w:color w:val="auto"/>
          <w:sz w:val="44"/>
          <w:szCs w:val="44"/>
          <w:highlight w:val="none"/>
        </w:rPr>
      </w:pPr>
      <w:bookmarkStart w:id="1273" w:name="_Toc256000034"/>
      <w:bookmarkStart w:id="1274" w:name="_Toc39866686"/>
      <w:bookmarkStart w:id="1275" w:name="_Toc25536"/>
    </w:p>
    <w:p w14:paraId="1AFC05DA">
      <w:pPr>
        <w:spacing w:before="41"/>
        <w:ind w:left="2659"/>
        <w:outlineLvl w:val="1"/>
        <w:rPr>
          <w:b/>
          <w:color w:val="auto"/>
          <w:sz w:val="44"/>
          <w:szCs w:val="44"/>
          <w:highlight w:val="none"/>
        </w:rPr>
      </w:pPr>
      <w:r>
        <w:rPr>
          <w:rFonts w:hint="eastAsia"/>
          <w:b/>
          <w:color w:val="auto"/>
          <w:sz w:val="44"/>
          <w:szCs w:val="44"/>
          <w:highlight w:val="none"/>
        </w:rPr>
        <w:t>第三节合同附件格式</w:t>
      </w:r>
      <w:bookmarkEnd w:id="1273"/>
      <w:bookmarkEnd w:id="1274"/>
      <w:bookmarkEnd w:id="1275"/>
    </w:p>
    <w:p w14:paraId="33215E9C">
      <w:pPr>
        <w:rPr>
          <w:color w:val="auto"/>
          <w:highlight w:val="none"/>
        </w:rPr>
      </w:pPr>
      <w:bookmarkStart w:id="1276" w:name="EB7ab065c8226b403aacbdb9e32a656d2d"/>
    </w:p>
    <w:p w14:paraId="53C53EB7">
      <w:pPr>
        <w:pStyle w:val="65"/>
        <w:spacing w:line="360" w:lineRule="auto"/>
        <w:rPr>
          <w:rFonts w:hint="eastAsia" w:ascii="宋体" w:hAnsi="宋体" w:eastAsia="宋体" w:cs="宋体"/>
          <w:color w:val="000000"/>
          <w:sz w:val="21"/>
          <w:szCs w:val="21"/>
          <w:u w:val="single"/>
        </w:rPr>
      </w:pPr>
      <w:r>
        <w:rPr>
          <w:rFonts w:hint="eastAsia" w:ascii="宋体" w:hAnsi="宋体" w:eastAsia="宋体" w:cs="宋体"/>
          <w:color w:val="000000"/>
          <w:sz w:val="21"/>
          <w:szCs w:val="21"/>
        </w:rPr>
        <w:t>发包人（全称）：</w:t>
      </w:r>
      <w:r>
        <w:rPr>
          <w:rFonts w:hint="eastAsia" w:ascii="宋体" w:hAnsi="宋体" w:eastAsia="宋体" w:cs="宋体"/>
          <w:color w:val="000000"/>
          <w:sz w:val="21"/>
          <w:szCs w:val="21"/>
          <w:u w:val="single"/>
        </w:rPr>
        <w:t xml:space="preserve">            </w:t>
      </w:r>
    </w:p>
    <w:p w14:paraId="56F13F51">
      <w:pPr>
        <w:pStyle w:val="65"/>
        <w:spacing w:line="360" w:lineRule="auto"/>
        <w:rPr>
          <w:rFonts w:hint="eastAsia" w:ascii="宋体" w:hAnsi="宋体" w:eastAsia="宋体" w:cs="宋体"/>
          <w:color w:val="000000"/>
          <w:sz w:val="21"/>
          <w:szCs w:val="21"/>
          <w:u w:val="single"/>
        </w:rPr>
      </w:pPr>
      <w:r>
        <w:rPr>
          <w:rFonts w:hint="eastAsia" w:ascii="宋体" w:hAnsi="宋体" w:eastAsia="宋体" w:cs="宋体"/>
          <w:color w:val="000000"/>
          <w:sz w:val="21"/>
          <w:szCs w:val="21"/>
        </w:rPr>
        <w:t>承包人（全称）：</w:t>
      </w:r>
      <w:r>
        <w:rPr>
          <w:rFonts w:hint="eastAsia" w:ascii="宋体" w:hAnsi="宋体" w:eastAsia="宋体" w:cs="宋体"/>
          <w:color w:val="000000"/>
          <w:sz w:val="21"/>
          <w:szCs w:val="21"/>
          <w:u w:val="single"/>
        </w:rPr>
        <w:t xml:space="preserve">            </w:t>
      </w:r>
    </w:p>
    <w:p w14:paraId="07307735">
      <w:pPr>
        <w:pStyle w:val="65"/>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根据《中华人民共和国民法典》、《中华人民共和国建筑法》及有关法律规定，遵循平等、自愿、公平和诚实信用的原则，双方就</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工程施工及有关事项协商一致，共同达成如下协议：</w:t>
      </w:r>
      <w:bookmarkStart w:id="1277" w:name="_Toc351203481"/>
    </w:p>
    <w:p w14:paraId="0E8F5F55">
      <w:pPr>
        <w:pStyle w:val="65"/>
        <w:spacing w:line="360" w:lineRule="auto"/>
        <w:ind w:firstLine="422" w:firstLineChars="200"/>
        <w:outlineLvl w:val="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一、工程概况</w:t>
      </w:r>
      <w:bookmarkEnd w:id="1277"/>
    </w:p>
    <w:p w14:paraId="2DE5AFF9">
      <w:pPr>
        <w:pStyle w:val="65"/>
        <w:spacing w:line="360" w:lineRule="auto"/>
        <w:ind w:firstLine="411" w:firstLineChars="196"/>
        <w:rPr>
          <w:rFonts w:hint="eastAsia" w:ascii="宋体" w:hAnsi="宋体" w:eastAsia="宋体" w:cs="宋体"/>
          <w:color w:val="000000"/>
          <w:sz w:val="21"/>
          <w:szCs w:val="21"/>
          <w:u w:val="single"/>
        </w:rPr>
      </w:pPr>
      <w:r>
        <w:rPr>
          <w:rFonts w:hint="eastAsia" w:ascii="宋体" w:hAnsi="宋体" w:eastAsia="宋体" w:cs="宋体"/>
          <w:color w:val="000000"/>
          <w:sz w:val="21"/>
          <w:szCs w:val="21"/>
        </w:rPr>
        <w:t>1. 工程名称：</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1ED593B3">
      <w:pPr>
        <w:pStyle w:val="65"/>
        <w:spacing w:line="360" w:lineRule="auto"/>
        <w:ind w:firstLine="411" w:firstLineChars="196"/>
        <w:rPr>
          <w:rFonts w:hint="eastAsia" w:ascii="宋体" w:hAnsi="宋体" w:eastAsia="宋体" w:cs="宋体"/>
          <w:color w:val="000000"/>
          <w:sz w:val="21"/>
          <w:szCs w:val="21"/>
        </w:rPr>
      </w:pPr>
      <w:r>
        <w:rPr>
          <w:rFonts w:hint="eastAsia" w:ascii="宋体" w:hAnsi="宋体" w:eastAsia="宋体" w:cs="宋体"/>
          <w:color w:val="000000"/>
          <w:sz w:val="21"/>
          <w:szCs w:val="21"/>
        </w:rPr>
        <w:t>2. 工程地点：</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31780FA6">
      <w:pPr>
        <w:pStyle w:val="65"/>
        <w:spacing w:line="360" w:lineRule="auto"/>
        <w:ind w:firstLine="411" w:firstLineChars="196"/>
        <w:rPr>
          <w:rFonts w:hint="eastAsia" w:ascii="宋体" w:hAnsi="宋体" w:eastAsia="宋体" w:cs="宋体"/>
          <w:color w:val="000000"/>
          <w:sz w:val="21"/>
          <w:szCs w:val="21"/>
        </w:rPr>
      </w:pPr>
      <w:r>
        <w:rPr>
          <w:rFonts w:hint="eastAsia" w:ascii="宋体" w:hAnsi="宋体" w:eastAsia="宋体" w:cs="宋体"/>
          <w:color w:val="000000"/>
          <w:sz w:val="21"/>
          <w:szCs w:val="21"/>
        </w:rPr>
        <w:t>3. 工程立项批准文号：</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5547D124">
      <w:pPr>
        <w:pStyle w:val="65"/>
        <w:spacing w:line="360" w:lineRule="auto"/>
        <w:ind w:firstLine="411" w:firstLineChars="196"/>
        <w:rPr>
          <w:rFonts w:hint="eastAsia" w:ascii="宋体" w:hAnsi="宋体" w:eastAsia="宋体" w:cs="宋体"/>
          <w:color w:val="000000"/>
          <w:sz w:val="21"/>
          <w:szCs w:val="21"/>
        </w:rPr>
      </w:pPr>
      <w:r>
        <w:rPr>
          <w:rFonts w:hint="eastAsia" w:ascii="宋体" w:hAnsi="宋体" w:eastAsia="宋体" w:cs="宋体"/>
          <w:color w:val="000000"/>
          <w:sz w:val="21"/>
          <w:szCs w:val="21"/>
        </w:rPr>
        <w:t>4. 资金来源：</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110401BC">
      <w:pPr>
        <w:pStyle w:val="65"/>
        <w:spacing w:line="360" w:lineRule="auto"/>
        <w:ind w:firstLine="411" w:firstLineChars="196"/>
        <w:rPr>
          <w:rFonts w:hint="eastAsia" w:ascii="宋体" w:hAnsi="宋体" w:eastAsia="宋体" w:cs="宋体"/>
          <w:color w:val="000000"/>
          <w:sz w:val="21"/>
          <w:szCs w:val="21"/>
        </w:rPr>
      </w:pPr>
      <w:r>
        <w:rPr>
          <w:rFonts w:hint="eastAsia" w:ascii="宋体" w:hAnsi="宋体" w:eastAsia="宋体" w:cs="宋体"/>
          <w:color w:val="000000"/>
          <w:sz w:val="21"/>
          <w:szCs w:val="21"/>
        </w:rPr>
        <w:t>5. 工程内容：</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0CC69488">
      <w:pPr>
        <w:pStyle w:val="65"/>
        <w:spacing w:line="360" w:lineRule="auto"/>
        <w:ind w:firstLine="411" w:firstLineChars="196"/>
        <w:rPr>
          <w:rFonts w:hint="eastAsia" w:ascii="宋体" w:hAnsi="宋体" w:eastAsia="宋体" w:cs="宋体"/>
          <w:color w:val="000000"/>
          <w:sz w:val="21"/>
          <w:szCs w:val="21"/>
        </w:rPr>
      </w:pPr>
      <w:r>
        <w:rPr>
          <w:rFonts w:hint="eastAsia" w:ascii="宋体" w:hAnsi="宋体" w:eastAsia="宋体" w:cs="宋体"/>
          <w:color w:val="000000"/>
          <w:sz w:val="21"/>
          <w:szCs w:val="21"/>
        </w:rPr>
        <w:t>群体工程应附《承包人承揽工程项目一览表》（附件1）。</w:t>
      </w:r>
    </w:p>
    <w:p w14:paraId="25A41415">
      <w:pPr>
        <w:pStyle w:val="65"/>
        <w:spacing w:line="360" w:lineRule="auto"/>
        <w:ind w:firstLine="411" w:firstLineChars="196"/>
        <w:rPr>
          <w:rFonts w:hint="eastAsia" w:ascii="宋体" w:hAnsi="宋体" w:eastAsia="宋体" w:cs="宋体"/>
          <w:color w:val="000000"/>
          <w:sz w:val="21"/>
          <w:szCs w:val="21"/>
        </w:rPr>
      </w:pPr>
      <w:r>
        <w:rPr>
          <w:rFonts w:hint="eastAsia" w:ascii="宋体" w:hAnsi="宋体" w:eastAsia="宋体" w:cs="宋体"/>
          <w:color w:val="000000"/>
          <w:sz w:val="21"/>
          <w:szCs w:val="21"/>
        </w:rPr>
        <w:t>6. 工程承包范围：</w:t>
      </w:r>
      <w:r>
        <w:rPr>
          <w:rFonts w:hint="eastAsia" w:ascii="宋体" w:hAnsi="宋体" w:eastAsia="宋体" w:cs="宋体"/>
          <w:color w:val="000000"/>
          <w:sz w:val="21"/>
          <w:szCs w:val="21"/>
          <w:u w:val="single"/>
        </w:rPr>
        <w:t xml:space="preserve">          </w:t>
      </w:r>
      <w:r>
        <w:rPr>
          <w:rFonts w:hint="eastAsia" w:ascii="宋体" w:hAnsi="宋体" w:eastAsia="宋体" w:cs="宋体"/>
          <w:bCs/>
          <w:sz w:val="21"/>
          <w:szCs w:val="21"/>
        </w:rPr>
        <w:t>。</w:t>
      </w:r>
    </w:p>
    <w:p w14:paraId="55238BD3">
      <w:pPr>
        <w:pStyle w:val="65"/>
        <w:spacing w:line="360" w:lineRule="auto"/>
        <w:ind w:firstLine="407" w:firstLineChars="193"/>
        <w:outlineLvl w:val="0"/>
        <w:rPr>
          <w:rFonts w:hint="eastAsia" w:ascii="宋体" w:hAnsi="宋体" w:eastAsia="宋体" w:cs="宋体"/>
          <w:b/>
          <w:bCs/>
          <w:color w:val="000000"/>
          <w:sz w:val="21"/>
          <w:szCs w:val="21"/>
        </w:rPr>
      </w:pPr>
      <w:bookmarkStart w:id="1278" w:name="_Toc351203482"/>
      <w:r>
        <w:rPr>
          <w:rFonts w:hint="eastAsia" w:ascii="宋体" w:hAnsi="宋体" w:eastAsia="宋体" w:cs="宋体"/>
          <w:b/>
          <w:bCs/>
          <w:color w:val="000000"/>
          <w:sz w:val="21"/>
          <w:szCs w:val="21"/>
        </w:rPr>
        <w:t>二、合同工期</w:t>
      </w:r>
      <w:bookmarkEnd w:id="1278"/>
    </w:p>
    <w:p w14:paraId="12848B8D">
      <w:pPr>
        <w:pStyle w:val="65"/>
        <w:spacing w:line="360" w:lineRule="auto"/>
        <w:ind w:firstLine="459"/>
        <w:rPr>
          <w:rFonts w:hint="eastAsia" w:ascii="宋体" w:hAnsi="宋体" w:eastAsia="宋体" w:cs="宋体"/>
          <w:color w:val="000000"/>
          <w:sz w:val="21"/>
          <w:szCs w:val="21"/>
        </w:rPr>
      </w:pPr>
      <w:r>
        <w:rPr>
          <w:rFonts w:hint="eastAsia" w:ascii="宋体" w:hAnsi="宋体" w:eastAsia="宋体" w:cs="宋体"/>
          <w:color w:val="000000"/>
          <w:sz w:val="21"/>
          <w:szCs w:val="21"/>
        </w:rPr>
        <w:t>计划开工日期：</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年</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月</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日。（具体以发包人书面通知为准）</w:t>
      </w:r>
    </w:p>
    <w:p w14:paraId="43D1D9F5">
      <w:pPr>
        <w:pStyle w:val="65"/>
        <w:spacing w:line="360" w:lineRule="auto"/>
        <w:ind w:firstLine="459"/>
        <w:rPr>
          <w:rFonts w:hint="eastAsia" w:ascii="宋体" w:hAnsi="宋体" w:eastAsia="宋体" w:cs="宋体"/>
          <w:color w:val="000000"/>
          <w:sz w:val="21"/>
          <w:szCs w:val="21"/>
        </w:rPr>
      </w:pPr>
      <w:r>
        <w:rPr>
          <w:rFonts w:hint="eastAsia" w:ascii="宋体" w:hAnsi="宋体" w:eastAsia="宋体" w:cs="宋体"/>
          <w:color w:val="000000"/>
          <w:sz w:val="21"/>
          <w:szCs w:val="21"/>
        </w:rPr>
        <w:t>计划竣工日期：</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年</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月</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日。</w:t>
      </w:r>
    </w:p>
    <w:p w14:paraId="5F75CEA5">
      <w:pPr>
        <w:pStyle w:val="65"/>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工期总日历天数：</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天。工期总日历天数与根据前述计划开竣工日期计算的工期天数不一致的，以工期总日历天数为准。</w:t>
      </w:r>
    </w:p>
    <w:p w14:paraId="1B74A799">
      <w:pPr>
        <w:pStyle w:val="65"/>
        <w:spacing w:line="360" w:lineRule="auto"/>
        <w:ind w:firstLine="459"/>
        <w:outlineLvl w:val="0"/>
        <w:rPr>
          <w:rFonts w:hint="eastAsia" w:ascii="宋体" w:hAnsi="宋体" w:eastAsia="宋体" w:cs="宋体"/>
          <w:b/>
          <w:bCs/>
          <w:color w:val="000000"/>
          <w:sz w:val="21"/>
          <w:szCs w:val="21"/>
        </w:rPr>
      </w:pPr>
      <w:bookmarkStart w:id="1279" w:name="_Toc351203483"/>
      <w:r>
        <w:rPr>
          <w:rFonts w:hint="eastAsia" w:ascii="宋体" w:hAnsi="宋体" w:eastAsia="宋体" w:cs="宋体"/>
          <w:b/>
          <w:bCs/>
          <w:color w:val="000000"/>
          <w:sz w:val="21"/>
          <w:szCs w:val="21"/>
        </w:rPr>
        <w:t>三、质量标准</w:t>
      </w:r>
      <w:bookmarkEnd w:id="1279"/>
    </w:p>
    <w:p w14:paraId="4AABC7BE">
      <w:pPr>
        <w:pStyle w:val="65"/>
        <w:spacing w:line="360" w:lineRule="auto"/>
        <w:ind w:firstLine="459"/>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工程质量符合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标准。</w:t>
      </w:r>
    </w:p>
    <w:p w14:paraId="6ECABDD1">
      <w:pPr>
        <w:pStyle w:val="65"/>
        <w:spacing w:line="360" w:lineRule="auto"/>
        <w:ind w:firstLine="459"/>
        <w:outlineLvl w:val="0"/>
        <w:rPr>
          <w:rFonts w:hint="eastAsia" w:ascii="宋体" w:hAnsi="宋体" w:eastAsia="宋体" w:cs="宋体"/>
          <w:b/>
          <w:bCs/>
          <w:color w:val="000000"/>
          <w:sz w:val="21"/>
          <w:szCs w:val="21"/>
        </w:rPr>
      </w:pPr>
      <w:bookmarkStart w:id="1280" w:name="_Toc351203484"/>
      <w:r>
        <w:rPr>
          <w:rFonts w:hint="eastAsia" w:ascii="宋体" w:hAnsi="宋体" w:eastAsia="宋体" w:cs="宋体"/>
          <w:b/>
          <w:bCs/>
          <w:color w:val="000000"/>
          <w:sz w:val="21"/>
          <w:szCs w:val="21"/>
        </w:rPr>
        <w:t>四、签约合同价与合同价格形式</w:t>
      </w:r>
      <w:bookmarkEnd w:id="1280"/>
    </w:p>
    <w:p w14:paraId="39DEA10C">
      <w:pPr>
        <w:pStyle w:val="65"/>
        <w:spacing w:line="360" w:lineRule="auto"/>
        <w:ind w:firstLine="459"/>
        <w:rPr>
          <w:rFonts w:hint="eastAsia" w:ascii="宋体" w:hAnsi="宋体" w:eastAsia="宋体" w:cs="宋体"/>
          <w:color w:val="000000"/>
          <w:sz w:val="21"/>
          <w:szCs w:val="21"/>
        </w:rPr>
      </w:pPr>
      <w:r>
        <w:rPr>
          <w:rFonts w:hint="eastAsia" w:ascii="宋体" w:hAnsi="宋体" w:eastAsia="宋体" w:cs="宋体"/>
          <w:color w:val="000000"/>
          <w:sz w:val="21"/>
          <w:szCs w:val="21"/>
        </w:rPr>
        <w:t>1. 签约合同价为：</w:t>
      </w:r>
    </w:p>
    <w:p w14:paraId="7DDF7EDB">
      <w:pPr>
        <w:pStyle w:val="65"/>
        <w:spacing w:line="360" w:lineRule="auto"/>
        <w:ind w:firstLine="525" w:firstLineChars="250"/>
        <w:rPr>
          <w:rFonts w:hint="eastAsia" w:ascii="宋体" w:hAnsi="宋体" w:eastAsia="宋体" w:cs="宋体"/>
          <w:color w:val="000000"/>
          <w:sz w:val="21"/>
          <w:szCs w:val="21"/>
        </w:rPr>
      </w:pPr>
      <w:r>
        <w:rPr>
          <w:rFonts w:hint="eastAsia" w:ascii="宋体" w:hAnsi="宋体" w:eastAsia="宋体" w:cs="宋体"/>
          <w:color w:val="000000"/>
          <w:sz w:val="21"/>
          <w:szCs w:val="21"/>
        </w:rPr>
        <w:t>人民币（大写）</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元）；</w:t>
      </w:r>
    </w:p>
    <w:p w14:paraId="53AE96B1">
      <w:pPr>
        <w:pStyle w:val="65"/>
        <w:spacing w:line="360" w:lineRule="auto"/>
        <w:ind w:firstLine="525" w:firstLineChars="250"/>
        <w:rPr>
          <w:rFonts w:hint="eastAsia" w:ascii="宋体" w:hAnsi="宋体" w:eastAsia="宋体" w:cs="宋体"/>
          <w:color w:val="000000"/>
          <w:sz w:val="21"/>
          <w:szCs w:val="21"/>
        </w:rPr>
      </w:pPr>
      <w:r>
        <w:rPr>
          <w:rFonts w:hint="eastAsia" w:ascii="宋体" w:hAnsi="宋体" w:eastAsia="宋体" w:cs="宋体"/>
          <w:color w:val="000000"/>
          <w:sz w:val="21"/>
          <w:szCs w:val="21"/>
        </w:rPr>
        <w:t>其中：</w:t>
      </w:r>
    </w:p>
    <w:p w14:paraId="57D37D1E">
      <w:pPr>
        <w:pStyle w:val="65"/>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（1）安全文明施工费：</w:t>
      </w:r>
    </w:p>
    <w:p w14:paraId="3C33E22E">
      <w:pPr>
        <w:pStyle w:val="65"/>
        <w:spacing w:line="360" w:lineRule="auto"/>
        <w:ind w:left="420" w:leftChars="200" w:firstLine="525" w:firstLineChars="250"/>
        <w:rPr>
          <w:rFonts w:hint="eastAsia" w:ascii="宋体" w:hAnsi="宋体" w:eastAsia="宋体" w:cs="宋体"/>
          <w:color w:val="000000"/>
          <w:sz w:val="21"/>
          <w:szCs w:val="21"/>
        </w:rPr>
      </w:pPr>
      <w:r>
        <w:rPr>
          <w:rFonts w:hint="eastAsia" w:ascii="宋体" w:hAnsi="宋体" w:eastAsia="宋体" w:cs="宋体"/>
          <w:color w:val="000000"/>
          <w:sz w:val="21"/>
          <w:szCs w:val="21"/>
        </w:rPr>
        <w:t>人民币（大写）</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元）；</w:t>
      </w:r>
    </w:p>
    <w:p w14:paraId="5B7A899E">
      <w:pPr>
        <w:pStyle w:val="65"/>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（2）材料和工程设备暂估价金额：</w:t>
      </w:r>
    </w:p>
    <w:p w14:paraId="3059D5A7">
      <w:pPr>
        <w:pStyle w:val="65"/>
        <w:spacing w:line="360" w:lineRule="auto"/>
        <w:ind w:firstLine="945" w:firstLineChars="450"/>
        <w:rPr>
          <w:rFonts w:hint="eastAsia" w:ascii="宋体" w:hAnsi="宋体" w:eastAsia="宋体" w:cs="宋体"/>
          <w:color w:val="000000"/>
          <w:sz w:val="21"/>
          <w:szCs w:val="21"/>
        </w:rPr>
      </w:pPr>
      <w:r>
        <w:rPr>
          <w:rFonts w:hint="eastAsia" w:ascii="宋体" w:hAnsi="宋体" w:eastAsia="宋体" w:cs="宋体"/>
          <w:color w:val="000000"/>
          <w:sz w:val="21"/>
          <w:szCs w:val="21"/>
        </w:rPr>
        <w:t>人民币（大写）</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元）；</w:t>
      </w:r>
    </w:p>
    <w:p w14:paraId="680B621A">
      <w:pPr>
        <w:pStyle w:val="65"/>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（3）专业工程暂估价金额：</w:t>
      </w:r>
    </w:p>
    <w:p w14:paraId="630AD78D">
      <w:pPr>
        <w:pStyle w:val="65"/>
        <w:spacing w:line="360" w:lineRule="auto"/>
        <w:ind w:firstLine="945" w:firstLineChars="450"/>
        <w:rPr>
          <w:rFonts w:hint="eastAsia" w:ascii="宋体" w:hAnsi="宋体" w:eastAsia="宋体" w:cs="宋体"/>
          <w:color w:val="000000"/>
          <w:sz w:val="21"/>
          <w:szCs w:val="21"/>
        </w:rPr>
      </w:pPr>
      <w:r>
        <w:rPr>
          <w:rFonts w:hint="eastAsia" w:ascii="宋体" w:hAnsi="宋体" w:eastAsia="宋体" w:cs="宋体"/>
          <w:color w:val="000000"/>
          <w:sz w:val="21"/>
          <w:szCs w:val="21"/>
        </w:rPr>
        <w:t>人民币（大写）</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元）；</w:t>
      </w:r>
    </w:p>
    <w:p w14:paraId="1B0DAF95">
      <w:pPr>
        <w:pStyle w:val="65"/>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（4）暂列金额：</w:t>
      </w:r>
    </w:p>
    <w:p w14:paraId="6C6735F5">
      <w:pPr>
        <w:pStyle w:val="65"/>
        <w:spacing w:line="360" w:lineRule="auto"/>
        <w:ind w:firstLine="945" w:firstLineChars="450"/>
        <w:rPr>
          <w:rFonts w:hint="eastAsia" w:ascii="宋体" w:hAnsi="宋体" w:eastAsia="宋体" w:cs="宋体"/>
          <w:color w:val="000000"/>
          <w:sz w:val="21"/>
          <w:szCs w:val="21"/>
        </w:rPr>
      </w:pPr>
      <w:r>
        <w:rPr>
          <w:rFonts w:hint="eastAsia" w:ascii="宋体" w:hAnsi="宋体" w:eastAsia="宋体" w:cs="宋体"/>
          <w:color w:val="000000"/>
          <w:sz w:val="21"/>
          <w:szCs w:val="21"/>
        </w:rPr>
        <w:t>人民币（大写）</w:t>
      </w:r>
      <w:r>
        <w:rPr>
          <w:rFonts w:hint="eastAsia" w:ascii="宋体" w:hAnsi="宋体" w:eastAsia="宋体" w:cs="宋体"/>
          <w:color w:val="000000"/>
          <w:sz w:val="21"/>
          <w:szCs w:val="21"/>
          <w:u w:val="single"/>
        </w:rPr>
        <w:t xml:space="preserve">      /        </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u w:val="single"/>
        </w:rPr>
        <w:t xml:space="preserve">    /      </w:t>
      </w:r>
      <w:r>
        <w:rPr>
          <w:rFonts w:hint="eastAsia" w:ascii="宋体" w:hAnsi="宋体" w:eastAsia="宋体" w:cs="宋体"/>
          <w:color w:val="000000"/>
          <w:sz w:val="21"/>
          <w:szCs w:val="21"/>
        </w:rPr>
        <w:t>元）。</w:t>
      </w:r>
    </w:p>
    <w:p w14:paraId="008A75B6">
      <w:pPr>
        <w:pStyle w:val="65"/>
        <w:numPr>
          <w:ilvl w:val="0"/>
          <w:numId w:val="7"/>
        </w:num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合同价格形式：</w:t>
      </w:r>
      <w:r>
        <w:rPr>
          <w:rFonts w:hint="eastAsia" w:ascii="宋体" w:hAnsi="宋体" w:eastAsia="宋体" w:cs="宋体"/>
          <w:color w:val="000000"/>
          <w:sz w:val="21"/>
          <w:szCs w:val="21"/>
          <w:u w:val="single"/>
        </w:rPr>
        <w:t xml:space="preserve"> 固定综合单价   </w:t>
      </w:r>
      <w:r>
        <w:rPr>
          <w:rFonts w:hint="eastAsia" w:ascii="宋体" w:hAnsi="宋体" w:eastAsia="宋体" w:cs="宋体"/>
          <w:color w:val="000000"/>
          <w:sz w:val="21"/>
          <w:szCs w:val="21"/>
        </w:rPr>
        <w:t>。</w:t>
      </w:r>
    </w:p>
    <w:p w14:paraId="2818B79E">
      <w:pPr>
        <w:pStyle w:val="65"/>
        <w:numPr>
          <w:ilvl w:val="0"/>
          <w:numId w:val="7"/>
        </w:num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本项目采用</w:t>
      </w:r>
      <w:r>
        <w:rPr>
          <w:rFonts w:hint="eastAsia" w:ascii="宋体" w:hAnsi="宋体" w:eastAsia="宋体" w:cs="宋体"/>
          <w:color w:val="auto"/>
          <w:sz w:val="21"/>
          <w:szCs w:val="21"/>
          <w:lang w:val="en-US" w:eastAsia="zh-CN"/>
        </w:rPr>
        <w:t>一般</w:t>
      </w:r>
      <w:r>
        <w:rPr>
          <w:rFonts w:hint="eastAsia" w:ascii="宋体" w:hAnsi="宋体" w:eastAsia="宋体" w:cs="宋体"/>
          <w:color w:val="auto"/>
          <w:sz w:val="21"/>
          <w:szCs w:val="21"/>
        </w:rPr>
        <w:t>计税法。</w:t>
      </w:r>
    </w:p>
    <w:p w14:paraId="717D7722">
      <w:pPr>
        <w:pStyle w:val="65"/>
        <w:spacing w:line="360" w:lineRule="auto"/>
        <w:ind w:firstLine="422" w:firstLineChars="200"/>
        <w:outlineLvl w:val="0"/>
        <w:rPr>
          <w:rFonts w:hint="eastAsia" w:ascii="宋体" w:hAnsi="宋体" w:eastAsia="宋体" w:cs="宋体"/>
          <w:b/>
          <w:bCs/>
          <w:color w:val="000000"/>
          <w:sz w:val="21"/>
          <w:szCs w:val="21"/>
        </w:rPr>
      </w:pPr>
      <w:bookmarkStart w:id="1281" w:name="_Toc351203485"/>
      <w:r>
        <w:rPr>
          <w:rFonts w:hint="eastAsia" w:ascii="宋体" w:hAnsi="宋体" w:eastAsia="宋体" w:cs="宋体"/>
          <w:b/>
          <w:bCs/>
          <w:sz w:val="21"/>
          <w:szCs w:val="21"/>
        </w:rPr>
        <w:t>五、</w:t>
      </w:r>
      <w:bookmarkEnd w:id="1281"/>
      <w:r>
        <w:rPr>
          <w:rFonts w:hint="eastAsia" w:ascii="宋体" w:hAnsi="宋体" w:eastAsia="宋体" w:cs="宋体"/>
          <w:b/>
          <w:bCs/>
          <w:sz w:val="21"/>
          <w:szCs w:val="21"/>
        </w:rPr>
        <w:t>项目经理</w:t>
      </w:r>
    </w:p>
    <w:p w14:paraId="3302D883">
      <w:pPr>
        <w:pStyle w:val="65"/>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承包人项目经理：</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6FCF43F4">
      <w:pPr>
        <w:pStyle w:val="65"/>
        <w:spacing w:line="360" w:lineRule="auto"/>
        <w:ind w:firstLine="422" w:firstLineChars="200"/>
        <w:outlineLvl w:val="0"/>
        <w:rPr>
          <w:rFonts w:hint="eastAsia" w:ascii="宋体" w:hAnsi="宋体" w:eastAsia="宋体" w:cs="宋体"/>
          <w:b/>
          <w:bCs/>
          <w:color w:val="000000"/>
          <w:sz w:val="21"/>
          <w:szCs w:val="21"/>
        </w:rPr>
      </w:pPr>
      <w:bookmarkStart w:id="1282" w:name="_Toc351203486"/>
      <w:r>
        <w:rPr>
          <w:rFonts w:hint="eastAsia" w:ascii="宋体" w:hAnsi="宋体" w:eastAsia="宋体" w:cs="宋体"/>
          <w:b/>
          <w:bCs/>
          <w:color w:val="000000"/>
          <w:sz w:val="21"/>
          <w:szCs w:val="21"/>
        </w:rPr>
        <w:t>六、合同文件构成</w:t>
      </w:r>
      <w:bookmarkEnd w:id="1282"/>
    </w:p>
    <w:p w14:paraId="5FAFFAE4">
      <w:pPr>
        <w:pStyle w:val="65"/>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本协议书与下列文件一起构成合同文件：</w:t>
      </w:r>
    </w:p>
    <w:p w14:paraId="7A976C33">
      <w:pPr>
        <w:pStyle w:val="65"/>
        <w:autoSpaceDE w:val="0"/>
        <w:autoSpaceDN w:val="0"/>
        <w:adjustRightInd w:val="0"/>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成交</w:t>
      </w:r>
      <w:r>
        <w:rPr>
          <w:rFonts w:hint="eastAsia" w:ascii="宋体" w:hAnsi="宋体" w:eastAsia="宋体" w:cs="宋体"/>
          <w:color w:val="000000"/>
          <w:sz w:val="21"/>
          <w:szCs w:val="21"/>
        </w:rPr>
        <w:t>通知书（如有）；</w:t>
      </w:r>
    </w:p>
    <w:p w14:paraId="7D69531E">
      <w:pPr>
        <w:pStyle w:val="65"/>
        <w:autoSpaceDE w:val="0"/>
        <w:autoSpaceDN w:val="0"/>
        <w:adjustRightInd w:val="0"/>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（2）投标函及其附录（如有）； </w:t>
      </w:r>
    </w:p>
    <w:p w14:paraId="5DC066A3">
      <w:pPr>
        <w:pStyle w:val="65"/>
        <w:autoSpaceDE w:val="0"/>
        <w:autoSpaceDN w:val="0"/>
        <w:adjustRightInd w:val="0"/>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（3）专用合同条款及其附件；</w:t>
      </w:r>
    </w:p>
    <w:p w14:paraId="4674F288">
      <w:pPr>
        <w:pStyle w:val="65"/>
        <w:autoSpaceDE w:val="0"/>
        <w:autoSpaceDN w:val="0"/>
        <w:adjustRightInd w:val="0"/>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（4）通用合同条款；</w:t>
      </w:r>
    </w:p>
    <w:p w14:paraId="11C73CAF">
      <w:pPr>
        <w:pStyle w:val="65"/>
        <w:autoSpaceDE w:val="0"/>
        <w:autoSpaceDN w:val="0"/>
        <w:adjustRightInd w:val="0"/>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（5）技术标准和要求；</w:t>
      </w:r>
    </w:p>
    <w:p w14:paraId="105465FB">
      <w:pPr>
        <w:pStyle w:val="65"/>
        <w:autoSpaceDE w:val="0"/>
        <w:autoSpaceDN w:val="0"/>
        <w:adjustRightInd w:val="0"/>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（6）已标价工程量清单或预算书；</w:t>
      </w:r>
    </w:p>
    <w:p w14:paraId="17DA65C1">
      <w:pPr>
        <w:pStyle w:val="65"/>
        <w:autoSpaceDE w:val="0"/>
        <w:autoSpaceDN w:val="0"/>
        <w:adjustRightIn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（7）图纸；</w:t>
      </w:r>
    </w:p>
    <w:p w14:paraId="1081B5D6">
      <w:pPr>
        <w:pStyle w:val="65"/>
        <w:autoSpaceDE w:val="0"/>
        <w:autoSpaceDN w:val="0"/>
        <w:adjustRightIn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（8）其他合同文件：在合同订立及履行过程中形成的与合同有关的文件均构成合同文件组成部分。</w:t>
      </w:r>
    </w:p>
    <w:p w14:paraId="7CABCB5C">
      <w:pPr>
        <w:pStyle w:val="65"/>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上述各项合同文件包括合同当事人就该项合同文件所作出的补充和修改，属于同一类内容的文件，应以最新签署的为准</w:t>
      </w:r>
      <w:r>
        <w:rPr>
          <w:rFonts w:hint="eastAsia" w:ascii="宋体" w:hAnsi="宋体" w:eastAsia="宋体" w:cs="宋体"/>
          <w:sz w:val="21"/>
          <w:szCs w:val="21"/>
        </w:rPr>
        <w:t>（违反招标文件实质性内容的约定除外）</w:t>
      </w:r>
      <w:r>
        <w:rPr>
          <w:rFonts w:hint="eastAsia" w:ascii="宋体" w:hAnsi="宋体" w:eastAsia="宋体" w:cs="宋体"/>
          <w:color w:val="000000"/>
          <w:sz w:val="21"/>
          <w:szCs w:val="21"/>
        </w:rPr>
        <w:t>。专用合同条款及其附件须经合同当事人签字或盖章。未经承包人书面授权，承包人的分支机构及个人无权直接与发包人签订本工程有关的合同性文件。与本工程有关的合同性文件如构成对合同内容的变更或修改，均加盖承包人的法人印章或法人专用合同章确认，否则承包人不予认可，对承包人不发生法律效力，仍按本合同约定执行。</w:t>
      </w:r>
    </w:p>
    <w:p w14:paraId="1F87F570">
      <w:pPr>
        <w:pStyle w:val="65"/>
        <w:autoSpaceDE w:val="0"/>
        <w:autoSpaceDN w:val="0"/>
        <w:adjustRightInd w:val="0"/>
        <w:spacing w:line="360" w:lineRule="auto"/>
        <w:ind w:firstLine="422" w:firstLineChars="200"/>
        <w:jc w:val="left"/>
        <w:outlineLvl w:val="0"/>
        <w:rPr>
          <w:rFonts w:hint="eastAsia" w:ascii="宋体" w:hAnsi="宋体" w:eastAsia="宋体" w:cs="宋体"/>
          <w:b/>
          <w:bCs/>
          <w:color w:val="000000"/>
          <w:sz w:val="21"/>
          <w:szCs w:val="21"/>
        </w:rPr>
      </w:pPr>
      <w:bookmarkStart w:id="1283" w:name="_Toc351203487"/>
      <w:r>
        <w:rPr>
          <w:rFonts w:hint="eastAsia" w:ascii="宋体" w:hAnsi="宋体" w:eastAsia="宋体" w:cs="宋体"/>
          <w:b/>
          <w:bCs/>
          <w:color w:val="000000"/>
          <w:sz w:val="21"/>
          <w:szCs w:val="21"/>
        </w:rPr>
        <w:t>七、承诺</w:t>
      </w:r>
      <w:bookmarkEnd w:id="1283"/>
    </w:p>
    <w:p w14:paraId="3840B67D">
      <w:pPr>
        <w:pStyle w:val="65"/>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 发包人承诺按照法律规定履行项目审批手续、筹集工程建设资金并按照合同约定的期限和方式支付合同价款。</w:t>
      </w:r>
    </w:p>
    <w:p w14:paraId="6D132B46">
      <w:pPr>
        <w:pStyle w:val="65"/>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 承包人承诺按照法律规定及合同约定组织完成工程施工，确保工程质量和安全，不进行转包及违法分包，并在缺陷责任期及保修期内承担相应的工程维修责任。</w:t>
      </w:r>
    </w:p>
    <w:p w14:paraId="3468358A">
      <w:pPr>
        <w:pStyle w:val="65"/>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 发包人和承包人通过招投标形式签订合同的，双方理解并承诺不再就同一工程另行签订与合同实质性内容相背离的协议。</w:t>
      </w:r>
      <w:bookmarkStart w:id="1284" w:name="_Toc351203488"/>
    </w:p>
    <w:p w14:paraId="0102D1CF">
      <w:pPr>
        <w:pStyle w:val="65"/>
        <w:spacing w:line="360" w:lineRule="auto"/>
        <w:ind w:firstLine="422" w:firstLineChars="200"/>
        <w:outlineLvl w:val="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八、词语含义</w:t>
      </w:r>
      <w:bookmarkEnd w:id="1284"/>
    </w:p>
    <w:p w14:paraId="751011AB">
      <w:pPr>
        <w:pStyle w:val="65"/>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本协议书中词语含义与第二部分通用合同条款中赋予的含义相同。</w:t>
      </w:r>
    </w:p>
    <w:p w14:paraId="73AC17F6">
      <w:pPr>
        <w:pStyle w:val="65"/>
        <w:spacing w:line="360" w:lineRule="auto"/>
        <w:ind w:firstLine="422" w:firstLineChars="200"/>
        <w:outlineLvl w:val="0"/>
        <w:rPr>
          <w:rFonts w:hint="eastAsia" w:ascii="宋体" w:hAnsi="宋体" w:eastAsia="宋体" w:cs="宋体"/>
          <w:b/>
          <w:bCs/>
          <w:color w:val="000000"/>
          <w:sz w:val="21"/>
          <w:szCs w:val="21"/>
        </w:rPr>
      </w:pPr>
      <w:bookmarkStart w:id="1285" w:name="_Toc351203489"/>
      <w:r>
        <w:rPr>
          <w:rFonts w:hint="eastAsia" w:ascii="宋体" w:hAnsi="宋体" w:eastAsia="宋体" w:cs="宋体"/>
          <w:b/>
          <w:bCs/>
          <w:color w:val="000000"/>
          <w:sz w:val="21"/>
          <w:szCs w:val="21"/>
        </w:rPr>
        <w:t>九、签订时间</w:t>
      </w:r>
      <w:bookmarkEnd w:id="1285"/>
    </w:p>
    <w:p w14:paraId="1EE6EFB5">
      <w:pPr>
        <w:pStyle w:val="65"/>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本合同于</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年</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月</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日签订。</w:t>
      </w:r>
    </w:p>
    <w:p w14:paraId="3873763E">
      <w:pPr>
        <w:pStyle w:val="65"/>
        <w:spacing w:line="360" w:lineRule="auto"/>
        <w:ind w:firstLine="422" w:firstLineChars="200"/>
        <w:outlineLvl w:val="0"/>
        <w:rPr>
          <w:rFonts w:hint="eastAsia" w:ascii="宋体" w:hAnsi="宋体" w:eastAsia="宋体" w:cs="宋体"/>
          <w:b/>
          <w:bCs/>
          <w:color w:val="000000"/>
          <w:sz w:val="21"/>
          <w:szCs w:val="21"/>
        </w:rPr>
      </w:pPr>
      <w:bookmarkStart w:id="1286" w:name="_Toc351203490"/>
      <w:r>
        <w:rPr>
          <w:rFonts w:hint="eastAsia" w:ascii="宋体" w:hAnsi="宋体" w:eastAsia="宋体" w:cs="宋体"/>
          <w:b/>
          <w:bCs/>
          <w:color w:val="000000"/>
          <w:sz w:val="21"/>
          <w:szCs w:val="21"/>
        </w:rPr>
        <w:t>十、签订地点</w:t>
      </w:r>
      <w:bookmarkEnd w:id="1286"/>
    </w:p>
    <w:p w14:paraId="3A7FB957">
      <w:pPr>
        <w:pStyle w:val="65"/>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本合同在</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签订。</w:t>
      </w:r>
    </w:p>
    <w:p w14:paraId="1E3C9948">
      <w:pPr>
        <w:pStyle w:val="65"/>
        <w:spacing w:line="360" w:lineRule="auto"/>
        <w:ind w:firstLine="422" w:firstLineChars="200"/>
        <w:outlineLvl w:val="0"/>
        <w:rPr>
          <w:rFonts w:hint="eastAsia" w:ascii="宋体" w:hAnsi="宋体" w:eastAsia="宋体" w:cs="宋体"/>
          <w:b/>
          <w:bCs/>
          <w:color w:val="000000"/>
          <w:sz w:val="21"/>
          <w:szCs w:val="21"/>
        </w:rPr>
      </w:pPr>
      <w:bookmarkStart w:id="1287" w:name="_Toc351203491"/>
      <w:r>
        <w:rPr>
          <w:rFonts w:hint="eastAsia" w:ascii="宋体" w:hAnsi="宋体" w:eastAsia="宋体" w:cs="宋体"/>
          <w:b/>
          <w:bCs/>
          <w:color w:val="000000"/>
          <w:sz w:val="21"/>
          <w:szCs w:val="21"/>
        </w:rPr>
        <w:t>十一、补充协议</w:t>
      </w:r>
      <w:bookmarkEnd w:id="1287"/>
    </w:p>
    <w:p w14:paraId="7B959CC7">
      <w:pPr>
        <w:pStyle w:val="65"/>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合同未尽事宜，合同当事人另行签订补充协议，补充协议是合同的</w:t>
      </w:r>
    </w:p>
    <w:p w14:paraId="5C69318B">
      <w:pPr>
        <w:pStyle w:val="65"/>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组成部分。</w:t>
      </w:r>
    </w:p>
    <w:p w14:paraId="4DF72FCE">
      <w:pPr>
        <w:pStyle w:val="65"/>
        <w:spacing w:line="360" w:lineRule="auto"/>
        <w:ind w:firstLine="422" w:firstLineChars="200"/>
        <w:outlineLvl w:val="0"/>
        <w:rPr>
          <w:rFonts w:hint="eastAsia" w:ascii="宋体" w:hAnsi="宋体" w:eastAsia="宋体" w:cs="宋体"/>
          <w:b/>
          <w:bCs/>
          <w:color w:val="000000"/>
          <w:sz w:val="21"/>
          <w:szCs w:val="21"/>
        </w:rPr>
      </w:pPr>
      <w:bookmarkStart w:id="1288" w:name="_Toc351203492"/>
      <w:r>
        <w:rPr>
          <w:rFonts w:hint="eastAsia" w:ascii="宋体" w:hAnsi="宋体" w:eastAsia="宋体" w:cs="宋体"/>
          <w:b/>
          <w:bCs/>
          <w:color w:val="000000"/>
          <w:sz w:val="21"/>
          <w:szCs w:val="21"/>
        </w:rPr>
        <w:t>十二、合同生效</w:t>
      </w:r>
      <w:bookmarkEnd w:id="1288"/>
    </w:p>
    <w:p w14:paraId="56352171">
      <w:pPr>
        <w:pStyle w:val="65"/>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本合同自</w:t>
      </w:r>
      <w:r>
        <w:rPr>
          <w:rFonts w:hint="eastAsia" w:ascii="宋体" w:hAnsi="宋体" w:eastAsia="宋体" w:cs="宋体"/>
          <w:color w:val="000000"/>
          <w:sz w:val="21"/>
          <w:szCs w:val="21"/>
          <w:u w:val="single"/>
        </w:rPr>
        <w:t xml:space="preserve"> 双方加盖单位公章（或合同专用章）、法定代表人签字或盖章之日起 </w:t>
      </w:r>
      <w:r>
        <w:rPr>
          <w:rFonts w:hint="eastAsia" w:ascii="宋体" w:hAnsi="宋体" w:eastAsia="宋体" w:cs="宋体"/>
          <w:color w:val="000000"/>
          <w:sz w:val="21"/>
          <w:szCs w:val="21"/>
        </w:rPr>
        <w:t>生效。</w:t>
      </w:r>
    </w:p>
    <w:p w14:paraId="2AFDE7C2">
      <w:pPr>
        <w:pStyle w:val="65"/>
        <w:spacing w:line="360" w:lineRule="auto"/>
        <w:ind w:firstLine="422" w:firstLineChars="200"/>
        <w:outlineLvl w:val="0"/>
        <w:rPr>
          <w:rFonts w:hint="eastAsia" w:ascii="宋体" w:hAnsi="宋体" w:eastAsia="宋体" w:cs="宋体"/>
          <w:b/>
          <w:bCs/>
          <w:color w:val="000000"/>
          <w:sz w:val="21"/>
          <w:szCs w:val="21"/>
        </w:rPr>
      </w:pPr>
      <w:bookmarkStart w:id="1289" w:name="_Toc351203493"/>
      <w:r>
        <w:rPr>
          <w:rFonts w:hint="eastAsia" w:ascii="宋体" w:hAnsi="宋体" w:eastAsia="宋体" w:cs="宋体"/>
          <w:b/>
          <w:bCs/>
          <w:color w:val="000000"/>
          <w:sz w:val="21"/>
          <w:szCs w:val="21"/>
        </w:rPr>
        <w:t>十三、合同份数</w:t>
      </w:r>
      <w:bookmarkEnd w:id="1289"/>
    </w:p>
    <w:p w14:paraId="6E88DDFC">
      <w:pPr>
        <w:pStyle w:val="65"/>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本合同一式</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份，均具有同等法律效力，发包人执</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份，承包人执</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份。</w:t>
      </w:r>
    </w:p>
    <w:tbl>
      <w:tblPr>
        <w:tblStyle w:val="19"/>
        <w:tblW w:w="0" w:type="auto"/>
        <w:tblInd w:w="0" w:type="dxa"/>
        <w:tblLayout w:type="autofit"/>
        <w:tblCellMar>
          <w:top w:w="0" w:type="dxa"/>
          <w:left w:w="108" w:type="dxa"/>
          <w:bottom w:w="0" w:type="dxa"/>
          <w:right w:w="108" w:type="dxa"/>
        </w:tblCellMar>
      </w:tblPr>
      <w:tblGrid>
        <w:gridCol w:w="4443"/>
        <w:gridCol w:w="4443"/>
      </w:tblGrid>
      <w:tr w14:paraId="56E1F2CA">
        <w:tblPrEx>
          <w:tblCellMar>
            <w:top w:w="0" w:type="dxa"/>
            <w:left w:w="108" w:type="dxa"/>
            <w:bottom w:w="0" w:type="dxa"/>
            <w:right w:w="108" w:type="dxa"/>
          </w:tblCellMar>
        </w:tblPrEx>
        <w:tc>
          <w:tcPr>
            <w:tcW w:w="4443" w:type="dxa"/>
            <w:noWrap w:val="0"/>
            <w:vAlign w:val="center"/>
          </w:tcPr>
          <w:p w14:paraId="795C3AEB">
            <w:pPr>
              <w:pStyle w:val="65"/>
              <w:spacing w:line="360" w:lineRule="auto"/>
              <w:rPr>
                <w:rFonts w:hint="eastAsia" w:ascii="宋体" w:hAnsi="宋体" w:eastAsia="宋体" w:cs="宋体"/>
                <w:color w:val="000000"/>
                <w:sz w:val="21"/>
                <w:szCs w:val="21"/>
              </w:rPr>
            </w:pPr>
          </w:p>
          <w:p w14:paraId="0A6AAE10">
            <w:pPr>
              <w:pStyle w:val="65"/>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发包人（公章）：</w:t>
            </w:r>
          </w:p>
          <w:p w14:paraId="198C9E7F">
            <w:pPr>
              <w:pStyle w:val="65"/>
              <w:spacing w:line="360" w:lineRule="auto"/>
              <w:rPr>
                <w:rFonts w:hint="eastAsia" w:ascii="宋体" w:hAnsi="宋体" w:eastAsia="宋体" w:cs="宋体"/>
                <w:color w:val="000000"/>
                <w:sz w:val="21"/>
                <w:szCs w:val="21"/>
              </w:rPr>
            </w:pPr>
          </w:p>
        </w:tc>
        <w:tc>
          <w:tcPr>
            <w:tcW w:w="4443" w:type="dxa"/>
            <w:noWrap w:val="0"/>
            <w:vAlign w:val="center"/>
          </w:tcPr>
          <w:p w14:paraId="11D1646D">
            <w:pPr>
              <w:pStyle w:val="65"/>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承包人（公章）：</w:t>
            </w:r>
          </w:p>
        </w:tc>
      </w:tr>
      <w:tr w14:paraId="44FED2C3">
        <w:tblPrEx>
          <w:tblCellMar>
            <w:top w:w="0" w:type="dxa"/>
            <w:left w:w="108" w:type="dxa"/>
            <w:bottom w:w="0" w:type="dxa"/>
            <w:right w:w="108" w:type="dxa"/>
          </w:tblCellMar>
        </w:tblPrEx>
        <w:tc>
          <w:tcPr>
            <w:tcW w:w="4443" w:type="dxa"/>
            <w:noWrap w:val="0"/>
            <w:vAlign w:val="center"/>
          </w:tcPr>
          <w:p w14:paraId="6B03EBDC">
            <w:pPr>
              <w:pStyle w:val="65"/>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法定代表人或</w:t>
            </w:r>
          </w:p>
          <w:p w14:paraId="74B615C5">
            <w:pPr>
              <w:pStyle w:val="65"/>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其委托代理人（签章）：</w:t>
            </w:r>
          </w:p>
        </w:tc>
        <w:tc>
          <w:tcPr>
            <w:tcW w:w="4443" w:type="dxa"/>
            <w:noWrap w:val="0"/>
            <w:vAlign w:val="center"/>
          </w:tcPr>
          <w:p w14:paraId="152603CD">
            <w:pPr>
              <w:pStyle w:val="65"/>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法定代表人或</w:t>
            </w:r>
          </w:p>
          <w:p w14:paraId="642F550B">
            <w:pPr>
              <w:pStyle w:val="65"/>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其委托代理人（签章）：</w:t>
            </w:r>
          </w:p>
        </w:tc>
      </w:tr>
      <w:tr w14:paraId="2FB81F58">
        <w:tblPrEx>
          <w:tblCellMar>
            <w:top w:w="0" w:type="dxa"/>
            <w:left w:w="108" w:type="dxa"/>
            <w:bottom w:w="0" w:type="dxa"/>
            <w:right w:w="108" w:type="dxa"/>
          </w:tblCellMar>
        </w:tblPrEx>
        <w:tc>
          <w:tcPr>
            <w:tcW w:w="4443" w:type="dxa"/>
            <w:noWrap w:val="0"/>
            <w:vAlign w:val="center"/>
          </w:tcPr>
          <w:p w14:paraId="680C5939">
            <w:pPr>
              <w:pStyle w:val="65"/>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联系人：</w:t>
            </w:r>
          </w:p>
        </w:tc>
        <w:tc>
          <w:tcPr>
            <w:tcW w:w="4443" w:type="dxa"/>
            <w:noWrap w:val="0"/>
            <w:vAlign w:val="center"/>
          </w:tcPr>
          <w:p w14:paraId="3BEC1DD8">
            <w:pPr>
              <w:pStyle w:val="65"/>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联系人：</w:t>
            </w:r>
          </w:p>
        </w:tc>
      </w:tr>
      <w:tr w14:paraId="48763A4C">
        <w:tblPrEx>
          <w:tblCellMar>
            <w:top w:w="0" w:type="dxa"/>
            <w:left w:w="108" w:type="dxa"/>
            <w:bottom w:w="0" w:type="dxa"/>
            <w:right w:w="108" w:type="dxa"/>
          </w:tblCellMar>
        </w:tblPrEx>
        <w:tc>
          <w:tcPr>
            <w:tcW w:w="4443" w:type="dxa"/>
            <w:noWrap w:val="0"/>
            <w:vAlign w:val="center"/>
          </w:tcPr>
          <w:p w14:paraId="4C6F8644">
            <w:pPr>
              <w:pStyle w:val="65"/>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联系电话：</w:t>
            </w:r>
          </w:p>
        </w:tc>
        <w:tc>
          <w:tcPr>
            <w:tcW w:w="4443" w:type="dxa"/>
            <w:noWrap w:val="0"/>
            <w:vAlign w:val="center"/>
          </w:tcPr>
          <w:p w14:paraId="139C7F6C">
            <w:pPr>
              <w:pStyle w:val="65"/>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联系电话：</w:t>
            </w:r>
            <w:r>
              <w:rPr>
                <w:rFonts w:hint="eastAsia" w:ascii="宋体" w:hAnsi="宋体" w:eastAsia="宋体" w:cs="宋体"/>
                <w:sz w:val="21"/>
                <w:szCs w:val="21"/>
              </w:rPr>
              <w:t xml:space="preserve"> </w:t>
            </w:r>
          </w:p>
        </w:tc>
      </w:tr>
      <w:tr w14:paraId="359D9F41">
        <w:tblPrEx>
          <w:tblCellMar>
            <w:top w:w="0" w:type="dxa"/>
            <w:left w:w="108" w:type="dxa"/>
            <w:bottom w:w="0" w:type="dxa"/>
            <w:right w:w="108" w:type="dxa"/>
          </w:tblCellMar>
        </w:tblPrEx>
        <w:tc>
          <w:tcPr>
            <w:tcW w:w="4443" w:type="dxa"/>
            <w:noWrap w:val="0"/>
            <w:vAlign w:val="center"/>
          </w:tcPr>
          <w:p w14:paraId="31F3518A">
            <w:pPr>
              <w:pStyle w:val="65"/>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统一社会信用代码：</w:t>
            </w:r>
          </w:p>
        </w:tc>
        <w:tc>
          <w:tcPr>
            <w:tcW w:w="4443" w:type="dxa"/>
            <w:noWrap w:val="0"/>
            <w:vAlign w:val="center"/>
          </w:tcPr>
          <w:p w14:paraId="3264CBA3">
            <w:pPr>
              <w:pStyle w:val="65"/>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统一社会信用代码：</w:t>
            </w:r>
          </w:p>
        </w:tc>
      </w:tr>
      <w:tr w14:paraId="4DB544D9">
        <w:tblPrEx>
          <w:tblCellMar>
            <w:top w:w="0" w:type="dxa"/>
            <w:left w:w="108" w:type="dxa"/>
            <w:bottom w:w="0" w:type="dxa"/>
            <w:right w:w="108" w:type="dxa"/>
          </w:tblCellMar>
        </w:tblPrEx>
        <w:tc>
          <w:tcPr>
            <w:tcW w:w="4443" w:type="dxa"/>
            <w:noWrap w:val="0"/>
            <w:vAlign w:val="center"/>
          </w:tcPr>
          <w:p w14:paraId="57483F1D">
            <w:pPr>
              <w:pStyle w:val="65"/>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地  址：</w:t>
            </w:r>
          </w:p>
        </w:tc>
        <w:tc>
          <w:tcPr>
            <w:tcW w:w="4443" w:type="dxa"/>
            <w:noWrap w:val="0"/>
            <w:vAlign w:val="center"/>
          </w:tcPr>
          <w:p w14:paraId="258CE3E5">
            <w:pPr>
              <w:pStyle w:val="65"/>
              <w:spacing w:line="360" w:lineRule="auto"/>
              <w:ind w:right="-153" w:rightChars="-73"/>
              <w:rPr>
                <w:rFonts w:hint="eastAsia" w:ascii="宋体" w:hAnsi="宋体" w:eastAsia="宋体" w:cs="宋体"/>
                <w:color w:val="000000"/>
                <w:sz w:val="21"/>
                <w:szCs w:val="21"/>
              </w:rPr>
            </w:pPr>
            <w:r>
              <w:rPr>
                <w:rFonts w:hint="eastAsia" w:ascii="宋体" w:hAnsi="宋体" w:eastAsia="宋体" w:cs="宋体"/>
                <w:color w:val="000000"/>
                <w:sz w:val="21"/>
                <w:szCs w:val="21"/>
              </w:rPr>
              <w:t>地  址：</w:t>
            </w:r>
          </w:p>
        </w:tc>
      </w:tr>
      <w:tr w14:paraId="2C96F812">
        <w:tblPrEx>
          <w:tblCellMar>
            <w:top w:w="0" w:type="dxa"/>
            <w:left w:w="108" w:type="dxa"/>
            <w:bottom w:w="0" w:type="dxa"/>
            <w:right w:w="108" w:type="dxa"/>
          </w:tblCellMar>
        </w:tblPrEx>
        <w:tc>
          <w:tcPr>
            <w:tcW w:w="4443" w:type="dxa"/>
            <w:noWrap w:val="0"/>
            <w:vAlign w:val="center"/>
          </w:tcPr>
          <w:p w14:paraId="1612B04D">
            <w:pPr>
              <w:pStyle w:val="65"/>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邮政编码：</w:t>
            </w:r>
          </w:p>
        </w:tc>
        <w:tc>
          <w:tcPr>
            <w:tcW w:w="4443" w:type="dxa"/>
            <w:noWrap w:val="0"/>
            <w:vAlign w:val="center"/>
          </w:tcPr>
          <w:p w14:paraId="64BB471E">
            <w:pPr>
              <w:pStyle w:val="65"/>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邮政编码：</w:t>
            </w:r>
          </w:p>
        </w:tc>
      </w:tr>
      <w:tr w14:paraId="79E6F347">
        <w:tblPrEx>
          <w:tblCellMar>
            <w:top w:w="0" w:type="dxa"/>
            <w:left w:w="108" w:type="dxa"/>
            <w:bottom w:w="0" w:type="dxa"/>
            <w:right w:w="108" w:type="dxa"/>
          </w:tblCellMar>
        </w:tblPrEx>
        <w:tc>
          <w:tcPr>
            <w:tcW w:w="4443" w:type="dxa"/>
            <w:noWrap w:val="0"/>
            <w:vAlign w:val="center"/>
          </w:tcPr>
          <w:p w14:paraId="67BE5F23">
            <w:pPr>
              <w:pStyle w:val="65"/>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电子邮箱：</w:t>
            </w:r>
          </w:p>
        </w:tc>
        <w:tc>
          <w:tcPr>
            <w:tcW w:w="4443" w:type="dxa"/>
            <w:noWrap w:val="0"/>
            <w:vAlign w:val="center"/>
          </w:tcPr>
          <w:p w14:paraId="0EB79D0E">
            <w:pPr>
              <w:pStyle w:val="65"/>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电子邮箱：</w:t>
            </w:r>
          </w:p>
        </w:tc>
      </w:tr>
      <w:tr w14:paraId="1D320775">
        <w:tblPrEx>
          <w:tblCellMar>
            <w:top w:w="0" w:type="dxa"/>
            <w:left w:w="108" w:type="dxa"/>
            <w:bottom w:w="0" w:type="dxa"/>
            <w:right w:w="108" w:type="dxa"/>
          </w:tblCellMar>
        </w:tblPrEx>
        <w:tc>
          <w:tcPr>
            <w:tcW w:w="4443" w:type="dxa"/>
            <w:noWrap w:val="0"/>
            <w:vAlign w:val="center"/>
          </w:tcPr>
          <w:p w14:paraId="71A6C36A">
            <w:pPr>
              <w:pStyle w:val="65"/>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开户名：</w:t>
            </w:r>
          </w:p>
        </w:tc>
        <w:tc>
          <w:tcPr>
            <w:tcW w:w="4443" w:type="dxa"/>
            <w:noWrap w:val="0"/>
            <w:vAlign w:val="center"/>
          </w:tcPr>
          <w:p w14:paraId="7B48228A">
            <w:pPr>
              <w:pStyle w:val="65"/>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开户名：</w:t>
            </w:r>
          </w:p>
        </w:tc>
      </w:tr>
      <w:tr w14:paraId="70F75B07">
        <w:tblPrEx>
          <w:tblCellMar>
            <w:top w:w="0" w:type="dxa"/>
            <w:left w:w="108" w:type="dxa"/>
            <w:bottom w:w="0" w:type="dxa"/>
            <w:right w:w="108" w:type="dxa"/>
          </w:tblCellMar>
        </w:tblPrEx>
        <w:tc>
          <w:tcPr>
            <w:tcW w:w="4443" w:type="dxa"/>
            <w:noWrap w:val="0"/>
            <w:vAlign w:val="center"/>
          </w:tcPr>
          <w:p w14:paraId="1BB5D62E">
            <w:pPr>
              <w:pStyle w:val="65"/>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开户银行：</w:t>
            </w:r>
          </w:p>
        </w:tc>
        <w:tc>
          <w:tcPr>
            <w:tcW w:w="4443" w:type="dxa"/>
            <w:noWrap w:val="0"/>
            <w:vAlign w:val="center"/>
          </w:tcPr>
          <w:p w14:paraId="09A3B655">
            <w:pPr>
              <w:pStyle w:val="65"/>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开户银行：</w:t>
            </w:r>
          </w:p>
        </w:tc>
      </w:tr>
      <w:tr w14:paraId="747C4545">
        <w:tblPrEx>
          <w:tblCellMar>
            <w:top w:w="0" w:type="dxa"/>
            <w:left w:w="108" w:type="dxa"/>
            <w:bottom w:w="0" w:type="dxa"/>
            <w:right w:w="108" w:type="dxa"/>
          </w:tblCellMar>
        </w:tblPrEx>
        <w:tc>
          <w:tcPr>
            <w:tcW w:w="4443" w:type="dxa"/>
            <w:noWrap w:val="0"/>
            <w:vAlign w:val="center"/>
          </w:tcPr>
          <w:p w14:paraId="49199098">
            <w:pPr>
              <w:pStyle w:val="65"/>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账  号：</w:t>
            </w:r>
          </w:p>
        </w:tc>
        <w:tc>
          <w:tcPr>
            <w:tcW w:w="4443" w:type="dxa"/>
            <w:noWrap w:val="0"/>
            <w:vAlign w:val="center"/>
          </w:tcPr>
          <w:p w14:paraId="4C5130DC">
            <w:pPr>
              <w:pStyle w:val="65"/>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账  号：</w:t>
            </w:r>
          </w:p>
        </w:tc>
      </w:tr>
    </w:tbl>
    <w:p w14:paraId="7934E9AB">
      <w:pPr>
        <w:pStyle w:val="57"/>
        <w:widowControl/>
        <w:jc w:val="left"/>
        <w:rPr>
          <w:rFonts w:hint="eastAsia" w:hAnsi="宋体" w:cs="宋体"/>
          <w:color w:val="auto"/>
          <w:szCs w:val="21"/>
          <w:highlight w:val="none"/>
        </w:rPr>
      </w:pPr>
      <w:r>
        <w:rPr>
          <w:rFonts w:ascii="宋体" w:hAnsi="宋体" w:cs="宋体"/>
          <w:color w:val="auto"/>
          <w:kern w:val="0"/>
          <w:sz w:val="8"/>
          <w:szCs w:val="24"/>
          <w:highlight w:val="none"/>
          <w:lang w:val="zh-CN" w:bidi="zh-CN"/>
        </w:rPr>
        <w:br w:type="page"/>
      </w:r>
      <w:bookmarkEnd w:id="1276"/>
    </w:p>
    <w:bookmarkEnd w:id="102"/>
    <w:p w14:paraId="12BCAAF3">
      <w:pPr>
        <w:pStyle w:val="35"/>
        <w:rPr>
          <w:rFonts w:hint="eastAsia" w:asciiTheme="minorEastAsia" w:hAnsiTheme="minorEastAsia" w:eastAsiaTheme="minorEastAsia" w:cstheme="minorEastAsia"/>
          <w:color w:val="auto"/>
          <w:highlight w:val="none"/>
        </w:rPr>
      </w:pPr>
      <w:bookmarkStart w:id="1290" w:name="_Toc430095344"/>
      <w:bookmarkStart w:id="1291" w:name="_Toc440877586"/>
    </w:p>
    <w:p w14:paraId="019F7334">
      <w:pPr>
        <w:pStyle w:val="2"/>
        <w:numPr>
          <w:ilvl w:val="0"/>
          <w:numId w:val="8"/>
        </w:numPr>
        <w:bidi w:val="0"/>
        <w:spacing w:line="240" w:lineRule="auto"/>
        <w:jc w:val="center"/>
        <w:rPr>
          <w:rFonts w:hint="eastAsia" w:asciiTheme="minorEastAsia" w:hAnsiTheme="minorEastAsia" w:eastAsiaTheme="minorEastAsia" w:cstheme="minorEastAsia"/>
          <w:color w:val="auto"/>
          <w:highlight w:val="none"/>
          <w:lang w:val="en-US" w:eastAsia="zh-CN"/>
        </w:rPr>
      </w:pPr>
      <w:bookmarkStart w:id="1292" w:name="_Toc462"/>
      <w:r>
        <w:rPr>
          <w:rFonts w:hint="eastAsia" w:asciiTheme="minorEastAsia" w:hAnsiTheme="minorEastAsia" w:eastAsiaTheme="minorEastAsia" w:cstheme="minorEastAsia"/>
          <w:color w:val="auto"/>
          <w:highlight w:val="none"/>
          <w:lang w:val="en-US" w:eastAsia="zh-CN"/>
        </w:rPr>
        <w:t>工程量清单</w:t>
      </w:r>
      <w:bookmarkEnd w:id="1292"/>
    </w:p>
    <w:p w14:paraId="6791838D">
      <w:pPr>
        <w:pStyle w:val="1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编制依据：</w:t>
      </w:r>
    </w:p>
    <w:p w14:paraId="256FD5BF">
      <w:pPr>
        <w:pStyle w:val="1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（一）工程量编制依据：《公路工程建设项目概算预算编办法》(JTG/T3830-2018)、《公路工程概算定额》(JTG/T3831-2018)、《公路工程预算定额》(JTG/T3832-2018)、《公路工程机械台班费用定额》(JTG/T3833-2018)；</w:t>
      </w:r>
    </w:p>
    <w:p w14:paraId="6F493399">
      <w:pPr>
        <w:pStyle w:val="1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（二）2018公路工程清单计价依据（2018范本）。</w:t>
      </w:r>
    </w:p>
    <w:p w14:paraId="5F5D89EF">
      <w:pPr>
        <w:pStyle w:val="1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（三）广西壮族自治区交通运输厅关于印发公路工程建设项目估算概算预算编制办法广西补充规定的通知 桂交建管发〔2019〕39号。</w:t>
      </w:r>
    </w:p>
    <w:p w14:paraId="4D3A6B93">
      <w:pPr>
        <w:pStyle w:val="1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（四）利润：按交通运输部办公厅文件交办公路【2016】66号文计列；</w:t>
      </w:r>
    </w:p>
    <w:p w14:paraId="7CC97887">
      <w:pPr>
        <w:pStyle w:val="1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（五）税金：按交通运输部公告2019第26号文《关于调整《公路工程建设项目投资估算编制办法》（JTG 3820-2018）和《公路工程建设项目概算预算编制办法》（JTG 3830-2018）中“税金”有关规定的公告》计列。</w:t>
      </w:r>
    </w:p>
    <w:p w14:paraId="7C1A5A64">
      <w:pPr>
        <w:pStyle w:val="1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（六）材料价格：《贺州市建设工程造价信息》2026年第2期，贺州市信息价没有的，按周边城市信息价、网上询价、市场调查等方式确定。</w:t>
      </w:r>
    </w:p>
    <w:p w14:paraId="398E6C30">
      <w:pPr>
        <w:pStyle w:val="1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（七）本工程地处位于广西贺州市，根据“编制办法”及“广西补充规定”，计算人工工资为：101.25元/工日，机械工工资为：101.25元/工日。</w:t>
      </w:r>
    </w:p>
    <w:p w14:paraId="52E261ED">
      <w:pPr>
        <w:pStyle w:val="1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（八）现行有关的造价文件和与建设工程项目有关的标准、规范、技术资料及其他相关资料。</w:t>
      </w:r>
    </w:p>
    <w:p w14:paraId="02A36650">
      <w:pPr>
        <w:pStyle w:val="1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（八）本工程采用一般计税，税金按9%计列。</w:t>
      </w:r>
    </w:p>
    <w:p w14:paraId="278FEC4D">
      <w:pPr>
        <w:pStyle w:val="13"/>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24"/>
          <w:szCs w:val="24"/>
          <w:highlight w:val="none"/>
        </w:rPr>
        <w:t xml:space="preserve"> </w:t>
      </w:r>
    </w:p>
    <w:bookmarkEnd w:id="1290"/>
    <w:bookmarkEnd w:id="1291"/>
    <w:p w14:paraId="75FB590F">
      <w:pPr>
        <w:rPr>
          <w:rFonts w:hint="eastAsia" w:asciiTheme="minorEastAsia" w:hAnsiTheme="minorEastAsia" w:eastAsiaTheme="minorEastAsia" w:cstheme="minorEastAsia"/>
          <w:b/>
          <w:color w:val="auto"/>
          <w:sz w:val="32"/>
          <w:szCs w:val="32"/>
          <w:highlight w:val="none"/>
          <w:lang w:val="en-US" w:eastAsia="zh-CN"/>
        </w:rPr>
      </w:pPr>
      <w:r>
        <w:rPr>
          <w:rFonts w:hint="eastAsia" w:asciiTheme="minorEastAsia" w:hAnsiTheme="minorEastAsia" w:eastAsiaTheme="minorEastAsia" w:cstheme="minorEastAsia"/>
          <w:b/>
          <w:color w:val="auto"/>
          <w:sz w:val="32"/>
          <w:szCs w:val="32"/>
          <w:highlight w:val="none"/>
          <w:lang w:val="en-US" w:eastAsia="zh-CN"/>
        </w:rPr>
        <w:br w:type="page"/>
      </w:r>
    </w:p>
    <w:p w14:paraId="0E851CEE">
      <w:pPr>
        <w:pStyle w:val="2"/>
        <w:bidi w:val="0"/>
        <w:jc w:val="center"/>
        <w:rPr>
          <w:rFonts w:hint="eastAsia" w:asciiTheme="minorEastAsia" w:hAnsiTheme="minorEastAsia" w:eastAsiaTheme="minorEastAsia" w:cstheme="minorEastAsia"/>
          <w:color w:val="auto"/>
          <w:highlight w:val="none"/>
          <w:lang w:val="en-US" w:eastAsia="zh-CN"/>
        </w:rPr>
      </w:pPr>
      <w:bookmarkStart w:id="1293" w:name="_Toc21503"/>
    </w:p>
    <w:p w14:paraId="426EB6C1">
      <w:pPr>
        <w:pStyle w:val="2"/>
        <w:bidi w:val="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 xml:space="preserve">第五章 </w:t>
      </w:r>
      <w:r>
        <w:rPr>
          <w:rFonts w:hint="eastAsia" w:asciiTheme="minorEastAsia" w:hAnsiTheme="minorEastAsia" w:eastAsiaTheme="minorEastAsia" w:cstheme="minorEastAsia"/>
          <w:color w:val="auto"/>
          <w:highlight w:val="none"/>
        </w:rPr>
        <w:t xml:space="preserve"> 图纸</w:t>
      </w:r>
      <w:bookmarkEnd w:id="1293"/>
    </w:p>
    <w:p w14:paraId="442D853C">
      <w:pPr>
        <w:numPr>
          <w:ilvl w:val="0"/>
          <w:numId w:val="0"/>
        </w:numPr>
        <w:spacing w:line="400" w:lineRule="exact"/>
        <w:ind w:leftChars="0"/>
        <w:jc w:val="both"/>
        <w:rPr>
          <w:rFonts w:hint="eastAsia" w:asciiTheme="minorEastAsia" w:hAnsiTheme="minorEastAsia" w:eastAsiaTheme="minorEastAsia" w:cstheme="minorEastAsia"/>
          <w:b/>
          <w:color w:val="auto"/>
          <w:sz w:val="32"/>
          <w:szCs w:val="32"/>
          <w:highlight w:val="none"/>
        </w:rPr>
      </w:pPr>
    </w:p>
    <w:p w14:paraId="14EF4F1C">
      <w:pPr>
        <w:numPr>
          <w:ilvl w:val="0"/>
          <w:numId w:val="0"/>
        </w:numPr>
        <w:spacing w:line="400" w:lineRule="exact"/>
        <w:ind w:leftChars="0"/>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w:t>
      </w:r>
      <w:r>
        <w:rPr>
          <w:rFonts w:ascii="宋体" w:hAnsi="宋体" w:eastAsia="宋体" w:cs="宋体"/>
          <w:b/>
          <w:bCs/>
          <w:spacing w:val="3"/>
          <w:sz w:val="35"/>
          <w:szCs w:val="35"/>
        </w:rPr>
        <w:t>另册发放</w:t>
      </w:r>
      <w:r>
        <w:rPr>
          <w:rFonts w:hint="eastAsia" w:asciiTheme="minorEastAsia" w:hAnsiTheme="minorEastAsia" w:eastAsiaTheme="minorEastAsia" w:cstheme="minorEastAsia"/>
          <w:b/>
          <w:color w:val="auto"/>
          <w:sz w:val="32"/>
          <w:szCs w:val="32"/>
          <w:highlight w:val="none"/>
        </w:rPr>
        <w:t>）</w:t>
      </w:r>
    </w:p>
    <w:p w14:paraId="177DBA92">
      <w:pPr>
        <w:spacing w:line="336" w:lineRule="auto"/>
        <w:ind w:right="-153" w:rightChars="-73"/>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br w:type="page"/>
      </w:r>
      <w:bookmarkStart w:id="1294" w:name="_Toc24668"/>
      <w:bookmarkStart w:id="1295" w:name="_Toc440877587"/>
      <w:bookmarkStart w:id="1296" w:name="_Toc430095345"/>
    </w:p>
    <w:p w14:paraId="2B9E33D7">
      <w:pPr>
        <w:spacing w:line="336" w:lineRule="auto"/>
        <w:ind w:right="-153" w:rightChars="-73"/>
        <w:jc w:val="center"/>
        <w:rPr>
          <w:rFonts w:hint="eastAsia" w:asciiTheme="minorEastAsia" w:hAnsiTheme="minorEastAsia" w:eastAsiaTheme="minorEastAsia" w:cstheme="minorEastAsia"/>
          <w:color w:val="auto"/>
          <w:szCs w:val="21"/>
          <w:highlight w:val="none"/>
        </w:rPr>
      </w:pPr>
    </w:p>
    <w:p w14:paraId="7A6A4078">
      <w:pPr>
        <w:spacing w:line="336" w:lineRule="auto"/>
        <w:ind w:right="-153" w:rightChars="-73"/>
        <w:jc w:val="center"/>
        <w:rPr>
          <w:rStyle w:val="53"/>
          <w:rFonts w:hint="eastAsia" w:asciiTheme="minorEastAsia" w:hAnsiTheme="minorEastAsia" w:eastAsiaTheme="minorEastAsia" w:cstheme="minorEastAsia"/>
          <w:color w:val="auto"/>
          <w:highlight w:val="none"/>
        </w:rPr>
      </w:pPr>
    </w:p>
    <w:p w14:paraId="5DFCB863">
      <w:pPr>
        <w:spacing w:line="336" w:lineRule="auto"/>
        <w:ind w:right="-153" w:rightChars="-73"/>
        <w:jc w:val="center"/>
        <w:rPr>
          <w:rFonts w:hint="eastAsia" w:asciiTheme="minorEastAsia" w:hAnsiTheme="minorEastAsia" w:eastAsiaTheme="minorEastAsia" w:cstheme="minorEastAsia"/>
          <w:b/>
          <w:color w:val="auto"/>
          <w:sz w:val="32"/>
          <w:szCs w:val="32"/>
          <w:highlight w:val="none"/>
        </w:rPr>
      </w:pPr>
      <w:r>
        <w:rPr>
          <w:rStyle w:val="53"/>
          <w:rFonts w:hint="eastAsia" w:asciiTheme="minorEastAsia" w:hAnsiTheme="minorEastAsia" w:eastAsiaTheme="minorEastAsia" w:cstheme="minorEastAsia"/>
          <w:color w:val="auto"/>
          <w:highlight w:val="none"/>
        </w:rPr>
        <w:t>第六章  技术标准和要求</w:t>
      </w:r>
      <w:bookmarkEnd w:id="1294"/>
    </w:p>
    <w:p w14:paraId="323AA9FA">
      <w:pPr>
        <w:jc w:val="center"/>
        <w:outlineLvl w:val="0"/>
        <w:rPr>
          <w:rFonts w:hint="eastAsia" w:asciiTheme="minorEastAsia" w:hAnsiTheme="minorEastAsia" w:eastAsiaTheme="minorEastAsia" w:cstheme="minorEastAsia"/>
          <w:color w:val="auto"/>
          <w:sz w:val="24"/>
          <w:szCs w:val="24"/>
          <w:highlight w:val="none"/>
        </w:rPr>
      </w:pPr>
    </w:p>
    <w:p w14:paraId="5E876C0D">
      <w:pPr>
        <w:jc w:val="center"/>
        <w:outlineLvl w:val="0"/>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color w:val="auto"/>
          <w:sz w:val="24"/>
          <w:szCs w:val="24"/>
          <w:highlight w:val="none"/>
        </w:rPr>
        <w:t>本工程采用的技术规范采用现行施工规范、验评标准及强制性标准条文。</w:t>
      </w:r>
      <w:r>
        <w:rPr>
          <w:rFonts w:hint="eastAsia" w:asciiTheme="minorEastAsia" w:hAnsiTheme="minorEastAsia" w:eastAsiaTheme="minorEastAsia" w:cstheme="minorEastAsia"/>
          <w:b/>
          <w:color w:val="auto"/>
          <w:sz w:val="32"/>
          <w:szCs w:val="32"/>
          <w:highlight w:val="none"/>
        </w:rPr>
        <w:br w:type="page"/>
      </w:r>
      <w:bookmarkStart w:id="1297" w:name="_Toc13925"/>
    </w:p>
    <w:p w14:paraId="3607DF61">
      <w:pPr>
        <w:jc w:val="center"/>
        <w:outlineLvl w:val="0"/>
        <w:rPr>
          <w:rFonts w:hint="eastAsia" w:asciiTheme="minorEastAsia" w:hAnsiTheme="minorEastAsia" w:eastAsiaTheme="minorEastAsia" w:cstheme="minorEastAsia"/>
          <w:b/>
          <w:color w:val="auto"/>
          <w:sz w:val="32"/>
          <w:szCs w:val="32"/>
          <w:highlight w:val="none"/>
        </w:rPr>
      </w:pPr>
    </w:p>
    <w:p w14:paraId="7E9A1B7A">
      <w:pPr>
        <w:jc w:val="center"/>
        <w:outlineLvl w:val="0"/>
        <w:rPr>
          <w:rFonts w:hint="eastAsia" w:asciiTheme="minorEastAsia" w:hAnsiTheme="minorEastAsia" w:eastAsiaTheme="minorEastAsia" w:cstheme="minorEastAsia"/>
          <w:b/>
          <w:color w:val="auto"/>
          <w:kern w:val="44"/>
          <w:sz w:val="28"/>
          <w:szCs w:val="28"/>
          <w:highlight w:val="none"/>
        </w:rPr>
      </w:pPr>
      <w:r>
        <w:rPr>
          <w:rStyle w:val="53"/>
          <w:rFonts w:hint="eastAsia" w:asciiTheme="minorEastAsia" w:hAnsiTheme="minorEastAsia" w:eastAsiaTheme="minorEastAsia" w:cstheme="minorEastAsia"/>
          <w:color w:val="auto"/>
          <w:highlight w:val="none"/>
        </w:rPr>
        <w:t xml:space="preserve">第七章  </w:t>
      </w:r>
      <w:r>
        <w:rPr>
          <w:rStyle w:val="53"/>
          <w:rFonts w:hint="eastAsia" w:asciiTheme="minorEastAsia" w:hAnsiTheme="minorEastAsia" w:eastAsiaTheme="minorEastAsia" w:cstheme="minorEastAsia"/>
          <w:color w:val="auto"/>
          <w:highlight w:val="none"/>
          <w:lang w:eastAsia="zh-CN"/>
        </w:rPr>
        <w:t>《响应文件》</w:t>
      </w:r>
      <w:r>
        <w:rPr>
          <w:rStyle w:val="53"/>
          <w:rFonts w:hint="eastAsia" w:asciiTheme="minorEastAsia" w:hAnsiTheme="minorEastAsia" w:eastAsiaTheme="minorEastAsia" w:cstheme="minorEastAsia"/>
          <w:color w:val="auto"/>
          <w:highlight w:val="none"/>
        </w:rPr>
        <w:t>（格式）</w:t>
      </w:r>
      <w:bookmarkEnd w:id="1295"/>
      <w:bookmarkEnd w:id="1296"/>
      <w:bookmarkEnd w:id="1297"/>
    </w:p>
    <w:p w14:paraId="081A73DB">
      <w:pPr>
        <w:jc w:val="center"/>
        <w:rPr>
          <w:rFonts w:hint="eastAsia" w:asciiTheme="minorEastAsia" w:hAnsiTheme="minorEastAsia" w:eastAsiaTheme="minorEastAsia" w:cstheme="minorEastAsia"/>
          <w:b/>
          <w:color w:val="auto"/>
          <w:kern w:val="44"/>
          <w:sz w:val="28"/>
          <w:szCs w:val="28"/>
          <w:highlight w:val="none"/>
        </w:rPr>
      </w:pPr>
    </w:p>
    <w:p w14:paraId="7A42AF37">
      <w:pPr>
        <w:jc w:val="center"/>
        <w:rPr>
          <w:rFonts w:hint="eastAsia" w:asciiTheme="minorEastAsia" w:hAnsiTheme="minorEastAsia" w:eastAsiaTheme="minorEastAsia" w:cstheme="minorEastAsia"/>
          <w:b/>
          <w:color w:val="auto"/>
          <w:kern w:val="44"/>
          <w:sz w:val="28"/>
          <w:szCs w:val="28"/>
          <w:highlight w:val="none"/>
        </w:rPr>
      </w:pPr>
    </w:p>
    <w:p w14:paraId="1FAE1A17">
      <w:pPr>
        <w:jc w:val="center"/>
        <w:rPr>
          <w:rFonts w:hint="eastAsia" w:asciiTheme="minorEastAsia" w:hAnsiTheme="minorEastAsia" w:eastAsiaTheme="minorEastAsia" w:cstheme="minorEastAsia"/>
          <w:b/>
          <w:color w:val="auto"/>
          <w:kern w:val="44"/>
          <w:sz w:val="28"/>
          <w:szCs w:val="28"/>
          <w:highlight w:val="none"/>
        </w:rPr>
      </w:pPr>
    </w:p>
    <w:p w14:paraId="6B63132A">
      <w:pPr>
        <w:jc w:val="center"/>
        <w:rPr>
          <w:rFonts w:hint="eastAsia" w:asciiTheme="minorEastAsia" w:hAnsiTheme="minorEastAsia" w:eastAsiaTheme="minorEastAsia" w:cstheme="minorEastAsia"/>
          <w:b/>
          <w:color w:val="auto"/>
          <w:kern w:val="44"/>
          <w:sz w:val="28"/>
          <w:szCs w:val="28"/>
          <w:highlight w:val="none"/>
        </w:rPr>
      </w:pPr>
      <w:r>
        <w:rPr>
          <w:rFonts w:hint="eastAsia" w:asciiTheme="minorEastAsia" w:hAnsiTheme="minorEastAsia" w:eastAsiaTheme="minorEastAsia" w:cstheme="minorEastAsia"/>
          <w:b/>
          <w:color w:val="auto"/>
          <w:kern w:val="44"/>
          <w:sz w:val="28"/>
          <w:szCs w:val="28"/>
          <w:highlight w:val="none"/>
        </w:rPr>
        <w:t>第一节 封面格式</w:t>
      </w:r>
    </w:p>
    <w:p w14:paraId="16D2DE8F">
      <w:pPr>
        <w:widowControl/>
        <w:kinsoku w:val="0"/>
        <w:autoSpaceDE w:val="0"/>
        <w:autoSpaceDN w:val="0"/>
        <w:adjustRightInd w:val="0"/>
        <w:snapToGrid w:val="0"/>
        <w:spacing w:line="240" w:lineRule="auto"/>
        <w:jc w:val="left"/>
        <w:textAlignment w:val="baseline"/>
        <w:rPr>
          <w:rFonts w:hint="eastAsia" w:asciiTheme="minorEastAsia" w:hAnsiTheme="minorEastAsia" w:eastAsiaTheme="minorEastAsia" w:cstheme="minorEastAsia"/>
          <w:snapToGrid w:val="0"/>
          <w:color w:val="auto"/>
          <w:kern w:val="0"/>
          <w:sz w:val="24"/>
          <w:szCs w:val="24"/>
          <w:highlight w:val="none"/>
        </w:rPr>
      </w:pPr>
    </w:p>
    <w:p w14:paraId="60645685">
      <w:pPr>
        <w:widowControl/>
        <w:kinsoku w:val="0"/>
        <w:autoSpaceDE w:val="0"/>
        <w:autoSpaceDN w:val="0"/>
        <w:adjustRightInd w:val="0"/>
        <w:snapToGrid w:val="0"/>
        <w:spacing w:line="240" w:lineRule="auto"/>
        <w:jc w:val="left"/>
        <w:textAlignment w:val="baseline"/>
        <w:rPr>
          <w:rFonts w:hint="eastAsia" w:asciiTheme="minorEastAsia" w:hAnsiTheme="minorEastAsia" w:eastAsiaTheme="minorEastAsia" w:cstheme="minorEastAsia"/>
          <w:snapToGrid w:val="0"/>
          <w:color w:val="auto"/>
          <w:kern w:val="0"/>
          <w:sz w:val="24"/>
          <w:szCs w:val="24"/>
          <w:highlight w:val="none"/>
        </w:rPr>
      </w:pPr>
    </w:p>
    <w:p w14:paraId="39DB085A">
      <w:pPr>
        <w:widowControl/>
        <w:kinsoku w:val="0"/>
        <w:autoSpaceDE w:val="0"/>
        <w:autoSpaceDN w:val="0"/>
        <w:adjustRightInd w:val="0"/>
        <w:snapToGrid w:val="0"/>
        <w:spacing w:before="143" w:line="240" w:lineRule="auto"/>
        <w:ind w:firstLine="3812" w:firstLineChars="1664"/>
        <w:jc w:val="left"/>
        <w:textAlignment w:val="baseline"/>
        <w:rPr>
          <w:rFonts w:hint="eastAsia" w:asciiTheme="minorEastAsia" w:hAnsiTheme="minorEastAsia" w:eastAsiaTheme="minorEastAsia" w:cstheme="minorEastAsia"/>
          <w:b/>
          <w:bCs/>
          <w:snapToGrid w:val="0"/>
          <w:color w:val="auto"/>
          <w:kern w:val="0"/>
          <w:sz w:val="28"/>
          <w:szCs w:val="28"/>
          <w:highlight w:val="none"/>
        </w:rPr>
      </w:pPr>
      <w:r>
        <w:rPr>
          <w:rFonts w:hint="eastAsia" w:asciiTheme="minorEastAsia" w:hAnsiTheme="minorEastAsia" w:eastAsiaTheme="minorEastAsia" w:cstheme="minorEastAsia"/>
          <w:b/>
          <w:bCs/>
          <w:snapToGrid w:val="0"/>
          <w:color w:val="auto"/>
          <w:spacing w:val="-26"/>
          <w:kern w:val="0"/>
          <w:sz w:val="28"/>
          <w:szCs w:val="28"/>
          <w:highlight w:val="none"/>
        </w:rPr>
        <w:t>响</w:t>
      </w:r>
      <w:r>
        <w:rPr>
          <w:rFonts w:hint="eastAsia" w:asciiTheme="minorEastAsia" w:hAnsiTheme="minorEastAsia" w:eastAsiaTheme="minorEastAsia" w:cstheme="minorEastAsia"/>
          <w:b/>
          <w:bCs/>
          <w:snapToGrid w:val="0"/>
          <w:color w:val="auto"/>
          <w:spacing w:val="15"/>
          <w:kern w:val="0"/>
          <w:sz w:val="28"/>
          <w:szCs w:val="28"/>
          <w:highlight w:val="none"/>
        </w:rPr>
        <w:t xml:space="preserve">  </w:t>
      </w:r>
      <w:r>
        <w:rPr>
          <w:rFonts w:hint="eastAsia" w:asciiTheme="minorEastAsia" w:hAnsiTheme="minorEastAsia" w:eastAsiaTheme="minorEastAsia" w:cstheme="minorEastAsia"/>
          <w:b/>
          <w:bCs/>
          <w:snapToGrid w:val="0"/>
          <w:color w:val="auto"/>
          <w:spacing w:val="-26"/>
          <w:kern w:val="0"/>
          <w:sz w:val="28"/>
          <w:szCs w:val="28"/>
          <w:highlight w:val="none"/>
        </w:rPr>
        <w:t>应</w:t>
      </w:r>
      <w:r>
        <w:rPr>
          <w:rFonts w:hint="eastAsia" w:asciiTheme="minorEastAsia" w:hAnsiTheme="minorEastAsia" w:eastAsiaTheme="minorEastAsia" w:cstheme="minorEastAsia"/>
          <w:b/>
          <w:bCs/>
          <w:snapToGrid w:val="0"/>
          <w:color w:val="auto"/>
          <w:spacing w:val="15"/>
          <w:kern w:val="0"/>
          <w:sz w:val="28"/>
          <w:szCs w:val="28"/>
          <w:highlight w:val="none"/>
        </w:rPr>
        <w:t xml:space="preserve">  </w:t>
      </w:r>
      <w:r>
        <w:rPr>
          <w:rFonts w:hint="eastAsia" w:asciiTheme="minorEastAsia" w:hAnsiTheme="minorEastAsia" w:eastAsiaTheme="minorEastAsia" w:cstheme="minorEastAsia"/>
          <w:b/>
          <w:bCs/>
          <w:snapToGrid w:val="0"/>
          <w:color w:val="auto"/>
          <w:spacing w:val="-26"/>
          <w:kern w:val="0"/>
          <w:sz w:val="28"/>
          <w:szCs w:val="28"/>
          <w:highlight w:val="none"/>
        </w:rPr>
        <w:t>文</w:t>
      </w:r>
      <w:r>
        <w:rPr>
          <w:rFonts w:hint="eastAsia" w:asciiTheme="minorEastAsia" w:hAnsiTheme="minorEastAsia" w:eastAsiaTheme="minorEastAsia" w:cstheme="minorEastAsia"/>
          <w:b/>
          <w:bCs/>
          <w:snapToGrid w:val="0"/>
          <w:color w:val="auto"/>
          <w:spacing w:val="14"/>
          <w:kern w:val="0"/>
          <w:sz w:val="28"/>
          <w:szCs w:val="28"/>
          <w:highlight w:val="none"/>
        </w:rPr>
        <w:t xml:space="preserve">  </w:t>
      </w:r>
      <w:r>
        <w:rPr>
          <w:rFonts w:hint="eastAsia" w:asciiTheme="minorEastAsia" w:hAnsiTheme="minorEastAsia" w:eastAsiaTheme="minorEastAsia" w:cstheme="minorEastAsia"/>
          <w:b/>
          <w:bCs/>
          <w:snapToGrid w:val="0"/>
          <w:color w:val="auto"/>
          <w:spacing w:val="-26"/>
          <w:kern w:val="0"/>
          <w:sz w:val="28"/>
          <w:szCs w:val="28"/>
          <w:highlight w:val="none"/>
        </w:rPr>
        <w:t>件</w:t>
      </w:r>
    </w:p>
    <w:p w14:paraId="64FAD5F9">
      <w:pPr>
        <w:widowControl/>
        <w:kinsoku w:val="0"/>
        <w:autoSpaceDE w:val="0"/>
        <w:autoSpaceDN w:val="0"/>
        <w:adjustRightInd w:val="0"/>
        <w:snapToGrid w:val="0"/>
        <w:spacing w:line="240" w:lineRule="auto"/>
        <w:jc w:val="left"/>
        <w:textAlignment w:val="baseline"/>
        <w:rPr>
          <w:rFonts w:hint="eastAsia" w:asciiTheme="minorEastAsia" w:hAnsiTheme="minorEastAsia" w:eastAsiaTheme="minorEastAsia" w:cstheme="minorEastAsia"/>
          <w:b/>
          <w:bCs/>
          <w:snapToGrid w:val="0"/>
          <w:color w:val="auto"/>
          <w:kern w:val="0"/>
          <w:sz w:val="28"/>
          <w:szCs w:val="28"/>
          <w:highlight w:val="none"/>
        </w:rPr>
      </w:pPr>
    </w:p>
    <w:p w14:paraId="23EEB4DE">
      <w:pPr>
        <w:widowControl/>
        <w:kinsoku w:val="0"/>
        <w:autoSpaceDE w:val="0"/>
        <w:autoSpaceDN w:val="0"/>
        <w:adjustRightInd w:val="0"/>
        <w:snapToGrid w:val="0"/>
        <w:spacing w:line="240" w:lineRule="auto"/>
        <w:jc w:val="left"/>
        <w:textAlignment w:val="baseline"/>
        <w:rPr>
          <w:rFonts w:hint="eastAsia" w:asciiTheme="minorEastAsia" w:hAnsiTheme="minorEastAsia" w:eastAsiaTheme="minorEastAsia" w:cstheme="minorEastAsia"/>
          <w:b/>
          <w:bCs/>
          <w:snapToGrid w:val="0"/>
          <w:color w:val="auto"/>
          <w:kern w:val="0"/>
          <w:sz w:val="28"/>
          <w:szCs w:val="28"/>
          <w:highlight w:val="none"/>
        </w:rPr>
      </w:pPr>
    </w:p>
    <w:p w14:paraId="007C71E3">
      <w:pPr>
        <w:widowControl/>
        <w:kinsoku w:val="0"/>
        <w:autoSpaceDE w:val="0"/>
        <w:autoSpaceDN w:val="0"/>
        <w:adjustRightInd w:val="0"/>
        <w:snapToGrid w:val="0"/>
        <w:spacing w:line="240" w:lineRule="auto"/>
        <w:jc w:val="left"/>
        <w:textAlignment w:val="baseline"/>
        <w:rPr>
          <w:rFonts w:hint="eastAsia" w:asciiTheme="minorEastAsia" w:hAnsiTheme="minorEastAsia" w:eastAsiaTheme="minorEastAsia" w:cstheme="minorEastAsia"/>
          <w:b/>
          <w:bCs/>
          <w:snapToGrid w:val="0"/>
          <w:color w:val="auto"/>
          <w:kern w:val="0"/>
          <w:sz w:val="28"/>
          <w:szCs w:val="28"/>
          <w:highlight w:val="none"/>
        </w:rPr>
      </w:pPr>
    </w:p>
    <w:p w14:paraId="68A48F03">
      <w:pPr>
        <w:widowControl/>
        <w:kinsoku w:val="0"/>
        <w:autoSpaceDE w:val="0"/>
        <w:autoSpaceDN w:val="0"/>
        <w:adjustRightInd w:val="0"/>
        <w:snapToGrid w:val="0"/>
        <w:spacing w:line="240" w:lineRule="auto"/>
        <w:jc w:val="left"/>
        <w:textAlignment w:val="baseline"/>
        <w:rPr>
          <w:rFonts w:hint="eastAsia" w:asciiTheme="minorEastAsia" w:hAnsiTheme="minorEastAsia" w:eastAsiaTheme="minorEastAsia" w:cstheme="minorEastAsia"/>
          <w:b/>
          <w:bCs/>
          <w:snapToGrid w:val="0"/>
          <w:color w:val="auto"/>
          <w:kern w:val="0"/>
          <w:sz w:val="28"/>
          <w:szCs w:val="28"/>
          <w:highlight w:val="none"/>
        </w:rPr>
      </w:pPr>
    </w:p>
    <w:p w14:paraId="737BB0B4">
      <w:pPr>
        <w:widowControl/>
        <w:kinsoku w:val="0"/>
        <w:autoSpaceDE w:val="0"/>
        <w:autoSpaceDN w:val="0"/>
        <w:adjustRightInd w:val="0"/>
        <w:snapToGrid w:val="0"/>
        <w:spacing w:before="104" w:line="240" w:lineRule="auto"/>
        <w:ind w:firstLine="655"/>
        <w:jc w:val="left"/>
        <w:textAlignment w:val="baseline"/>
        <w:rPr>
          <w:rFonts w:hint="eastAsia" w:asciiTheme="minorEastAsia" w:hAnsiTheme="minorEastAsia" w:eastAsiaTheme="minorEastAsia" w:cstheme="minorEastAsia"/>
          <w:b/>
          <w:bCs/>
          <w:snapToGrid w:val="0"/>
          <w:color w:val="auto"/>
          <w:kern w:val="0"/>
          <w:sz w:val="28"/>
          <w:szCs w:val="28"/>
          <w:highlight w:val="none"/>
        </w:rPr>
      </w:pPr>
      <w:r>
        <w:rPr>
          <w:rFonts w:hint="eastAsia" w:asciiTheme="minorEastAsia" w:hAnsiTheme="minorEastAsia" w:eastAsiaTheme="minorEastAsia" w:cstheme="minorEastAsia"/>
          <w:b/>
          <w:bCs/>
          <w:snapToGrid w:val="0"/>
          <w:color w:val="auto"/>
          <w:spacing w:val="-14"/>
          <w:kern w:val="0"/>
          <w:position w:val="42"/>
          <w:sz w:val="28"/>
          <w:szCs w:val="28"/>
          <w:highlight w:val="none"/>
        </w:rPr>
        <w:t>项目名称：</w:t>
      </w:r>
    </w:p>
    <w:p w14:paraId="5D8928E5">
      <w:pPr>
        <w:widowControl/>
        <w:kinsoku w:val="0"/>
        <w:autoSpaceDE w:val="0"/>
        <w:autoSpaceDN w:val="0"/>
        <w:adjustRightInd w:val="0"/>
        <w:snapToGrid w:val="0"/>
        <w:spacing w:before="1" w:line="240" w:lineRule="auto"/>
        <w:ind w:firstLine="655"/>
        <w:jc w:val="left"/>
        <w:textAlignment w:val="baseline"/>
        <w:rPr>
          <w:rFonts w:hint="eastAsia" w:asciiTheme="minorEastAsia" w:hAnsiTheme="minorEastAsia" w:eastAsiaTheme="minorEastAsia" w:cstheme="minorEastAsia"/>
          <w:b/>
          <w:bCs/>
          <w:snapToGrid w:val="0"/>
          <w:color w:val="auto"/>
          <w:kern w:val="0"/>
          <w:sz w:val="28"/>
          <w:szCs w:val="28"/>
          <w:highlight w:val="none"/>
        </w:rPr>
      </w:pPr>
      <w:r>
        <w:rPr>
          <w:rFonts w:hint="eastAsia" w:asciiTheme="minorEastAsia" w:hAnsiTheme="minorEastAsia" w:eastAsiaTheme="minorEastAsia" w:cstheme="minorEastAsia"/>
          <w:b/>
          <w:bCs/>
          <w:snapToGrid w:val="0"/>
          <w:color w:val="auto"/>
          <w:spacing w:val="-14"/>
          <w:kern w:val="0"/>
          <w:sz w:val="28"/>
          <w:szCs w:val="28"/>
          <w:highlight w:val="none"/>
        </w:rPr>
        <w:t>项目编号：</w:t>
      </w:r>
    </w:p>
    <w:p w14:paraId="02DF0A56">
      <w:pPr>
        <w:widowControl/>
        <w:kinsoku w:val="0"/>
        <w:autoSpaceDE w:val="0"/>
        <w:autoSpaceDN w:val="0"/>
        <w:adjustRightInd w:val="0"/>
        <w:snapToGrid w:val="0"/>
        <w:spacing w:before="104" w:line="240" w:lineRule="auto"/>
        <w:jc w:val="left"/>
        <w:textAlignment w:val="baseline"/>
        <w:rPr>
          <w:rFonts w:hint="eastAsia" w:asciiTheme="minorEastAsia" w:hAnsiTheme="minorEastAsia" w:eastAsiaTheme="minorEastAsia" w:cstheme="minorEastAsia"/>
          <w:b/>
          <w:bCs/>
          <w:snapToGrid w:val="0"/>
          <w:color w:val="auto"/>
          <w:kern w:val="0"/>
          <w:sz w:val="28"/>
          <w:szCs w:val="28"/>
          <w:highlight w:val="none"/>
        </w:rPr>
      </w:pPr>
    </w:p>
    <w:p w14:paraId="22EA1A9E">
      <w:pPr>
        <w:widowControl/>
        <w:kinsoku w:val="0"/>
        <w:autoSpaceDE w:val="0"/>
        <w:autoSpaceDN w:val="0"/>
        <w:adjustRightInd w:val="0"/>
        <w:snapToGrid w:val="0"/>
        <w:spacing w:before="104" w:line="240" w:lineRule="auto"/>
        <w:ind w:left="654"/>
        <w:jc w:val="left"/>
        <w:textAlignment w:val="baseline"/>
        <w:rPr>
          <w:rFonts w:hint="eastAsia" w:asciiTheme="minorEastAsia" w:hAnsiTheme="minorEastAsia" w:eastAsiaTheme="minorEastAsia" w:cstheme="minorEastAsia"/>
          <w:b/>
          <w:bCs/>
          <w:snapToGrid w:val="0"/>
          <w:color w:val="auto"/>
          <w:spacing w:val="-12"/>
          <w:kern w:val="0"/>
          <w:sz w:val="28"/>
          <w:szCs w:val="28"/>
          <w:highlight w:val="none"/>
          <w:lang w:val="en-US" w:eastAsia="zh-CN"/>
        </w:rPr>
      </w:pPr>
      <w:r>
        <w:rPr>
          <w:rFonts w:hint="eastAsia" w:asciiTheme="minorEastAsia" w:hAnsiTheme="minorEastAsia" w:eastAsiaTheme="minorEastAsia" w:cstheme="minorEastAsia"/>
          <w:b/>
          <w:bCs/>
          <w:snapToGrid w:val="0"/>
          <w:color w:val="auto"/>
          <w:spacing w:val="-12"/>
          <w:kern w:val="0"/>
          <w:sz w:val="28"/>
          <w:szCs w:val="28"/>
          <w:highlight w:val="none"/>
        </w:rPr>
        <w:t>供应商名称：</w:t>
      </w:r>
      <w:r>
        <w:rPr>
          <w:rFonts w:hint="eastAsia" w:asciiTheme="minorEastAsia" w:hAnsiTheme="minorEastAsia" w:eastAsiaTheme="minorEastAsia" w:cstheme="minorEastAsia"/>
          <w:b/>
          <w:bCs/>
          <w:snapToGrid w:val="0"/>
          <w:color w:val="auto"/>
          <w:spacing w:val="-12"/>
          <w:kern w:val="0"/>
          <w:sz w:val="28"/>
          <w:szCs w:val="28"/>
          <w:highlight w:val="none"/>
          <w:lang w:val="en-US" w:eastAsia="zh-CN"/>
        </w:rPr>
        <w:t xml:space="preserve">                  （公章或电子CA签章）</w:t>
      </w:r>
    </w:p>
    <w:p w14:paraId="36813F9B">
      <w:pPr>
        <w:widowControl/>
        <w:kinsoku w:val="0"/>
        <w:autoSpaceDE w:val="0"/>
        <w:autoSpaceDN w:val="0"/>
        <w:adjustRightInd w:val="0"/>
        <w:snapToGrid w:val="0"/>
        <w:spacing w:before="104" w:line="240" w:lineRule="auto"/>
        <w:ind w:left="654"/>
        <w:jc w:val="left"/>
        <w:textAlignment w:val="baseline"/>
        <w:rPr>
          <w:rFonts w:hint="eastAsia" w:asciiTheme="minorEastAsia" w:hAnsiTheme="minorEastAsia" w:eastAsiaTheme="minorEastAsia" w:cstheme="minorEastAsia"/>
          <w:b/>
          <w:bCs/>
          <w:snapToGrid w:val="0"/>
          <w:color w:val="auto"/>
          <w:spacing w:val="-12"/>
          <w:kern w:val="0"/>
          <w:sz w:val="28"/>
          <w:szCs w:val="28"/>
          <w:highlight w:val="none"/>
          <w:lang w:val="en-US" w:eastAsia="zh-CN"/>
        </w:rPr>
      </w:pPr>
    </w:p>
    <w:p w14:paraId="1AF3570E">
      <w:pPr>
        <w:keepNext/>
        <w:keepLines/>
        <w:kinsoku w:val="0"/>
        <w:autoSpaceDE w:val="0"/>
        <w:autoSpaceDN w:val="0"/>
        <w:adjustRightInd w:val="0"/>
        <w:snapToGrid w:val="0"/>
        <w:spacing w:before="280" w:after="290" w:line="376" w:lineRule="auto"/>
        <w:jc w:val="left"/>
        <w:textAlignment w:val="baseline"/>
        <w:outlineLvl w:val="9"/>
        <w:rPr>
          <w:rFonts w:hint="eastAsia" w:asciiTheme="minorEastAsia" w:hAnsiTheme="minorEastAsia" w:eastAsiaTheme="minorEastAsia" w:cstheme="minorEastAsia"/>
          <w:b/>
          <w:bCs/>
          <w:snapToGrid w:val="0"/>
          <w:color w:val="auto"/>
          <w:kern w:val="0"/>
          <w:sz w:val="28"/>
          <w:szCs w:val="28"/>
          <w:highlight w:val="none"/>
        </w:rPr>
      </w:pPr>
    </w:p>
    <w:p w14:paraId="26FC503B">
      <w:pPr>
        <w:widowControl/>
        <w:kinsoku w:val="0"/>
        <w:autoSpaceDE w:val="0"/>
        <w:autoSpaceDN w:val="0"/>
        <w:adjustRightInd w:val="0"/>
        <w:snapToGrid w:val="0"/>
        <w:spacing w:before="2" w:line="240" w:lineRule="auto"/>
        <w:ind w:left="3580" w:right="1562" w:hanging="1676"/>
        <w:jc w:val="left"/>
        <w:textAlignment w:val="baseline"/>
        <w:rPr>
          <w:rFonts w:hint="eastAsia" w:asciiTheme="minorEastAsia" w:hAnsiTheme="minorEastAsia" w:eastAsiaTheme="minorEastAsia" w:cstheme="minorEastAsia"/>
          <w:b/>
          <w:bCs/>
          <w:snapToGrid w:val="0"/>
          <w:color w:val="auto"/>
          <w:spacing w:val="-2"/>
          <w:kern w:val="0"/>
          <w:sz w:val="28"/>
          <w:szCs w:val="28"/>
          <w:highlight w:val="none"/>
        </w:rPr>
      </w:pPr>
      <w:r>
        <w:rPr>
          <w:rFonts w:hint="eastAsia" w:asciiTheme="minorEastAsia" w:hAnsiTheme="minorEastAsia" w:eastAsiaTheme="minorEastAsia" w:cstheme="minorEastAsia"/>
          <w:b/>
          <w:bCs/>
          <w:snapToGrid w:val="0"/>
          <w:color w:val="auto"/>
          <w:spacing w:val="-2"/>
          <w:kern w:val="0"/>
          <w:sz w:val="28"/>
          <w:szCs w:val="28"/>
          <w:highlight w:val="none"/>
        </w:rPr>
        <w:t>首次响应文件提交截止时间前不得解密</w:t>
      </w:r>
    </w:p>
    <w:p w14:paraId="74DA20EC">
      <w:pPr>
        <w:widowControl/>
        <w:kinsoku w:val="0"/>
        <w:autoSpaceDE w:val="0"/>
        <w:autoSpaceDN w:val="0"/>
        <w:adjustRightInd w:val="0"/>
        <w:snapToGrid w:val="0"/>
        <w:spacing w:before="2" w:line="240" w:lineRule="auto"/>
        <w:ind w:left="3580" w:right="1562" w:hanging="1676"/>
        <w:jc w:val="left"/>
        <w:textAlignment w:val="baseline"/>
        <w:rPr>
          <w:rFonts w:hint="eastAsia" w:asciiTheme="minorEastAsia" w:hAnsiTheme="minorEastAsia" w:eastAsiaTheme="minorEastAsia" w:cstheme="minorEastAsia"/>
          <w:b/>
          <w:bCs/>
          <w:snapToGrid w:val="0"/>
          <w:color w:val="auto"/>
          <w:spacing w:val="-2"/>
          <w:kern w:val="0"/>
          <w:sz w:val="28"/>
          <w:szCs w:val="28"/>
          <w:highlight w:val="none"/>
        </w:rPr>
      </w:pPr>
    </w:p>
    <w:p w14:paraId="51F4D8C5">
      <w:pPr>
        <w:widowControl/>
        <w:kinsoku w:val="0"/>
        <w:autoSpaceDE w:val="0"/>
        <w:autoSpaceDN w:val="0"/>
        <w:adjustRightInd w:val="0"/>
        <w:snapToGrid w:val="0"/>
        <w:spacing w:before="2" w:line="240" w:lineRule="auto"/>
        <w:ind w:left="3580" w:right="1562" w:hanging="1676"/>
        <w:jc w:val="left"/>
        <w:textAlignment w:val="baseline"/>
        <w:rPr>
          <w:rFonts w:hint="eastAsia" w:asciiTheme="minorEastAsia" w:hAnsiTheme="minorEastAsia" w:eastAsiaTheme="minorEastAsia" w:cstheme="minorEastAsia"/>
          <w:b/>
          <w:bCs/>
          <w:snapToGrid w:val="0"/>
          <w:color w:val="auto"/>
          <w:kern w:val="0"/>
          <w:sz w:val="28"/>
          <w:szCs w:val="28"/>
          <w:highlight w:val="none"/>
        </w:rPr>
      </w:pPr>
      <w:r>
        <w:rPr>
          <w:rFonts w:hint="eastAsia" w:asciiTheme="minorEastAsia" w:hAnsiTheme="minorEastAsia" w:eastAsiaTheme="minorEastAsia" w:cstheme="minorEastAsia"/>
          <w:b/>
          <w:bCs/>
          <w:snapToGrid w:val="0"/>
          <w:color w:val="auto"/>
          <w:spacing w:val="15"/>
          <w:kern w:val="0"/>
          <w:sz w:val="28"/>
          <w:szCs w:val="28"/>
          <w:highlight w:val="none"/>
        </w:rPr>
        <w:t xml:space="preserve"> </w:t>
      </w:r>
      <w:r>
        <w:rPr>
          <w:rFonts w:hint="eastAsia" w:asciiTheme="minorEastAsia" w:hAnsiTheme="minorEastAsia" w:eastAsiaTheme="minorEastAsia" w:cstheme="minorEastAsia"/>
          <w:b/>
          <w:bCs/>
          <w:snapToGrid w:val="0"/>
          <w:color w:val="auto"/>
          <w:spacing w:val="-14"/>
          <w:kern w:val="0"/>
          <w:sz w:val="28"/>
          <w:szCs w:val="28"/>
          <w:highlight w:val="none"/>
        </w:rPr>
        <w:t>年</w:t>
      </w:r>
      <w:r>
        <w:rPr>
          <w:rFonts w:hint="eastAsia" w:asciiTheme="minorEastAsia" w:hAnsiTheme="minorEastAsia" w:eastAsiaTheme="minorEastAsia" w:cstheme="minorEastAsia"/>
          <w:b/>
          <w:bCs/>
          <w:snapToGrid w:val="0"/>
          <w:color w:val="auto"/>
          <w:spacing w:val="7"/>
          <w:kern w:val="0"/>
          <w:sz w:val="28"/>
          <w:szCs w:val="28"/>
          <w:highlight w:val="none"/>
        </w:rPr>
        <w:t xml:space="preserve">    </w:t>
      </w:r>
      <w:r>
        <w:rPr>
          <w:rFonts w:hint="eastAsia" w:asciiTheme="minorEastAsia" w:hAnsiTheme="minorEastAsia" w:eastAsiaTheme="minorEastAsia" w:cstheme="minorEastAsia"/>
          <w:b/>
          <w:bCs/>
          <w:snapToGrid w:val="0"/>
          <w:color w:val="auto"/>
          <w:spacing w:val="-14"/>
          <w:kern w:val="0"/>
          <w:sz w:val="28"/>
          <w:szCs w:val="28"/>
          <w:highlight w:val="none"/>
        </w:rPr>
        <w:t>月</w:t>
      </w:r>
      <w:r>
        <w:rPr>
          <w:rFonts w:hint="eastAsia" w:asciiTheme="minorEastAsia" w:hAnsiTheme="minorEastAsia" w:eastAsiaTheme="minorEastAsia" w:cstheme="minorEastAsia"/>
          <w:b/>
          <w:bCs/>
          <w:snapToGrid w:val="0"/>
          <w:color w:val="auto"/>
          <w:spacing w:val="16"/>
          <w:kern w:val="0"/>
          <w:sz w:val="28"/>
          <w:szCs w:val="28"/>
          <w:highlight w:val="none"/>
        </w:rPr>
        <w:t xml:space="preserve">    </w:t>
      </w:r>
      <w:r>
        <w:rPr>
          <w:rFonts w:hint="eastAsia" w:asciiTheme="minorEastAsia" w:hAnsiTheme="minorEastAsia" w:eastAsiaTheme="minorEastAsia" w:cstheme="minorEastAsia"/>
          <w:b/>
          <w:bCs/>
          <w:snapToGrid w:val="0"/>
          <w:color w:val="auto"/>
          <w:spacing w:val="-14"/>
          <w:kern w:val="0"/>
          <w:sz w:val="28"/>
          <w:szCs w:val="28"/>
          <w:highlight w:val="none"/>
        </w:rPr>
        <w:t>日</w:t>
      </w:r>
    </w:p>
    <w:p w14:paraId="7346C76D">
      <w:pPr>
        <w:spacing w:line="240" w:lineRule="auto"/>
        <w:rPr>
          <w:rFonts w:hint="eastAsia" w:asciiTheme="minorEastAsia" w:hAnsiTheme="minorEastAsia" w:eastAsiaTheme="minorEastAsia" w:cstheme="minorEastAsia"/>
          <w:b/>
          <w:bCs/>
          <w:color w:val="auto"/>
          <w:sz w:val="28"/>
          <w:szCs w:val="28"/>
          <w:highlight w:val="none"/>
        </w:rPr>
        <w:sectPr>
          <w:headerReference r:id="rId8" w:type="default"/>
          <w:footerReference r:id="rId9" w:type="default"/>
          <w:pgSz w:w="11906" w:h="16838"/>
          <w:pgMar w:top="850" w:right="850" w:bottom="850" w:left="1134" w:header="704" w:footer="952" w:gutter="0"/>
          <w:pgNumType w:fmt="decimal" w:start="1"/>
          <w:cols w:space="720" w:num="1"/>
        </w:sectPr>
      </w:pPr>
    </w:p>
    <w:p w14:paraId="53E09A64">
      <w:pPr>
        <w:jc w:val="both"/>
        <w:rPr>
          <w:rFonts w:hint="eastAsia" w:asciiTheme="minorEastAsia" w:hAnsiTheme="minorEastAsia" w:eastAsiaTheme="minorEastAsia" w:cstheme="minorEastAsia"/>
          <w:color w:val="auto"/>
          <w:sz w:val="28"/>
          <w:szCs w:val="28"/>
          <w:highlight w:val="none"/>
          <w:u w:val="single"/>
        </w:rPr>
      </w:pPr>
    </w:p>
    <w:p w14:paraId="799DC3A6">
      <w:pPr>
        <w:ind w:firstLine="560" w:firstLineChars="200"/>
        <w:jc w:val="center"/>
        <w:rPr>
          <w:rFonts w:hint="eastAsia" w:asciiTheme="minorEastAsia" w:hAnsiTheme="minorEastAsia" w:eastAsiaTheme="minorEastAsia" w:cstheme="minorEastAsia"/>
          <w:b/>
          <w:color w:val="auto"/>
          <w:kern w:val="44"/>
          <w:sz w:val="28"/>
          <w:szCs w:val="28"/>
          <w:highlight w:val="none"/>
        </w:rPr>
      </w:pPr>
      <w:r>
        <w:rPr>
          <w:rFonts w:hint="eastAsia" w:asciiTheme="minorEastAsia" w:hAnsiTheme="minorEastAsia" w:eastAsiaTheme="minorEastAsia" w:cstheme="minorEastAsia"/>
          <w:b/>
          <w:color w:val="auto"/>
          <w:kern w:val="44"/>
          <w:sz w:val="28"/>
          <w:szCs w:val="28"/>
          <w:highlight w:val="none"/>
          <w:lang w:val="en-US" w:eastAsia="zh-CN"/>
        </w:rPr>
        <w:t xml:space="preserve">第二节  </w:t>
      </w:r>
      <w:r>
        <w:rPr>
          <w:rFonts w:hint="eastAsia" w:asciiTheme="minorEastAsia" w:hAnsiTheme="minorEastAsia" w:eastAsiaTheme="minorEastAsia" w:cstheme="minorEastAsia"/>
          <w:b/>
          <w:color w:val="auto"/>
          <w:kern w:val="44"/>
          <w:sz w:val="28"/>
          <w:szCs w:val="28"/>
          <w:highlight w:val="none"/>
        </w:rPr>
        <w:t>资格证明文件格式</w:t>
      </w:r>
    </w:p>
    <w:p w14:paraId="146B24A5">
      <w:pPr>
        <w:widowControl/>
        <w:kinsoku w:val="0"/>
        <w:autoSpaceDE w:val="0"/>
        <w:autoSpaceDN w:val="0"/>
        <w:adjustRightInd w:val="0"/>
        <w:snapToGrid w:val="0"/>
        <w:spacing w:before="69" w:line="240" w:lineRule="auto"/>
        <w:ind w:firstLine="6250"/>
        <w:jc w:val="left"/>
        <w:textAlignment w:val="baseline"/>
        <w:rPr>
          <w:rFonts w:hint="eastAsia" w:asciiTheme="minorEastAsia" w:hAnsiTheme="minorEastAsia" w:eastAsiaTheme="minorEastAsia" w:cstheme="minorEastAsia"/>
          <w:snapToGrid w:val="0"/>
          <w:color w:val="auto"/>
          <w:spacing w:val="-2"/>
          <w:kern w:val="0"/>
          <w:sz w:val="24"/>
          <w:szCs w:val="24"/>
          <w:highlight w:val="none"/>
        </w:rPr>
      </w:pPr>
    </w:p>
    <w:p w14:paraId="2AD40300">
      <w:pPr>
        <w:widowControl/>
        <w:kinsoku w:val="0"/>
        <w:autoSpaceDE w:val="0"/>
        <w:autoSpaceDN w:val="0"/>
        <w:adjustRightInd w:val="0"/>
        <w:snapToGrid w:val="0"/>
        <w:spacing w:before="69" w:line="240" w:lineRule="auto"/>
        <w:ind w:firstLine="6250"/>
        <w:jc w:val="left"/>
        <w:textAlignment w:val="baseline"/>
        <w:rPr>
          <w:rFonts w:hint="eastAsia" w:asciiTheme="minorEastAsia" w:hAnsiTheme="minorEastAsia" w:eastAsiaTheme="minorEastAsia" w:cstheme="minorEastAsia"/>
          <w:snapToGrid w:val="0"/>
          <w:color w:val="auto"/>
          <w:spacing w:val="-2"/>
          <w:kern w:val="0"/>
          <w:sz w:val="24"/>
          <w:szCs w:val="24"/>
          <w:highlight w:val="none"/>
        </w:rPr>
      </w:pPr>
    </w:p>
    <w:p w14:paraId="110D878A">
      <w:pPr>
        <w:widowControl/>
        <w:kinsoku w:val="0"/>
        <w:autoSpaceDE w:val="0"/>
        <w:autoSpaceDN w:val="0"/>
        <w:adjustRightInd w:val="0"/>
        <w:snapToGrid w:val="0"/>
        <w:spacing w:before="69" w:line="240" w:lineRule="auto"/>
        <w:ind w:firstLine="6250"/>
        <w:jc w:val="left"/>
        <w:textAlignment w:val="baseline"/>
        <w:rPr>
          <w:rFonts w:hint="eastAsia" w:asciiTheme="minorEastAsia" w:hAnsiTheme="minorEastAsia" w:eastAsiaTheme="minorEastAsia" w:cstheme="minorEastAsia"/>
          <w:snapToGrid w:val="0"/>
          <w:color w:val="auto"/>
          <w:spacing w:val="-2"/>
          <w:kern w:val="0"/>
          <w:sz w:val="24"/>
          <w:szCs w:val="24"/>
          <w:highlight w:val="none"/>
        </w:rPr>
      </w:pPr>
    </w:p>
    <w:p w14:paraId="7D71C62C">
      <w:pPr>
        <w:pStyle w:val="35"/>
        <w:rPr>
          <w:rFonts w:hint="eastAsia" w:asciiTheme="minorEastAsia" w:hAnsiTheme="minorEastAsia" w:eastAsiaTheme="minorEastAsia" w:cstheme="minorEastAsia"/>
          <w:color w:val="auto"/>
          <w:highlight w:val="none"/>
        </w:rPr>
      </w:pPr>
    </w:p>
    <w:p w14:paraId="34EBE8E8">
      <w:pPr>
        <w:widowControl/>
        <w:kinsoku w:val="0"/>
        <w:autoSpaceDE w:val="0"/>
        <w:autoSpaceDN w:val="0"/>
        <w:adjustRightInd w:val="0"/>
        <w:snapToGrid w:val="0"/>
        <w:spacing w:before="69" w:line="240" w:lineRule="auto"/>
        <w:ind w:firstLine="6250"/>
        <w:jc w:val="left"/>
        <w:textAlignment w:val="baseline"/>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spacing w:val="-2"/>
          <w:kern w:val="0"/>
          <w:sz w:val="24"/>
          <w:szCs w:val="24"/>
          <w:highlight w:val="none"/>
        </w:rPr>
        <w:t>全流程电子</w:t>
      </w:r>
      <w:r>
        <w:rPr>
          <w:rFonts w:hint="eastAsia" w:asciiTheme="minorEastAsia" w:hAnsiTheme="minorEastAsia" w:eastAsiaTheme="minorEastAsia" w:cstheme="minorEastAsia"/>
          <w:snapToGrid w:val="0"/>
          <w:color w:val="auto"/>
          <w:spacing w:val="-2"/>
          <w:kern w:val="0"/>
          <w:sz w:val="24"/>
          <w:szCs w:val="24"/>
          <w:highlight w:val="none"/>
          <w:lang w:val="en-US" w:eastAsia="zh-CN"/>
        </w:rPr>
        <w:t>响应</w:t>
      </w:r>
      <w:r>
        <w:rPr>
          <w:rFonts w:hint="eastAsia" w:asciiTheme="minorEastAsia" w:hAnsiTheme="minorEastAsia" w:eastAsiaTheme="minorEastAsia" w:cstheme="minorEastAsia"/>
          <w:snapToGrid w:val="0"/>
          <w:color w:val="auto"/>
          <w:spacing w:val="-2"/>
          <w:kern w:val="0"/>
          <w:sz w:val="24"/>
          <w:szCs w:val="24"/>
          <w:highlight w:val="none"/>
        </w:rPr>
        <w:t>文件</w:t>
      </w:r>
    </w:p>
    <w:p w14:paraId="2905B5E1">
      <w:pPr>
        <w:jc w:val="both"/>
        <w:rPr>
          <w:rFonts w:hint="eastAsia" w:asciiTheme="minorEastAsia" w:hAnsiTheme="minorEastAsia" w:eastAsiaTheme="minorEastAsia" w:cstheme="minorEastAsia"/>
          <w:color w:val="auto"/>
          <w:sz w:val="28"/>
          <w:szCs w:val="28"/>
          <w:highlight w:val="none"/>
          <w:u w:val="single"/>
        </w:rPr>
      </w:pPr>
    </w:p>
    <w:p w14:paraId="1B8C6197">
      <w:pPr>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资  格  证  明  文  件（封面）</w:t>
      </w:r>
    </w:p>
    <w:p w14:paraId="1BD3AE89">
      <w:pPr>
        <w:jc w:val="center"/>
        <w:rPr>
          <w:rFonts w:hint="eastAsia" w:asciiTheme="minorEastAsia" w:hAnsiTheme="minorEastAsia" w:eastAsiaTheme="minorEastAsia" w:cstheme="minorEastAsia"/>
          <w:b/>
          <w:bCs/>
          <w:color w:val="auto"/>
          <w:sz w:val="28"/>
          <w:szCs w:val="28"/>
          <w:highlight w:val="none"/>
        </w:rPr>
      </w:pPr>
    </w:p>
    <w:p w14:paraId="30FBDBC4">
      <w:pPr>
        <w:jc w:val="center"/>
        <w:rPr>
          <w:rFonts w:hint="eastAsia" w:asciiTheme="minorEastAsia" w:hAnsiTheme="minorEastAsia" w:eastAsiaTheme="minorEastAsia" w:cstheme="minorEastAsia"/>
          <w:b/>
          <w:bCs/>
          <w:color w:val="auto"/>
          <w:sz w:val="28"/>
          <w:szCs w:val="28"/>
          <w:highlight w:val="none"/>
        </w:rPr>
      </w:pPr>
    </w:p>
    <w:p w14:paraId="7BBEAA58">
      <w:pPr>
        <w:spacing w:before="312" w:beforeLines="100"/>
        <w:jc w:val="center"/>
        <w:rPr>
          <w:rFonts w:hint="eastAsia" w:asciiTheme="minorEastAsia" w:hAnsiTheme="minorEastAsia" w:eastAsiaTheme="minorEastAsia" w:cstheme="minorEastAsia"/>
          <w:b/>
          <w:bCs/>
          <w:color w:val="auto"/>
          <w:sz w:val="52"/>
          <w:szCs w:val="52"/>
          <w:highlight w:val="none"/>
        </w:rPr>
      </w:pPr>
      <w:r>
        <w:rPr>
          <w:rFonts w:hint="eastAsia" w:asciiTheme="minorEastAsia" w:hAnsiTheme="minorEastAsia" w:eastAsiaTheme="minorEastAsia" w:cstheme="minorEastAsia"/>
          <w:b/>
          <w:bCs/>
          <w:color w:val="auto"/>
          <w:sz w:val="52"/>
          <w:szCs w:val="52"/>
          <w:highlight w:val="none"/>
        </w:rPr>
        <w:t>响 应 文 件</w:t>
      </w:r>
    </w:p>
    <w:p w14:paraId="696090DC">
      <w:pPr>
        <w:spacing w:line="360" w:lineRule="auto"/>
        <w:ind w:firstLine="2380" w:firstLineChars="850"/>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项目名称：</w:t>
      </w:r>
    </w:p>
    <w:p w14:paraId="048BD98C">
      <w:pPr>
        <w:spacing w:line="360" w:lineRule="auto"/>
        <w:ind w:firstLine="2380" w:firstLineChars="850"/>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项目编号：</w:t>
      </w:r>
    </w:p>
    <w:p w14:paraId="6509FAE4">
      <w:pPr>
        <w:pStyle w:val="35"/>
        <w:rPr>
          <w:rFonts w:hint="eastAsia" w:asciiTheme="minorEastAsia" w:hAnsiTheme="minorEastAsia" w:eastAsiaTheme="minorEastAsia" w:cstheme="minorEastAsia"/>
          <w:color w:val="auto"/>
          <w:highlight w:val="none"/>
        </w:rPr>
      </w:pPr>
    </w:p>
    <w:p w14:paraId="3DE6B1E4">
      <w:pPr>
        <w:jc w:val="center"/>
        <w:rPr>
          <w:rFonts w:hint="eastAsia" w:asciiTheme="minorEastAsia" w:hAnsiTheme="minorEastAsia" w:eastAsiaTheme="minorEastAsia" w:cstheme="minorEastAsia"/>
          <w:b/>
          <w:bCs/>
          <w:color w:val="auto"/>
          <w:sz w:val="28"/>
          <w:szCs w:val="28"/>
          <w:highlight w:val="none"/>
        </w:rPr>
      </w:pPr>
    </w:p>
    <w:p w14:paraId="714EC5FF">
      <w:pPr>
        <w:rPr>
          <w:rFonts w:hint="eastAsia" w:asciiTheme="minorEastAsia" w:hAnsiTheme="minorEastAsia" w:eastAsiaTheme="minorEastAsia" w:cstheme="minorEastAsia"/>
          <w:b/>
          <w:bCs/>
          <w:color w:val="auto"/>
          <w:sz w:val="28"/>
          <w:szCs w:val="28"/>
          <w:highlight w:val="none"/>
        </w:rPr>
      </w:pPr>
    </w:p>
    <w:p w14:paraId="50E6BD34">
      <w:pPr>
        <w:rPr>
          <w:rFonts w:hint="eastAsia" w:asciiTheme="minorEastAsia" w:hAnsiTheme="minorEastAsia" w:eastAsiaTheme="minorEastAsia" w:cstheme="minorEastAsia"/>
          <w:b/>
          <w:bCs/>
          <w:color w:val="auto"/>
          <w:sz w:val="28"/>
          <w:szCs w:val="28"/>
          <w:highlight w:val="none"/>
        </w:rPr>
      </w:pPr>
    </w:p>
    <w:p w14:paraId="20D0CF13">
      <w:pPr>
        <w:jc w:val="center"/>
        <w:rPr>
          <w:rFonts w:hint="eastAsia" w:asciiTheme="minorEastAsia" w:hAnsiTheme="minorEastAsia" w:eastAsiaTheme="minorEastAsia" w:cstheme="minorEastAsia"/>
          <w:b/>
          <w:bCs/>
          <w:color w:val="auto"/>
          <w:sz w:val="28"/>
          <w:szCs w:val="28"/>
          <w:highlight w:val="none"/>
        </w:rPr>
      </w:pPr>
    </w:p>
    <w:p w14:paraId="65282EC4">
      <w:pPr>
        <w:jc w:val="center"/>
        <w:rPr>
          <w:rFonts w:hint="eastAsia" w:asciiTheme="minorEastAsia" w:hAnsiTheme="minorEastAsia" w:eastAsiaTheme="minorEastAsia" w:cstheme="minorEastAsia"/>
          <w:b/>
          <w:bCs/>
          <w:color w:val="auto"/>
          <w:sz w:val="28"/>
          <w:szCs w:val="28"/>
          <w:highlight w:val="none"/>
        </w:rPr>
      </w:pPr>
    </w:p>
    <w:p w14:paraId="77332646">
      <w:pPr>
        <w:spacing w:line="360" w:lineRule="auto"/>
        <w:ind w:firstLine="1400" w:firstLineChars="500"/>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lang w:eastAsia="zh-CN"/>
        </w:rPr>
        <w:t>磋商供应商</w:t>
      </w:r>
      <w:r>
        <w:rPr>
          <w:rFonts w:hint="eastAsia" w:asciiTheme="minorEastAsia" w:hAnsiTheme="minorEastAsia" w:eastAsiaTheme="minorEastAsia" w:cstheme="minorEastAsia"/>
          <w:b/>
          <w:bCs/>
          <w:color w:val="auto"/>
          <w:sz w:val="28"/>
          <w:szCs w:val="28"/>
          <w:highlight w:val="none"/>
        </w:rPr>
        <w:t>：</w:t>
      </w:r>
      <w:r>
        <w:rPr>
          <w:rFonts w:hint="eastAsia" w:asciiTheme="minorEastAsia" w:hAnsiTheme="minorEastAsia" w:eastAsiaTheme="minorEastAsia" w:cstheme="minorEastAsia"/>
          <w:b/>
          <w:bCs/>
          <w:color w:val="auto"/>
          <w:sz w:val="28"/>
          <w:szCs w:val="28"/>
          <w:highlight w:val="none"/>
          <w:u w:val="single"/>
        </w:rPr>
        <w:t xml:space="preserve">                          </w:t>
      </w:r>
      <w:r>
        <w:rPr>
          <w:rFonts w:hint="eastAsia" w:asciiTheme="minorEastAsia" w:hAnsiTheme="minorEastAsia" w:eastAsiaTheme="minorEastAsia" w:cstheme="minorEastAsia"/>
          <w:b/>
          <w:bCs/>
          <w:color w:val="auto"/>
          <w:sz w:val="28"/>
          <w:szCs w:val="28"/>
          <w:highlight w:val="none"/>
        </w:rPr>
        <w:t>（公章</w:t>
      </w:r>
      <w:r>
        <w:rPr>
          <w:rFonts w:hint="eastAsia" w:asciiTheme="minorEastAsia" w:hAnsiTheme="minorEastAsia" w:eastAsiaTheme="minorEastAsia" w:cstheme="minorEastAsia"/>
          <w:b/>
          <w:bCs/>
          <w:color w:val="auto"/>
          <w:sz w:val="28"/>
          <w:szCs w:val="28"/>
          <w:highlight w:val="none"/>
          <w:lang w:val="en-US" w:eastAsia="zh-CN"/>
        </w:rPr>
        <w:t>或</w:t>
      </w:r>
      <w:r>
        <w:rPr>
          <w:rFonts w:hint="eastAsia" w:asciiTheme="minorEastAsia" w:hAnsiTheme="minorEastAsia" w:eastAsiaTheme="minorEastAsia" w:cstheme="minorEastAsia"/>
          <w:b/>
          <w:bCs/>
          <w:color w:val="auto"/>
          <w:sz w:val="28"/>
          <w:szCs w:val="28"/>
          <w:highlight w:val="none"/>
          <w:lang w:eastAsia="zh-CN"/>
        </w:rPr>
        <w:t>电子CA签章</w:t>
      </w:r>
      <w:r>
        <w:rPr>
          <w:rFonts w:hint="eastAsia" w:asciiTheme="minorEastAsia" w:hAnsiTheme="minorEastAsia" w:eastAsiaTheme="minorEastAsia" w:cstheme="minorEastAsia"/>
          <w:b/>
          <w:bCs/>
          <w:color w:val="auto"/>
          <w:sz w:val="28"/>
          <w:szCs w:val="28"/>
          <w:highlight w:val="none"/>
        </w:rPr>
        <w:t>）</w:t>
      </w:r>
    </w:p>
    <w:p w14:paraId="3B73C945">
      <w:pPr>
        <w:spacing w:line="360" w:lineRule="auto"/>
        <w:ind w:firstLine="1400" w:firstLineChars="500"/>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法定代表人或其委托代理人：</w:t>
      </w:r>
      <w:r>
        <w:rPr>
          <w:rFonts w:hint="eastAsia" w:asciiTheme="minorEastAsia" w:hAnsiTheme="minorEastAsia" w:eastAsiaTheme="minorEastAsia" w:cstheme="minorEastAsia"/>
          <w:b/>
          <w:bCs/>
          <w:color w:val="auto"/>
          <w:sz w:val="28"/>
          <w:szCs w:val="28"/>
          <w:highlight w:val="none"/>
          <w:u w:val="single"/>
        </w:rPr>
        <w:t xml:space="preserve">           </w:t>
      </w:r>
      <w:r>
        <w:rPr>
          <w:rFonts w:hint="eastAsia" w:asciiTheme="minorEastAsia" w:hAnsiTheme="minorEastAsia" w:eastAsiaTheme="minorEastAsia" w:cstheme="minorEastAsia"/>
          <w:b/>
          <w:bCs/>
          <w:color w:val="auto"/>
          <w:sz w:val="28"/>
          <w:szCs w:val="28"/>
          <w:highlight w:val="none"/>
        </w:rPr>
        <w:t>（手写签名</w:t>
      </w:r>
      <w:r>
        <w:rPr>
          <w:rFonts w:hint="eastAsia" w:asciiTheme="minorEastAsia" w:hAnsiTheme="minorEastAsia" w:eastAsiaTheme="minorEastAsia" w:cstheme="minorEastAsia"/>
          <w:b/>
          <w:bCs/>
          <w:color w:val="auto"/>
          <w:sz w:val="28"/>
          <w:szCs w:val="28"/>
          <w:highlight w:val="none"/>
          <w:lang w:val="en-US" w:eastAsia="zh-CN"/>
        </w:rPr>
        <w:t>或</w:t>
      </w:r>
      <w:r>
        <w:rPr>
          <w:rFonts w:hint="eastAsia" w:asciiTheme="minorEastAsia" w:hAnsiTheme="minorEastAsia" w:eastAsiaTheme="minorEastAsia" w:cstheme="minorEastAsia"/>
          <w:b/>
          <w:bCs/>
          <w:color w:val="auto"/>
          <w:sz w:val="28"/>
          <w:szCs w:val="28"/>
          <w:highlight w:val="none"/>
        </w:rPr>
        <w:t>电子签名）</w:t>
      </w:r>
    </w:p>
    <w:p w14:paraId="0E406625">
      <w:pPr>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u w:val="single"/>
        </w:rPr>
        <w:t xml:space="preserve">         </w:t>
      </w:r>
      <w:r>
        <w:rPr>
          <w:rFonts w:hint="eastAsia" w:asciiTheme="minorEastAsia" w:hAnsiTheme="minorEastAsia" w:eastAsiaTheme="minorEastAsia" w:cstheme="minorEastAsia"/>
          <w:b/>
          <w:bCs/>
          <w:color w:val="auto"/>
          <w:sz w:val="28"/>
          <w:szCs w:val="28"/>
          <w:highlight w:val="none"/>
        </w:rPr>
        <w:t>年</w:t>
      </w:r>
      <w:r>
        <w:rPr>
          <w:rFonts w:hint="eastAsia" w:asciiTheme="minorEastAsia" w:hAnsiTheme="minorEastAsia" w:eastAsiaTheme="minorEastAsia" w:cstheme="minorEastAsia"/>
          <w:b/>
          <w:bCs/>
          <w:color w:val="auto"/>
          <w:sz w:val="28"/>
          <w:szCs w:val="28"/>
          <w:highlight w:val="none"/>
          <w:u w:val="single"/>
        </w:rPr>
        <w:t xml:space="preserve">         </w:t>
      </w:r>
      <w:r>
        <w:rPr>
          <w:rFonts w:hint="eastAsia" w:asciiTheme="minorEastAsia" w:hAnsiTheme="minorEastAsia" w:eastAsiaTheme="minorEastAsia" w:cstheme="minorEastAsia"/>
          <w:b/>
          <w:bCs/>
          <w:color w:val="auto"/>
          <w:sz w:val="28"/>
          <w:szCs w:val="28"/>
          <w:highlight w:val="none"/>
        </w:rPr>
        <w:t>月</w:t>
      </w:r>
      <w:r>
        <w:rPr>
          <w:rFonts w:hint="eastAsia" w:asciiTheme="minorEastAsia" w:hAnsiTheme="minorEastAsia" w:eastAsiaTheme="minorEastAsia" w:cstheme="minorEastAsia"/>
          <w:b/>
          <w:bCs/>
          <w:color w:val="auto"/>
          <w:sz w:val="28"/>
          <w:szCs w:val="28"/>
          <w:highlight w:val="none"/>
          <w:u w:val="single"/>
        </w:rPr>
        <w:t xml:space="preserve">         </w:t>
      </w:r>
      <w:r>
        <w:rPr>
          <w:rFonts w:hint="eastAsia" w:asciiTheme="minorEastAsia" w:hAnsiTheme="minorEastAsia" w:eastAsiaTheme="minorEastAsia" w:cstheme="minorEastAsia"/>
          <w:b/>
          <w:bCs/>
          <w:color w:val="auto"/>
          <w:sz w:val="28"/>
          <w:szCs w:val="28"/>
          <w:highlight w:val="none"/>
        </w:rPr>
        <w:t>日</w:t>
      </w:r>
    </w:p>
    <w:p w14:paraId="367F2B4C">
      <w:pPr>
        <w:spacing w:line="336" w:lineRule="auto"/>
        <w:ind w:right="-153" w:rightChars="-73"/>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br w:type="page"/>
      </w:r>
    </w:p>
    <w:p w14:paraId="2FB6B414">
      <w:pPr>
        <w:spacing w:line="336" w:lineRule="auto"/>
        <w:ind w:right="-153" w:rightChars="-73"/>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目</w:t>
      </w:r>
      <w:r>
        <w:rPr>
          <w:rFonts w:hint="eastAsia" w:asciiTheme="minorEastAsia" w:hAnsiTheme="minorEastAsia" w:eastAsiaTheme="minorEastAsia" w:cstheme="minorEastAsia"/>
          <w:b/>
          <w:color w:val="auto"/>
          <w:sz w:val="28"/>
          <w:szCs w:val="28"/>
          <w:highlight w:val="none"/>
          <w:lang w:val="en-US" w:eastAsia="zh-CN"/>
        </w:rPr>
        <w:t xml:space="preserve">    </w:t>
      </w:r>
      <w:r>
        <w:rPr>
          <w:rFonts w:hint="eastAsia" w:asciiTheme="minorEastAsia" w:hAnsiTheme="minorEastAsia" w:eastAsiaTheme="minorEastAsia" w:cstheme="minorEastAsia"/>
          <w:b/>
          <w:color w:val="auto"/>
          <w:sz w:val="28"/>
          <w:szCs w:val="28"/>
          <w:highlight w:val="none"/>
        </w:rPr>
        <w:t>录</w:t>
      </w:r>
    </w:p>
    <w:p w14:paraId="2E36F88A">
      <w:pPr>
        <w:spacing w:line="336" w:lineRule="auto"/>
        <w:ind w:right="-153" w:rightChars="-73"/>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w:t>
      </w:r>
      <w:r>
        <w:rPr>
          <w:rFonts w:hint="eastAsia" w:asciiTheme="minorEastAsia" w:hAnsiTheme="minorEastAsia" w:eastAsiaTheme="minorEastAsia" w:cstheme="minorEastAsia"/>
          <w:b w:val="0"/>
          <w:bCs/>
          <w:color w:val="auto"/>
          <w:sz w:val="24"/>
          <w:szCs w:val="24"/>
          <w:highlight w:val="none"/>
          <w:lang w:val="en-US" w:eastAsia="zh-CN"/>
        </w:rPr>
        <w:t>自行编</w:t>
      </w:r>
      <w:r>
        <w:rPr>
          <w:rFonts w:hint="eastAsia" w:asciiTheme="minorEastAsia" w:hAnsiTheme="minorEastAsia" w:eastAsiaTheme="minorEastAsia" w:cstheme="minorEastAsia"/>
          <w:b w:val="0"/>
          <w:bCs/>
          <w:color w:val="auto"/>
          <w:sz w:val="24"/>
          <w:szCs w:val="24"/>
          <w:highlight w:val="none"/>
        </w:rPr>
        <w:t>页码）</w:t>
      </w:r>
    </w:p>
    <w:p w14:paraId="11A67A8F">
      <w:pPr>
        <w:spacing w:line="336" w:lineRule="auto"/>
        <w:ind w:right="-153" w:rightChars="-73"/>
        <w:jc w:val="both"/>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Cs/>
          <w:color w:val="auto"/>
          <w:kern w:val="2"/>
          <w:sz w:val="24"/>
          <w:szCs w:val="24"/>
          <w:highlight w:val="none"/>
          <w:lang w:val="en-US" w:eastAsia="zh-CN" w:bidi="ar-SA"/>
        </w:rPr>
        <w:t>（1）有效的法人营业执照副本扫描件；</w:t>
      </w:r>
    </w:p>
    <w:p w14:paraId="082B0E93">
      <w:pPr>
        <w:pStyle w:val="35"/>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（2）政府采购供应商信用承诺函；</w:t>
      </w:r>
    </w:p>
    <w:p w14:paraId="07FD6881">
      <w:pPr>
        <w:pStyle w:val="35"/>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（3）有效的企业资质证书副本扫描件；</w:t>
      </w:r>
    </w:p>
    <w:p w14:paraId="78B988DA">
      <w:pPr>
        <w:pStyle w:val="35"/>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（4）有效的安全生产许可证副本扫描件；</w:t>
      </w:r>
    </w:p>
    <w:p w14:paraId="1DF7B258">
      <w:pPr>
        <w:pStyle w:val="35"/>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（5）</w:t>
      </w:r>
      <w:r>
        <w:rPr>
          <w:rFonts w:hint="eastAsia" w:asciiTheme="minorEastAsia" w:hAnsiTheme="minorEastAsia" w:eastAsiaTheme="minorEastAsia" w:cstheme="minorEastAsia"/>
          <w:bCs/>
          <w:color w:val="auto"/>
          <w:sz w:val="24"/>
          <w:szCs w:val="24"/>
          <w:highlight w:val="none"/>
          <w:lang w:val="en-US" w:eastAsia="zh-CN"/>
        </w:rPr>
        <w:fldChar w:fldCharType="begin"/>
      </w:r>
      <w:r>
        <w:rPr>
          <w:rFonts w:hint="eastAsia" w:asciiTheme="minorEastAsia" w:hAnsiTheme="minorEastAsia" w:eastAsiaTheme="minorEastAsia" w:cstheme="minorEastAsia"/>
          <w:bCs/>
          <w:color w:val="auto"/>
          <w:sz w:val="24"/>
          <w:szCs w:val="24"/>
          <w:highlight w:val="none"/>
          <w:lang w:val="en-US" w:eastAsia="zh-CN"/>
        </w:rPr>
        <w:instrText xml:space="preserve"> HYPERLINK "http://www.gxcic.net/HTMLFile/2013-02/shownews_167314.html" \t "http://ggzyjy.gxhz.gov.cn/page__gp_portal/_blank" </w:instrText>
      </w:r>
      <w:r>
        <w:rPr>
          <w:rFonts w:hint="eastAsia" w:asciiTheme="minorEastAsia" w:hAnsiTheme="minorEastAsia" w:eastAsiaTheme="minorEastAsia" w:cstheme="minorEastAsia"/>
          <w:bCs/>
          <w:color w:val="auto"/>
          <w:sz w:val="24"/>
          <w:szCs w:val="24"/>
          <w:highlight w:val="none"/>
          <w:lang w:val="en-US" w:eastAsia="zh-CN"/>
        </w:rPr>
        <w:fldChar w:fldCharType="separate"/>
      </w:r>
      <w:r>
        <w:rPr>
          <w:rFonts w:hint="eastAsia" w:asciiTheme="minorEastAsia" w:hAnsiTheme="minorEastAsia" w:eastAsiaTheme="minorEastAsia" w:cstheme="minorEastAsia"/>
          <w:bCs/>
          <w:color w:val="auto"/>
          <w:sz w:val="24"/>
          <w:szCs w:val="24"/>
          <w:highlight w:val="none"/>
          <w:lang w:val="en-US" w:eastAsia="zh-CN"/>
        </w:rPr>
        <w:t>拟派往本项目项目经理</w:t>
      </w:r>
      <w:r>
        <w:rPr>
          <w:rFonts w:hint="eastAsia" w:asciiTheme="minorEastAsia" w:hAnsiTheme="minorEastAsia" w:eastAsiaTheme="minorEastAsia" w:cstheme="minorEastAsia"/>
          <w:bCs/>
          <w:color w:val="auto"/>
          <w:sz w:val="24"/>
          <w:szCs w:val="24"/>
          <w:highlight w:val="none"/>
          <w:lang w:val="en-US" w:eastAsia="zh-CN"/>
        </w:rPr>
        <w:fldChar w:fldCharType="end"/>
      </w:r>
      <w:r>
        <w:rPr>
          <w:rFonts w:hint="eastAsia" w:asciiTheme="minorEastAsia" w:hAnsiTheme="minorEastAsia" w:eastAsiaTheme="minorEastAsia" w:cstheme="minorEastAsia"/>
          <w:bCs/>
          <w:color w:val="auto"/>
          <w:sz w:val="24"/>
          <w:szCs w:val="24"/>
          <w:highlight w:val="none"/>
          <w:lang w:val="en-US" w:eastAsia="zh-CN"/>
        </w:rPr>
        <w:t>具备公路工程类专业注册建造师二级以上（含二级）执业资格和具备有效的《安全生产考核合格证书（B类）》【提供项目经理注册建造师执业资格证书和安全生产考核合格证书（B类）的扫描件】。</w:t>
      </w:r>
    </w:p>
    <w:p w14:paraId="4005277C">
      <w:pPr>
        <w:pStyle w:val="36"/>
        <w:ind w:left="0" w:leftChars="0" w:firstLine="0" w:firstLineChars="0"/>
        <w:rPr>
          <w:rFonts w:hint="eastAsia"/>
          <w:b w:val="0"/>
          <w:bCs w:val="0"/>
          <w:sz w:val="24"/>
          <w:szCs w:val="24"/>
          <w:lang w:val="en-US" w:eastAsia="zh-CN"/>
        </w:rPr>
      </w:pPr>
      <w:r>
        <w:rPr>
          <w:rFonts w:hint="eastAsia" w:asciiTheme="minorEastAsia" w:hAnsiTheme="minorEastAsia" w:eastAsiaTheme="minorEastAsia" w:cstheme="minorEastAsia"/>
          <w:b w:val="0"/>
          <w:bCs w:val="0"/>
          <w:color w:val="auto"/>
          <w:kern w:val="2"/>
          <w:sz w:val="24"/>
          <w:szCs w:val="24"/>
          <w:highlight w:val="none"/>
          <w:lang w:val="en-US" w:eastAsia="zh-CN" w:bidi="ar-SA"/>
        </w:rPr>
        <w:t>（6）法定代表人身份证明书及授权委托书（委托代理时必须提供，同时加盖单位电子公章）</w:t>
      </w:r>
    </w:p>
    <w:p w14:paraId="1CC808B4">
      <w:pPr>
        <w:pStyle w:val="35"/>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（7）本项目属于专门面向中小企业采购的项目，中小企业声明函（或监狱企业的证明文件或残疾人福利性单位声明函）必须提供；</w:t>
      </w:r>
    </w:p>
    <w:p w14:paraId="4CF7B1D9">
      <w:pPr>
        <w:pStyle w:val="35"/>
        <w:rPr>
          <w:rFonts w:hint="eastAsia" w:asciiTheme="minorEastAsia" w:hAnsiTheme="minorEastAsia" w:eastAsiaTheme="minorEastAsia" w:cstheme="minorEastAsia"/>
          <w:b/>
          <w:bCs/>
          <w:color w:val="auto"/>
          <w:sz w:val="24"/>
          <w:highlight w:val="none"/>
        </w:rPr>
      </w:pPr>
    </w:p>
    <w:p w14:paraId="7069011F">
      <w:pPr>
        <w:pStyle w:val="36"/>
        <w:rPr>
          <w:rFonts w:hint="eastAsia" w:asciiTheme="minorEastAsia" w:hAnsiTheme="minorEastAsia" w:eastAsiaTheme="minorEastAsia" w:cstheme="minorEastAsia"/>
          <w:b/>
          <w:bCs/>
          <w:color w:val="auto"/>
          <w:sz w:val="24"/>
          <w:highlight w:val="none"/>
        </w:rPr>
      </w:pPr>
    </w:p>
    <w:p w14:paraId="0E1B205F">
      <w:pPr>
        <w:jc w:val="cente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b/>
          <w:bCs/>
          <w:color w:val="auto"/>
          <w:sz w:val="24"/>
          <w:highlight w:val="none"/>
          <w:lang w:val="en-US" w:eastAsia="zh-CN"/>
        </w:rPr>
        <w:t>正文格式自拟</w:t>
      </w:r>
    </w:p>
    <w:p w14:paraId="67492E4E">
      <w:pPr>
        <w:spacing w:line="48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bCs/>
          <w:color w:val="auto"/>
          <w:sz w:val="24"/>
          <w:highlight w:val="none"/>
        </w:rPr>
        <w:t>注：</w:t>
      </w:r>
      <w:r>
        <w:rPr>
          <w:rFonts w:hint="eastAsia" w:asciiTheme="minorEastAsia" w:hAnsiTheme="minorEastAsia" w:eastAsiaTheme="minorEastAsia" w:cstheme="minorEastAsia"/>
          <w:b/>
          <w:bCs/>
          <w:color w:val="auto"/>
          <w:sz w:val="24"/>
          <w:highlight w:val="none"/>
          <w:lang w:val="en-US" w:eastAsia="zh-CN"/>
        </w:rPr>
        <w:t>1.</w:t>
      </w:r>
      <w:r>
        <w:rPr>
          <w:rFonts w:hint="eastAsia" w:asciiTheme="minorEastAsia" w:hAnsiTheme="minorEastAsia" w:eastAsiaTheme="minorEastAsia" w:cstheme="minorEastAsia"/>
          <w:b/>
          <w:color w:val="auto"/>
          <w:sz w:val="24"/>
          <w:highlight w:val="none"/>
          <w:u w:val="single"/>
        </w:rPr>
        <w:t>上述材料缺少任何一项或任何一项无效均会被视为资格审查不合格，作无效磋商处理</w:t>
      </w:r>
      <w:r>
        <w:rPr>
          <w:rFonts w:hint="eastAsia" w:asciiTheme="minorEastAsia" w:hAnsiTheme="minorEastAsia" w:eastAsiaTheme="minorEastAsia" w:cstheme="minorEastAsia"/>
          <w:b/>
          <w:color w:val="auto"/>
          <w:sz w:val="24"/>
          <w:highlight w:val="none"/>
        </w:rPr>
        <w:t>。</w:t>
      </w:r>
    </w:p>
    <w:p w14:paraId="012BB9AB">
      <w:pPr>
        <w:spacing w:before="78" w:line="219" w:lineRule="auto"/>
        <w:rPr>
          <w:rFonts w:hint="eastAsia" w:asciiTheme="minorEastAsia" w:hAnsiTheme="minorEastAsia" w:eastAsiaTheme="minorEastAsia" w:cstheme="minorEastAsia"/>
          <w:b/>
          <w:color w:val="auto"/>
          <w:sz w:val="24"/>
          <w:highlight w:val="none"/>
          <w:u w:val="single"/>
          <w:lang w:val="en-US" w:eastAsia="zh-CN"/>
        </w:rPr>
      </w:pPr>
      <w:r>
        <w:rPr>
          <w:rFonts w:hint="eastAsia" w:asciiTheme="minorEastAsia" w:hAnsiTheme="minorEastAsia" w:eastAsiaTheme="minorEastAsia" w:cstheme="minorEastAsia"/>
          <w:b/>
          <w:color w:val="auto"/>
          <w:sz w:val="24"/>
          <w:highlight w:val="none"/>
          <w:u w:val="single"/>
          <w:lang w:val="en-US" w:eastAsia="zh-CN"/>
        </w:rPr>
        <w:t>以上材料属于复印件的扫描件的，必须加盖供应商电子公章，否则响应文件按无效响应处理。</w:t>
      </w:r>
    </w:p>
    <w:p w14:paraId="3A3A97F4">
      <w:pPr>
        <w:spacing w:before="78" w:line="219" w:lineRule="auto"/>
        <w:rPr>
          <w:rFonts w:hint="eastAsia" w:asciiTheme="minorEastAsia" w:hAnsiTheme="minorEastAsia" w:eastAsiaTheme="minorEastAsia" w:cstheme="minorEastAsia"/>
          <w:b/>
          <w:color w:val="auto"/>
          <w:sz w:val="24"/>
          <w:highlight w:val="none"/>
          <w:u w:val="single"/>
          <w:lang w:val="en-US" w:eastAsia="zh-CN"/>
        </w:rPr>
      </w:pPr>
    </w:p>
    <w:p w14:paraId="629173BB">
      <w:pPr>
        <w:spacing w:before="78" w:line="219" w:lineRule="auto"/>
        <w:rPr>
          <w:rFonts w:ascii="宋体" w:hAnsi="宋体" w:eastAsia="宋体" w:cs="宋体"/>
          <w:spacing w:val="4"/>
          <w:sz w:val="24"/>
          <w:szCs w:val="24"/>
        </w:rPr>
      </w:pPr>
    </w:p>
    <w:p w14:paraId="3A75EE3E">
      <w:pPr>
        <w:spacing w:before="78" w:line="219" w:lineRule="auto"/>
        <w:rPr>
          <w:rFonts w:ascii="宋体" w:hAnsi="宋体" w:eastAsia="宋体" w:cs="宋体"/>
          <w:spacing w:val="4"/>
          <w:sz w:val="24"/>
          <w:szCs w:val="24"/>
        </w:rPr>
      </w:pPr>
    </w:p>
    <w:p w14:paraId="070837D7">
      <w:pPr>
        <w:spacing w:before="78" w:line="219" w:lineRule="auto"/>
        <w:rPr>
          <w:rFonts w:ascii="宋体" w:hAnsi="宋体" w:eastAsia="宋体" w:cs="宋体"/>
          <w:spacing w:val="4"/>
          <w:sz w:val="24"/>
          <w:szCs w:val="24"/>
        </w:rPr>
      </w:pPr>
    </w:p>
    <w:p w14:paraId="35E773E6">
      <w:pPr>
        <w:spacing w:before="78" w:line="219" w:lineRule="auto"/>
        <w:rPr>
          <w:rFonts w:ascii="宋体" w:hAnsi="宋体" w:eastAsia="宋体" w:cs="宋体"/>
          <w:spacing w:val="4"/>
          <w:sz w:val="24"/>
          <w:szCs w:val="24"/>
        </w:rPr>
      </w:pPr>
    </w:p>
    <w:p w14:paraId="057689E4">
      <w:pPr>
        <w:spacing w:before="78" w:line="219" w:lineRule="auto"/>
        <w:rPr>
          <w:rFonts w:ascii="宋体" w:hAnsi="宋体" w:eastAsia="宋体" w:cs="宋体"/>
          <w:spacing w:val="4"/>
          <w:sz w:val="24"/>
          <w:szCs w:val="24"/>
        </w:rPr>
      </w:pPr>
    </w:p>
    <w:p w14:paraId="345ECB37">
      <w:pPr>
        <w:spacing w:before="78" w:line="219" w:lineRule="auto"/>
        <w:rPr>
          <w:rFonts w:ascii="宋体" w:hAnsi="宋体" w:eastAsia="宋体" w:cs="宋体"/>
          <w:spacing w:val="4"/>
          <w:sz w:val="24"/>
          <w:szCs w:val="24"/>
        </w:rPr>
      </w:pPr>
    </w:p>
    <w:p w14:paraId="642746E2">
      <w:pPr>
        <w:spacing w:before="78" w:line="219" w:lineRule="auto"/>
        <w:rPr>
          <w:rFonts w:ascii="宋体" w:hAnsi="宋体" w:eastAsia="宋体" w:cs="宋体"/>
          <w:spacing w:val="4"/>
          <w:sz w:val="24"/>
          <w:szCs w:val="24"/>
        </w:rPr>
      </w:pPr>
    </w:p>
    <w:p w14:paraId="6E5A613A">
      <w:pPr>
        <w:spacing w:before="78" w:line="219" w:lineRule="auto"/>
        <w:rPr>
          <w:rFonts w:ascii="宋体" w:hAnsi="宋体" w:eastAsia="宋体" w:cs="宋体"/>
          <w:spacing w:val="4"/>
          <w:sz w:val="24"/>
          <w:szCs w:val="24"/>
        </w:rPr>
      </w:pPr>
    </w:p>
    <w:p w14:paraId="36CD5D74">
      <w:pPr>
        <w:spacing w:before="78" w:line="219" w:lineRule="auto"/>
        <w:rPr>
          <w:rFonts w:ascii="宋体" w:hAnsi="宋体" w:eastAsia="宋体" w:cs="宋体"/>
          <w:spacing w:val="4"/>
          <w:sz w:val="24"/>
          <w:szCs w:val="24"/>
        </w:rPr>
      </w:pPr>
    </w:p>
    <w:p w14:paraId="53AD2800">
      <w:pPr>
        <w:spacing w:before="78" w:line="219" w:lineRule="auto"/>
        <w:rPr>
          <w:rFonts w:ascii="宋体" w:hAnsi="宋体" w:eastAsia="宋体" w:cs="宋体"/>
          <w:spacing w:val="4"/>
          <w:sz w:val="24"/>
          <w:szCs w:val="24"/>
        </w:rPr>
      </w:pPr>
    </w:p>
    <w:p w14:paraId="4921A25E">
      <w:pPr>
        <w:spacing w:before="78" w:line="219" w:lineRule="auto"/>
        <w:rPr>
          <w:rFonts w:ascii="宋体" w:hAnsi="宋体" w:eastAsia="宋体" w:cs="宋体"/>
          <w:spacing w:val="4"/>
          <w:sz w:val="24"/>
          <w:szCs w:val="24"/>
        </w:rPr>
      </w:pPr>
    </w:p>
    <w:p w14:paraId="62FBAB81">
      <w:pPr>
        <w:spacing w:before="78" w:line="219" w:lineRule="auto"/>
        <w:rPr>
          <w:rFonts w:ascii="宋体" w:hAnsi="宋体" w:eastAsia="宋体" w:cs="宋体"/>
          <w:spacing w:val="4"/>
          <w:sz w:val="24"/>
          <w:szCs w:val="24"/>
        </w:rPr>
      </w:pPr>
    </w:p>
    <w:p w14:paraId="777788EC">
      <w:pPr>
        <w:spacing w:before="78" w:line="219" w:lineRule="auto"/>
        <w:rPr>
          <w:rFonts w:ascii="宋体" w:hAnsi="宋体" w:eastAsia="宋体" w:cs="宋体"/>
          <w:spacing w:val="4"/>
          <w:sz w:val="24"/>
          <w:szCs w:val="24"/>
        </w:rPr>
      </w:pPr>
    </w:p>
    <w:p w14:paraId="032AF1EA">
      <w:pPr>
        <w:spacing w:before="78" w:line="219" w:lineRule="auto"/>
        <w:rPr>
          <w:rFonts w:ascii="宋体" w:hAnsi="宋体" w:eastAsia="宋体" w:cs="宋体"/>
          <w:spacing w:val="4"/>
          <w:sz w:val="24"/>
          <w:szCs w:val="24"/>
        </w:rPr>
      </w:pPr>
    </w:p>
    <w:p w14:paraId="56963577">
      <w:pPr>
        <w:spacing w:before="78" w:line="219" w:lineRule="auto"/>
        <w:rPr>
          <w:rFonts w:ascii="宋体" w:hAnsi="宋体" w:eastAsia="宋体" w:cs="宋体"/>
          <w:spacing w:val="4"/>
          <w:sz w:val="24"/>
          <w:szCs w:val="24"/>
        </w:rPr>
      </w:pPr>
    </w:p>
    <w:p w14:paraId="1B6FF0F8">
      <w:pPr>
        <w:spacing w:before="78" w:line="219" w:lineRule="auto"/>
        <w:rPr>
          <w:rFonts w:ascii="宋体" w:hAnsi="宋体" w:eastAsia="宋体" w:cs="宋体"/>
          <w:spacing w:val="4"/>
          <w:sz w:val="24"/>
          <w:szCs w:val="24"/>
        </w:rPr>
      </w:pPr>
    </w:p>
    <w:p w14:paraId="30FC4640">
      <w:pPr>
        <w:spacing w:before="78" w:line="219" w:lineRule="auto"/>
        <w:rPr>
          <w:rFonts w:ascii="宋体" w:hAnsi="宋体" w:eastAsia="宋体" w:cs="宋体"/>
          <w:spacing w:val="4"/>
          <w:sz w:val="24"/>
          <w:szCs w:val="24"/>
        </w:rPr>
      </w:pPr>
    </w:p>
    <w:p w14:paraId="5638F6A8">
      <w:pPr>
        <w:spacing w:before="78" w:line="219" w:lineRule="auto"/>
        <w:rPr>
          <w:rFonts w:ascii="宋体" w:hAnsi="宋体" w:eastAsia="宋体" w:cs="宋体"/>
          <w:spacing w:val="4"/>
          <w:sz w:val="24"/>
          <w:szCs w:val="24"/>
        </w:rPr>
      </w:pPr>
    </w:p>
    <w:p w14:paraId="58ABF01A">
      <w:pPr>
        <w:spacing w:before="78" w:line="219" w:lineRule="auto"/>
        <w:rPr>
          <w:rFonts w:ascii="宋体" w:hAnsi="宋体" w:eastAsia="宋体" w:cs="宋体"/>
          <w:spacing w:val="4"/>
          <w:sz w:val="24"/>
          <w:szCs w:val="24"/>
        </w:rPr>
      </w:pPr>
    </w:p>
    <w:p w14:paraId="288D8459">
      <w:pPr>
        <w:spacing w:before="78" w:line="219" w:lineRule="auto"/>
        <w:rPr>
          <w:rFonts w:ascii="宋体" w:hAnsi="宋体" w:eastAsia="宋体" w:cs="宋体"/>
          <w:spacing w:val="4"/>
          <w:sz w:val="24"/>
          <w:szCs w:val="24"/>
        </w:rPr>
      </w:pPr>
    </w:p>
    <w:p w14:paraId="2E0B81BC">
      <w:pPr>
        <w:spacing w:before="78" w:line="219" w:lineRule="auto"/>
        <w:jc w:val="center"/>
        <w:rPr>
          <w:rFonts w:ascii="宋体" w:hAnsi="宋体" w:eastAsia="宋体" w:cs="宋体"/>
          <w:spacing w:val="4"/>
          <w:sz w:val="24"/>
          <w:szCs w:val="24"/>
        </w:rPr>
      </w:pPr>
      <w:r>
        <w:rPr>
          <w:rFonts w:ascii="宋体" w:hAnsi="宋体" w:eastAsia="宋体" w:cs="宋体"/>
          <w:b/>
          <w:bCs/>
          <w:spacing w:val="-3"/>
          <w:sz w:val="28"/>
          <w:szCs w:val="28"/>
        </w:rPr>
        <w:t>政府采购供应商信用承诺函</w:t>
      </w:r>
    </w:p>
    <w:p w14:paraId="5996FE05">
      <w:pPr>
        <w:spacing w:before="78" w:line="219" w:lineRule="auto"/>
        <w:rPr>
          <w:rFonts w:ascii="宋体" w:hAnsi="宋体" w:eastAsia="宋体" w:cs="宋体"/>
          <w:sz w:val="24"/>
          <w:szCs w:val="24"/>
        </w:rPr>
      </w:pPr>
      <w:r>
        <w:rPr>
          <w:rFonts w:ascii="宋体" w:hAnsi="宋体" w:eastAsia="宋体" w:cs="宋体"/>
          <w:spacing w:val="4"/>
          <w:sz w:val="24"/>
          <w:szCs w:val="24"/>
        </w:rPr>
        <w:t>致</w:t>
      </w:r>
      <w:r>
        <w:rPr>
          <w:rFonts w:ascii="宋体" w:hAnsi="宋体" w:eastAsia="宋体" w:cs="宋体"/>
          <w:spacing w:val="-30"/>
          <w:sz w:val="24"/>
          <w:szCs w:val="24"/>
        </w:rPr>
        <w:t>：</w:t>
      </w:r>
      <w:r>
        <w:rPr>
          <w:rFonts w:ascii="宋体" w:hAnsi="宋体" w:eastAsia="宋体" w:cs="宋体"/>
          <w:spacing w:val="-30"/>
          <w:sz w:val="24"/>
          <w:szCs w:val="24"/>
          <w:u w:val="single" w:color="auto"/>
        </w:rPr>
        <w:t>（</w:t>
      </w:r>
      <w:r>
        <w:rPr>
          <w:rFonts w:ascii="宋体" w:hAnsi="宋体" w:eastAsia="宋体" w:cs="宋体"/>
          <w:spacing w:val="4"/>
          <w:sz w:val="24"/>
          <w:szCs w:val="24"/>
          <w:u w:val="single" w:color="auto"/>
        </w:rPr>
        <w:t>采购人或采购代理机构）</w:t>
      </w:r>
    </w:p>
    <w:p w14:paraId="455DFC52">
      <w:pPr>
        <w:tabs>
          <w:tab w:val="left" w:pos="5750"/>
        </w:tabs>
        <w:spacing w:before="178" w:line="344" w:lineRule="auto"/>
        <w:ind w:left="600" w:right="3599"/>
        <w:jc w:val="both"/>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z w:val="24"/>
          <w:szCs w:val="24"/>
          <w:u w:val="single" w:color="auto"/>
        </w:rPr>
        <w:tab/>
      </w:r>
      <w:r>
        <w:rPr>
          <w:rFonts w:ascii="宋体" w:hAnsi="宋体" w:eastAsia="宋体" w:cs="宋体"/>
          <w:sz w:val="24"/>
          <w:szCs w:val="24"/>
        </w:rPr>
        <w:t xml:space="preserve"> </w:t>
      </w:r>
    </w:p>
    <w:p w14:paraId="3EDD09F1">
      <w:pPr>
        <w:tabs>
          <w:tab w:val="left" w:pos="5750"/>
        </w:tabs>
        <w:spacing w:before="178" w:line="344" w:lineRule="auto"/>
        <w:ind w:left="600" w:right="3599"/>
        <w:jc w:val="both"/>
        <w:rPr>
          <w:rFonts w:ascii="宋体" w:hAnsi="宋体" w:eastAsia="宋体" w:cs="宋体"/>
          <w:sz w:val="24"/>
          <w:szCs w:val="24"/>
        </w:rPr>
      </w:pPr>
      <w:r>
        <w:rPr>
          <w:rFonts w:ascii="宋体" w:hAnsi="宋体" w:eastAsia="宋体" w:cs="宋体"/>
          <w:spacing w:val="-2"/>
          <w:sz w:val="24"/>
          <w:szCs w:val="24"/>
        </w:rPr>
        <w:t>统一社会信用代码：</w:t>
      </w:r>
      <w:r>
        <w:rPr>
          <w:rFonts w:ascii="宋体" w:hAnsi="宋体" w:eastAsia="宋体" w:cs="宋体"/>
          <w:sz w:val="24"/>
          <w:szCs w:val="24"/>
          <w:u w:val="single" w:color="auto"/>
        </w:rPr>
        <w:tab/>
      </w:r>
      <w:r>
        <w:rPr>
          <w:rFonts w:ascii="宋体" w:hAnsi="宋体" w:eastAsia="宋体" w:cs="宋体"/>
          <w:sz w:val="24"/>
          <w:szCs w:val="24"/>
        </w:rPr>
        <w:t xml:space="preserve"> </w:t>
      </w:r>
    </w:p>
    <w:p w14:paraId="2D1C668B">
      <w:pPr>
        <w:tabs>
          <w:tab w:val="left" w:pos="5750"/>
        </w:tabs>
        <w:spacing w:before="178" w:line="344" w:lineRule="auto"/>
        <w:ind w:left="600" w:right="3599"/>
        <w:jc w:val="both"/>
        <w:rPr>
          <w:rFonts w:ascii="宋体" w:hAnsi="宋体" w:eastAsia="宋体" w:cs="宋体"/>
          <w:sz w:val="24"/>
          <w:szCs w:val="24"/>
        </w:rPr>
      </w:pPr>
      <w:r>
        <w:rPr>
          <w:rFonts w:ascii="宋体" w:hAnsi="宋体" w:eastAsia="宋体" w:cs="宋体"/>
          <w:spacing w:val="-2"/>
          <w:sz w:val="24"/>
          <w:szCs w:val="24"/>
        </w:rPr>
        <w:t>供应商地址：</w:t>
      </w:r>
      <w:r>
        <w:rPr>
          <w:rFonts w:ascii="宋体" w:hAnsi="宋体" w:eastAsia="宋体" w:cs="宋体"/>
          <w:sz w:val="24"/>
          <w:szCs w:val="24"/>
          <w:u w:val="single" w:color="auto"/>
        </w:rPr>
        <w:t xml:space="preserve">                               </w:t>
      </w:r>
    </w:p>
    <w:p w14:paraId="744463A3">
      <w:pPr>
        <w:spacing w:before="38" w:line="344" w:lineRule="auto"/>
        <w:ind w:firstLine="600"/>
        <w:jc w:val="both"/>
        <w:rPr>
          <w:rFonts w:ascii="宋体" w:hAnsi="宋体" w:eastAsia="宋体" w:cs="宋体"/>
          <w:sz w:val="24"/>
          <w:szCs w:val="24"/>
        </w:rPr>
      </w:pPr>
      <w:r>
        <w:rPr>
          <w:rFonts w:ascii="宋体" w:hAnsi="宋体" w:eastAsia="宋体" w:cs="宋体"/>
          <w:spacing w:val="1"/>
          <w:sz w:val="24"/>
          <w:szCs w:val="24"/>
        </w:rPr>
        <w:t>我单位自愿参加本次政府采购活动，严格遵守《中华人民共和国政府采购法》及相</w:t>
      </w:r>
      <w:r>
        <w:rPr>
          <w:rFonts w:ascii="宋体" w:hAnsi="宋体" w:eastAsia="宋体" w:cs="宋体"/>
          <w:spacing w:val="-6"/>
          <w:sz w:val="24"/>
          <w:szCs w:val="24"/>
        </w:rPr>
        <w:t>关法律法规，依法诚信经营，无条件遵守本次政府采购活动的</w:t>
      </w:r>
      <w:r>
        <w:rPr>
          <w:rFonts w:ascii="宋体" w:hAnsi="宋体" w:eastAsia="宋体" w:cs="宋体"/>
          <w:spacing w:val="-7"/>
          <w:sz w:val="24"/>
          <w:szCs w:val="24"/>
        </w:rPr>
        <w:t>各项规定。我单位郑重承诺，</w:t>
      </w:r>
      <w:r>
        <w:rPr>
          <w:rFonts w:ascii="宋体" w:hAnsi="宋体" w:eastAsia="宋体" w:cs="宋体"/>
          <w:spacing w:val="-1"/>
          <w:sz w:val="24"/>
          <w:szCs w:val="24"/>
        </w:rPr>
        <w:t>本单位符合《中华人民共和国政府采购法》第二十二条规定的条件：</w:t>
      </w:r>
    </w:p>
    <w:p w14:paraId="2CCBA7F3">
      <w:pPr>
        <w:spacing w:before="35" w:line="339" w:lineRule="auto"/>
        <w:ind w:left="602" w:right="2078" w:firstLine="14"/>
        <w:rPr>
          <w:rFonts w:ascii="宋体" w:hAnsi="宋体" w:eastAsia="宋体" w:cs="宋体"/>
          <w:sz w:val="24"/>
          <w:szCs w:val="24"/>
        </w:rPr>
      </w:pPr>
      <w:r>
        <w:rPr>
          <w:rFonts w:ascii="宋体" w:hAnsi="宋体" w:eastAsia="宋体" w:cs="宋体"/>
          <w:spacing w:val="-2"/>
          <w:sz w:val="24"/>
          <w:szCs w:val="24"/>
        </w:rPr>
        <w:t>1.我单位具有符合采购文件资格要求独立</w:t>
      </w:r>
      <w:r>
        <w:rPr>
          <w:rFonts w:ascii="宋体" w:hAnsi="宋体" w:eastAsia="宋体" w:cs="宋体"/>
          <w:spacing w:val="-3"/>
          <w:sz w:val="24"/>
          <w:szCs w:val="24"/>
        </w:rPr>
        <w:t>承担民事责任的能力。</w:t>
      </w:r>
      <w:r>
        <w:rPr>
          <w:rFonts w:ascii="宋体" w:hAnsi="宋体" w:eastAsia="宋体" w:cs="宋体"/>
          <w:sz w:val="24"/>
          <w:szCs w:val="24"/>
        </w:rPr>
        <w:t xml:space="preserve"> </w:t>
      </w:r>
    </w:p>
    <w:p w14:paraId="406FF580">
      <w:pPr>
        <w:spacing w:before="35" w:line="339" w:lineRule="auto"/>
        <w:ind w:left="602" w:right="2078" w:firstLine="14"/>
        <w:rPr>
          <w:rFonts w:ascii="宋体" w:hAnsi="宋体" w:eastAsia="宋体" w:cs="宋体"/>
          <w:sz w:val="24"/>
          <w:szCs w:val="24"/>
        </w:rPr>
      </w:pPr>
      <w:r>
        <w:rPr>
          <w:rFonts w:ascii="宋体" w:hAnsi="宋体" w:eastAsia="宋体" w:cs="宋体"/>
          <w:spacing w:val="-1"/>
          <w:sz w:val="24"/>
          <w:szCs w:val="24"/>
        </w:rPr>
        <w:t>2.我单位具有符合采购文件资格要求的财务状况报告。</w:t>
      </w:r>
    </w:p>
    <w:p w14:paraId="4832F8FB">
      <w:pPr>
        <w:spacing w:before="38" w:line="341" w:lineRule="auto"/>
        <w:ind w:left="599" w:right="158" w:firstLine="5"/>
        <w:rPr>
          <w:rFonts w:ascii="宋体" w:hAnsi="宋体" w:eastAsia="宋体" w:cs="宋体"/>
          <w:sz w:val="24"/>
          <w:szCs w:val="24"/>
        </w:rPr>
      </w:pPr>
      <w:r>
        <w:rPr>
          <w:rFonts w:ascii="宋体" w:hAnsi="宋体" w:eastAsia="宋体" w:cs="宋体"/>
          <w:spacing w:val="-1"/>
          <w:sz w:val="24"/>
          <w:szCs w:val="24"/>
        </w:rPr>
        <w:t>3.我单位具有符合采购文件资格要求的依</w:t>
      </w:r>
      <w:r>
        <w:rPr>
          <w:rFonts w:ascii="宋体" w:hAnsi="宋体" w:eastAsia="宋体" w:cs="宋体"/>
          <w:spacing w:val="-2"/>
          <w:sz w:val="24"/>
          <w:szCs w:val="24"/>
        </w:rPr>
        <w:t>法缴纳税收和社会保障记录的良好记录。</w:t>
      </w:r>
      <w:r>
        <w:rPr>
          <w:rFonts w:ascii="宋体" w:hAnsi="宋体" w:eastAsia="宋体" w:cs="宋体"/>
          <w:sz w:val="24"/>
          <w:szCs w:val="24"/>
        </w:rPr>
        <w:t xml:space="preserve"> </w:t>
      </w:r>
    </w:p>
    <w:p w14:paraId="07CEF8AB">
      <w:pPr>
        <w:spacing w:before="38" w:line="341" w:lineRule="auto"/>
        <w:ind w:left="599" w:right="158" w:firstLine="5"/>
        <w:rPr>
          <w:rFonts w:ascii="宋体" w:hAnsi="宋体" w:eastAsia="宋体" w:cs="宋体"/>
          <w:sz w:val="24"/>
          <w:szCs w:val="24"/>
        </w:rPr>
      </w:pPr>
      <w:r>
        <w:rPr>
          <w:rFonts w:ascii="宋体" w:hAnsi="宋体" w:eastAsia="宋体" w:cs="宋体"/>
          <w:sz w:val="24"/>
          <w:szCs w:val="24"/>
        </w:rPr>
        <w:t>4.我单位具有符合采购文件资格要求履行合同所必需的</w:t>
      </w:r>
      <w:r>
        <w:rPr>
          <w:rFonts w:ascii="宋体" w:hAnsi="宋体" w:eastAsia="宋体" w:cs="宋体"/>
          <w:spacing w:val="-1"/>
          <w:sz w:val="24"/>
          <w:szCs w:val="24"/>
        </w:rPr>
        <w:t>设备和专业技术能力。</w:t>
      </w:r>
    </w:p>
    <w:p w14:paraId="4F164F38">
      <w:pPr>
        <w:spacing w:before="33" w:line="219" w:lineRule="auto"/>
        <w:ind w:left="604"/>
        <w:rPr>
          <w:rFonts w:ascii="宋体" w:hAnsi="宋体" w:eastAsia="宋体" w:cs="宋体"/>
          <w:sz w:val="24"/>
          <w:szCs w:val="24"/>
        </w:rPr>
      </w:pPr>
      <w:r>
        <w:rPr>
          <w:rFonts w:ascii="宋体" w:hAnsi="宋体" w:eastAsia="宋体" w:cs="宋体"/>
          <w:spacing w:val="-1"/>
          <w:sz w:val="24"/>
          <w:szCs w:val="24"/>
        </w:rPr>
        <w:t>5.参加政府采购活动前三年内，在经营活动中没有重大违法记录。</w:t>
      </w:r>
    </w:p>
    <w:p w14:paraId="1D2AB0A6">
      <w:pPr>
        <w:spacing w:before="176" w:line="219" w:lineRule="auto"/>
        <w:ind w:left="600"/>
        <w:rPr>
          <w:rFonts w:ascii="宋体" w:hAnsi="宋体" w:eastAsia="宋体" w:cs="宋体"/>
          <w:sz w:val="24"/>
          <w:szCs w:val="24"/>
        </w:rPr>
      </w:pPr>
      <w:r>
        <w:rPr>
          <w:rFonts w:ascii="宋体" w:hAnsi="宋体" w:eastAsia="宋体" w:cs="宋体"/>
          <w:spacing w:val="-2"/>
          <w:sz w:val="24"/>
          <w:szCs w:val="24"/>
        </w:rPr>
        <w:t>若我单位承诺不实，</w:t>
      </w:r>
      <w:r>
        <w:rPr>
          <w:rFonts w:ascii="宋体" w:hAnsi="宋体" w:eastAsia="宋体" w:cs="宋体"/>
          <w:spacing w:val="-68"/>
          <w:sz w:val="24"/>
          <w:szCs w:val="24"/>
        </w:rPr>
        <w:t xml:space="preserve"> </w:t>
      </w:r>
      <w:r>
        <w:rPr>
          <w:rFonts w:ascii="宋体" w:hAnsi="宋体" w:eastAsia="宋体" w:cs="宋体"/>
          <w:spacing w:val="-2"/>
          <w:sz w:val="24"/>
          <w:szCs w:val="24"/>
        </w:rPr>
        <w:t>自愿承担提供虚假材料谋取中标、成交的法律责任。</w:t>
      </w:r>
    </w:p>
    <w:p w14:paraId="3F95A782">
      <w:pPr>
        <w:pStyle w:val="8"/>
        <w:spacing w:line="276" w:lineRule="auto"/>
      </w:pPr>
    </w:p>
    <w:p w14:paraId="768AD151">
      <w:pPr>
        <w:pStyle w:val="8"/>
        <w:spacing w:line="277" w:lineRule="auto"/>
      </w:pPr>
    </w:p>
    <w:p w14:paraId="134BC1E0">
      <w:pPr>
        <w:spacing w:before="78" w:line="219" w:lineRule="auto"/>
        <w:ind w:left="2400"/>
        <w:rPr>
          <w:rFonts w:ascii="宋体" w:hAnsi="宋体" w:eastAsia="宋体" w:cs="宋体"/>
          <w:sz w:val="24"/>
          <w:szCs w:val="24"/>
        </w:rPr>
      </w:pPr>
      <w:r>
        <w:rPr>
          <w:rFonts w:ascii="宋体" w:hAnsi="宋体" w:eastAsia="宋体" w:cs="宋体"/>
          <w:spacing w:val="-2"/>
          <w:sz w:val="24"/>
          <w:szCs w:val="24"/>
        </w:rPr>
        <w:t>供应商（CA</w:t>
      </w:r>
      <w:r>
        <w:rPr>
          <w:rFonts w:ascii="宋体" w:hAnsi="宋体" w:eastAsia="宋体" w:cs="宋体"/>
          <w:spacing w:val="-51"/>
          <w:sz w:val="24"/>
          <w:szCs w:val="24"/>
        </w:rPr>
        <w:t xml:space="preserve"> </w:t>
      </w:r>
      <w:r>
        <w:rPr>
          <w:rFonts w:ascii="宋体" w:hAnsi="宋体" w:eastAsia="宋体" w:cs="宋体"/>
          <w:spacing w:val="-2"/>
          <w:sz w:val="24"/>
          <w:szCs w:val="24"/>
        </w:rPr>
        <w:t>证书签章</w:t>
      </w:r>
      <w:r>
        <w:rPr>
          <w:rFonts w:ascii="宋体" w:hAnsi="宋体" w:eastAsia="宋体" w:cs="宋体"/>
          <w:sz w:val="24"/>
          <w:szCs w:val="24"/>
        </w:rPr>
        <w:t>）：</w:t>
      </w:r>
      <w:r>
        <w:rPr>
          <w:rFonts w:ascii="宋体" w:hAnsi="宋体" w:eastAsia="宋体" w:cs="宋体"/>
          <w:sz w:val="24"/>
          <w:szCs w:val="24"/>
          <w:u w:val="single" w:color="auto"/>
        </w:rPr>
        <w:t xml:space="preserve">                           </w:t>
      </w:r>
    </w:p>
    <w:p w14:paraId="0CC36B24">
      <w:pPr>
        <w:spacing w:before="161" w:line="363" w:lineRule="auto"/>
        <w:ind w:left="2440" w:right="62" w:hanging="40"/>
        <w:rPr>
          <w:rFonts w:ascii="宋体" w:hAnsi="宋体" w:eastAsia="宋体" w:cs="宋体"/>
          <w:spacing w:val="1"/>
          <w:sz w:val="24"/>
          <w:szCs w:val="24"/>
        </w:rPr>
      </w:pPr>
      <w:r>
        <w:rPr>
          <w:rFonts w:ascii="宋体" w:hAnsi="宋体" w:eastAsia="宋体" w:cs="宋体"/>
          <w:spacing w:val="-2"/>
          <w:sz w:val="24"/>
          <w:szCs w:val="24"/>
        </w:rPr>
        <w:t>法定代表人或委托代理人（签字或个人</w:t>
      </w:r>
      <w:r>
        <w:rPr>
          <w:rFonts w:ascii="宋体" w:hAnsi="宋体" w:eastAsia="宋体" w:cs="宋体"/>
          <w:spacing w:val="-51"/>
          <w:sz w:val="24"/>
          <w:szCs w:val="24"/>
        </w:rPr>
        <w:t xml:space="preserve"> </w:t>
      </w:r>
      <w:r>
        <w:rPr>
          <w:rFonts w:ascii="宋体" w:hAnsi="宋体" w:eastAsia="宋体" w:cs="宋体"/>
          <w:spacing w:val="-2"/>
          <w:sz w:val="24"/>
          <w:szCs w:val="24"/>
        </w:rPr>
        <w:t>CA</w:t>
      </w:r>
      <w:r>
        <w:rPr>
          <w:rFonts w:ascii="宋体" w:hAnsi="宋体" w:eastAsia="宋体" w:cs="宋体"/>
          <w:spacing w:val="-51"/>
          <w:sz w:val="24"/>
          <w:szCs w:val="24"/>
        </w:rPr>
        <w:t xml:space="preserve"> </w:t>
      </w:r>
      <w:r>
        <w:rPr>
          <w:rFonts w:ascii="宋体" w:hAnsi="宋体" w:eastAsia="宋体" w:cs="宋体"/>
          <w:spacing w:val="-2"/>
          <w:sz w:val="24"/>
          <w:szCs w:val="24"/>
        </w:rPr>
        <w:t>证书签章</w:t>
      </w:r>
      <w:r>
        <w:rPr>
          <w:rFonts w:ascii="宋体" w:hAnsi="宋体" w:eastAsia="宋体" w:cs="宋体"/>
          <w:spacing w:val="8"/>
          <w:sz w:val="24"/>
          <w:szCs w:val="24"/>
        </w:rPr>
        <w:t>）：</w:t>
      </w:r>
      <w:r>
        <w:rPr>
          <w:rFonts w:ascii="宋体" w:hAnsi="宋体" w:eastAsia="宋体" w:cs="宋体"/>
          <w:spacing w:val="7"/>
          <w:sz w:val="24"/>
          <w:szCs w:val="24"/>
          <w:u w:val="single" w:color="auto"/>
        </w:rPr>
        <w:t xml:space="preserve">        </w:t>
      </w:r>
      <w:r>
        <w:rPr>
          <w:rFonts w:ascii="宋体" w:hAnsi="宋体" w:eastAsia="宋体" w:cs="宋体"/>
          <w:spacing w:val="1"/>
          <w:sz w:val="24"/>
          <w:szCs w:val="24"/>
        </w:rPr>
        <w:t xml:space="preserve"> </w:t>
      </w:r>
    </w:p>
    <w:p w14:paraId="094E671D">
      <w:pPr>
        <w:spacing w:before="161" w:line="363" w:lineRule="auto"/>
        <w:ind w:left="2440" w:right="62" w:hanging="40"/>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17"/>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13"/>
          <w:sz w:val="24"/>
          <w:szCs w:val="24"/>
        </w:rPr>
        <w:t>年</w:t>
      </w:r>
      <w:r>
        <w:rPr>
          <w:rFonts w:ascii="宋体" w:hAnsi="宋体" w:eastAsia="宋体" w:cs="宋体"/>
          <w:spacing w:val="30"/>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3"/>
          <w:sz w:val="24"/>
          <w:szCs w:val="24"/>
        </w:rPr>
        <w:t>月</w:t>
      </w:r>
      <w:r>
        <w:rPr>
          <w:rFonts w:ascii="宋体" w:hAnsi="宋体" w:eastAsia="宋体" w:cs="宋体"/>
          <w:spacing w:val="24"/>
          <w:sz w:val="24"/>
          <w:szCs w:val="24"/>
          <w:u w:val="single" w:color="auto"/>
        </w:rPr>
        <w:t xml:space="preserve">     </w:t>
      </w:r>
      <w:r>
        <w:rPr>
          <w:rFonts w:ascii="宋体" w:hAnsi="宋体" w:eastAsia="宋体" w:cs="宋体"/>
          <w:spacing w:val="-70"/>
          <w:sz w:val="24"/>
          <w:szCs w:val="24"/>
        </w:rPr>
        <w:t xml:space="preserve"> </w:t>
      </w:r>
      <w:r>
        <w:rPr>
          <w:rFonts w:ascii="宋体" w:hAnsi="宋体" w:eastAsia="宋体" w:cs="宋体"/>
          <w:spacing w:val="-13"/>
          <w:sz w:val="24"/>
          <w:szCs w:val="24"/>
        </w:rPr>
        <w:t>日</w:t>
      </w:r>
    </w:p>
    <w:p w14:paraId="59FE8BDD">
      <w:pPr>
        <w:pStyle w:val="8"/>
        <w:spacing w:line="291" w:lineRule="auto"/>
      </w:pPr>
    </w:p>
    <w:p w14:paraId="0B9A316C">
      <w:pPr>
        <w:spacing w:before="72" w:line="373" w:lineRule="auto"/>
        <w:ind w:left="5" w:right="58" w:firstLine="543"/>
        <w:rPr>
          <w:rFonts w:ascii="宋体" w:hAnsi="宋体" w:eastAsia="宋体" w:cs="宋体"/>
          <w:b/>
          <w:bCs/>
          <w:sz w:val="21"/>
          <w:szCs w:val="21"/>
        </w:rPr>
      </w:pPr>
      <w:r>
        <w:rPr>
          <w:rFonts w:ascii="宋体" w:hAnsi="宋体" w:eastAsia="宋体" w:cs="宋体"/>
          <w:b/>
          <w:bCs/>
          <w:spacing w:val="-1"/>
          <w:sz w:val="21"/>
          <w:szCs w:val="21"/>
        </w:rPr>
        <w:t>注：1.供应商须在投标（响应）文件中按此模板</w:t>
      </w:r>
      <w:r>
        <w:rPr>
          <w:rFonts w:ascii="宋体" w:hAnsi="宋体" w:eastAsia="宋体" w:cs="宋体"/>
          <w:b/>
          <w:bCs/>
          <w:spacing w:val="-2"/>
          <w:sz w:val="21"/>
          <w:szCs w:val="21"/>
        </w:rPr>
        <w:t>提供承诺函，未提供视为未实质性响应招标</w:t>
      </w:r>
      <w:r>
        <w:rPr>
          <w:rFonts w:ascii="宋体" w:hAnsi="宋体" w:eastAsia="宋体" w:cs="宋体"/>
          <w:b/>
          <w:bCs/>
          <w:sz w:val="21"/>
          <w:szCs w:val="21"/>
        </w:rPr>
        <w:t xml:space="preserve"> </w:t>
      </w:r>
      <w:r>
        <w:rPr>
          <w:rFonts w:ascii="宋体" w:hAnsi="宋体" w:eastAsia="宋体" w:cs="宋体"/>
          <w:b/>
          <w:bCs/>
          <w:spacing w:val="-1"/>
          <w:sz w:val="21"/>
          <w:szCs w:val="21"/>
        </w:rPr>
        <w:t>（采购）文件要求，按无效投标（响应）处理。</w:t>
      </w:r>
    </w:p>
    <w:p w14:paraId="0F216E05">
      <w:pPr>
        <w:numPr>
          <w:ilvl w:val="0"/>
          <w:numId w:val="0"/>
        </w:numPr>
        <w:spacing w:line="480" w:lineRule="auto"/>
        <w:ind w:firstLine="832" w:firstLineChars="400"/>
        <w:rPr>
          <w:rFonts w:hint="eastAsia" w:asciiTheme="minorEastAsia" w:hAnsiTheme="minorEastAsia" w:eastAsiaTheme="minorEastAsia" w:cstheme="minorEastAsia"/>
          <w:b/>
          <w:bCs/>
          <w:color w:val="auto"/>
          <w:sz w:val="21"/>
          <w:szCs w:val="21"/>
          <w:highlight w:val="none"/>
          <w:u w:val="single"/>
          <w:lang w:val="en-US" w:eastAsia="zh-CN"/>
        </w:rPr>
      </w:pPr>
      <w:r>
        <w:rPr>
          <w:rFonts w:ascii="宋体" w:hAnsi="宋体" w:eastAsia="宋体" w:cs="宋体"/>
          <w:b/>
          <w:bCs/>
          <w:spacing w:val="-1"/>
          <w:sz w:val="21"/>
          <w:szCs w:val="21"/>
        </w:rPr>
        <w:t>2.供应商的法定代表人（其他组织的为负责</w:t>
      </w:r>
      <w:r>
        <w:rPr>
          <w:rFonts w:ascii="宋体" w:hAnsi="宋体" w:eastAsia="宋体" w:cs="宋体"/>
          <w:b/>
          <w:bCs/>
          <w:spacing w:val="-2"/>
          <w:sz w:val="21"/>
          <w:szCs w:val="21"/>
        </w:rPr>
        <w:t>人）或者授权代表的签名或盖章应真实、有效，如由授权代表签名或盖章的，应提供“法定代表人授权书”</w:t>
      </w:r>
    </w:p>
    <w:p w14:paraId="384CE3C2">
      <w:pPr>
        <w:pStyle w:val="35"/>
        <w:widowControl w:val="0"/>
        <w:numPr>
          <w:ilvl w:val="0"/>
          <w:numId w:val="0"/>
        </w:numPr>
        <w:autoSpaceDE w:val="0"/>
        <w:autoSpaceDN w:val="0"/>
        <w:adjustRightInd w:val="0"/>
        <w:rPr>
          <w:rFonts w:hint="eastAsia" w:asciiTheme="minorEastAsia" w:hAnsiTheme="minorEastAsia" w:eastAsiaTheme="minorEastAsia" w:cstheme="minorEastAsia"/>
          <w:color w:val="auto"/>
          <w:highlight w:val="none"/>
          <w:lang w:val="en-US" w:eastAsia="zh-CN"/>
        </w:rPr>
      </w:pPr>
    </w:p>
    <w:p w14:paraId="4C4B81E6">
      <w:pPr>
        <w:pStyle w:val="36"/>
        <w:rPr>
          <w:rFonts w:hint="eastAsia" w:asciiTheme="minorEastAsia" w:hAnsiTheme="minorEastAsia" w:eastAsiaTheme="minorEastAsia" w:cstheme="minorEastAsia"/>
          <w:color w:val="auto"/>
          <w:highlight w:val="none"/>
          <w:lang w:val="en-US" w:eastAsia="zh-CN"/>
        </w:rPr>
      </w:pPr>
    </w:p>
    <w:p w14:paraId="5767B013">
      <w:pPr>
        <w:rPr>
          <w:rFonts w:hint="eastAsia" w:asciiTheme="minorEastAsia" w:hAnsiTheme="minorEastAsia" w:eastAsiaTheme="minorEastAsia" w:cstheme="minorEastAsia"/>
          <w:color w:val="auto"/>
          <w:highlight w:val="none"/>
          <w:lang w:val="en-US" w:eastAsia="zh-CN"/>
        </w:rPr>
      </w:pPr>
    </w:p>
    <w:p w14:paraId="03B99CB7">
      <w:pPr>
        <w:rPr>
          <w:rFonts w:hint="eastAsia"/>
          <w:lang w:val="en-US" w:eastAsia="zh-CN"/>
        </w:rPr>
      </w:pPr>
    </w:p>
    <w:p w14:paraId="3460353D">
      <w:pPr>
        <w:jc w:val="both"/>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 w:val="28"/>
          <w:szCs w:val="28"/>
          <w:highlight w:val="none"/>
          <w:lang w:val="en-US" w:eastAsia="zh-CN"/>
        </w:rPr>
        <w:t>附1、</w:t>
      </w:r>
      <w:r>
        <w:rPr>
          <w:rFonts w:hint="eastAsia" w:asciiTheme="minorEastAsia" w:hAnsiTheme="minorEastAsia" w:eastAsiaTheme="minorEastAsia" w:cstheme="minorEastAsia"/>
          <w:b/>
          <w:color w:val="auto"/>
          <w:kern w:val="0"/>
          <w:sz w:val="28"/>
          <w:szCs w:val="28"/>
          <w:highlight w:val="none"/>
        </w:rPr>
        <w:t>法定代表人身份证明书</w:t>
      </w:r>
      <w:r>
        <w:rPr>
          <w:rFonts w:hint="eastAsia" w:asciiTheme="minorEastAsia" w:hAnsiTheme="minorEastAsia" w:eastAsiaTheme="minorEastAsia" w:cstheme="minorEastAsia"/>
          <w:b/>
          <w:color w:val="auto"/>
          <w:sz w:val="28"/>
          <w:szCs w:val="28"/>
          <w:highlight w:val="none"/>
        </w:rPr>
        <w:t>（格式）</w:t>
      </w:r>
    </w:p>
    <w:p w14:paraId="5EDCE995">
      <w:pPr>
        <w:autoSpaceDE w:val="0"/>
        <w:autoSpaceDN w:val="0"/>
        <w:adjustRightInd w:val="0"/>
        <w:rPr>
          <w:rFonts w:hint="eastAsia" w:asciiTheme="minorEastAsia" w:hAnsiTheme="minorEastAsia" w:eastAsiaTheme="minorEastAsia" w:cstheme="minorEastAsia"/>
          <w:b/>
          <w:color w:val="auto"/>
          <w:kern w:val="0"/>
          <w:szCs w:val="21"/>
          <w:highlight w:val="none"/>
        </w:rPr>
      </w:pPr>
    </w:p>
    <w:p w14:paraId="071D95AC">
      <w:pPr>
        <w:autoSpaceDE w:val="0"/>
        <w:autoSpaceDN w:val="0"/>
        <w:adjustRightInd w:val="0"/>
        <w:spacing w:line="360" w:lineRule="auto"/>
        <w:ind w:firstLine="315" w:firstLineChars="150"/>
        <w:jc w:val="left"/>
        <w:rPr>
          <w:rFonts w:hint="eastAsia" w:asciiTheme="minorEastAsia" w:hAnsiTheme="minorEastAsia" w:eastAsiaTheme="minorEastAsia" w:cstheme="minorEastAsia"/>
          <w:color w:val="auto"/>
          <w:kern w:val="0"/>
          <w:szCs w:val="21"/>
          <w:highlight w:val="none"/>
        </w:rPr>
      </w:pPr>
    </w:p>
    <w:p w14:paraId="69A5A637">
      <w:pPr>
        <w:autoSpaceDE w:val="0"/>
        <w:autoSpaceDN w:val="0"/>
        <w:adjustRightInd w:val="0"/>
        <w:spacing w:line="360" w:lineRule="auto"/>
        <w:ind w:firstLine="360" w:firstLineChars="15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磋商供应商</w:t>
      </w:r>
      <w:r>
        <w:rPr>
          <w:rFonts w:hint="eastAsia" w:asciiTheme="minorEastAsia" w:hAnsiTheme="minorEastAsia" w:eastAsiaTheme="minorEastAsia" w:cstheme="minorEastAsia"/>
          <w:color w:val="auto"/>
          <w:kern w:val="0"/>
          <w:sz w:val="24"/>
          <w:szCs w:val="24"/>
          <w:highlight w:val="none"/>
        </w:rPr>
        <w:t>名称：</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 xml:space="preserve"> </w:t>
      </w:r>
    </w:p>
    <w:p w14:paraId="1895F1B8">
      <w:pPr>
        <w:autoSpaceDE w:val="0"/>
        <w:autoSpaceDN w:val="0"/>
        <w:adjustRightInd w:val="0"/>
        <w:spacing w:line="360" w:lineRule="auto"/>
        <w:ind w:firstLine="360" w:firstLineChars="150"/>
        <w:jc w:val="left"/>
        <w:rPr>
          <w:rFonts w:hint="eastAsia" w:asciiTheme="minorEastAsia" w:hAnsiTheme="minorEastAsia" w:eastAsiaTheme="minorEastAsia" w:cstheme="minorEastAsia"/>
          <w:color w:val="auto"/>
          <w:kern w:val="0"/>
          <w:sz w:val="24"/>
          <w:szCs w:val="24"/>
          <w:highlight w:val="none"/>
          <w:u w:val="single"/>
        </w:rPr>
      </w:pPr>
      <w:r>
        <w:rPr>
          <w:rFonts w:hint="eastAsia" w:asciiTheme="minorEastAsia" w:hAnsiTheme="minorEastAsia" w:eastAsiaTheme="minorEastAsia" w:cstheme="minorEastAsia"/>
          <w:color w:val="auto"/>
          <w:kern w:val="0"/>
          <w:sz w:val="24"/>
          <w:szCs w:val="24"/>
          <w:highlight w:val="none"/>
        </w:rPr>
        <w:t>单位性质：</w:t>
      </w:r>
      <w:r>
        <w:rPr>
          <w:rFonts w:hint="eastAsia" w:asciiTheme="minorEastAsia" w:hAnsiTheme="minorEastAsia" w:eastAsiaTheme="minorEastAsia" w:cstheme="minorEastAsia"/>
          <w:color w:val="auto"/>
          <w:kern w:val="0"/>
          <w:sz w:val="24"/>
          <w:szCs w:val="24"/>
          <w:highlight w:val="none"/>
          <w:u w:val="single"/>
        </w:rPr>
        <w:t xml:space="preserve">                                                </w:t>
      </w:r>
    </w:p>
    <w:p w14:paraId="5E25E89D">
      <w:pPr>
        <w:autoSpaceDE w:val="0"/>
        <w:autoSpaceDN w:val="0"/>
        <w:adjustRightInd w:val="0"/>
        <w:spacing w:line="360" w:lineRule="auto"/>
        <w:ind w:firstLine="360" w:firstLineChars="150"/>
        <w:jc w:val="left"/>
        <w:rPr>
          <w:rFonts w:hint="eastAsia" w:asciiTheme="minorEastAsia" w:hAnsiTheme="minorEastAsia" w:eastAsiaTheme="minorEastAsia" w:cstheme="minorEastAsia"/>
          <w:color w:val="auto"/>
          <w:kern w:val="0"/>
          <w:sz w:val="24"/>
          <w:szCs w:val="24"/>
          <w:highlight w:val="none"/>
          <w:u w:val="single"/>
        </w:rPr>
      </w:pPr>
      <w:r>
        <w:rPr>
          <w:rFonts w:hint="eastAsia" w:asciiTheme="minorEastAsia" w:hAnsiTheme="minorEastAsia" w:eastAsiaTheme="minorEastAsia" w:cstheme="minorEastAsia"/>
          <w:color w:val="auto"/>
          <w:kern w:val="0"/>
          <w:sz w:val="24"/>
          <w:szCs w:val="24"/>
          <w:highlight w:val="none"/>
        </w:rPr>
        <w:t>地址：</w:t>
      </w:r>
      <w:r>
        <w:rPr>
          <w:rFonts w:hint="eastAsia" w:asciiTheme="minorEastAsia" w:hAnsiTheme="minorEastAsia" w:eastAsiaTheme="minorEastAsia" w:cstheme="minorEastAsia"/>
          <w:color w:val="auto"/>
          <w:kern w:val="0"/>
          <w:sz w:val="24"/>
          <w:szCs w:val="24"/>
          <w:highlight w:val="none"/>
          <w:u w:val="single"/>
        </w:rPr>
        <w:t xml:space="preserve">                                                    </w:t>
      </w:r>
    </w:p>
    <w:p w14:paraId="33BD59D9">
      <w:pPr>
        <w:autoSpaceDE w:val="0"/>
        <w:autoSpaceDN w:val="0"/>
        <w:adjustRightInd w:val="0"/>
        <w:spacing w:line="360" w:lineRule="auto"/>
        <w:ind w:firstLine="360" w:firstLineChars="15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成立时间：</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 xml:space="preserve"> 年</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月</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日</w:t>
      </w:r>
    </w:p>
    <w:p w14:paraId="0CF06F34">
      <w:pPr>
        <w:autoSpaceDE w:val="0"/>
        <w:autoSpaceDN w:val="0"/>
        <w:adjustRightInd w:val="0"/>
        <w:spacing w:line="360" w:lineRule="auto"/>
        <w:ind w:firstLine="360" w:firstLineChars="150"/>
        <w:jc w:val="left"/>
        <w:rPr>
          <w:rFonts w:hint="eastAsia" w:asciiTheme="minorEastAsia" w:hAnsiTheme="minorEastAsia" w:eastAsiaTheme="minorEastAsia" w:cstheme="minorEastAsia"/>
          <w:color w:val="auto"/>
          <w:kern w:val="0"/>
          <w:sz w:val="24"/>
          <w:szCs w:val="24"/>
          <w:highlight w:val="none"/>
          <w:u w:val="single"/>
        </w:rPr>
      </w:pPr>
      <w:r>
        <w:rPr>
          <w:rFonts w:hint="eastAsia" w:asciiTheme="minorEastAsia" w:hAnsiTheme="minorEastAsia" w:eastAsiaTheme="minorEastAsia" w:cstheme="minorEastAsia"/>
          <w:color w:val="auto"/>
          <w:kern w:val="0"/>
          <w:sz w:val="24"/>
          <w:szCs w:val="24"/>
          <w:highlight w:val="none"/>
        </w:rPr>
        <w:t>经营期限：</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single"/>
        </w:rPr>
        <w:t xml:space="preserve">      </w:t>
      </w:r>
    </w:p>
    <w:p w14:paraId="1572771E">
      <w:pPr>
        <w:autoSpaceDE w:val="0"/>
        <w:autoSpaceDN w:val="0"/>
        <w:adjustRightInd w:val="0"/>
        <w:spacing w:line="360" w:lineRule="auto"/>
        <w:ind w:firstLine="360" w:firstLineChars="150"/>
        <w:jc w:val="left"/>
        <w:rPr>
          <w:rFonts w:hint="eastAsia" w:asciiTheme="minorEastAsia" w:hAnsiTheme="minorEastAsia" w:eastAsiaTheme="minorEastAsia" w:cstheme="minorEastAsia"/>
          <w:color w:val="auto"/>
          <w:kern w:val="0"/>
          <w:sz w:val="24"/>
          <w:szCs w:val="24"/>
          <w:highlight w:val="none"/>
          <w:u w:val="single"/>
        </w:rPr>
      </w:pPr>
      <w:r>
        <w:rPr>
          <w:rFonts w:hint="eastAsia" w:asciiTheme="minorEastAsia" w:hAnsiTheme="minorEastAsia" w:eastAsiaTheme="minorEastAsia" w:cstheme="minorEastAsia"/>
          <w:color w:val="auto"/>
          <w:kern w:val="0"/>
          <w:sz w:val="24"/>
          <w:szCs w:val="24"/>
          <w:highlight w:val="none"/>
        </w:rPr>
        <w:t>姓名：</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 xml:space="preserve"> 性别：</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 xml:space="preserve"> 年龄：</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 xml:space="preserve"> 职务：</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single"/>
        </w:rPr>
        <w:t xml:space="preserve">   </w:t>
      </w:r>
    </w:p>
    <w:p w14:paraId="5153B285">
      <w:pPr>
        <w:autoSpaceDE w:val="0"/>
        <w:autoSpaceDN w:val="0"/>
        <w:adjustRightInd w:val="0"/>
        <w:spacing w:line="360" w:lineRule="auto"/>
        <w:ind w:firstLine="360" w:firstLineChars="150"/>
        <w:jc w:val="left"/>
        <w:rPr>
          <w:rFonts w:hint="eastAsia" w:asciiTheme="minorEastAsia" w:hAnsiTheme="minorEastAsia" w:eastAsiaTheme="minorEastAsia" w:cstheme="minorEastAsia"/>
          <w:color w:val="auto"/>
          <w:kern w:val="0"/>
          <w:sz w:val="24"/>
          <w:szCs w:val="24"/>
          <w:highlight w:val="none"/>
          <w:u w:val="single"/>
        </w:rPr>
      </w:pPr>
      <w:r>
        <w:rPr>
          <w:rFonts w:hint="eastAsia" w:asciiTheme="minorEastAsia" w:hAnsiTheme="minorEastAsia" w:eastAsiaTheme="minorEastAsia" w:cstheme="minorEastAsia"/>
          <w:color w:val="auto"/>
          <w:kern w:val="0"/>
          <w:sz w:val="24"/>
          <w:szCs w:val="24"/>
          <w:highlight w:val="none"/>
        </w:rPr>
        <w:t>身份证号：</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single"/>
        </w:rPr>
        <w:t xml:space="preserve">            </w:t>
      </w:r>
    </w:p>
    <w:p w14:paraId="51947D3F">
      <w:pPr>
        <w:autoSpaceDE w:val="0"/>
        <w:autoSpaceDN w:val="0"/>
        <w:adjustRightInd w:val="0"/>
        <w:spacing w:line="360" w:lineRule="auto"/>
        <w:ind w:firstLine="360" w:firstLineChars="15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系 </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eastAsia="zh-CN"/>
        </w:rPr>
        <w:t>磋商供应商</w:t>
      </w:r>
      <w:r>
        <w:rPr>
          <w:rFonts w:hint="eastAsia" w:asciiTheme="minorEastAsia" w:hAnsiTheme="minorEastAsia" w:eastAsiaTheme="minorEastAsia" w:cstheme="minorEastAsia"/>
          <w:color w:val="auto"/>
          <w:kern w:val="0"/>
          <w:sz w:val="24"/>
          <w:szCs w:val="24"/>
          <w:highlight w:val="none"/>
        </w:rPr>
        <w:t>名称）的法定代表人。</w:t>
      </w:r>
    </w:p>
    <w:p w14:paraId="6C2D63B8">
      <w:pPr>
        <w:autoSpaceDE w:val="0"/>
        <w:autoSpaceDN w:val="0"/>
        <w:adjustRightInd w:val="0"/>
        <w:spacing w:line="360" w:lineRule="auto"/>
        <w:ind w:firstLine="360" w:firstLineChars="15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特此证明。</w:t>
      </w:r>
    </w:p>
    <w:p w14:paraId="75DF0411">
      <w:pPr>
        <w:autoSpaceDE w:val="0"/>
        <w:autoSpaceDN w:val="0"/>
        <w:adjustRightInd w:val="0"/>
        <w:spacing w:line="360" w:lineRule="auto"/>
        <w:ind w:firstLine="3600" w:firstLineChars="1500"/>
        <w:jc w:val="left"/>
        <w:rPr>
          <w:rFonts w:hint="eastAsia" w:asciiTheme="minorEastAsia" w:hAnsiTheme="minorEastAsia" w:eastAsiaTheme="minorEastAsia" w:cstheme="minorEastAsia"/>
          <w:color w:val="auto"/>
          <w:kern w:val="0"/>
          <w:sz w:val="24"/>
          <w:szCs w:val="24"/>
          <w:highlight w:val="none"/>
        </w:rPr>
      </w:pPr>
    </w:p>
    <w:p w14:paraId="2A35A1F1">
      <w:pPr>
        <w:autoSpaceDE w:val="0"/>
        <w:autoSpaceDN w:val="0"/>
        <w:adjustRightInd w:val="0"/>
        <w:spacing w:line="360" w:lineRule="auto"/>
        <w:ind w:firstLine="3600" w:firstLineChars="1500"/>
        <w:jc w:val="left"/>
        <w:rPr>
          <w:rFonts w:hint="eastAsia" w:asciiTheme="minorEastAsia" w:hAnsiTheme="minorEastAsia" w:eastAsiaTheme="minorEastAsia" w:cstheme="minorEastAsia"/>
          <w:color w:val="auto"/>
          <w:kern w:val="0"/>
          <w:sz w:val="24"/>
          <w:szCs w:val="24"/>
          <w:highlight w:val="none"/>
        </w:rPr>
      </w:pPr>
    </w:p>
    <w:p w14:paraId="085AD564">
      <w:pPr>
        <w:autoSpaceDE w:val="0"/>
        <w:autoSpaceDN w:val="0"/>
        <w:adjustRightInd w:val="0"/>
        <w:spacing w:line="360" w:lineRule="auto"/>
        <w:ind w:firstLine="3600" w:firstLineChars="1500"/>
        <w:jc w:val="righ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       </w:t>
      </w:r>
      <w:r>
        <w:rPr>
          <w:rFonts w:hint="eastAsia" w:asciiTheme="minorEastAsia" w:hAnsiTheme="minorEastAsia" w:eastAsiaTheme="minorEastAsia" w:cstheme="minorEastAsia"/>
          <w:color w:val="auto"/>
          <w:kern w:val="0"/>
          <w:sz w:val="24"/>
          <w:szCs w:val="24"/>
          <w:highlight w:val="none"/>
          <w:lang w:eastAsia="zh-CN"/>
        </w:rPr>
        <w:t>磋商供应商</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（公章</w:t>
      </w:r>
      <w:r>
        <w:rPr>
          <w:rFonts w:hint="eastAsia" w:asciiTheme="minorEastAsia" w:hAnsiTheme="minorEastAsia" w:eastAsiaTheme="minorEastAsia" w:cstheme="minorEastAsia"/>
          <w:color w:val="auto"/>
          <w:kern w:val="0"/>
          <w:sz w:val="24"/>
          <w:szCs w:val="24"/>
          <w:highlight w:val="none"/>
          <w:lang w:val="en-US" w:eastAsia="zh-CN"/>
        </w:rPr>
        <w:t>或</w:t>
      </w:r>
      <w:r>
        <w:rPr>
          <w:rFonts w:hint="eastAsia" w:asciiTheme="minorEastAsia" w:hAnsiTheme="minorEastAsia" w:eastAsiaTheme="minorEastAsia" w:cstheme="minorEastAsia"/>
          <w:color w:val="auto"/>
          <w:kern w:val="0"/>
          <w:sz w:val="24"/>
          <w:szCs w:val="24"/>
          <w:highlight w:val="none"/>
          <w:lang w:eastAsia="zh-CN"/>
        </w:rPr>
        <w:t>电子CA签章</w:t>
      </w:r>
      <w:r>
        <w:rPr>
          <w:rFonts w:hint="eastAsia" w:asciiTheme="minorEastAsia" w:hAnsiTheme="minorEastAsia" w:eastAsiaTheme="minorEastAsia" w:cstheme="minorEastAsia"/>
          <w:color w:val="auto"/>
          <w:kern w:val="0"/>
          <w:sz w:val="24"/>
          <w:szCs w:val="24"/>
          <w:highlight w:val="none"/>
        </w:rPr>
        <w:t>）</w:t>
      </w:r>
    </w:p>
    <w:p w14:paraId="13FB7AA5">
      <w:pPr>
        <w:autoSpaceDE w:val="0"/>
        <w:autoSpaceDN w:val="0"/>
        <w:adjustRightInd w:val="0"/>
        <w:spacing w:line="360" w:lineRule="auto"/>
        <w:ind w:firstLine="4320" w:firstLineChars="18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    </w:t>
      </w:r>
      <w:r>
        <w:rPr>
          <w:rFonts w:hint="eastAsia" w:asciiTheme="minorEastAsia" w:hAnsiTheme="minorEastAsia" w:eastAsiaTheme="minorEastAsia" w:cstheme="minorEastAsia"/>
          <w:color w:val="auto"/>
          <w:kern w:val="0"/>
          <w:sz w:val="24"/>
          <w:szCs w:val="24"/>
          <w:highlight w:val="none"/>
          <w:lang w:val="en-US" w:eastAsia="zh-CN"/>
        </w:rPr>
        <w:t xml:space="preserve">                   </w:t>
      </w:r>
      <w:r>
        <w:rPr>
          <w:rFonts w:hint="eastAsia" w:asciiTheme="minorEastAsia" w:hAnsiTheme="minorEastAsia" w:eastAsiaTheme="minorEastAsia" w:cstheme="minorEastAsia"/>
          <w:color w:val="auto"/>
          <w:kern w:val="0"/>
          <w:sz w:val="24"/>
          <w:szCs w:val="24"/>
          <w:highlight w:val="none"/>
        </w:rPr>
        <w:t xml:space="preserve"> </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年</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月</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日</w:t>
      </w:r>
    </w:p>
    <w:p w14:paraId="001D79FA">
      <w:pPr>
        <w:autoSpaceDE w:val="0"/>
        <w:autoSpaceDN w:val="0"/>
        <w:adjustRightInd w:val="0"/>
        <w:spacing w:line="240" w:lineRule="exact"/>
        <w:ind w:firstLine="352" w:firstLineChars="147"/>
        <w:jc w:val="left"/>
        <w:rPr>
          <w:rFonts w:hint="eastAsia" w:asciiTheme="minorEastAsia" w:hAnsiTheme="minorEastAsia" w:eastAsiaTheme="minorEastAsia" w:cstheme="minorEastAsia"/>
          <w:b/>
          <w:color w:val="auto"/>
          <w:sz w:val="24"/>
          <w:szCs w:val="24"/>
          <w:highlight w:val="none"/>
        </w:rPr>
      </w:pPr>
    </w:p>
    <w:p w14:paraId="43369FA9">
      <w:pPr>
        <w:autoSpaceDE w:val="0"/>
        <w:autoSpaceDN w:val="0"/>
        <w:adjustRightInd w:val="0"/>
        <w:spacing w:line="360" w:lineRule="auto"/>
        <w:ind w:firstLine="352" w:firstLineChars="147"/>
        <w:jc w:val="left"/>
        <w:rPr>
          <w:rFonts w:hint="eastAsia" w:asciiTheme="minorEastAsia" w:hAnsiTheme="minorEastAsia" w:eastAsiaTheme="minorEastAsia" w:cstheme="minorEastAsia"/>
          <w:b/>
          <w:color w:val="auto"/>
          <w:sz w:val="24"/>
          <w:szCs w:val="24"/>
          <w:highlight w:val="none"/>
        </w:rPr>
      </w:pPr>
    </w:p>
    <w:p w14:paraId="231422D0">
      <w:pPr>
        <w:autoSpaceDE w:val="0"/>
        <w:autoSpaceDN w:val="0"/>
        <w:adjustRightInd w:val="0"/>
        <w:spacing w:line="360" w:lineRule="auto"/>
        <w:ind w:firstLine="352" w:firstLineChars="147"/>
        <w:jc w:val="left"/>
        <w:rPr>
          <w:rFonts w:hint="eastAsia" w:asciiTheme="minorEastAsia" w:hAnsiTheme="minorEastAsia" w:eastAsiaTheme="minorEastAsia" w:cstheme="minorEastAsia"/>
          <w:b/>
          <w:color w:val="auto"/>
          <w:sz w:val="24"/>
          <w:szCs w:val="24"/>
          <w:highlight w:val="none"/>
        </w:rPr>
      </w:pPr>
    </w:p>
    <w:p w14:paraId="3DB2A584">
      <w:pPr>
        <w:autoSpaceDE w:val="0"/>
        <w:autoSpaceDN w:val="0"/>
        <w:adjustRightInd w:val="0"/>
        <w:spacing w:line="360" w:lineRule="auto"/>
        <w:ind w:firstLine="352" w:firstLineChars="147"/>
        <w:jc w:val="left"/>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b/>
          <w:color w:val="auto"/>
          <w:sz w:val="24"/>
          <w:szCs w:val="24"/>
          <w:highlight w:val="none"/>
        </w:rPr>
        <w:t>附：法定代表人二代居民身份证</w:t>
      </w:r>
      <w:r>
        <w:rPr>
          <w:rFonts w:hint="eastAsia" w:asciiTheme="minorEastAsia" w:hAnsiTheme="minorEastAsia" w:eastAsiaTheme="minorEastAsia" w:cstheme="minorEastAsia"/>
          <w:b/>
          <w:color w:val="auto"/>
          <w:sz w:val="24"/>
          <w:szCs w:val="24"/>
          <w:highlight w:val="none"/>
          <w:lang w:val="en-US" w:eastAsia="zh-CN"/>
        </w:rPr>
        <w:t>正、反两面</w:t>
      </w:r>
      <w:r>
        <w:rPr>
          <w:rFonts w:hint="eastAsia" w:asciiTheme="minorEastAsia" w:hAnsiTheme="minorEastAsia" w:eastAsiaTheme="minorEastAsia" w:cstheme="minorEastAsia"/>
          <w:b/>
          <w:color w:val="auto"/>
          <w:sz w:val="24"/>
          <w:szCs w:val="24"/>
          <w:highlight w:val="none"/>
          <w:lang w:eastAsia="zh-CN"/>
        </w:rPr>
        <w:t>扫描件</w:t>
      </w:r>
    </w:p>
    <w:p w14:paraId="2C08DE2D">
      <w:pPr>
        <w:autoSpaceDE w:val="0"/>
        <w:autoSpaceDN w:val="0"/>
        <w:adjustRightInd w:val="0"/>
        <w:spacing w:line="240" w:lineRule="exact"/>
        <w:ind w:firstLine="4620" w:firstLineChars="2200"/>
        <w:jc w:val="left"/>
        <w:rPr>
          <w:rFonts w:hint="eastAsia" w:asciiTheme="minorEastAsia" w:hAnsiTheme="minorEastAsia" w:eastAsiaTheme="minorEastAsia" w:cstheme="minorEastAsia"/>
          <w:color w:val="auto"/>
          <w:kern w:val="0"/>
          <w:szCs w:val="21"/>
          <w:highlight w:val="none"/>
        </w:rPr>
      </w:pPr>
    </w:p>
    <w:p w14:paraId="538BA62C">
      <w:pPr>
        <w:autoSpaceDE w:val="0"/>
        <w:autoSpaceDN w:val="0"/>
        <w:adjustRightInd w:val="0"/>
        <w:jc w:val="center"/>
        <w:rPr>
          <w:rFonts w:hint="eastAsia" w:asciiTheme="minorEastAsia" w:hAnsiTheme="minorEastAsia" w:eastAsiaTheme="minorEastAsia" w:cstheme="minorEastAsia"/>
          <w:b/>
          <w:color w:val="auto"/>
          <w:szCs w:val="21"/>
          <w:highlight w:val="none"/>
        </w:rPr>
      </w:pPr>
    </w:p>
    <w:p w14:paraId="2E480820">
      <w:pPr>
        <w:autoSpaceDE w:val="0"/>
        <w:autoSpaceDN w:val="0"/>
        <w:adjustRightInd w:val="0"/>
        <w:jc w:val="both"/>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szCs w:val="21"/>
          <w:highlight w:val="none"/>
        </w:rPr>
        <w:br w:type="page"/>
      </w:r>
      <w:r>
        <w:rPr>
          <w:rFonts w:hint="eastAsia" w:asciiTheme="minorEastAsia" w:hAnsiTheme="minorEastAsia" w:eastAsiaTheme="minorEastAsia" w:cstheme="minorEastAsia"/>
          <w:b/>
          <w:color w:val="auto"/>
          <w:sz w:val="28"/>
          <w:szCs w:val="28"/>
          <w:highlight w:val="none"/>
          <w:lang w:val="en-US" w:eastAsia="zh-CN"/>
        </w:rPr>
        <w:t>附2</w:t>
      </w:r>
      <w:r>
        <w:rPr>
          <w:rFonts w:hint="eastAsia" w:asciiTheme="minorEastAsia" w:hAnsiTheme="minorEastAsia" w:eastAsiaTheme="minorEastAsia" w:cstheme="minorEastAsia"/>
          <w:b/>
          <w:color w:val="auto"/>
          <w:sz w:val="28"/>
          <w:szCs w:val="28"/>
          <w:highlight w:val="none"/>
        </w:rPr>
        <w:t>、</w:t>
      </w:r>
      <w:r>
        <w:rPr>
          <w:rFonts w:hint="eastAsia" w:asciiTheme="minorEastAsia" w:hAnsiTheme="minorEastAsia" w:eastAsiaTheme="minorEastAsia" w:cstheme="minorEastAsia"/>
          <w:b/>
          <w:color w:val="auto"/>
          <w:kern w:val="0"/>
          <w:sz w:val="28"/>
          <w:szCs w:val="28"/>
          <w:highlight w:val="none"/>
        </w:rPr>
        <w:t>授权委托书</w:t>
      </w:r>
      <w:r>
        <w:rPr>
          <w:rFonts w:hint="eastAsia" w:asciiTheme="minorEastAsia" w:hAnsiTheme="minorEastAsia" w:eastAsiaTheme="minorEastAsia" w:cstheme="minorEastAsia"/>
          <w:b/>
          <w:color w:val="auto"/>
          <w:sz w:val="28"/>
          <w:szCs w:val="28"/>
          <w:highlight w:val="none"/>
        </w:rPr>
        <w:t>（格式）</w:t>
      </w:r>
    </w:p>
    <w:p w14:paraId="28E2709D">
      <w:pPr>
        <w:autoSpaceDE w:val="0"/>
        <w:autoSpaceDN w:val="0"/>
        <w:adjustRightInd w:val="0"/>
        <w:ind w:firstLine="3045" w:firstLineChars="1450"/>
        <w:rPr>
          <w:rFonts w:hint="eastAsia" w:asciiTheme="minorEastAsia" w:hAnsiTheme="minorEastAsia" w:eastAsiaTheme="minorEastAsia" w:cstheme="minorEastAsia"/>
          <w:b/>
          <w:color w:val="auto"/>
          <w:kern w:val="0"/>
          <w:szCs w:val="21"/>
          <w:highlight w:val="none"/>
        </w:rPr>
      </w:pPr>
    </w:p>
    <w:p w14:paraId="31622FB3">
      <w:pPr>
        <w:autoSpaceDE w:val="0"/>
        <w:autoSpaceDN w:val="0"/>
        <w:adjustRightInd w:val="0"/>
        <w:spacing w:line="360" w:lineRule="auto"/>
        <w:ind w:firstLine="525" w:firstLineChars="250"/>
        <w:jc w:val="left"/>
        <w:rPr>
          <w:rFonts w:hint="eastAsia" w:asciiTheme="minorEastAsia" w:hAnsiTheme="minorEastAsia" w:eastAsiaTheme="minorEastAsia" w:cstheme="minorEastAsia"/>
          <w:color w:val="auto"/>
          <w:kern w:val="0"/>
          <w:szCs w:val="21"/>
          <w:highlight w:val="none"/>
        </w:rPr>
      </w:pPr>
    </w:p>
    <w:p w14:paraId="4670D7DF">
      <w:pPr>
        <w:spacing w:line="360" w:lineRule="auto"/>
        <w:ind w:firstLine="470" w:firstLineChars="1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本授权委托书声明：我</w:t>
      </w:r>
      <w:r>
        <w:rPr>
          <w:rFonts w:hint="eastAsia" w:asciiTheme="minorEastAsia" w:hAnsiTheme="minorEastAsia" w:eastAsiaTheme="minorEastAsia" w:cstheme="minorEastAsia"/>
          <w:color w:val="auto"/>
          <w:sz w:val="24"/>
          <w:szCs w:val="24"/>
          <w:highlight w:val="none"/>
          <w:u w:val="single"/>
        </w:rPr>
        <w:t> （姓名）</w:t>
      </w:r>
      <w:r>
        <w:rPr>
          <w:rFonts w:hint="eastAsia" w:asciiTheme="minorEastAsia" w:hAnsiTheme="minorEastAsia" w:eastAsiaTheme="minorEastAsia" w:cstheme="minorEastAsia"/>
          <w:color w:val="auto"/>
          <w:sz w:val="24"/>
          <w:szCs w:val="24"/>
          <w:highlight w:val="none"/>
        </w:rPr>
        <w:t>系</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eastAsia="zh-CN"/>
        </w:rPr>
        <w:t>磋商供应商</w:t>
      </w:r>
      <w:r>
        <w:rPr>
          <w:rFonts w:hint="eastAsia" w:asciiTheme="minorEastAsia" w:hAnsiTheme="minorEastAsia" w:eastAsiaTheme="minorEastAsia" w:cstheme="minorEastAsia"/>
          <w:color w:val="auto"/>
          <w:sz w:val="24"/>
          <w:szCs w:val="24"/>
          <w:highlight w:val="none"/>
          <w:u w:val="single"/>
        </w:rPr>
        <w:t>名称）</w:t>
      </w:r>
      <w:r>
        <w:rPr>
          <w:rFonts w:hint="eastAsia" w:asciiTheme="minorEastAsia" w:hAnsiTheme="minorEastAsia" w:eastAsiaTheme="minorEastAsia" w:cstheme="minorEastAsia"/>
          <w:color w:val="auto"/>
          <w:sz w:val="24"/>
          <w:szCs w:val="24"/>
          <w:highlight w:val="none"/>
        </w:rPr>
        <w:t>的法定代表人，现授权委托</w:t>
      </w:r>
      <w:r>
        <w:rPr>
          <w:rFonts w:hint="eastAsia" w:asciiTheme="minorEastAsia" w:hAnsiTheme="minorEastAsia" w:eastAsiaTheme="minorEastAsia" w:cstheme="minorEastAsia"/>
          <w:color w:val="auto"/>
          <w:sz w:val="24"/>
          <w:szCs w:val="24"/>
          <w:highlight w:val="none"/>
          <w:u w:val="single"/>
        </w:rPr>
        <w:t xml:space="preserve">      （单位名称）     </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u w:val="single"/>
        </w:rPr>
        <w:t xml:space="preserve">    （姓名）</w:t>
      </w:r>
      <w:r>
        <w:rPr>
          <w:rFonts w:hint="eastAsia" w:asciiTheme="minorEastAsia" w:hAnsiTheme="minorEastAsia" w:eastAsiaTheme="minorEastAsia" w:cstheme="minorEastAsia"/>
          <w:color w:val="auto"/>
          <w:sz w:val="24"/>
          <w:szCs w:val="24"/>
          <w:highlight w:val="none"/>
        </w:rPr>
        <w:t>为我公司签署</w:t>
      </w:r>
      <w:r>
        <w:rPr>
          <w:rFonts w:hint="eastAsia" w:asciiTheme="minorEastAsia" w:hAnsiTheme="minorEastAsia" w:eastAsiaTheme="minorEastAsia" w:cstheme="minorEastAsia"/>
          <w:color w:val="auto"/>
          <w:sz w:val="24"/>
          <w:szCs w:val="24"/>
          <w:highlight w:val="none"/>
          <w:u w:val="single"/>
        </w:rPr>
        <w:t xml:space="preserve">                    （项目名称及项目编号）</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的法定代表人授权委托代理人，我承认代理人全权代表我所签署的本工程的</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的内容。</w:t>
      </w:r>
    </w:p>
    <w:p w14:paraId="7C3E6747">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代理人无转委托权，特此委托。</w:t>
      </w:r>
    </w:p>
    <w:p w14:paraId="63413747">
      <w:pPr>
        <w:spacing w:line="400" w:lineRule="exact"/>
        <w:rPr>
          <w:rFonts w:hint="eastAsia" w:asciiTheme="minorEastAsia" w:hAnsiTheme="minorEastAsia" w:eastAsiaTheme="minorEastAsia" w:cstheme="minorEastAsia"/>
          <w:color w:val="auto"/>
          <w:sz w:val="24"/>
          <w:szCs w:val="24"/>
          <w:highlight w:val="none"/>
        </w:rPr>
      </w:pPr>
    </w:p>
    <w:p w14:paraId="3A612E7E">
      <w:pPr>
        <w:spacing w:line="400" w:lineRule="exact"/>
        <w:rPr>
          <w:rFonts w:hint="eastAsia" w:asciiTheme="minorEastAsia" w:hAnsiTheme="minorEastAsia" w:eastAsiaTheme="minorEastAsia" w:cstheme="minorEastAsia"/>
          <w:color w:val="auto"/>
          <w:sz w:val="24"/>
          <w:szCs w:val="24"/>
          <w:highlight w:val="none"/>
        </w:rPr>
      </w:pPr>
    </w:p>
    <w:p w14:paraId="50DCBFBC">
      <w:pPr>
        <w:spacing w:line="400" w:lineRule="exact"/>
        <w:rPr>
          <w:rFonts w:hint="eastAsia" w:asciiTheme="minorEastAsia" w:hAnsiTheme="minorEastAsia" w:eastAsiaTheme="minorEastAsia" w:cstheme="minorEastAsia"/>
          <w:color w:val="auto"/>
          <w:sz w:val="24"/>
          <w:szCs w:val="24"/>
          <w:highlight w:val="none"/>
        </w:rPr>
      </w:pPr>
    </w:p>
    <w:p w14:paraId="210D0BF6">
      <w:pPr>
        <w:spacing w:line="400" w:lineRule="exact"/>
        <w:rPr>
          <w:rFonts w:hint="eastAsia" w:asciiTheme="minorEastAsia" w:hAnsiTheme="minorEastAsia" w:eastAsiaTheme="minorEastAsia" w:cstheme="minorEastAsia"/>
          <w:color w:val="auto"/>
          <w:sz w:val="24"/>
          <w:szCs w:val="24"/>
          <w:highlight w:val="none"/>
        </w:rPr>
      </w:pPr>
    </w:p>
    <w:p w14:paraId="6A0450D9">
      <w:pPr>
        <w:wordWrap w:val="0"/>
        <w:spacing w:line="360" w:lineRule="auto"/>
        <w:ind w:left="2699"/>
        <w:jc w:val="center"/>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代理人：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性别：</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年龄：</w:t>
      </w:r>
      <w:r>
        <w:rPr>
          <w:rFonts w:hint="eastAsia" w:asciiTheme="minorEastAsia" w:hAnsiTheme="minorEastAsia" w:eastAsiaTheme="minorEastAsia" w:cstheme="minorEastAsia"/>
          <w:color w:val="auto"/>
          <w:sz w:val="24"/>
          <w:szCs w:val="24"/>
          <w:highlight w:val="none"/>
          <w:u w:val="single"/>
        </w:rPr>
        <w:t xml:space="preserve">      </w:t>
      </w:r>
    </w:p>
    <w:p w14:paraId="79A93B60">
      <w:pPr>
        <w:spacing w:line="360" w:lineRule="auto"/>
        <w:ind w:right="124" w:firstLine="4560" w:firstLineChars="19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身份证号码：</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职务：</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p>
    <w:p w14:paraId="6E861D57">
      <w:pPr>
        <w:spacing w:line="360" w:lineRule="auto"/>
        <w:ind w:left="2699"/>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磋商供应商</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（公章</w:t>
      </w:r>
      <w:r>
        <w:rPr>
          <w:rFonts w:hint="eastAsia" w:asciiTheme="minorEastAsia" w:hAnsiTheme="minorEastAsia" w:eastAsiaTheme="minorEastAsia" w:cstheme="minorEastAsia"/>
          <w:color w:val="auto"/>
          <w:sz w:val="24"/>
          <w:szCs w:val="24"/>
          <w:highlight w:val="none"/>
          <w:u w:val="single"/>
          <w:lang w:val="en-US" w:eastAsia="zh-CN"/>
        </w:rPr>
        <w:t>或</w:t>
      </w:r>
      <w:r>
        <w:rPr>
          <w:rFonts w:hint="eastAsia" w:asciiTheme="minorEastAsia" w:hAnsiTheme="minorEastAsia" w:eastAsiaTheme="minorEastAsia" w:cstheme="minorEastAsia"/>
          <w:color w:val="auto"/>
          <w:sz w:val="24"/>
          <w:szCs w:val="24"/>
          <w:highlight w:val="none"/>
          <w:u w:val="single"/>
          <w:lang w:eastAsia="zh-CN"/>
        </w:rPr>
        <w:t>电子CA签章</w:t>
      </w:r>
      <w:r>
        <w:rPr>
          <w:rFonts w:hint="eastAsia" w:asciiTheme="minorEastAsia" w:hAnsiTheme="minorEastAsia" w:eastAsiaTheme="minorEastAsia" w:cstheme="minorEastAsia"/>
          <w:color w:val="auto"/>
          <w:sz w:val="24"/>
          <w:szCs w:val="24"/>
          <w:highlight w:val="none"/>
          <w:u w:val="single"/>
        </w:rPr>
        <w:t>）</w:t>
      </w:r>
    </w:p>
    <w:p w14:paraId="7EE1853F">
      <w:pPr>
        <w:spacing w:line="360" w:lineRule="auto"/>
        <w:ind w:left="2699"/>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法定代表人：</w:t>
      </w:r>
      <w:r>
        <w:rPr>
          <w:rFonts w:hint="eastAsia" w:asciiTheme="minorEastAsia" w:hAnsiTheme="minorEastAsia" w:eastAsiaTheme="minorEastAsia" w:cstheme="minorEastAsia"/>
          <w:color w:val="auto"/>
          <w:sz w:val="24"/>
          <w:szCs w:val="24"/>
          <w:highlight w:val="none"/>
          <w:u w:val="single"/>
        </w:rPr>
        <w:t xml:space="preserve">                          （手写签名</w:t>
      </w:r>
      <w:r>
        <w:rPr>
          <w:rFonts w:hint="eastAsia" w:asciiTheme="minorEastAsia" w:hAnsiTheme="minorEastAsia" w:eastAsiaTheme="minorEastAsia" w:cstheme="minorEastAsia"/>
          <w:color w:val="auto"/>
          <w:sz w:val="24"/>
          <w:szCs w:val="24"/>
          <w:highlight w:val="none"/>
          <w:u w:val="single"/>
          <w:lang w:val="en-US" w:eastAsia="zh-CN"/>
        </w:rPr>
        <w:t>或</w:t>
      </w:r>
      <w:r>
        <w:rPr>
          <w:rFonts w:hint="eastAsia" w:asciiTheme="minorEastAsia" w:hAnsiTheme="minorEastAsia" w:eastAsiaTheme="minorEastAsia" w:cstheme="minorEastAsia"/>
          <w:color w:val="auto"/>
          <w:sz w:val="24"/>
          <w:szCs w:val="24"/>
          <w:highlight w:val="none"/>
          <w:u w:val="single"/>
        </w:rPr>
        <w:t>电子签名）</w:t>
      </w:r>
    </w:p>
    <w:p w14:paraId="0B17685C">
      <w:pPr>
        <w:spacing w:line="360" w:lineRule="auto"/>
        <w:ind w:left="2699" w:firstLine="1440" w:firstLineChars="6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授权委托日期：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日 </w:t>
      </w:r>
    </w:p>
    <w:p w14:paraId="125374BF">
      <w:pPr>
        <w:spacing w:line="400" w:lineRule="exact"/>
        <w:rPr>
          <w:rFonts w:hint="eastAsia" w:asciiTheme="minorEastAsia" w:hAnsiTheme="minorEastAsia" w:eastAsiaTheme="minorEastAsia" w:cstheme="minorEastAsia"/>
          <w:color w:val="auto"/>
          <w:sz w:val="24"/>
          <w:szCs w:val="24"/>
          <w:highlight w:val="none"/>
        </w:rPr>
      </w:pPr>
    </w:p>
    <w:p w14:paraId="38DFE0F2">
      <w:pPr>
        <w:spacing w:line="400" w:lineRule="exact"/>
        <w:rPr>
          <w:rFonts w:hint="eastAsia" w:asciiTheme="minorEastAsia" w:hAnsiTheme="minorEastAsia" w:eastAsiaTheme="minorEastAsia" w:cstheme="minorEastAsia"/>
          <w:color w:val="auto"/>
          <w:highlight w:val="none"/>
        </w:rPr>
      </w:pPr>
    </w:p>
    <w:p w14:paraId="6D1A0F44">
      <w:pPr>
        <w:spacing w:line="400" w:lineRule="exact"/>
        <w:rPr>
          <w:rFonts w:hint="eastAsia" w:asciiTheme="minorEastAsia" w:hAnsiTheme="minorEastAsia" w:eastAsiaTheme="minorEastAsia" w:cstheme="minorEastAsia"/>
          <w:color w:val="auto"/>
          <w:highlight w:val="none"/>
        </w:rPr>
      </w:pPr>
    </w:p>
    <w:p w14:paraId="4CFBDFC8">
      <w:pPr>
        <w:spacing w:line="400" w:lineRule="exact"/>
        <w:rPr>
          <w:rFonts w:hint="eastAsia" w:asciiTheme="minorEastAsia" w:hAnsiTheme="minorEastAsia" w:eastAsiaTheme="minorEastAsia" w:cstheme="minorEastAsia"/>
          <w:color w:val="auto"/>
          <w:highlight w:val="none"/>
        </w:rPr>
      </w:pPr>
    </w:p>
    <w:p w14:paraId="4C60C831">
      <w:pPr>
        <w:spacing w:line="400" w:lineRule="exact"/>
        <w:rPr>
          <w:rFonts w:hint="eastAsia" w:asciiTheme="minorEastAsia" w:hAnsiTheme="minorEastAsia" w:eastAsiaTheme="minorEastAsia" w:cstheme="minorEastAsia"/>
          <w:color w:val="auto"/>
          <w:highlight w:val="none"/>
        </w:rPr>
      </w:pPr>
    </w:p>
    <w:p w14:paraId="5661BCB4">
      <w:pPr>
        <w:spacing w:line="400" w:lineRule="exact"/>
        <w:rPr>
          <w:rFonts w:hint="eastAsia" w:asciiTheme="minorEastAsia" w:hAnsiTheme="minorEastAsia" w:eastAsiaTheme="minorEastAsia" w:cstheme="minorEastAsia"/>
          <w:color w:val="auto"/>
          <w:highlight w:val="none"/>
        </w:rPr>
      </w:pPr>
    </w:p>
    <w:p w14:paraId="23992E3A">
      <w:pPr>
        <w:spacing w:line="40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附：委托代理人二代居民身份证</w:t>
      </w:r>
      <w:r>
        <w:rPr>
          <w:rFonts w:hint="eastAsia" w:asciiTheme="minorEastAsia" w:hAnsiTheme="minorEastAsia" w:eastAsiaTheme="minorEastAsia" w:cstheme="minorEastAsia"/>
          <w:b/>
          <w:color w:val="auto"/>
          <w:sz w:val="24"/>
          <w:szCs w:val="24"/>
          <w:highlight w:val="none"/>
          <w:lang w:val="en-US" w:eastAsia="zh-CN"/>
        </w:rPr>
        <w:t>正、反两面</w:t>
      </w:r>
      <w:r>
        <w:rPr>
          <w:rFonts w:hint="eastAsia" w:asciiTheme="minorEastAsia" w:hAnsiTheme="minorEastAsia" w:eastAsiaTheme="minorEastAsia" w:cstheme="minorEastAsia"/>
          <w:b/>
          <w:bCs/>
          <w:color w:val="auto"/>
          <w:sz w:val="24"/>
          <w:szCs w:val="24"/>
          <w:highlight w:val="none"/>
          <w:lang w:eastAsia="zh-CN"/>
        </w:rPr>
        <w:t>扫描件</w:t>
      </w:r>
      <w:r>
        <w:rPr>
          <w:rFonts w:hint="eastAsia" w:asciiTheme="minorEastAsia" w:hAnsiTheme="minorEastAsia" w:eastAsiaTheme="minorEastAsia" w:cstheme="minorEastAsia"/>
          <w:b/>
          <w:bCs/>
          <w:color w:val="auto"/>
          <w:sz w:val="24"/>
          <w:szCs w:val="24"/>
          <w:highlight w:val="none"/>
        </w:rPr>
        <w:t>。</w:t>
      </w:r>
    </w:p>
    <w:p w14:paraId="22A1B948">
      <w:pPr>
        <w:ind w:firstLine="420" w:firstLineChars="200"/>
        <w:rPr>
          <w:rFonts w:hint="eastAsia" w:asciiTheme="minorEastAsia" w:hAnsiTheme="minorEastAsia" w:eastAsiaTheme="minorEastAsia" w:cstheme="minorEastAsia"/>
          <w:color w:val="auto"/>
          <w:szCs w:val="21"/>
          <w:highlight w:val="none"/>
        </w:rPr>
      </w:pPr>
    </w:p>
    <w:p w14:paraId="7F9D55EF">
      <w:pPr>
        <w:rPr>
          <w:rFonts w:hint="eastAsia" w:asciiTheme="minorEastAsia" w:hAnsiTheme="minorEastAsia" w:eastAsiaTheme="minorEastAsia" w:cstheme="minorEastAsia"/>
          <w:b/>
          <w:color w:val="auto"/>
          <w:szCs w:val="21"/>
          <w:highlight w:val="none"/>
        </w:rPr>
      </w:pPr>
    </w:p>
    <w:p w14:paraId="18A1B2FF">
      <w:pPr>
        <w:rPr>
          <w:rFonts w:hint="eastAsia" w:asciiTheme="minorEastAsia" w:hAnsiTheme="minorEastAsia" w:eastAsiaTheme="minorEastAsia" w:cstheme="minorEastAsia"/>
          <w:b/>
          <w:bCs/>
          <w:color w:val="auto"/>
          <w:sz w:val="24"/>
          <w:highlight w:val="none"/>
        </w:rPr>
      </w:pPr>
    </w:p>
    <w:p w14:paraId="7F2B1726">
      <w:pPr>
        <w:pStyle w:val="35"/>
        <w:rPr>
          <w:rFonts w:hint="eastAsia" w:asciiTheme="minorEastAsia" w:hAnsiTheme="minorEastAsia" w:eastAsiaTheme="minorEastAsia" w:cstheme="minorEastAsia"/>
          <w:b/>
          <w:bCs/>
          <w:color w:val="auto"/>
          <w:sz w:val="24"/>
          <w:highlight w:val="none"/>
        </w:rPr>
      </w:pPr>
    </w:p>
    <w:p w14:paraId="0265A3E7">
      <w:pPr>
        <w:ind w:firstLine="315" w:firstLineChars="150"/>
        <w:rPr>
          <w:rFonts w:hint="eastAsia" w:asciiTheme="minorEastAsia" w:hAnsiTheme="minorEastAsia" w:eastAsiaTheme="minorEastAsia" w:cstheme="minorEastAsia"/>
          <w:bCs/>
          <w:color w:val="auto"/>
          <w:szCs w:val="21"/>
          <w:highlight w:val="none"/>
          <w:lang w:val="en-US" w:eastAsia="zh-CN"/>
        </w:rPr>
      </w:pPr>
    </w:p>
    <w:p w14:paraId="0A69C735">
      <w:pPr>
        <w:rPr>
          <w:rFonts w:hint="eastAsia" w:asciiTheme="minorEastAsia" w:hAnsiTheme="minorEastAsia" w:eastAsiaTheme="minorEastAsia" w:cstheme="minorEastAsia"/>
          <w:bCs/>
          <w:color w:val="auto"/>
          <w:szCs w:val="21"/>
          <w:highlight w:val="none"/>
        </w:rPr>
      </w:pPr>
    </w:p>
    <w:p w14:paraId="2EE4BB9A">
      <w:pP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rPr>
        <w:br w:type="page"/>
      </w:r>
    </w:p>
    <w:p w14:paraId="741537DA">
      <w:pPr>
        <w:widowControl w:val="0"/>
        <w:spacing w:line="400" w:lineRule="exact"/>
        <w:jc w:val="both"/>
        <w:outlineLvl w:val="4"/>
        <w:rPr>
          <w:rFonts w:hint="eastAsia" w:asciiTheme="minorEastAsia" w:hAnsiTheme="minorEastAsia" w:eastAsiaTheme="minorEastAsia" w:cstheme="minorEastAsia"/>
          <w:b/>
          <w:color w:val="auto"/>
          <w:kern w:val="2"/>
          <w:sz w:val="28"/>
          <w:szCs w:val="28"/>
          <w:highlight w:val="none"/>
          <w:lang w:val="en-US" w:eastAsia="zh-CN" w:bidi="ar-SA"/>
        </w:rPr>
      </w:pPr>
    </w:p>
    <w:p w14:paraId="0421031C">
      <w:pPr>
        <w:widowControl w:val="0"/>
        <w:spacing w:line="400" w:lineRule="exact"/>
        <w:jc w:val="both"/>
        <w:outlineLvl w:val="4"/>
        <w:rPr>
          <w:rFonts w:hint="eastAsia" w:asciiTheme="minorEastAsia" w:hAnsiTheme="minorEastAsia" w:eastAsiaTheme="minorEastAsia" w:cstheme="minorEastAsia"/>
          <w:b/>
          <w:color w:val="auto"/>
          <w:kern w:val="2"/>
          <w:sz w:val="28"/>
          <w:szCs w:val="28"/>
          <w:highlight w:val="none"/>
          <w:lang w:val="en-US" w:eastAsia="zh-CN" w:bidi="ar-SA"/>
        </w:rPr>
      </w:pPr>
      <w:r>
        <w:rPr>
          <w:rFonts w:hint="eastAsia" w:asciiTheme="minorEastAsia" w:hAnsiTheme="minorEastAsia" w:eastAsiaTheme="minorEastAsia" w:cstheme="minorEastAsia"/>
          <w:b/>
          <w:color w:val="auto"/>
          <w:kern w:val="2"/>
          <w:sz w:val="28"/>
          <w:szCs w:val="28"/>
          <w:highlight w:val="none"/>
          <w:lang w:val="en-US" w:eastAsia="zh-CN" w:bidi="ar-SA"/>
        </w:rPr>
        <w:t>附件3：中小企业声明函（格式）</w:t>
      </w:r>
    </w:p>
    <w:p w14:paraId="47C61088">
      <w:pPr>
        <w:spacing w:before="65" w:line="381" w:lineRule="auto"/>
        <w:ind w:right="13" w:firstLine="419"/>
        <w:jc w:val="both"/>
        <w:rPr>
          <w:rFonts w:hint="eastAsia" w:asciiTheme="minorEastAsia" w:hAnsiTheme="minorEastAsia" w:eastAsiaTheme="minorEastAsia" w:cstheme="minorEastAsia"/>
          <w:color w:val="auto"/>
          <w:kern w:val="2"/>
          <w:sz w:val="21"/>
          <w:szCs w:val="21"/>
          <w:highlight w:val="none"/>
          <w:lang w:val="en-US" w:eastAsia="zh-CN" w:bidi="ar-SA"/>
        </w:rPr>
      </w:pPr>
    </w:p>
    <w:p w14:paraId="538B596C">
      <w:pPr>
        <w:spacing w:before="65" w:line="381" w:lineRule="auto"/>
        <w:ind w:right="13" w:firstLine="419"/>
        <w:jc w:val="both"/>
        <w:rPr>
          <w:rFonts w:hint="eastAsia" w:ascii="宋体" w:hAnsi="宋体" w:eastAsia="宋体" w:cs="宋体"/>
          <w:sz w:val="24"/>
          <w:szCs w:val="24"/>
        </w:rPr>
      </w:pPr>
      <w:r>
        <w:rPr>
          <w:rFonts w:hint="eastAsia" w:ascii="宋体" w:hAnsi="宋体" w:eastAsia="宋体" w:cs="宋体"/>
          <w:color w:val="auto"/>
          <w:kern w:val="2"/>
          <w:sz w:val="24"/>
          <w:szCs w:val="24"/>
          <w:highlight w:val="none"/>
          <w:lang w:val="en-US" w:eastAsia="zh-CN" w:bidi="ar-SA"/>
        </w:rPr>
        <w:t>本</w:t>
      </w:r>
      <w:r>
        <w:rPr>
          <w:rFonts w:hint="eastAsia" w:ascii="宋体" w:hAnsi="宋体" w:eastAsia="宋体" w:cs="宋体"/>
          <w:spacing w:val="6"/>
          <w:sz w:val="24"/>
          <w:szCs w:val="24"/>
        </w:rPr>
        <w:t>公司（联合体）郑重声明，根据《政府采购</w:t>
      </w:r>
      <w:r>
        <w:rPr>
          <w:rFonts w:hint="eastAsia" w:ascii="宋体" w:hAnsi="宋体" w:eastAsia="宋体" w:cs="宋体"/>
          <w:spacing w:val="5"/>
          <w:sz w:val="24"/>
          <w:szCs w:val="24"/>
        </w:rPr>
        <w:t>促进中小企业发展管理办法》（财库﹝2020﹞46号</w:t>
      </w:r>
      <w:r>
        <w:rPr>
          <w:rFonts w:hint="eastAsia" w:ascii="宋体" w:hAnsi="宋体" w:eastAsia="宋体" w:cs="宋体"/>
          <w:spacing w:val="10"/>
          <w:sz w:val="24"/>
          <w:szCs w:val="24"/>
        </w:rPr>
        <w:t>的规定，本公司（联合体）参加</w:t>
      </w:r>
      <w:r>
        <w:rPr>
          <w:rFonts w:hint="eastAsia" w:ascii="宋体" w:hAnsi="宋体" w:eastAsia="宋体" w:cs="宋体"/>
          <w:spacing w:val="-96"/>
          <w:sz w:val="24"/>
          <w:szCs w:val="24"/>
        </w:rPr>
        <w:t xml:space="preserve"> </w:t>
      </w:r>
      <w:r>
        <w:rPr>
          <w:rFonts w:hint="eastAsia" w:ascii="宋体" w:hAnsi="宋体" w:eastAsia="宋体" w:cs="宋体"/>
          <w:spacing w:val="10"/>
          <w:sz w:val="24"/>
          <w:szCs w:val="24"/>
          <w:u w:val="single" w:color="auto"/>
        </w:rPr>
        <w:t xml:space="preserve"> （单位名称） </w:t>
      </w:r>
      <w:r>
        <w:rPr>
          <w:rFonts w:hint="eastAsia" w:ascii="宋体" w:hAnsi="宋体" w:eastAsia="宋体" w:cs="宋体"/>
          <w:spacing w:val="-74"/>
          <w:sz w:val="24"/>
          <w:szCs w:val="24"/>
        </w:rPr>
        <w:t xml:space="preserve"> </w:t>
      </w:r>
      <w:r>
        <w:rPr>
          <w:rFonts w:hint="eastAsia" w:ascii="宋体" w:hAnsi="宋体" w:eastAsia="宋体" w:cs="宋体"/>
          <w:spacing w:val="10"/>
          <w:sz w:val="24"/>
          <w:szCs w:val="24"/>
        </w:rPr>
        <w:t>的</w:t>
      </w:r>
      <w:r>
        <w:rPr>
          <w:rFonts w:hint="eastAsia" w:ascii="宋体" w:hAnsi="宋体" w:eastAsia="宋体" w:cs="宋体"/>
          <w:spacing w:val="10"/>
          <w:sz w:val="24"/>
          <w:szCs w:val="24"/>
          <w:u w:val="single" w:color="auto"/>
        </w:rPr>
        <w:t xml:space="preserve"> （项目名称） </w:t>
      </w:r>
      <w:r>
        <w:rPr>
          <w:rFonts w:hint="eastAsia" w:ascii="宋体" w:hAnsi="宋体" w:eastAsia="宋体" w:cs="宋体"/>
          <w:spacing w:val="-92"/>
          <w:sz w:val="24"/>
          <w:szCs w:val="24"/>
        </w:rPr>
        <w:t xml:space="preserve"> </w:t>
      </w:r>
      <w:r>
        <w:rPr>
          <w:rFonts w:hint="eastAsia" w:ascii="宋体" w:hAnsi="宋体" w:eastAsia="宋体" w:cs="宋体"/>
          <w:spacing w:val="10"/>
          <w:sz w:val="24"/>
          <w:szCs w:val="24"/>
        </w:rPr>
        <w:t>采购活</w:t>
      </w:r>
      <w:r>
        <w:rPr>
          <w:rFonts w:hint="eastAsia" w:ascii="宋体" w:hAnsi="宋体" w:eastAsia="宋体" w:cs="宋体"/>
          <w:spacing w:val="9"/>
          <w:sz w:val="24"/>
          <w:szCs w:val="24"/>
        </w:rPr>
        <w:t>动，工程的施工单位全部为</w:t>
      </w:r>
      <w:r>
        <w:rPr>
          <w:rFonts w:hint="eastAsia" w:ascii="宋体" w:hAnsi="宋体" w:eastAsia="宋体" w:cs="宋体"/>
          <w:spacing w:val="10"/>
          <w:sz w:val="24"/>
          <w:szCs w:val="24"/>
        </w:rPr>
        <w:t>符合政策要求的中小企业（或者：服务全部由符合政策要求的中小企业承接）</w:t>
      </w:r>
      <w:r>
        <w:rPr>
          <w:rFonts w:hint="eastAsia" w:ascii="宋体" w:hAnsi="宋体" w:eastAsia="宋体" w:cs="宋体"/>
          <w:spacing w:val="-54"/>
          <w:sz w:val="24"/>
          <w:szCs w:val="24"/>
        </w:rPr>
        <w:t xml:space="preserve"> </w:t>
      </w:r>
      <w:r>
        <w:rPr>
          <w:rFonts w:hint="eastAsia" w:ascii="宋体" w:hAnsi="宋体" w:eastAsia="宋体" w:cs="宋体"/>
          <w:spacing w:val="10"/>
          <w:sz w:val="24"/>
          <w:szCs w:val="24"/>
        </w:rPr>
        <w:t>。相关企业（含联合体</w:t>
      </w:r>
      <w:r>
        <w:rPr>
          <w:rFonts w:hint="eastAsia" w:ascii="宋体" w:hAnsi="宋体" w:eastAsia="宋体" w:cs="宋体"/>
          <w:spacing w:val="9"/>
          <w:sz w:val="24"/>
          <w:szCs w:val="24"/>
        </w:rPr>
        <w:t>中的中小企业、签订分包意向协议的中小企业）的具体情况如下：</w:t>
      </w:r>
    </w:p>
    <w:p w14:paraId="52D8FA2E">
      <w:pPr>
        <w:spacing w:before="30" w:line="338" w:lineRule="auto"/>
        <w:ind w:left="1" w:right="48" w:firstLine="432"/>
        <w:rPr>
          <w:rFonts w:hint="eastAsia" w:ascii="宋体" w:hAnsi="宋体" w:eastAsia="宋体" w:cs="宋体"/>
          <w:sz w:val="24"/>
          <w:szCs w:val="24"/>
        </w:rPr>
      </w:pPr>
      <w:r>
        <w:rPr>
          <w:rFonts w:hint="eastAsia" w:ascii="宋体" w:hAnsi="宋体" w:eastAsia="宋体" w:cs="宋体"/>
          <w:spacing w:val="5"/>
          <w:sz w:val="24"/>
          <w:szCs w:val="24"/>
        </w:rPr>
        <w:t>1.</w:t>
      </w:r>
      <w:r>
        <w:rPr>
          <w:rFonts w:hint="eastAsia" w:ascii="宋体" w:hAnsi="宋体" w:eastAsia="宋体" w:cs="宋体"/>
          <w:spacing w:val="5"/>
          <w:sz w:val="24"/>
          <w:szCs w:val="24"/>
          <w:u w:val="single" w:color="auto"/>
        </w:rPr>
        <w:t xml:space="preserve"> （标的名称</w:t>
      </w:r>
      <w:r>
        <w:rPr>
          <w:rFonts w:hint="eastAsia" w:ascii="宋体" w:hAnsi="宋体" w:eastAsia="宋体" w:cs="宋体"/>
          <w:spacing w:val="-15"/>
          <w:sz w:val="24"/>
          <w:szCs w:val="24"/>
          <w:u w:val="single" w:color="auto"/>
        </w:rPr>
        <w:t>）</w:t>
      </w:r>
      <w:r>
        <w:rPr>
          <w:rFonts w:hint="eastAsia" w:ascii="宋体" w:hAnsi="宋体" w:eastAsia="宋体" w:cs="宋体"/>
          <w:spacing w:val="-4"/>
          <w:sz w:val="24"/>
          <w:szCs w:val="24"/>
          <w:u w:val="single" w:color="auto"/>
        </w:rPr>
        <w:t xml:space="preserve"> </w:t>
      </w:r>
      <w:r>
        <w:rPr>
          <w:rFonts w:hint="eastAsia" w:ascii="宋体" w:hAnsi="宋体" w:eastAsia="宋体" w:cs="宋体"/>
          <w:spacing w:val="-75"/>
          <w:sz w:val="24"/>
          <w:szCs w:val="24"/>
        </w:rPr>
        <w:t xml:space="preserve"> </w:t>
      </w:r>
      <w:r>
        <w:rPr>
          <w:rFonts w:hint="eastAsia" w:ascii="宋体" w:hAnsi="宋体" w:eastAsia="宋体" w:cs="宋体"/>
          <w:spacing w:val="-15"/>
          <w:sz w:val="24"/>
          <w:szCs w:val="24"/>
        </w:rPr>
        <w:t>，</w:t>
      </w:r>
      <w:r>
        <w:rPr>
          <w:rFonts w:hint="eastAsia" w:ascii="宋体" w:hAnsi="宋体" w:eastAsia="宋体" w:cs="宋体"/>
          <w:spacing w:val="5"/>
          <w:sz w:val="24"/>
          <w:szCs w:val="24"/>
        </w:rPr>
        <w:t>属于</w:t>
      </w:r>
      <w:r>
        <w:rPr>
          <w:rFonts w:hint="eastAsia" w:ascii="宋体" w:hAnsi="宋体" w:eastAsia="宋体" w:cs="宋体"/>
          <w:spacing w:val="5"/>
          <w:sz w:val="24"/>
          <w:szCs w:val="24"/>
          <w:u w:val="single" w:color="auto"/>
        </w:rPr>
        <w:t xml:space="preserve"> （采购文件中明确的所属行业</w:t>
      </w:r>
      <w:r>
        <w:rPr>
          <w:rFonts w:hint="eastAsia" w:ascii="宋体" w:hAnsi="宋体" w:eastAsia="宋体" w:cs="宋体"/>
          <w:spacing w:val="-15"/>
          <w:sz w:val="24"/>
          <w:szCs w:val="24"/>
          <w:u w:val="single" w:color="auto"/>
        </w:rPr>
        <w:t>）</w:t>
      </w:r>
      <w:r>
        <w:rPr>
          <w:rFonts w:hint="eastAsia" w:ascii="宋体" w:hAnsi="宋体" w:eastAsia="宋体" w:cs="宋体"/>
          <w:spacing w:val="-6"/>
          <w:sz w:val="24"/>
          <w:szCs w:val="24"/>
          <w:u w:val="single" w:color="auto"/>
        </w:rPr>
        <w:t xml:space="preserve"> </w:t>
      </w:r>
      <w:r>
        <w:rPr>
          <w:rFonts w:hint="eastAsia" w:ascii="宋体" w:hAnsi="宋体" w:eastAsia="宋体" w:cs="宋体"/>
          <w:spacing w:val="-73"/>
          <w:sz w:val="24"/>
          <w:szCs w:val="24"/>
        </w:rPr>
        <w:t xml:space="preserve"> </w:t>
      </w:r>
      <w:r>
        <w:rPr>
          <w:rFonts w:hint="eastAsia" w:ascii="宋体" w:hAnsi="宋体" w:eastAsia="宋体" w:cs="宋体"/>
          <w:spacing w:val="-15"/>
          <w:sz w:val="24"/>
          <w:szCs w:val="24"/>
        </w:rPr>
        <w:t>；</w:t>
      </w:r>
      <w:r>
        <w:rPr>
          <w:rFonts w:hint="eastAsia" w:ascii="宋体" w:hAnsi="宋体" w:eastAsia="宋体" w:cs="宋体"/>
          <w:spacing w:val="5"/>
          <w:sz w:val="24"/>
          <w:szCs w:val="24"/>
        </w:rPr>
        <w:t>承建（承接）企业为</w:t>
      </w:r>
      <w:r>
        <w:rPr>
          <w:rFonts w:hint="eastAsia" w:ascii="宋体" w:hAnsi="宋体" w:eastAsia="宋体" w:cs="宋体"/>
          <w:spacing w:val="5"/>
          <w:sz w:val="24"/>
          <w:szCs w:val="24"/>
          <w:u w:val="single" w:color="auto"/>
        </w:rPr>
        <w:t xml:space="preserve"> （企业名称</w:t>
      </w:r>
      <w:r>
        <w:rPr>
          <w:rFonts w:hint="eastAsia" w:ascii="宋体" w:hAnsi="宋体" w:eastAsia="宋体" w:cs="宋体"/>
          <w:spacing w:val="-15"/>
          <w:sz w:val="24"/>
          <w:szCs w:val="24"/>
          <w:u w:val="single" w:color="auto"/>
        </w:rPr>
        <w:t>）</w:t>
      </w:r>
      <w:r>
        <w:rPr>
          <w:rFonts w:hint="eastAsia" w:ascii="宋体" w:hAnsi="宋体" w:eastAsia="宋体" w:cs="宋体"/>
          <w:spacing w:val="-42"/>
          <w:sz w:val="24"/>
          <w:szCs w:val="24"/>
          <w:u w:val="single" w:color="auto"/>
        </w:rPr>
        <w:t xml:space="preserve"> </w:t>
      </w:r>
      <w:r>
        <w:rPr>
          <w:rFonts w:hint="eastAsia" w:ascii="宋体" w:hAnsi="宋体" w:eastAsia="宋体" w:cs="宋体"/>
          <w:spacing w:val="-15"/>
          <w:sz w:val="24"/>
          <w:szCs w:val="24"/>
        </w:rPr>
        <w:t>，</w:t>
      </w:r>
      <w:r>
        <w:rPr>
          <w:rFonts w:hint="eastAsia" w:ascii="宋体" w:hAnsi="宋体" w:eastAsia="宋体" w:cs="宋体"/>
          <w:sz w:val="24"/>
          <w:szCs w:val="24"/>
        </w:rPr>
        <w:t xml:space="preserve"> </w:t>
      </w:r>
      <w:r>
        <w:rPr>
          <w:rFonts w:hint="eastAsia" w:ascii="宋体" w:hAnsi="宋体" w:eastAsia="宋体" w:cs="宋体"/>
          <w:spacing w:val="7"/>
          <w:sz w:val="24"/>
          <w:szCs w:val="24"/>
        </w:rPr>
        <w:t>从业人员</w:t>
      </w:r>
      <w:r>
        <w:rPr>
          <w:rFonts w:hint="eastAsia" w:ascii="宋体" w:hAnsi="宋体" w:eastAsia="宋体" w:cs="宋体"/>
          <w:spacing w:val="-98"/>
          <w:sz w:val="24"/>
          <w:szCs w:val="24"/>
        </w:rPr>
        <w:t xml:space="preserve"> </w:t>
      </w:r>
      <w:r>
        <w:rPr>
          <w:rFonts w:hint="eastAsia" w:ascii="宋体" w:hAnsi="宋体" w:eastAsia="宋体" w:cs="宋体"/>
          <w:spacing w:val="5"/>
          <w:sz w:val="24"/>
          <w:szCs w:val="24"/>
          <w:u w:val="single" w:color="auto"/>
        </w:rPr>
        <w:t xml:space="preserve">    </w:t>
      </w:r>
      <w:r>
        <w:rPr>
          <w:rFonts w:hint="eastAsia" w:ascii="宋体" w:hAnsi="宋体" w:eastAsia="宋体" w:cs="宋体"/>
          <w:spacing w:val="-90"/>
          <w:sz w:val="24"/>
          <w:szCs w:val="24"/>
        </w:rPr>
        <w:t xml:space="preserve"> </w:t>
      </w:r>
      <w:r>
        <w:rPr>
          <w:rFonts w:hint="eastAsia" w:ascii="宋体" w:hAnsi="宋体" w:eastAsia="宋体" w:cs="宋体"/>
          <w:spacing w:val="7"/>
          <w:sz w:val="24"/>
          <w:szCs w:val="24"/>
        </w:rPr>
        <w:t>人，营业收入为</w:t>
      </w:r>
      <w:r>
        <w:rPr>
          <w:rFonts w:hint="eastAsia" w:ascii="宋体" w:hAnsi="宋体" w:eastAsia="宋体" w:cs="宋体"/>
          <w:spacing w:val="7"/>
          <w:sz w:val="24"/>
          <w:szCs w:val="24"/>
          <w:u w:val="single" w:color="auto"/>
        </w:rPr>
        <w:t xml:space="preserve">     </w:t>
      </w:r>
      <w:r>
        <w:rPr>
          <w:rFonts w:hint="eastAsia" w:ascii="宋体" w:hAnsi="宋体" w:eastAsia="宋体" w:cs="宋体"/>
          <w:spacing w:val="-87"/>
          <w:sz w:val="24"/>
          <w:szCs w:val="24"/>
        </w:rPr>
        <w:t xml:space="preserve"> </w:t>
      </w:r>
      <w:r>
        <w:rPr>
          <w:rFonts w:hint="eastAsia" w:ascii="宋体" w:hAnsi="宋体" w:eastAsia="宋体" w:cs="宋体"/>
          <w:spacing w:val="7"/>
          <w:sz w:val="24"/>
          <w:szCs w:val="24"/>
        </w:rPr>
        <w:t>万元，资产总额为</w:t>
      </w:r>
      <w:r>
        <w:rPr>
          <w:rFonts w:hint="eastAsia" w:ascii="宋体" w:hAnsi="宋体" w:eastAsia="宋体" w:cs="宋体"/>
          <w:spacing w:val="-98"/>
          <w:sz w:val="24"/>
          <w:szCs w:val="24"/>
        </w:rPr>
        <w:t xml:space="preserve"> </w:t>
      </w:r>
      <w:r>
        <w:rPr>
          <w:rFonts w:hint="eastAsia" w:ascii="宋体" w:hAnsi="宋体" w:eastAsia="宋体" w:cs="宋体"/>
          <w:spacing w:val="5"/>
          <w:sz w:val="24"/>
          <w:szCs w:val="24"/>
          <w:u w:val="single" w:color="auto"/>
        </w:rPr>
        <w:t xml:space="preserve">     </w:t>
      </w:r>
      <w:r>
        <w:rPr>
          <w:rFonts w:hint="eastAsia" w:ascii="宋体" w:hAnsi="宋体" w:eastAsia="宋体" w:cs="宋体"/>
          <w:spacing w:val="-86"/>
          <w:sz w:val="24"/>
          <w:szCs w:val="24"/>
        </w:rPr>
        <w:t xml:space="preserve"> </w:t>
      </w:r>
      <w:r>
        <w:rPr>
          <w:rFonts w:hint="eastAsia" w:ascii="宋体" w:hAnsi="宋体" w:eastAsia="宋体" w:cs="宋体"/>
          <w:spacing w:val="7"/>
          <w:sz w:val="24"/>
          <w:szCs w:val="24"/>
        </w:rPr>
        <w:t>万元，属于</w:t>
      </w:r>
      <w:r>
        <w:rPr>
          <w:rFonts w:hint="eastAsia" w:ascii="宋体" w:hAnsi="宋体" w:eastAsia="宋体" w:cs="宋体"/>
          <w:spacing w:val="7"/>
          <w:sz w:val="24"/>
          <w:szCs w:val="24"/>
          <w:u w:val="single" w:color="auto"/>
        </w:rPr>
        <w:t xml:space="preserve"> （中型企业、小型企</w:t>
      </w:r>
      <w:r>
        <w:rPr>
          <w:rFonts w:hint="eastAsia" w:ascii="宋体" w:hAnsi="宋体" w:eastAsia="宋体" w:cs="宋体"/>
          <w:spacing w:val="6"/>
          <w:sz w:val="24"/>
          <w:szCs w:val="24"/>
          <w:u w:val="single" w:color="auto"/>
        </w:rPr>
        <w:t>业、微型</w:t>
      </w:r>
      <w:r>
        <w:rPr>
          <w:rFonts w:hint="eastAsia" w:ascii="宋体" w:hAnsi="宋体" w:eastAsia="宋体" w:cs="宋体"/>
          <w:spacing w:val="1"/>
          <w:sz w:val="24"/>
          <w:szCs w:val="24"/>
          <w:u w:val="single" w:color="auto"/>
        </w:rPr>
        <w:t>企业）</w:t>
      </w:r>
      <w:r>
        <w:rPr>
          <w:rFonts w:hint="eastAsia" w:ascii="宋体" w:hAnsi="宋体" w:eastAsia="宋体" w:cs="宋体"/>
          <w:spacing w:val="1"/>
          <w:sz w:val="24"/>
          <w:szCs w:val="24"/>
        </w:rPr>
        <w:t>。</w:t>
      </w:r>
    </w:p>
    <w:p w14:paraId="40C87BA3">
      <w:pPr>
        <w:spacing w:before="161" w:line="338" w:lineRule="auto"/>
        <w:ind w:left="1" w:right="48" w:firstLine="420"/>
        <w:rPr>
          <w:rFonts w:hint="eastAsia" w:ascii="宋体" w:hAnsi="宋体" w:eastAsia="宋体" w:cs="宋体"/>
          <w:sz w:val="24"/>
          <w:szCs w:val="24"/>
        </w:rPr>
      </w:pPr>
      <w:r>
        <w:rPr>
          <w:rFonts w:hint="eastAsia" w:ascii="宋体" w:hAnsi="宋体" w:eastAsia="宋体" w:cs="宋体"/>
          <w:spacing w:val="6"/>
          <w:sz w:val="24"/>
          <w:szCs w:val="24"/>
        </w:rPr>
        <w:t>2.</w:t>
      </w:r>
      <w:r>
        <w:rPr>
          <w:rFonts w:hint="eastAsia" w:ascii="宋体" w:hAnsi="宋体" w:eastAsia="宋体" w:cs="宋体"/>
          <w:spacing w:val="6"/>
          <w:sz w:val="24"/>
          <w:szCs w:val="24"/>
          <w:u w:val="single" w:color="auto"/>
        </w:rPr>
        <w:t xml:space="preserve"> （标的名称</w:t>
      </w:r>
      <w:r>
        <w:rPr>
          <w:rFonts w:hint="eastAsia" w:ascii="宋体" w:hAnsi="宋体" w:eastAsia="宋体" w:cs="宋体"/>
          <w:spacing w:val="-17"/>
          <w:sz w:val="24"/>
          <w:szCs w:val="24"/>
          <w:u w:val="single" w:color="auto"/>
        </w:rPr>
        <w:t>）</w:t>
      </w:r>
      <w:r>
        <w:rPr>
          <w:rFonts w:hint="eastAsia" w:ascii="宋体" w:hAnsi="宋体" w:eastAsia="宋体" w:cs="宋体"/>
          <w:spacing w:val="-2"/>
          <w:sz w:val="24"/>
          <w:szCs w:val="24"/>
          <w:u w:val="single" w:color="auto"/>
        </w:rPr>
        <w:t xml:space="preserve"> </w:t>
      </w:r>
      <w:r>
        <w:rPr>
          <w:rFonts w:hint="eastAsia" w:ascii="宋体" w:hAnsi="宋体" w:eastAsia="宋体" w:cs="宋体"/>
          <w:spacing w:val="-75"/>
          <w:sz w:val="24"/>
          <w:szCs w:val="24"/>
        </w:rPr>
        <w:t xml:space="preserve"> </w:t>
      </w:r>
      <w:r>
        <w:rPr>
          <w:rFonts w:hint="eastAsia" w:ascii="宋体" w:hAnsi="宋体" w:eastAsia="宋体" w:cs="宋体"/>
          <w:spacing w:val="-17"/>
          <w:sz w:val="24"/>
          <w:szCs w:val="24"/>
        </w:rPr>
        <w:t>，</w:t>
      </w:r>
      <w:r>
        <w:rPr>
          <w:rFonts w:hint="eastAsia" w:ascii="宋体" w:hAnsi="宋体" w:eastAsia="宋体" w:cs="宋体"/>
          <w:spacing w:val="6"/>
          <w:sz w:val="24"/>
          <w:szCs w:val="24"/>
        </w:rPr>
        <w:t>属于</w:t>
      </w:r>
      <w:r>
        <w:rPr>
          <w:rFonts w:hint="eastAsia" w:ascii="宋体" w:hAnsi="宋体" w:eastAsia="宋体" w:cs="宋体"/>
          <w:spacing w:val="6"/>
          <w:sz w:val="24"/>
          <w:szCs w:val="24"/>
          <w:u w:val="single" w:color="auto"/>
        </w:rPr>
        <w:t xml:space="preserve"> （采购文件中明确的所属行</w:t>
      </w:r>
      <w:r>
        <w:rPr>
          <w:rFonts w:hint="eastAsia" w:ascii="宋体" w:hAnsi="宋体" w:eastAsia="宋体" w:cs="宋体"/>
          <w:spacing w:val="5"/>
          <w:sz w:val="24"/>
          <w:szCs w:val="24"/>
          <w:u w:val="single" w:color="auto"/>
        </w:rPr>
        <w:t>业</w:t>
      </w:r>
      <w:r>
        <w:rPr>
          <w:rFonts w:hint="eastAsia" w:ascii="宋体" w:hAnsi="宋体" w:eastAsia="宋体" w:cs="宋体"/>
          <w:spacing w:val="-17"/>
          <w:sz w:val="24"/>
          <w:szCs w:val="24"/>
          <w:u w:val="single" w:color="auto"/>
        </w:rPr>
        <w:t>）</w:t>
      </w:r>
      <w:r>
        <w:rPr>
          <w:rFonts w:hint="eastAsia" w:ascii="宋体" w:hAnsi="宋体" w:eastAsia="宋体" w:cs="宋体"/>
          <w:spacing w:val="-6"/>
          <w:sz w:val="24"/>
          <w:szCs w:val="24"/>
          <w:u w:val="single" w:color="auto"/>
        </w:rPr>
        <w:t xml:space="preserve"> </w:t>
      </w:r>
      <w:r>
        <w:rPr>
          <w:rFonts w:hint="eastAsia" w:ascii="宋体" w:hAnsi="宋体" w:eastAsia="宋体" w:cs="宋体"/>
          <w:spacing w:val="-73"/>
          <w:sz w:val="24"/>
          <w:szCs w:val="24"/>
        </w:rPr>
        <w:t xml:space="preserve"> </w:t>
      </w:r>
      <w:r>
        <w:rPr>
          <w:rFonts w:hint="eastAsia" w:ascii="宋体" w:hAnsi="宋体" w:eastAsia="宋体" w:cs="宋体"/>
          <w:spacing w:val="-17"/>
          <w:sz w:val="24"/>
          <w:szCs w:val="24"/>
        </w:rPr>
        <w:t>；</w:t>
      </w:r>
      <w:r>
        <w:rPr>
          <w:rFonts w:hint="eastAsia" w:ascii="宋体" w:hAnsi="宋体" w:eastAsia="宋体" w:cs="宋体"/>
          <w:spacing w:val="5"/>
          <w:sz w:val="24"/>
          <w:szCs w:val="24"/>
        </w:rPr>
        <w:t>承建（承接）企业为</w:t>
      </w:r>
      <w:r>
        <w:rPr>
          <w:rFonts w:hint="eastAsia" w:ascii="宋体" w:hAnsi="宋体" w:eastAsia="宋体" w:cs="宋体"/>
          <w:spacing w:val="5"/>
          <w:sz w:val="24"/>
          <w:szCs w:val="24"/>
          <w:u w:val="single" w:color="auto"/>
        </w:rPr>
        <w:t xml:space="preserve"> （企业名称</w:t>
      </w:r>
      <w:r>
        <w:rPr>
          <w:rFonts w:hint="eastAsia" w:ascii="宋体" w:hAnsi="宋体" w:eastAsia="宋体" w:cs="宋体"/>
          <w:spacing w:val="-17"/>
          <w:sz w:val="24"/>
          <w:szCs w:val="24"/>
          <w:u w:val="single" w:color="auto"/>
        </w:rPr>
        <w:t>）</w:t>
      </w:r>
      <w:r>
        <w:rPr>
          <w:rFonts w:hint="eastAsia" w:ascii="宋体" w:hAnsi="宋体" w:eastAsia="宋体" w:cs="宋体"/>
          <w:spacing w:val="-42"/>
          <w:sz w:val="24"/>
          <w:szCs w:val="24"/>
          <w:u w:val="single" w:color="auto"/>
        </w:rPr>
        <w:t xml:space="preserve"> </w:t>
      </w:r>
      <w:r>
        <w:rPr>
          <w:rFonts w:hint="eastAsia" w:ascii="宋体" w:hAnsi="宋体" w:eastAsia="宋体" w:cs="宋体"/>
          <w:spacing w:val="-17"/>
          <w:sz w:val="24"/>
          <w:szCs w:val="24"/>
        </w:rPr>
        <w:t>，</w:t>
      </w:r>
      <w:r>
        <w:rPr>
          <w:rFonts w:hint="eastAsia" w:ascii="宋体" w:hAnsi="宋体" w:eastAsia="宋体" w:cs="宋体"/>
          <w:sz w:val="24"/>
          <w:szCs w:val="24"/>
        </w:rPr>
        <w:t xml:space="preserve"> </w:t>
      </w:r>
      <w:r>
        <w:rPr>
          <w:rFonts w:hint="eastAsia" w:ascii="宋体" w:hAnsi="宋体" w:eastAsia="宋体" w:cs="宋体"/>
          <w:spacing w:val="7"/>
          <w:sz w:val="24"/>
          <w:szCs w:val="24"/>
        </w:rPr>
        <w:t>从业人员</w:t>
      </w:r>
      <w:r>
        <w:rPr>
          <w:rFonts w:hint="eastAsia" w:ascii="宋体" w:hAnsi="宋体" w:eastAsia="宋体" w:cs="宋体"/>
          <w:spacing w:val="-98"/>
          <w:sz w:val="24"/>
          <w:szCs w:val="24"/>
        </w:rPr>
        <w:t xml:space="preserve"> </w:t>
      </w:r>
      <w:r>
        <w:rPr>
          <w:rFonts w:hint="eastAsia" w:ascii="宋体" w:hAnsi="宋体" w:eastAsia="宋体" w:cs="宋体"/>
          <w:spacing w:val="5"/>
          <w:sz w:val="24"/>
          <w:szCs w:val="24"/>
          <w:u w:val="single" w:color="auto"/>
        </w:rPr>
        <w:t xml:space="preserve">    </w:t>
      </w:r>
      <w:r>
        <w:rPr>
          <w:rFonts w:hint="eastAsia" w:ascii="宋体" w:hAnsi="宋体" w:eastAsia="宋体" w:cs="宋体"/>
          <w:spacing w:val="-90"/>
          <w:sz w:val="24"/>
          <w:szCs w:val="24"/>
        </w:rPr>
        <w:t xml:space="preserve"> </w:t>
      </w:r>
      <w:r>
        <w:rPr>
          <w:rFonts w:hint="eastAsia" w:ascii="宋体" w:hAnsi="宋体" w:eastAsia="宋体" w:cs="宋体"/>
          <w:spacing w:val="7"/>
          <w:sz w:val="24"/>
          <w:szCs w:val="24"/>
        </w:rPr>
        <w:t>人，营业收入为</w:t>
      </w:r>
      <w:r>
        <w:rPr>
          <w:rFonts w:hint="eastAsia" w:ascii="宋体" w:hAnsi="宋体" w:eastAsia="宋体" w:cs="宋体"/>
          <w:spacing w:val="7"/>
          <w:sz w:val="24"/>
          <w:szCs w:val="24"/>
          <w:u w:val="single" w:color="auto"/>
        </w:rPr>
        <w:t xml:space="preserve">     </w:t>
      </w:r>
      <w:r>
        <w:rPr>
          <w:rFonts w:hint="eastAsia" w:ascii="宋体" w:hAnsi="宋体" w:eastAsia="宋体" w:cs="宋体"/>
          <w:spacing w:val="-87"/>
          <w:sz w:val="24"/>
          <w:szCs w:val="24"/>
        </w:rPr>
        <w:t xml:space="preserve"> </w:t>
      </w:r>
      <w:r>
        <w:rPr>
          <w:rFonts w:hint="eastAsia" w:ascii="宋体" w:hAnsi="宋体" w:eastAsia="宋体" w:cs="宋体"/>
          <w:spacing w:val="7"/>
          <w:sz w:val="24"/>
          <w:szCs w:val="24"/>
        </w:rPr>
        <w:t>万元，资产总额为</w:t>
      </w:r>
      <w:r>
        <w:rPr>
          <w:rFonts w:hint="eastAsia" w:ascii="宋体" w:hAnsi="宋体" w:eastAsia="宋体" w:cs="宋体"/>
          <w:spacing w:val="-98"/>
          <w:sz w:val="24"/>
          <w:szCs w:val="24"/>
        </w:rPr>
        <w:t xml:space="preserve"> </w:t>
      </w:r>
      <w:r>
        <w:rPr>
          <w:rFonts w:hint="eastAsia" w:ascii="宋体" w:hAnsi="宋体" w:eastAsia="宋体" w:cs="宋体"/>
          <w:spacing w:val="5"/>
          <w:sz w:val="24"/>
          <w:szCs w:val="24"/>
          <w:u w:val="single" w:color="auto"/>
        </w:rPr>
        <w:t xml:space="preserve">     </w:t>
      </w:r>
      <w:r>
        <w:rPr>
          <w:rFonts w:hint="eastAsia" w:ascii="宋体" w:hAnsi="宋体" w:eastAsia="宋体" w:cs="宋体"/>
          <w:spacing w:val="-86"/>
          <w:sz w:val="24"/>
          <w:szCs w:val="24"/>
        </w:rPr>
        <w:t xml:space="preserve"> </w:t>
      </w:r>
      <w:r>
        <w:rPr>
          <w:rFonts w:hint="eastAsia" w:ascii="宋体" w:hAnsi="宋体" w:eastAsia="宋体" w:cs="宋体"/>
          <w:spacing w:val="7"/>
          <w:sz w:val="24"/>
          <w:szCs w:val="24"/>
        </w:rPr>
        <w:t>万元，属于</w:t>
      </w:r>
      <w:r>
        <w:rPr>
          <w:rFonts w:hint="eastAsia" w:ascii="宋体" w:hAnsi="宋体" w:eastAsia="宋体" w:cs="宋体"/>
          <w:spacing w:val="7"/>
          <w:sz w:val="24"/>
          <w:szCs w:val="24"/>
          <w:u w:val="single" w:color="auto"/>
        </w:rPr>
        <w:t xml:space="preserve"> （中型企业、小型企</w:t>
      </w:r>
      <w:r>
        <w:rPr>
          <w:rFonts w:hint="eastAsia" w:ascii="宋体" w:hAnsi="宋体" w:eastAsia="宋体" w:cs="宋体"/>
          <w:spacing w:val="6"/>
          <w:sz w:val="24"/>
          <w:szCs w:val="24"/>
          <w:u w:val="single" w:color="auto"/>
        </w:rPr>
        <w:t>业、微型</w:t>
      </w:r>
      <w:r>
        <w:rPr>
          <w:rFonts w:hint="eastAsia" w:ascii="宋体" w:hAnsi="宋体" w:eastAsia="宋体" w:cs="宋体"/>
          <w:spacing w:val="1"/>
          <w:sz w:val="24"/>
          <w:szCs w:val="24"/>
          <w:u w:val="single" w:color="auto"/>
        </w:rPr>
        <w:t>企业）</w:t>
      </w:r>
      <w:r>
        <w:rPr>
          <w:rFonts w:hint="eastAsia" w:ascii="宋体" w:hAnsi="宋体" w:eastAsia="宋体" w:cs="宋体"/>
          <w:spacing w:val="1"/>
          <w:sz w:val="24"/>
          <w:szCs w:val="24"/>
        </w:rPr>
        <w:t>。</w:t>
      </w:r>
    </w:p>
    <w:p w14:paraId="5982D007">
      <w:pPr>
        <w:pStyle w:val="8"/>
        <w:spacing w:line="249" w:lineRule="auto"/>
        <w:rPr>
          <w:rFonts w:hint="eastAsia" w:ascii="宋体" w:hAnsi="宋体" w:eastAsia="宋体" w:cs="宋体"/>
          <w:sz w:val="24"/>
          <w:szCs w:val="24"/>
        </w:rPr>
      </w:pPr>
    </w:p>
    <w:p w14:paraId="10016C8A">
      <w:pPr>
        <w:spacing w:before="65" w:line="84" w:lineRule="exact"/>
        <w:ind w:left="424"/>
        <w:rPr>
          <w:rFonts w:hint="eastAsia" w:ascii="宋体" w:hAnsi="宋体" w:eastAsia="宋体" w:cs="宋体"/>
          <w:sz w:val="24"/>
          <w:szCs w:val="24"/>
        </w:rPr>
      </w:pPr>
      <w:r>
        <w:rPr>
          <w:rFonts w:hint="eastAsia" w:ascii="宋体" w:hAnsi="宋体" w:eastAsia="宋体" w:cs="宋体"/>
          <w:spacing w:val="3"/>
          <w:position w:val="1"/>
          <w:sz w:val="24"/>
          <w:szCs w:val="24"/>
        </w:rPr>
        <w:t>...</w:t>
      </w:r>
    </w:p>
    <w:p w14:paraId="04BA78D0">
      <w:pPr>
        <w:spacing w:before="183" w:line="373" w:lineRule="auto"/>
        <w:ind w:left="6" w:right="100" w:firstLine="436"/>
        <w:rPr>
          <w:rFonts w:hint="eastAsia" w:ascii="宋体" w:hAnsi="宋体" w:eastAsia="宋体" w:cs="宋体"/>
          <w:sz w:val="24"/>
          <w:szCs w:val="24"/>
        </w:rPr>
      </w:pPr>
      <w:r>
        <w:rPr>
          <w:rFonts w:hint="eastAsia" w:ascii="宋体" w:hAnsi="宋体" w:eastAsia="宋体" w:cs="宋体"/>
          <w:spacing w:val="11"/>
          <w:sz w:val="24"/>
          <w:szCs w:val="24"/>
        </w:rPr>
        <w:t>以上企业，不属于大企业的分支机构，不存在控股股东</w:t>
      </w:r>
      <w:r>
        <w:rPr>
          <w:rFonts w:hint="eastAsia" w:ascii="宋体" w:hAnsi="宋体" w:eastAsia="宋体" w:cs="宋体"/>
          <w:spacing w:val="10"/>
          <w:sz w:val="24"/>
          <w:szCs w:val="24"/>
        </w:rPr>
        <w:t>为大企业的情形，也不存在与大企业的负</w:t>
      </w:r>
      <w:r>
        <w:rPr>
          <w:rFonts w:hint="eastAsia" w:ascii="宋体" w:hAnsi="宋体" w:eastAsia="宋体" w:cs="宋体"/>
          <w:spacing w:val="7"/>
          <w:sz w:val="24"/>
          <w:szCs w:val="24"/>
        </w:rPr>
        <w:t>责人为同一人的情形。</w:t>
      </w:r>
    </w:p>
    <w:p w14:paraId="349F868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16" w:firstLineChars="200"/>
        <w:jc w:val="both"/>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宋体" w:hAnsi="宋体" w:eastAsia="宋体" w:cs="宋体"/>
          <w:spacing w:val="9"/>
          <w:sz w:val="24"/>
          <w:szCs w:val="24"/>
        </w:rPr>
        <w:t>本企业对上述声明内容的真实性负责。如有虚假，将依法承担相应责</w:t>
      </w:r>
      <w:r>
        <w:rPr>
          <w:rFonts w:hint="eastAsia" w:ascii="宋体" w:hAnsi="宋体" w:eastAsia="宋体" w:cs="宋体"/>
          <w:color w:val="auto"/>
          <w:kern w:val="2"/>
          <w:sz w:val="24"/>
          <w:szCs w:val="24"/>
          <w:highlight w:val="none"/>
          <w:lang w:val="en-US" w:eastAsia="zh-CN" w:bidi="ar-SA"/>
        </w:rPr>
        <w:t>任。</w:t>
      </w:r>
    </w:p>
    <w:p w14:paraId="2348BEBF">
      <w:pPr>
        <w:keepNext w:val="0"/>
        <w:keepLines w:val="0"/>
        <w:pageBreakBefore w:val="0"/>
        <w:widowControl w:val="0"/>
        <w:kinsoku/>
        <w:wordWrap/>
        <w:overflowPunct/>
        <w:topLinePunct w:val="0"/>
        <w:autoSpaceDE/>
        <w:autoSpaceDN/>
        <w:bidi w:val="0"/>
        <w:adjustRightInd/>
        <w:snapToGrid/>
        <w:spacing w:line="400" w:lineRule="exact"/>
        <w:ind w:left="1120" w:right="0" w:rightChars="0" w:firstLine="480" w:firstLineChars="200"/>
        <w:jc w:val="center"/>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             </w:t>
      </w:r>
    </w:p>
    <w:p w14:paraId="006A7E79">
      <w:pPr>
        <w:widowControl w:val="0"/>
        <w:spacing w:line="400" w:lineRule="exact"/>
        <w:ind w:left="1120" w:hanging="112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             企业名称（公章或电子CA签章）：</w:t>
      </w:r>
    </w:p>
    <w:p w14:paraId="137C0B7B">
      <w:pPr>
        <w:widowControl w:val="0"/>
        <w:spacing w:line="400" w:lineRule="exact"/>
        <w:ind w:left="1120" w:hanging="1120"/>
        <w:jc w:val="center"/>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                 日 期：</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年   月   日</w:t>
      </w:r>
    </w:p>
    <w:p w14:paraId="13C599F4">
      <w:pPr>
        <w:widowControl w:val="0"/>
        <w:spacing w:line="400" w:lineRule="exact"/>
        <w:ind w:firstLine="480" w:firstLineChars="200"/>
        <w:jc w:val="both"/>
        <w:rPr>
          <w:rFonts w:hint="eastAsia" w:asciiTheme="minorEastAsia" w:hAnsiTheme="minorEastAsia" w:eastAsiaTheme="minorEastAsia" w:cstheme="minorEastAsia"/>
          <w:b/>
          <w:color w:val="auto"/>
          <w:kern w:val="2"/>
          <w:sz w:val="24"/>
          <w:szCs w:val="24"/>
          <w:highlight w:val="none"/>
          <w:lang w:val="en-US" w:eastAsia="zh-CN" w:bidi="ar-SA"/>
        </w:rPr>
      </w:pPr>
    </w:p>
    <w:p w14:paraId="25535B3F">
      <w:pPr>
        <w:widowControl w:val="0"/>
        <w:spacing w:line="320" w:lineRule="exact"/>
        <w:ind w:firstLine="480" w:firstLineChars="200"/>
        <w:jc w:val="both"/>
        <w:rPr>
          <w:rFonts w:hint="eastAsia" w:asciiTheme="minorEastAsia" w:hAnsiTheme="minorEastAsia" w:eastAsiaTheme="minorEastAsia" w:cstheme="minorEastAsia"/>
          <w:b/>
          <w:color w:val="auto"/>
          <w:kern w:val="2"/>
          <w:sz w:val="24"/>
          <w:szCs w:val="24"/>
          <w:highlight w:val="none"/>
          <w:lang w:val="en-US" w:eastAsia="zh-CN" w:bidi="ar-SA"/>
        </w:rPr>
      </w:pPr>
    </w:p>
    <w:p w14:paraId="1775C525">
      <w:pPr>
        <w:widowControl w:val="0"/>
        <w:spacing w:line="320" w:lineRule="exact"/>
        <w:ind w:firstLine="480" w:firstLineChars="200"/>
        <w:jc w:val="both"/>
        <w:rPr>
          <w:rFonts w:hint="eastAsia" w:asciiTheme="minorEastAsia" w:hAnsiTheme="minorEastAsia" w:eastAsiaTheme="minorEastAsia" w:cstheme="minorEastAsia"/>
          <w:b/>
          <w:color w:val="auto"/>
          <w:kern w:val="2"/>
          <w:sz w:val="24"/>
          <w:szCs w:val="24"/>
          <w:highlight w:val="none"/>
          <w:lang w:val="en-US" w:eastAsia="zh-CN" w:bidi="ar-SA"/>
        </w:rPr>
      </w:pPr>
    </w:p>
    <w:p w14:paraId="5029539C">
      <w:pPr>
        <w:widowControl w:val="0"/>
        <w:spacing w:line="320" w:lineRule="exact"/>
        <w:ind w:firstLine="480" w:firstLineChars="200"/>
        <w:jc w:val="both"/>
        <w:rPr>
          <w:rFonts w:hint="eastAsia" w:asciiTheme="minorEastAsia" w:hAnsiTheme="minorEastAsia" w:eastAsiaTheme="minorEastAsia" w:cstheme="minorEastAsia"/>
          <w:b/>
          <w:color w:val="auto"/>
          <w:kern w:val="2"/>
          <w:sz w:val="24"/>
          <w:szCs w:val="24"/>
          <w:highlight w:val="none"/>
          <w:lang w:val="en-US" w:eastAsia="zh-CN" w:bidi="ar-SA"/>
        </w:rPr>
      </w:pPr>
    </w:p>
    <w:p w14:paraId="7103D950">
      <w:pPr>
        <w:widowControl w:val="0"/>
        <w:spacing w:line="320" w:lineRule="exact"/>
        <w:ind w:firstLine="480" w:firstLineChars="200"/>
        <w:jc w:val="both"/>
        <w:rPr>
          <w:rFonts w:hint="eastAsia" w:asciiTheme="minorEastAsia" w:hAnsiTheme="minorEastAsia" w:eastAsiaTheme="minorEastAsia" w:cstheme="minorEastAsia"/>
          <w:b/>
          <w:color w:val="auto"/>
          <w:kern w:val="2"/>
          <w:sz w:val="24"/>
          <w:szCs w:val="24"/>
          <w:highlight w:val="none"/>
          <w:lang w:val="en-US" w:eastAsia="zh-CN" w:bidi="ar-SA"/>
        </w:rPr>
      </w:pPr>
    </w:p>
    <w:p w14:paraId="5C5739C6">
      <w:pPr>
        <w:keepNext w:val="0"/>
        <w:keepLines w:val="0"/>
        <w:widowControl/>
        <w:suppressLineNumbers w:val="0"/>
        <w:ind w:firstLine="480" w:firstLineChars="200"/>
        <w:jc w:val="left"/>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说明：</w:t>
      </w:r>
    </w:p>
    <w:p w14:paraId="26A3E35F">
      <w:pPr>
        <w:keepNext w:val="0"/>
        <w:keepLines w:val="0"/>
        <w:widowControl/>
        <w:suppressLineNumbers w:val="0"/>
        <w:ind w:firstLine="480" w:firstLineChars="200"/>
        <w:jc w:val="left"/>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1.从业人员、营业收入、资产总额填报上一年度数据，无上一年度数据的新成立公司可不填报。</w:t>
      </w:r>
    </w:p>
    <w:p w14:paraId="5622E016">
      <w:pPr>
        <w:keepNext w:val="0"/>
        <w:keepLines w:val="0"/>
        <w:widowControl/>
        <w:suppressLineNumbers w:val="0"/>
        <w:ind w:firstLine="480" w:firstLineChars="200"/>
        <w:jc w:val="left"/>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 xml:space="preserve">2.参加政府采购活动的小型、微型企业应当提供《中小企业声明函》。成交供应商的《中小企业声明函》随成交结果一并公告。 </w:t>
      </w:r>
    </w:p>
    <w:p w14:paraId="0C022BC5">
      <w:pPr>
        <w:widowControl w:val="0"/>
        <w:spacing w:line="400" w:lineRule="exact"/>
        <w:ind w:firstLine="420" w:firstLineChars="200"/>
        <w:jc w:val="both"/>
        <w:rPr>
          <w:rFonts w:hint="eastAsia" w:asciiTheme="minorEastAsia" w:hAnsiTheme="minorEastAsia" w:eastAsiaTheme="minorEastAsia" w:cstheme="minorEastAsia"/>
          <w:b/>
          <w:color w:val="auto"/>
          <w:kern w:val="2"/>
          <w:sz w:val="21"/>
          <w:szCs w:val="21"/>
          <w:highlight w:val="none"/>
          <w:lang w:val="en-US" w:eastAsia="zh-CN" w:bidi="ar-SA"/>
        </w:rPr>
      </w:pPr>
    </w:p>
    <w:p w14:paraId="41330E50">
      <w:pPr>
        <w:widowControl w:val="0"/>
        <w:spacing w:line="400" w:lineRule="exact"/>
        <w:ind w:firstLine="420" w:firstLineChars="200"/>
        <w:jc w:val="both"/>
        <w:rPr>
          <w:rFonts w:hint="eastAsia" w:asciiTheme="minorEastAsia" w:hAnsiTheme="minorEastAsia" w:eastAsiaTheme="minorEastAsia" w:cstheme="minorEastAsia"/>
          <w:b/>
          <w:color w:val="auto"/>
          <w:kern w:val="2"/>
          <w:sz w:val="21"/>
          <w:szCs w:val="21"/>
          <w:highlight w:val="none"/>
          <w:lang w:val="en-US" w:eastAsia="zh-CN" w:bidi="ar-SA"/>
        </w:rPr>
      </w:pPr>
      <w:r>
        <w:rPr>
          <w:rFonts w:hint="eastAsia" w:asciiTheme="minorEastAsia" w:hAnsiTheme="minorEastAsia" w:eastAsiaTheme="minorEastAsia" w:cstheme="minorEastAsia"/>
          <w:b/>
          <w:color w:val="auto"/>
          <w:kern w:val="2"/>
          <w:sz w:val="21"/>
          <w:szCs w:val="21"/>
          <w:highlight w:val="none"/>
          <w:lang w:val="en-US" w:eastAsia="zh-CN" w:bidi="ar-SA"/>
        </w:rPr>
        <w:br w:type="page"/>
      </w:r>
    </w:p>
    <w:p w14:paraId="6CF38380">
      <w:pPr>
        <w:widowControl w:val="0"/>
        <w:spacing w:line="400" w:lineRule="exact"/>
        <w:jc w:val="both"/>
        <w:outlineLvl w:val="4"/>
        <w:rPr>
          <w:rFonts w:hint="eastAsia" w:asciiTheme="minorEastAsia" w:hAnsiTheme="minorEastAsia" w:eastAsiaTheme="minorEastAsia" w:cstheme="minorEastAsia"/>
          <w:b/>
          <w:color w:val="auto"/>
          <w:kern w:val="2"/>
          <w:sz w:val="28"/>
          <w:szCs w:val="28"/>
          <w:highlight w:val="none"/>
          <w:lang w:val="en-US" w:eastAsia="zh-CN" w:bidi="ar-SA"/>
        </w:rPr>
      </w:pPr>
    </w:p>
    <w:p w14:paraId="25769E9F">
      <w:pPr>
        <w:widowControl w:val="0"/>
        <w:spacing w:line="400" w:lineRule="exact"/>
        <w:jc w:val="both"/>
        <w:outlineLvl w:val="4"/>
        <w:rPr>
          <w:rFonts w:hint="eastAsia" w:asciiTheme="minorEastAsia" w:hAnsiTheme="minorEastAsia" w:eastAsiaTheme="minorEastAsia" w:cstheme="minorEastAsia"/>
          <w:b/>
          <w:color w:val="auto"/>
          <w:kern w:val="2"/>
          <w:sz w:val="28"/>
          <w:szCs w:val="28"/>
          <w:highlight w:val="none"/>
          <w:lang w:val="en-US" w:eastAsia="zh-CN" w:bidi="ar-SA"/>
        </w:rPr>
      </w:pPr>
    </w:p>
    <w:p w14:paraId="47E7C29E">
      <w:pPr>
        <w:widowControl w:val="0"/>
        <w:spacing w:line="400" w:lineRule="exact"/>
        <w:jc w:val="both"/>
        <w:outlineLvl w:val="4"/>
        <w:rPr>
          <w:rFonts w:hint="eastAsia" w:asciiTheme="minorEastAsia" w:hAnsiTheme="minorEastAsia" w:eastAsiaTheme="minorEastAsia" w:cstheme="minorEastAsia"/>
          <w:b/>
          <w:color w:val="auto"/>
          <w:kern w:val="2"/>
          <w:sz w:val="28"/>
          <w:szCs w:val="28"/>
          <w:highlight w:val="none"/>
          <w:lang w:val="en-US" w:eastAsia="zh-CN" w:bidi="ar-SA"/>
        </w:rPr>
      </w:pPr>
      <w:r>
        <w:rPr>
          <w:rFonts w:hint="eastAsia" w:asciiTheme="minorEastAsia" w:hAnsiTheme="minorEastAsia" w:eastAsiaTheme="minorEastAsia" w:cstheme="minorEastAsia"/>
          <w:b/>
          <w:color w:val="auto"/>
          <w:kern w:val="2"/>
          <w:sz w:val="28"/>
          <w:szCs w:val="28"/>
          <w:highlight w:val="none"/>
          <w:lang w:val="en-US" w:eastAsia="zh-CN" w:bidi="ar-SA"/>
        </w:rPr>
        <w:t>附件4：监狱企业证明文件</w:t>
      </w:r>
    </w:p>
    <w:p w14:paraId="242D94EB">
      <w:pPr>
        <w:widowControl w:val="0"/>
        <w:spacing w:line="400" w:lineRule="exact"/>
        <w:ind w:firstLine="420" w:firstLineChars="200"/>
        <w:jc w:val="both"/>
        <w:rPr>
          <w:rFonts w:hint="eastAsia" w:asciiTheme="minorEastAsia" w:hAnsiTheme="minorEastAsia" w:eastAsiaTheme="minorEastAsia" w:cstheme="minorEastAsia"/>
          <w:b w:val="0"/>
          <w:bCs/>
          <w:color w:val="auto"/>
          <w:kern w:val="2"/>
          <w:sz w:val="21"/>
          <w:szCs w:val="21"/>
          <w:highlight w:val="none"/>
          <w:lang w:val="en-US" w:eastAsia="zh-CN" w:bidi="ar-SA"/>
        </w:rPr>
      </w:pPr>
    </w:p>
    <w:p w14:paraId="42CE36D2">
      <w:pPr>
        <w:widowControl w:val="0"/>
        <w:spacing w:line="400" w:lineRule="exact"/>
        <w:ind w:firstLine="480" w:firstLineChars="200"/>
        <w:jc w:val="both"/>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2679C95B">
      <w:pPr>
        <w:widowControl w:val="0"/>
        <w:spacing w:line="400" w:lineRule="exact"/>
        <w:ind w:firstLine="480" w:firstLineChars="200"/>
        <w:jc w:val="both"/>
        <w:rPr>
          <w:rFonts w:hint="eastAsia" w:asciiTheme="minorEastAsia" w:hAnsiTheme="minorEastAsia" w:eastAsiaTheme="minorEastAsia" w:cstheme="minorEastAsia"/>
          <w:b/>
          <w:color w:val="auto"/>
          <w:kern w:val="2"/>
          <w:sz w:val="24"/>
          <w:szCs w:val="24"/>
          <w:highlight w:val="none"/>
          <w:lang w:val="en-US" w:eastAsia="zh-CN" w:bidi="ar-SA"/>
        </w:rPr>
      </w:pPr>
    </w:p>
    <w:p w14:paraId="22E8805F">
      <w:pPr>
        <w:widowControl w:val="0"/>
        <w:spacing w:line="400" w:lineRule="exact"/>
        <w:ind w:firstLine="480" w:firstLineChars="200"/>
        <w:jc w:val="both"/>
        <w:rPr>
          <w:rFonts w:hint="eastAsia" w:asciiTheme="minorEastAsia" w:hAnsiTheme="minorEastAsia" w:eastAsiaTheme="minorEastAsia" w:cstheme="minorEastAsia"/>
          <w:b/>
          <w:color w:val="auto"/>
          <w:kern w:val="2"/>
          <w:sz w:val="24"/>
          <w:szCs w:val="24"/>
          <w:highlight w:val="none"/>
          <w:lang w:val="en-US" w:eastAsia="zh-CN" w:bidi="ar-SA"/>
        </w:rPr>
      </w:pPr>
      <w:r>
        <w:rPr>
          <w:rFonts w:hint="eastAsia" w:asciiTheme="minorEastAsia" w:hAnsiTheme="minorEastAsia" w:eastAsiaTheme="minorEastAsia" w:cstheme="minorEastAsia"/>
          <w:b/>
          <w:color w:val="auto"/>
          <w:kern w:val="2"/>
          <w:sz w:val="24"/>
          <w:szCs w:val="24"/>
          <w:highlight w:val="none"/>
          <w:lang w:val="en-US" w:eastAsia="zh-CN" w:bidi="ar-SA"/>
        </w:rPr>
        <w:t>说明：中标供应商的监狱企业证明文件随中标结果一并公告。</w:t>
      </w:r>
    </w:p>
    <w:p w14:paraId="578955B3">
      <w:pPr>
        <w:widowControl w:val="0"/>
        <w:spacing w:line="400" w:lineRule="exact"/>
        <w:ind w:firstLine="480" w:firstLineChars="200"/>
        <w:jc w:val="both"/>
        <w:rPr>
          <w:rFonts w:hint="eastAsia" w:asciiTheme="minorEastAsia" w:hAnsiTheme="minorEastAsia" w:eastAsiaTheme="minorEastAsia" w:cstheme="minorEastAsia"/>
          <w:b/>
          <w:color w:val="auto"/>
          <w:kern w:val="2"/>
          <w:sz w:val="24"/>
          <w:szCs w:val="24"/>
          <w:highlight w:val="none"/>
          <w:lang w:val="en-US" w:eastAsia="zh-CN" w:bidi="ar-SA"/>
        </w:rPr>
      </w:pPr>
    </w:p>
    <w:p w14:paraId="7A36DB18">
      <w:pPr>
        <w:widowControl w:val="0"/>
        <w:spacing w:line="400" w:lineRule="exact"/>
        <w:jc w:val="both"/>
        <w:outlineLvl w:val="9"/>
        <w:rPr>
          <w:rFonts w:hint="eastAsia" w:asciiTheme="minorEastAsia" w:hAnsiTheme="minorEastAsia" w:eastAsiaTheme="minorEastAsia" w:cstheme="minorEastAsia"/>
          <w:b/>
          <w:color w:val="auto"/>
          <w:kern w:val="2"/>
          <w:sz w:val="21"/>
          <w:szCs w:val="20"/>
          <w:highlight w:val="none"/>
          <w:lang w:val="en-US" w:eastAsia="zh-CN" w:bidi="ar-SA"/>
        </w:rPr>
      </w:pPr>
      <w:r>
        <w:rPr>
          <w:rFonts w:hint="eastAsia" w:asciiTheme="minorEastAsia" w:hAnsiTheme="minorEastAsia" w:eastAsiaTheme="minorEastAsia" w:cstheme="minorEastAsia"/>
          <w:b/>
          <w:color w:val="auto"/>
          <w:kern w:val="2"/>
          <w:sz w:val="21"/>
          <w:szCs w:val="20"/>
          <w:highlight w:val="none"/>
          <w:lang w:val="en-US" w:eastAsia="zh-CN" w:bidi="ar-SA"/>
        </w:rPr>
        <w:br w:type="page"/>
      </w:r>
    </w:p>
    <w:p w14:paraId="5662DD6B">
      <w:pPr>
        <w:widowControl w:val="0"/>
        <w:spacing w:line="400" w:lineRule="exact"/>
        <w:jc w:val="both"/>
        <w:outlineLvl w:val="4"/>
        <w:rPr>
          <w:rFonts w:hint="eastAsia" w:asciiTheme="minorEastAsia" w:hAnsiTheme="minorEastAsia" w:eastAsiaTheme="minorEastAsia" w:cstheme="minorEastAsia"/>
          <w:b/>
          <w:color w:val="auto"/>
          <w:kern w:val="2"/>
          <w:sz w:val="28"/>
          <w:szCs w:val="28"/>
          <w:highlight w:val="none"/>
          <w:lang w:val="en-US" w:eastAsia="zh-CN" w:bidi="ar-SA"/>
        </w:rPr>
      </w:pPr>
    </w:p>
    <w:p w14:paraId="2345F072">
      <w:pPr>
        <w:widowControl w:val="0"/>
        <w:spacing w:line="400" w:lineRule="exact"/>
        <w:jc w:val="both"/>
        <w:outlineLvl w:val="4"/>
        <w:rPr>
          <w:rFonts w:hint="eastAsia" w:asciiTheme="minorEastAsia" w:hAnsiTheme="minorEastAsia" w:eastAsiaTheme="minorEastAsia" w:cstheme="minorEastAsia"/>
          <w:b/>
          <w:color w:val="auto"/>
          <w:kern w:val="2"/>
          <w:sz w:val="28"/>
          <w:szCs w:val="28"/>
          <w:highlight w:val="none"/>
          <w:lang w:val="en-US" w:eastAsia="zh-CN" w:bidi="ar-SA"/>
        </w:rPr>
      </w:pPr>
      <w:r>
        <w:rPr>
          <w:rFonts w:hint="eastAsia" w:asciiTheme="minorEastAsia" w:hAnsiTheme="minorEastAsia" w:eastAsiaTheme="minorEastAsia" w:cstheme="minorEastAsia"/>
          <w:b/>
          <w:color w:val="auto"/>
          <w:kern w:val="2"/>
          <w:sz w:val="28"/>
          <w:szCs w:val="28"/>
          <w:highlight w:val="none"/>
          <w:lang w:val="en-US" w:eastAsia="zh-CN" w:bidi="ar-SA"/>
        </w:rPr>
        <w:t>附件5：残疾人福利性单位声明函（格式）</w:t>
      </w:r>
    </w:p>
    <w:p w14:paraId="1996C5FB">
      <w:pPr>
        <w:widowControl w:val="0"/>
        <w:spacing w:line="400" w:lineRule="exact"/>
        <w:ind w:left="0" w:leftChars="0" w:firstLine="0" w:firstLineChars="0"/>
        <w:jc w:val="both"/>
        <w:rPr>
          <w:rFonts w:hint="eastAsia" w:asciiTheme="minorEastAsia" w:hAnsiTheme="minorEastAsia" w:eastAsiaTheme="minorEastAsia" w:cstheme="minorEastAsia"/>
          <w:b/>
          <w:color w:val="auto"/>
          <w:kern w:val="2"/>
          <w:sz w:val="32"/>
          <w:szCs w:val="20"/>
          <w:highlight w:val="none"/>
          <w:lang w:val="en-US" w:eastAsia="zh-CN" w:bidi="ar-SA"/>
        </w:rPr>
      </w:pPr>
    </w:p>
    <w:p w14:paraId="3ECD51D2">
      <w:pPr>
        <w:spacing w:line="400" w:lineRule="exact"/>
        <w:rPr>
          <w:rFonts w:hint="eastAsia" w:asciiTheme="minorEastAsia" w:hAnsiTheme="minorEastAsia" w:eastAsiaTheme="minorEastAsia" w:cstheme="minorEastAsia"/>
          <w:b/>
          <w:color w:val="auto"/>
          <w:spacing w:val="6"/>
          <w:sz w:val="30"/>
          <w:szCs w:val="30"/>
          <w:highlight w:val="none"/>
        </w:rPr>
      </w:pPr>
    </w:p>
    <w:p w14:paraId="46CA2B72">
      <w:pPr>
        <w:spacing w:line="400" w:lineRule="exact"/>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本单位郑重声明，根据《财政部 民政部 中国残疾人联合会关于促进残疾人就业政府采购政策的通知》（财库</w:t>
      </w:r>
      <w:r>
        <w:rPr>
          <w:rFonts w:hint="eastAsia" w:asciiTheme="minorEastAsia" w:hAnsiTheme="minorEastAsia" w:eastAsiaTheme="minorEastAsia" w:cstheme="minorEastAsia"/>
          <w:color w:val="auto"/>
          <w:sz w:val="24"/>
          <w:szCs w:val="24"/>
          <w:highlight w:val="none"/>
        </w:rPr>
        <w:t>〔2017〕 141</w:t>
      </w:r>
      <w:r>
        <w:rPr>
          <w:rFonts w:hint="eastAsia" w:asciiTheme="minorEastAsia" w:hAnsiTheme="minorEastAsia" w:eastAsiaTheme="minorEastAsia" w:cstheme="minorEastAsia"/>
          <w:color w:val="auto"/>
          <w:spacing w:val="6"/>
          <w:sz w:val="24"/>
          <w:szCs w:val="24"/>
          <w:highlight w:val="none"/>
        </w:rPr>
        <w:t>号）的规定，本单位为符合条件的残疾人福利性单位，且本单位参加</w:t>
      </w:r>
      <w:r>
        <w:rPr>
          <w:rFonts w:hint="eastAsia" w:asciiTheme="minorEastAsia" w:hAnsiTheme="minorEastAsia" w:eastAsiaTheme="minorEastAsia" w:cstheme="minorEastAsia"/>
          <w:color w:val="auto"/>
          <w:spacing w:val="6"/>
          <w:sz w:val="24"/>
          <w:szCs w:val="24"/>
          <w:highlight w:val="none"/>
          <w:u w:val="single"/>
        </w:rPr>
        <w:t xml:space="preserve">     （采购人名称）     </w:t>
      </w:r>
      <w:r>
        <w:rPr>
          <w:rFonts w:hint="eastAsia" w:asciiTheme="minorEastAsia" w:hAnsiTheme="minorEastAsia" w:eastAsiaTheme="minorEastAsia" w:cstheme="minorEastAsia"/>
          <w:color w:val="auto"/>
          <w:spacing w:val="6"/>
          <w:sz w:val="24"/>
          <w:szCs w:val="24"/>
          <w:highlight w:val="none"/>
        </w:rPr>
        <w:t>的</w:t>
      </w:r>
      <w:r>
        <w:rPr>
          <w:rFonts w:hint="eastAsia" w:asciiTheme="minorEastAsia" w:hAnsiTheme="minorEastAsia" w:eastAsiaTheme="minorEastAsia" w:cstheme="minorEastAsia"/>
          <w:color w:val="auto"/>
          <w:spacing w:val="6"/>
          <w:sz w:val="24"/>
          <w:szCs w:val="24"/>
          <w:highlight w:val="none"/>
          <w:u w:val="single"/>
        </w:rPr>
        <w:t xml:space="preserve">    （项目名称）     </w:t>
      </w:r>
      <w:r>
        <w:rPr>
          <w:rFonts w:hint="eastAsia" w:asciiTheme="minorEastAsia" w:hAnsiTheme="minorEastAsia" w:eastAsiaTheme="minorEastAsia" w:cstheme="minorEastAsia"/>
          <w:color w:val="auto"/>
          <w:spacing w:val="6"/>
          <w:sz w:val="24"/>
          <w:szCs w:val="24"/>
          <w:highlight w:val="none"/>
        </w:rPr>
        <w:t>采购活动提供本单位制造的货物，或者提供其他残疾人福利性单位制造的货物（不包括使用非残疾人福利性单位注册商标的货物）。</w:t>
      </w:r>
    </w:p>
    <w:p w14:paraId="1E6693A7">
      <w:pPr>
        <w:spacing w:line="400" w:lineRule="exact"/>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本单位对上述声明的真实性负责。如有虚假，将依法承担相应责任。</w:t>
      </w:r>
    </w:p>
    <w:p w14:paraId="73747C9A">
      <w:pPr>
        <w:spacing w:line="400" w:lineRule="exact"/>
        <w:ind w:firstLine="504" w:firstLineChars="200"/>
        <w:rPr>
          <w:rFonts w:hint="eastAsia" w:asciiTheme="minorEastAsia" w:hAnsiTheme="minorEastAsia" w:eastAsiaTheme="minorEastAsia" w:cstheme="minorEastAsia"/>
          <w:color w:val="auto"/>
          <w:spacing w:val="6"/>
          <w:sz w:val="24"/>
          <w:szCs w:val="24"/>
          <w:highlight w:val="none"/>
        </w:rPr>
      </w:pPr>
    </w:p>
    <w:p w14:paraId="4DC47427">
      <w:pPr>
        <w:spacing w:line="400" w:lineRule="exact"/>
        <w:ind w:firstLine="504" w:firstLineChars="200"/>
        <w:rPr>
          <w:rFonts w:hint="eastAsia" w:asciiTheme="minorEastAsia" w:hAnsiTheme="minorEastAsia" w:eastAsiaTheme="minorEastAsia" w:cstheme="minorEastAsia"/>
          <w:color w:val="auto"/>
          <w:spacing w:val="6"/>
          <w:sz w:val="24"/>
          <w:szCs w:val="24"/>
          <w:highlight w:val="none"/>
        </w:rPr>
      </w:pPr>
    </w:p>
    <w:p w14:paraId="310137B7">
      <w:pPr>
        <w:widowControl w:val="0"/>
        <w:spacing w:line="400" w:lineRule="exact"/>
        <w:ind w:firstLine="3360" w:firstLineChars="1400"/>
        <w:jc w:val="both"/>
        <w:rPr>
          <w:rFonts w:hint="eastAsia" w:asciiTheme="minorEastAsia" w:hAnsiTheme="minorEastAsia" w:eastAsiaTheme="minorEastAsia" w:cstheme="minorEastAsia"/>
          <w:color w:val="auto"/>
          <w:kern w:val="2"/>
          <w:sz w:val="24"/>
          <w:szCs w:val="24"/>
          <w:highlight w:val="none"/>
          <w:u w:val="singl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单位名称（公章或电子CA签章）：</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p>
    <w:p w14:paraId="39D8F052">
      <w:pPr>
        <w:widowControl w:val="0"/>
        <w:spacing w:line="400" w:lineRule="exact"/>
        <w:ind w:firstLine="3360" w:firstLineChars="1400"/>
        <w:jc w:val="both"/>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日  期：</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年   月   日</w:t>
      </w:r>
    </w:p>
    <w:p w14:paraId="72AAC9A6">
      <w:pPr>
        <w:widowControl w:val="0"/>
        <w:spacing w:line="400" w:lineRule="exact"/>
        <w:jc w:val="both"/>
        <w:rPr>
          <w:rFonts w:hint="eastAsia" w:asciiTheme="minorEastAsia" w:hAnsiTheme="minorEastAsia" w:eastAsiaTheme="minorEastAsia" w:cstheme="minorEastAsia"/>
          <w:color w:val="auto"/>
          <w:kern w:val="2"/>
          <w:sz w:val="24"/>
          <w:szCs w:val="24"/>
          <w:highlight w:val="none"/>
          <w:u w:val="single"/>
          <w:lang w:val="en-US" w:eastAsia="zh-CN" w:bidi="ar-SA"/>
        </w:rPr>
      </w:pPr>
    </w:p>
    <w:p w14:paraId="5DBE638E">
      <w:pPr>
        <w:keepNext w:val="0"/>
        <w:keepLines w:val="0"/>
        <w:widowControl/>
        <w:suppressLineNumbers w:val="0"/>
        <w:ind w:firstLine="480" w:firstLineChars="200"/>
        <w:jc w:val="left"/>
        <w:rPr>
          <w:rFonts w:hint="eastAsia" w:asciiTheme="minorEastAsia" w:hAnsiTheme="minorEastAsia" w:eastAsiaTheme="minorEastAsia" w:cstheme="minorEastAsia"/>
          <w:b/>
          <w:bCs/>
          <w:color w:val="auto"/>
          <w:kern w:val="2"/>
          <w:sz w:val="24"/>
          <w:szCs w:val="24"/>
          <w:highlight w:val="none"/>
          <w:lang w:val="en-US" w:eastAsia="zh-CN" w:bidi="ar-SA"/>
        </w:rPr>
      </w:pPr>
    </w:p>
    <w:p w14:paraId="3878298A">
      <w:pPr>
        <w:keepNext w:val="0"/>
        <w:keepLines w:val="0"/>
        <w:widowControl/>
        <w:suppressLineNumbers w:val="0"/>
        <w:ind w:firstLine="480" w:firstLineChars="200"/>
        <w:jc w:val="left"/>
        <w:rPr>
          <w:rFonts w:hint="eastAsia" w:asciiTheme="minorEastAsia" w:hAnsiTheme="minorEastAsia" w:eastAsiaTheme="minorEastAsia" w:cstheme="minorEastAsia"/>
          <w:b/>
          <w:bCs/>
          <w:color w:val="auto"/>
          <w:kern w:val="2"/>
          <w:sz w:val="24"/>
          <w:szCs w:val="24"/>
          <w:highlight w:val="none"/>
          <w:lang w:val="en-US" w:eastAsia="zh-CN" w:bidi="ar-SA"/>
        </w:rPr>
      </w:pPr>
    </w:p>
    <w:p w14:paraId="50258DC2">
      <w:pPr>
        <w:keepNext w:val="0"/>
        <w:keepLines w:val="0"/>
        <w:widowControl/>
        <w:suppressLineNumbers w:val="0"/>
        <w:ind w:firstLine="480" w:firstLineChars="200"/>
        <w:jc w:val="left"/>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说明：参加政府采购活动的</w:t>
      </w:r>
      <w:r>
        <w:rPr>
          <w:rFonts w:hint="eastAsia" w:asciiTheme="minorEastAsia" w:hAnsiTheme="minorEastAsia" w:eastAsiaTheme="minorEastAsia" w:cstheme="minorEastAsia"/>
          <w:b/>
          <w:color w:val="auto"/>
          <w:sz w:val="24"/>
          <w:szCs w:val="24"/>
          <w:highlight w:val="none"/>
        </w:rPr>
        <w:t>残疾人福利性单位</w:t>
      </w:r>
      <w:r>
        <w:rPr>
          <w:rFonts w:hint="eastAsia" w:asciiTheme="minorEastAsia" w:hAnsiTheme="minorEastAsia" w:eastAsiaTheme="minorEastAsia" w:cstheme="minorEastAsia"/>
          <w:b/>
          <w:bCs/>
          <w:color w:val="auto"/>
          <w:kern w:val="2"/>
          <w:sz w:val="24"/>
          <w:szCs w:val="24"/>
          <w:highlight w:val="none"/>
          <w:lang w:val="en-US" w:eastAsia="zh-CN" w:bidi="ar-SA"/>
        </w:rPr>
        <w:t>应当提供《</w:t>
      </w:r>
      <w:r>
        <w:rPr>
          <w:rFonts w:hint="eastAsia" w:asciiTheme="minorEastAsia" w:hAnsiTheme="minorEastAsia" w:eastAsiaTheme="minorEastAsia" w:cstheme="minorEastAsia"/>
          <w:b/>
          <w:color w:val="auto"/>
          <w:sz w:val="24"/>
          <w:szCs w:val="24"/>
          <w:highlight w:val="none"/>
        </w:rPr>
        <w:t>残疾人福利性单位声明函</w:t>
      </w:r>
      <w:r>
        <w:rPr>
          <w:rFonts w:hint="eastAsia" w:asciiTheme="minorEastAsia" w:hAnsiTheme="minorEastAsia" w:eastAsiaTheme="minorEastAsia" w:cstheme="minorEastAsia"/>
          <w:b/>
          <w:bCs/>
          <w:color w:val="auto"/>
          <w:kern w:val="2"/>
          <w:sz w:val="24"/>
          <w:szCs w:val="24"/>
          <w:highlight w:val="none"/>
          <w:lang w:val="en-US" w:eastAsia="zh-CN" w:bidi="ar-SA"/>
        </w:rPr>
        <w:t xml:space="preserve">》。中标供应商的《残疾人福利性单位声明函》随中标结果一并公告。 </w:t>
      </w:r>
    </w:p>
    <w:p w14:paraId="71815159">
      <w:pPr>
        <w:ind w:firstLine="480" w:firstLineChars="200"/>
        <w:jc w:val="both"/>
        <w:rPr>
          <w:rFonts w:hint="eastAsia" w:asciiTheme="minorEastAsia" w:hAnsiTheme="minorEastAsia" w:eastAsiaTheme="minorEastAsia" w:cstheme="minorEastAsia"/>
          <w:b/>
          <w:color w:val="auto"/>
          <w:kern w:val="44"/>
          <w:sz w:val="24"/>
          <w:szCs w:val="24"/>
          <w:highlight w:val="none"/>
          <w:lang w:val="en-US" w:eastAsia="zh-CN"/>
        </w:rPr>
      </w:pPr>
    </w:p>
    <w:p w14:paraId="6B8A5AED">
      <w:pPr>
        <w:ind w:firstLine="560" w:firstLineChars="200"/>
        <w:jc w:val="both"/>
        <w:rPr>
          <w:rFonts w:hint="eastAsia" w:asciiTheme="minorEastAsia" w:hAnsiTheme="minorEastAsia" w:eastAsiaTheme="minorEastAsia" w:cstheme="minorEastAsia"/>
          <w:b/>
          <w:color w:val="auto"/>
          <w:kern w:val="44"/>
          <w:sz w:val="28"/>
          <w:szCs w:val="28"/>
          <w:highlight w:val="none"/>
          <w:lang w:val="en-US" w:eastAsia="zh-CN"/>
        </w:rPr>
      </w:pPr>
    </w:p>
    <w:p w14:paraId="222CB3C1">
      <w:pPr>
        <w:ind w:firstLine="560" w:firstLineChars="200"/>
        <w:jc w:val="both"/>
        <w:rPr>
          <w:rFonts w:hint="eastAsia" w:asciiTheme="minorEastAsia" w:hAnsiTheme="minorEastAsia" w:eastAsiaTheme="minorEastAsia" w:cstheme="minorEastAsia"/>
          <w:b/>
          <w:color w:val="auto"/>
          <w:kern w:val="44"/>
          <w:sz w:val="28"/>
          <w:szCs w:val="28"/>
          <w:highlight w:val="none"/>
          <w:lang w:val="en-US" w:eastAsia="zh-CN"/>
        </w:rPr>
      </w:pPr>
    </w:p>
    <w:p w14:paraId="21F18BDD">
      <w:pPr>
        <w:ind w:firstLine="560" w:firstLineChars="200"/>
        <w:jc w:val="both"/>
        <w:rPr>
          <w:rFonts w:hint="eastAsia" w:asciiTheme="minorEastAsia" w:hAnsiTheme="minorEastAsia" w:eastAsiaTheme="minorEastAsia" w:cstheme="minorEastAsia"/>
          <w:b/>
          <w:color w:val="auto"/>
          <w:kern w:val="44"/>
          <w:sz w:val="28"/>
          <w:szCs w:val="28"/>
          <w:highlight w:val="none"/>
          <w:lang w:val="en-US" w:eastAsia="zh-CN"/>
        </w:rPr>
      </w:pPr>
    </w:p>
    <w:p w14:paraId="4415EA7A">
      <w:pPr>
        <w:ind w:firstLine="560" w:firstLineChars="200"/>
        <w:jc w:val="both"/>
        <w:rPr>
          <w:rFonts w:hint="eastAsia" w:asciiTheme="minorEastAsia" w:hAnsiTheme="minorEastAsia" w:eastAsiaTheme="minorEastAsia" w:cstheme="minorEastAsia"/>
          <w:b/>
          <w:color w:val="auto"/>
          <w:kern w:val="44"/>
          <w:sz w:val="28"/>
          <w:szCs w:val="28"/>
          <w:highlight w:val="none"/>
          <w:lang w:val="en-US" w:eastAsia="zh-CN"/>
        </w:rPr>
      </w:pPr>
    </w:p>
    <w:p w14:paraId="1DB83C78">
      <w:pPr>
        <w:ind w:firstLine="560" w:firstLineChars="200"/>
        <w:jc w:val="both"/>
        <w:rPr>
          <w:rFonts w:hint="eastAsia" w:asciiTheme="minorEastAsia" w:hAnsiTheme="minorEastAsia" w:eastAsiaTheme="minorEastAsia" w:cstheme="minorEastAsia"/>
          <w:b/>
          <w:color w:val="auto"/>
          <w:kern w:val="44"/>
          <w:sz w:val="28"/>
          <w:szCs w:val="28"/>
          <w:highlight w:val="none"/>
          <w:lang w:val="en-US" w:eastAsia="zh-CN"/>
        </w:rPr>
      </w:pPr>
    </w:p>
    <w:p w14:paraId="503860BF">
      <w:pPr>
        <w:ind w:firstLine="560" w:firstLineChars="200"/>
        <w:jc w:val="both"/>
        <w:rPr>
          <w:rFonts w:hint="eastAsia" w:asciiTheme="minorEastAsia" w:hAnsiTheme="minorEastAsia" w:eastAsiaTheme="minorEastAsia" w:cstheme="minorEastAsia"/>
          <w:b/>
          <w:color w:val="auto"/>
          <w:kern w:val="44"/>
          <w:sz w:val="28"/>
          <w:szCs w:val="28"/>
          <w:highlight w:val="none"/>
          <w:lang w:val="en-US" w:eastAsia="zh-CN"/>
        </w:rPr>
      </w:pPr>
    </w:p>
    <w:p w14:paraId="339E7074">
      <w:pPr>
        <w:ind w:firstLine="560" w:firstLineChars="200"/>
        <w:jc w:val="both"/>
        <w:rPr>
          <w:rFonts w:hint="eastAsia" w:asciiTheme="minorEastAsia" w:hAnsiTheme="minorEastAsia" w:eastAsiaTheme="minorEastAsia" w:cstheme="minorEastAsia"/>
          <w:b/>
          <w:color w:val="auto"/>
          <w:kern w:val="44"/>
          <w:sz w:val="28"/>
          <w:szCs w:val="28"/>
          <w:highlight w:val="none"/>
          <w:lang w:val="en-US" w:eastAsia="zh-CN"/>
        </w:rPr>
      </w:pPr>
    </w:p>
    <w:p w14:paraId="3200027F">
      <w:pPr>
        <w:ind w:firstLine="560" w:firstLineChars="200"/>
        <w:jc w:val="both"/>
        <w:rPr>
          <w:rFonts w:hint="eastAsia" w:asciiTheme="minorEastAsia" w:hAnsiTheme="minorEastAsia" w:eastAsiaTheme="minorEastAsia" w:cstheme="minorEastAsia"/>
          <w:b/>
          <w:color w:val="auto"/>
          <w:kern w:val="44"/>
          <w:sz w:val="28"/>
          <w:szCs w:val="28"/>
          <w:highlight w:val="none"/>
          <w:lang w:val="en-US" w:eastAsia="zh-CN"/>
        </w:rPr>
      </w:pPr>
    </w:p>
    <w:p w14:paraId="031FB795">
      <w:pPr>
        <w:ind w:firstLine="560" w:firstLineChars="200"/>
        <w:jc w:val="both"/>
        <w:rPr>
          <w:rFonts w:hint="eastAsia" w:asciiTheme="minorEastAsia" w:hAnsiTheme="minorEastAsia" w:eastAsiaTheme="minorEastAsia" w:cstheme="minorEastAsia"/>
          <w:b/>
          <w:color w:val="auto"/>
          <w:kern w:val="44"/>
          <w:sz w:val="28"/>
          <w:szCs w:val="28"/>
          <w:highlight w:val="none"/>
          <w:lang w:val="en-US" w:eastAsia="zh-CN"/>
        </w:rPr>
      </w:pPr>
    </w:p>
    <w:p w14:paraId="72BC07EE">
      <w:pPr>
        <w:ind w:firstLine="560" w:firstLineChars="200"/>
        <w:jc w:val="both"/>
        <w:rPr>
          <w:rFonts w:hint="eastAsia" w:asciiTheme="minorEastAsia" w:hAnsiTheme="minorEastAsia" w:eastAsiaTheme="minorEastAsia" w:cstheme="minorEastAsia"/>
          <w:b/>
          <w:color w:val="auto"/>
          <w:kern w:val="44"/>
          <w:sz w:val="28"/>
          <w:szCs w:val="28"/>
          <w:highlight w:val="none"/>
          <w:lang w:val="en-US" w:eastAsia="zh-CN"/>
        </w:rPr>
      </w:pPr>
    </w:p>
    <w:p w14:paraId="0009948A">
      <w:pPr>
        <w:ind w:firstLine="560" w:firstLineChars="200"/>
        <w:jc w:val="center"/>
        <w:rPr>
          <w:rFonts w:hint="eastAsia" w:asciiTheme="minorEastAsia" w:hAnsiTheme="minorEastAsia" w:eastAsiaTheme="minorEastAsia" w:cstheme="minorEastAsia"/>
          <w:b/>
          <w:color w:val="auto"/>
          <w:kern w:val="44"/>
          <w:sz w:val="28"/>
          <w:szCs w:val="28"/>
          <w:highlight w:val="none"/>
        </w:rPr>
      </w:pPr>
      <w:r>
        <w:rPr>
          <w:rFonts w:hint="eastAsia" w:asciiTheme="minorEastAsia" w:hAnsiTheme="minorEastAsia" w:eastAsiaTheme="minorEastAsia" w:cstheme="minorEastAsia"/>
          <w:b/>
          <w:color w:val="auto"/>
          <w:kern w:val="44"/>
          <w:sz w:val="28"/>
          <w:szCs w:val="28"/>
          <w:highlight w:val="none"/>
          <w:lang w:val="en-US" w:eastAsia="zh-CN"/>
        </w:rPr>
        <w:t>第三节  报价</w:t>
      </w:r>
      <w:r>
        <w:rPr>
          <w:rFonts w:hint="eastAsia" w:asciiTheme="minorEastAsia" w:hAnsiTheme="minorEastAsia" w:eastAsiaTheme="minorEastAsia" w:cstheme="minorEastAsia"/>
          <w:b/>
          <w:color w:val="auto"/>
          <w:kern w:val="44"/>
          <w:sz w:val="28"/>
          <w:szCs w:val="28"/>
          <w:highlight w:val="none"/>
        </w:rPr>
        <w:t>文件格式</w:t>
      </w:r>
    </w:p>
    <w:p w14:paraId="07327859">
      <w:pPr>
        <w:widowControl/>
        <w:kinsoku w:val="0"/>
        <w:autoSpaceDE w:val="0"/>
        <w:autoSpaceDN w:val="0"/>
        <w:adjustRightInd w:val="0"/>
        <w:snapToGrid w:val="0"/>
        <w:spacing w:before="69" w:line="240" w:lineRule="auto"/>
        <w:ind w:firstLine="6250"/>
        <w:jc w:val="left"/>
        <w:textAlignment w:val="baseline"/>
        <w:rPr>
          <w:rFonts w:hint="eastAsia" w:asciiTheme="minorEastAsia" w:hAnsiTheme="minorEastAsia" w:eastAsiaTheme="minorEastAsia" w:cstheme="minorEastAsia"/>
          <w:snapToGrid w:val="0"/>
          <w:color w:val="auto"/>
          <w:spacing w:val="-2"/>
          <w:kern w:val="0"/>
          <w:sz w:val="24"/>
          <w:szCs w:val="24"/>
          <w:highlight w:val="none"/>
        </w:rPr>
      </w:pPr>
    </w:p>
    <w:p w14:paraId="20C7F8C7">
      <w:pPr>
        <w:widowControl/>
        <w:kinsoku w:val="0"/>
        <w:autoSpaceDE w:val="0"/>
        <w:autoSpaceDN w:val="0"/>
        <w:adjustRightInd w:val="0"/>
        <w:snapToGrid w:val="0"/>
        <w:spacing w:before="69" w:line="240" w:lineRule="auto"/>
        <w:ind w:firstLine="6250"/>
        <w:jc w:val="left"/>
        <w:textAlignment w:val="baseline"/>
        <w:rPr>
          <w:rFonts w:hint="eastAsia" w:asciiTheme="minorEastAsia" w:hAnsiTheme="minorEastAsia" w:eastAsiaTheme="minorEastAsia" w:cstheme="minorEastAsia"/>
          <w:snapToGrid w:val="0"/>
          <w:color w:val="auto"/>
          <w:spacing w:val="-2"/>
          <w:kern w:val="0"/>
          <w:sz w:val="24"/>
          <w:szCs w:val="24"/>
          <w:highlight w:val="none"/>
        </w:rPr>
      </w:pPr>
    </w:p>
    <w:p w14:paraId="726F24AB">
      <w:pPr>
        <w:widowControl/>
        <w:kinsoku w:val="0"/>
        <w:autoSpaceDE w:val="0"/>
        <w:autoSpaceDN w:val="0"/>
        <w:adjustRightInd w:val="0"/>
        <w:snapToGrid w:val="0"/>
        <w:spacing w:before="69" w:line="240" w:lineRule="auto"/>
        <w:ind w:firstLine="6250"/>
        <w:jc w:val="left"/>
        <w:textAlignment w:val="baseline"/>
        <w:rPr>
          <w:rFonts w:hint="eastAsia" w:asciiTheme="minorEastAsia" w:hAnsiTheme="minorEastAsia" w:eastAsiaTheme="minorEastAsia" w:cstheme="minorEastAsia"/>
          <w:snapToGrid w:val="0"/>
          <w:color w:val="auto"/>
          <w:spacing w:val="-2"/>
          <w:kern w:val="0"/>
          <w:sz w:val="24"/>
          <w:szCs w:val="24"/>
          <w:highlight w:val="none"/>
        </w:rPr>
      </w:pPr>
    </w:p>
    <w:p w14:paraId="43085190">
      <w:pPr>
        <w:pStyle w:val="35"/>
        <w:rPr>
          <w:rFonts w:hint="eastAsia" w:asciiTheme="minorEastAsia" w:hAnsiTheme="minorEastAsia" w:eastAsiaTheme="minorEastAsia" w:cstheme="minorEastAsia"/>
          <w:color w:val="auto"/>
          <w:highlight w:val="none"/>
        </w:rPr>
      </w:pPr>
    </w:p>
    <w:p w14:paraId="76DC3808">
      <w:pPr>
        <w:widowControl/>
        <w:kinsoku w:val="0"/>
        <w:autoSpaceDE w:val="0"/>
        <w:autoSpaceDN w:val="0"/>
        <w:adjustRightInd w:val="0"/>
        <w:snapToGrid w:val="0"/>
        <w:spacing w:before="69" w:line="240" w:lineRule="auto"/>
        <w:ind w:firstLine="6250"/>
        <w:jc w:val="left"/>
        <w:textAlignment w:val="baseline"/>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spacing w:val="-2"/>
          <w:kern w:val="0"/>
          <w:sz w:val="24"/>
          <w:szCs w:val="24"/>
          <w:highlight w:val="none"/>
        </w:rPr>
        <w:t>全流程电子</w:t>
      </w:r>
      <w:r>
        <w:rPr>
          <w:rFonts w:hint="eastAsia" w:asciiTheme="minorEastAsia" w:hAnsiTheme="minorEastAsia" w:eastAsiaTheme="minorEastAsia" w:cstheme="minorEastAsia"/>
          <w:snapToGrid w:val="0"/>
          <w:color w:val="auto"/>
          <w:spacing w:val="-2"/>
          <w:kern w:val="0"/>
          <w:sz w:val="24"/>
          <w:szCs w:val="24"/>
          <w:highlight w:val="none"/>
          <w:lang w:val="en-US" w:eastAsia="zh-CN"/>
        </w:rPr>
        <w:t>响应</w:t>
      </w:r>
      <w:r>
        <w:rPr>
          <w:rFonts w:hint="eastAsia" w:asciiTheme="minorEastAsia" w:hAnsiTheme="minorEastAsia" w:eastAsiaTheme="minorEastAsia" w:cstheme="minorEastAsia"/>
          <w:snapToGrid w:val="0"/>
          <w:color w:val="auto"/>
          <w:spacing w:val="-2"/>
          <w:kern w:val="0"/>
          <w:sz w:val="24"/>
          <w:szCs w:val="24"/>
          <w:highlight w:val="none"/>
        </w:rPr>
        <w:t>文件</w:t>
      </w:r>
    </w:p>
    <w:p w14:paraId="67DAAE0E">
      <w:pPr>
        <w:jc w:val="both"/>
        <w:rPr>
          <w:rFonts w:hint="eastAsia" w:asciiTheme="minorEastAsia" w:hAnsiTheme="minorEastAsia" w:eastAsiaTheme="minorEastAsia" w:cstheme="minorEastAsia"/>
          <w:color w:val="auto"/>
          <w:sz w:val="28"/>
          <w:szCs w:val="28"/>
          <w:highlight w:val="none"/>
          <w:u w:val="single"/>
        </w:rPr>
      </w:pPr>
    </w:p>
    <w:p w14:paraId="3EDD9D9C">
      <w:pPr>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lang w:val="en-US" w:eastAsia="zh-CN"/>
        </w:rPr>
        <w:t>报  价</w:t>
      </w:r>
      <w:r>
        <w:rPr>
          <w:rFonts w:hint="eastAsia" w:asciiTheme="minorEastAsia" w:hAnsiTheme="minorEastAsia" w:eastAsiaTheme="minorEastAsia" w:cstheme="minorEastAsia"/>
          <w:b/>
          <w:bCs/>
          <w:color w:val="auto"/>
          <w:sz w:val="28"/>
          <w:szCs w:val="28"/>
          <w:highlight w:val="none"/>
        </w:rPr>
        <w:t xml:space="preserve">  文  件（封面）</w:t>
      </w:r>
    </w:p>
    <w:p w14:paraId="4E4FF3AB">
      <w:pPr>
        <w:jc w:val="center"/>
        <w:rPr>
          <w:rFonts w:hint="eastAsia" w:asciiTheme="minorEastAsia" w:hAnsiTheme="minorEastAsia" w:eastAsiaTheme="minorEastAsia" w:cstheme="minorEastAsia"/>
          <w:b/>
          <w:bCs/>
          <w:color w:val="auto"/>
          <w:sz w:val="28"/>
          <w:szCs w:val="28"/>
          <w:highlight w:val="none"/>
        </w:rPr>
      </w:pPr>
    </w:p>
    <w:p w14:paraId="603D9E10">
      <w:pPr>
        <w:jc w:val="center"/>
        <w:rPr>
          <w:rFonts w:hint="eastAsia" w:asciiTheme="minorEastAsia" w:hAnsiTheme="minorEastAsia" w:eastAsiaTheme="minorEastAsia" w:cstheme="minorEastAsia"/>
          <w:b/>
          <w:bCs/>
          <w:color w:val="auto"/>
          <w:sz w:val="28"/>
          <w:szCs w:val="28"/>
          <w:highlight w:val="none"/>
        </w:rPr>
      </w:pPr>
    </w:p>
    <w:p w14:paraId="37814A47">
      <w:pPr>
        <w:spacing w:before="312" w:beforeLines="100"/>
        <w:jc w:val="center"/>
        <w:rPr>
          <w:rFonts w:hint="eastAsia" w:asciiTheme="minorEastAsia" w:hAnsiTheme="minorEastAsia" w:eastAsiaTheme="minorEastAsia" w:cstheme="minorEastAsia"/>
          <w:b/>
          <w:bCs/>
          <w:color w:val="auto"/>
          <w:sz w:val="52"/>
          <w:szCs w:val="52"/>
          <w:highlight w:val="none"/>
        </w:rPr>
      </w:pPr>
      <w:r>
        <w:rPr>
          <w:rFonts w:hint="eastAsia" w:asciiTheme="minorEastAsia" w:hAnsiTheme="minorEastAsia" w:eastAsiaTheme="minorEastAsia" w:cstheme="minorEastAsia"/>
          <w:b/>
          <w:bCs/>
          <w:color w:val="auto"/>
          <w:sz w:val="52"/>
          <w:szCs w:val="52"/>
          <w:highlight w:val="none"/>
        </w:rPr>
        <w:t>响 应 文 件</w:t>
      </w:r>
    </w:p>
    <w:p w14:paraId="2EEB9D78">
      <w:pPr>
        <w:spacing w:line="360" w:lineRule="auto"/>
        <w:ind w:firstLine="2380" w:firstLineChars="850"/>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项目名称：</w:t>
      </w:r>
    </w:p>
    <w:p w14:paraId="54F62D19">
      <w:pPr>
        <w:spacing w:line="360" w:lineRule="auto"/>
        <w:ind w:firstLine="2380" w:firstLineChars="850"/>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项目编号：</w:t>
      </w:r>
    </w:p>
    <w:p w14:paraId="7B492AEA">
      <w:pPr>
        <w:pStyle w:val="35"/>
        <w:rPr>
          <w:rFonts w:hint="eastAsia" w:asciiTheme="minorEastAsia" w:hAnsiTheme="minorEastAsia" w:eastAsiaTheme="minorEastAsia" w:cstheme="minorEastAsia"/>
          <w:color w:val="auto"/>
          <w:highlight w:val="none"/>
        </w:rPr>
      </w:pPr>
    </w:p>
    <w:p w14:paraId="6DC077E4">
      <w:pPr>
        <w:jc w:val="center"/>
        <w:rPr>
          <w:rFonts w:hint="eastAsia" w:asciiTheme="minorEastAsia" w:hAnsiTheme="minorEastAsia" w:eastAsiaTheme="minorEastAsia" w:cstheme="minorEastAsia"/>
          <w:b/>
          <w:bCs/>
          <w:color w:val="auto"/>
          <w:sz w:val="28"/>
          <w:szCs w:val="28"/>
          <w:highlight w:val="none"/>
        </w:rPr>
      </w:pPr>
    </w:p>
    <w:p w14:paraId="5D37270B">
      <w:pPr>
        <w:rPr>
          <w:rFonts w:hint="eastAsia" w:asciiTheme="minorEastAsia" w:hAnsiTheme="minorEastAsia" w:eastAsiaTheme="minorEastAsia" w:cstheme="minorEastAsia"/>
          <w:b/>
          <w:bCs/>
          <w:color w:val="auto"/>
          <w:sz w:val="28"/>
          <w:szCs w:val="28"/>
          <w:highlight w:val="none"/>
        </w:rPr>
      </w:pPr>
    </w:p>
    <w:p w14:paraId="1CD0B66E">
      <w:pPr>
        <w:rPr>
          <w:rFonts w:hint="eastAsia" w:asciiTheme="minorEastAsia" w:hAnsiTheme="minorEastAsia" w:eastAsiaTheme="minorEastAsia" w:cstheme="minorEastAsia"/>
          <w:b/>
          <w:bCs/>
          <w:color w:val="auto"/>
          <w:sz w:val="28"/>
          <w:szCs w:val="28"/>
          <w:highlight w:val="none"/>
        </w:rPr>
      </w:pPr>
    </w:p>
    <w:p w14:paraId="5FC3675C">
      <w:pPr>
        <w:jc w:val="center"/>
        <w:rPr>
          <w:rFonts w:hint="eastAsia" w:asciiTheme="minorEastAsia" w:hAnsiTheme="minorEastAsia" w:eastAsiaTheme="minorEastAsia" w:cstheme="minorEastAsia"/>
          <w:b/>
          <w:bCs/>
          <w:color w:val="auto"/>
          <w:sz w:val="28"/>
          <w:szCs w:val="28"/>
          <w:highlight w:val="none"/>
        </w:rPr>
      </w:pPr>
    </w:p>
    <w:p w14:paraId="2D97A69B">
      <w:pPr>
        <w:jc w:val="center"/>
        <w:rPr>
          <w:rFonts w:hint="eastAsia" w:asciiTheme="minorEastAsia" w:hAnsiTheme="minorEastAsia" w:eastAsiaTheme="minorEastAsia" w:cstheme="minorEastAsia"/>
          <w:b/>
          <w:bCs/>
          <w:color w:val="auto"/>
          <w:sz w:val="28"/>
          <w:szCs w:val="28"/>
          <w:highlight w:val="none"/>
        </w:rPr>
      </w:pPr>
    </w:p>
    <w:p w14:paraId="564638EF">
      <w:pPr>
        <w:spacing w:line="360" w:lineRule="auto"/>
        <w:ind w:firstLine="1400" w:firstLineChars="500"/>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lang w:eastAsia="zh-CN"/>
        </w:rPr>
        <w:t>磋商供应商</w:t>
      </w:r>
      <w:r>
        <w:rPr>
          <w:rFonts w:hint="eastAsia" w:asciiTheme="minorEastAsia" w:hAnsiTheme="minorEastAsia" w:eastAsiaTheme="minorEastAsia" w:cstheme="minorEastAsia"/>
          <w:b/>
          <w:bCs/>
          <w:color w:val="auto"/>
          <w:sz w:val="28"/>
          <w:szCs w:val="28"/>
          <w:highlight w:val="none"/>
        </w:rPr>
        <w:t>：</w:t>
      </w:r>
      <w:r>
        <w:rPr>
          <w:rFonts w:hint="eastAsia" w:asciiTheme="minorEastAsia" w:hAnsiTheme="minorEastAsia" w:eastAsiaTheme="minorEastAsia" w:cstheme="minorEastAsia"/>
          <w:b/>
          <w:bCs/>
          <w:color w:val="auto"/>
          <w:sz w:val="28"/>
          <w:szCs w:val="28"/>
          <w:highlight w:val="none"/>
          <w:u w:val="single"/>
        </w:rPr>
        <w:t xml:space="preserve">                            </w:t>
      </w:r>
      <w:r>
        <w:rPr>
          <w:rFonts w:hint="eastAsia" w:asciiTheme="minorEastAsia" w:hAnsiTheme="minorEastAsia" w:eastAsiaTheme="minorEastAsia" w:cstheme="minorEastAsia"/>
          <w:b/>
          <w:bCs/>
          <w:color w:val="auto"/>
          <w:sz w:val="28"/>
          <w:szCs w:val="28"/>
          <w:highlight w:val="none"/>
        </w:rPr>
        <w:t>（公章</w:t>
      </w:r>
      <w:r>
        <w:rPr>
          <w:rFonts w:hint="eastAsia" w:asciiTheme="minorEastAsia" w:hAnsiTheme="minorEastAsia" w:eastAsiaTheme="minorEastAsia" w:cstheme="minorEastAsia"/>
          <w:b/>
          <w:bCs/>
          <w:color w:val="auto"/>
          <w:sz w:val="28"/>
          <w:szCs w:val="28"/>
          <w:highlight w:val="none"/>
          <w:lang w:val="en-US" w:eastAsia="zh-CN"/>
        </w:rPr>
        <w:t>或</w:t>
      </w:r>
      <w:r>
        <w:rPr>
          <w:rFonts w:hint="eastAsia" w:asciiTheme="minorEastAsia" w:hAnsiTheme="minorEastAsia" w:eastAsiaTheme="minorEastAsia" w:cstheme="minorEastAsia"/>
          <w:b/>
          <w:bCs/>
          <w:color w:val="auto"/>
          <w:sz w:val="28"/>
          <w:szCs w:val="28"/>
          <w:highlight w:val="none"/>
          <w:lang w:eastAsia="zh-CN"/>
        </w:rPr>
        <w:t>电子CA签章</w:t>
      </w:r>
      <w:r>
        <w:rPr>
          <w:rFonts w:hint="eastAsia" w:asciiTheme="minorEastAsia" w:hAnsiTheme="minorEastAsia" w:eastAsiaTheme="minorEastAsia" w:cstheme="minorEastAsia"/>
          <w:b/>
          <w:bCs/>
          <w:color w:val="auto"/>
          <w:sz w:val="28"/>
          <w:szCs w:val="28"/>
          <w:highlight w:val="none"/>
        </w:rPr>
        <w:t>）</w:t>
      </w:r>
    </w:p>
    <w:p w14:paraId="1AC0DDC6">
      <w:pPr>
        <w:spacing w:line="360" w:lineRule="auto"/>
        <w:ind w:firstLine="1400" w:firstLineChars="500"/>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法定代表人或其委托代理人：</w:t>
      </w:r>
      <w:r>
        <w:rPr>
          <w:rFonts w:hint="eastAsia" w:asciiTheme="minorEastAsia" w:hAnsiTheme="minorEastAsia" w:eastAsiaTheme="minorEastAsia" w:cstheme="minorEastAsia"/>
          <w:b/>
          <w:bCs/>
          <w:color w:val="auto"/>
          <w:sz w:val="28"/>
          <w:szCs w:val="28"/>
          <w:highlight w:val="none"/>
          <w:u w:val="single"/>
        </w:rPr>
        <w:t xml:space="preserve">           </w:t>
      </w:r>
      <w:r>
        <w:rPr>
          <w:rFonts w:hint="eastAsia" w:asciiTheme="minorEastAsia" w:hAnsiTheme="minorEastAsia" w:eastAsiaTheme="minorEastAsia" w:cstheme="minorEastAsia"/>
          <w:b/>
          <w:bCs/>
          <w:color w:val="auto"/>
          <w:sz w:val="28"/>
          <w:szCs w:val="28"/>
          <w:highlight w:val="none"/>
        </w:rPr>
        <w:t>（手写签名</w:t>
      </w:r>
      <w:r>
        <w:rPr>
          <w:rFonts w:hint="eastAsia" w:asciiTheme="minorEastAsia" w:hAnsiTheme="minorEastAsia" w:eastAsiaTheme="minorEastAsia" w:cstheme="minorEastAsia"/>
          <w:b/>
          <w:bCs/>
          <w:color w:val="auto"/>
          <w:sz w:val="28"/>
          <w:szCs w:val="28"/>
          <w:highlight w:val="none"/>
          <w:lang w:val="en-US" w:eastAsia="zh-CN"/>
        </w:rPr>
        <w:t>或</w:t>
      </w:r>
      <w:r>
        <w:rPr>
          <w:rFonts w:hint="eastAsia" w:asciiTheme="minorEastAsia" w:hAnsiTheme="minorEastAsia" w:eastAsiaTheme="minorEastAsia" w:cstheme="minorEastAsia"/>
          <w:b/>
          <w:bCs/>
          <w:color w:val="auto"/>
          <w:sz w:val="28"/>
          <w:szCs w:val="28"/>
          <w:highlight w:val="none"/>
        </w:rPr>
        <w:t>电子签名）</w:t>
      </w:r>
    </w:p>
    <w:p w14:paraId="52F27672">
      <w:pPr>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u w:val="single"/>
        </w:rPr>
        <w:t xml:space="preserve">         </w:t>
      </w:r>
      <w:r>
        <w:rPr>
          <w:rFonts w:hint="eastAsia" w:asciiTheme="minorEastAsia" w:hAnsiTheme="minorEastAsia" w:eastAsiaTheme="minorEastAsia" w:cstheme="minorEastAsia"/>
          <w:b/>
          <w:bCs/>
          <w:color w:val="auto"/>
          <w:sz w:val="28"/>
          <w:szCs w:val="28"/>
          <w:highlight w:val="none"/>
        </w:rPr>
        <w:t>年</w:t>
      </w:r>
      <w:r>
        <w:rPr>
          <w:rFonts w:hint="eastAsia" w:asciiTheme="minorEastAsia" w:hAnsiTheme="minorEastAsia" w:eastAsiaTheme="minorEastAsia" w:cstheme="minorEastAsia"/>
          <w:b/>
          <w:bCs/>
          <w:color w:val="auto"/>
          <w:sz w:val="28"/>
          <w:szCs w:val="28"/>
          <w:highlight w:val="none"/>
          <w:u w:val="single"/>
        </w:rPr>
        <w:t xml:space="preserve">         </w:t>
      </w:r>
      <w:r>
        <w:rPr>
          <w:rFonts w:hint="eastAsia" w:asciiTheme="minorEastAsia" w:hAnsiTheme="minorEastAsia" w:eastAsiaTheme="minorEastAsia" w:cstheme="minorEastAsia"/>
          <w:b/>
          <w:bCs/>
          <w:color w:val="auto"/>
          <w:sz w:val="28"/>
          <w:szCs w:val="28"/>
          <w:highlight w:val="none"/>
        </w:rPr>
        <w:t>月</w:t>
      </w:r>
      <w:r>
        <w:rPr>
          <w:rFonts w:hint="eastAsia" w:asciiTheme="minorEastAsia" w:hAnsiTheme="minorEastAsia" w:eastAsiaTheme="minorEastAsia" w:cstheme="minorEastAsia"/>
          <w:b/>
          <w:bCs/>
          <w:color w:val="auto"/>
          <w:sz w:val="28"/>
          <w:szCs w:val="28"/>
          <w:highlight w:val="none"/>
          <w:u w:val="single"/>
        </w:rPr>
        <w:t xml:space="preserve">         </w:t>
      </w:r>
      <w:r>
        <w:rPr>
          <w:rFonts w:hint="eastAsia" w:asciiTheme="minorEastAsia" w:hAnsiTheme="minorEastAsia" w:eastAsiaTheme="minorEastAsia" w:cstheme="minorEastAsia"/>
          <w:b/>
          <w:bCs/>
          <w:color w:val="auto"/>
          <w:sz w:val="28"/>
          <w:szCs w:val="28"/>
          <w:highlight w:val="none"/>
        </w:rPr>
        <w:t>日</w:t>
      </w:r>
    </w:p>
    <w:p w14:paraId="1B02A1D6">
      <w:pPr>
        <w:spacing w:line="336" w:lineRule="auto"/>
        <w:ind w:right="-153" w:rightChars="-73"/>
        <w:jc w:val="center"/>
        <w:rPr>
          <w:rFonts w:hint="eastAsia" w:asciiTheme="minorEastAsia" w:hAnsiTheme="minorEastAsia" w:eastAsiaTheme="minorEastAsia" w:cstheme="minorEastAsia"/>
          <w:b/>
          <w:color w:val="auto"/>
          <w:szCs w:val="21"/>
          <w:highlight w:val="none"/>
        </w:rPr>
      </w:pPr>
    </w:p>
    <w:p w14:paraId="0C9057AE">
      <w:pPr>
        <w:pStyle w:val="6"/>
        <w:rPr>
          <w:rFonts w:hint="eastAsia" w:asciiTheme="minorEastAsia" w:hAnsiTheme="minorEastAsia" w:eastAsiaTheme="minorEastAsia" w:cstheme="minorEastAsia"/>
          <w:color w:val="auto"/>
        </w:rPr>
      </w:pPr>
    </w:p>
    <w:p w14:paraId="0D4A88A0">
      <w:pPr>
        <w:spacing w:line="336" w:lineRule="auto"/>
        <w:ind w:right="-153" w:rightChars="-73"/>
        <w:jc w:val="center"/>
        <w:rPr>
          <w:rFonts w:hint="eastAsia" w:asciiTheme="minorEastAsia" w:hAnsiTheme="minorEastAsia" w:eastAsiaTheme="minorEastAsia" w:cstheme="minorEastAsia"/>
          <w:b/>
          <w:color w:val="auto"/>
          <w:sz w:val="28"/>
          <w:szCs w:val="28"/>
          <w:highlight w:val="none"/>
        </w:rPr>
      </w:pPr>
    </w:p>
    <w:p w14:paraId="72E480BF">
      <w:pPr>
        <w:spacing w:line="336" w:lineRule="auto"/>
        <w:ind w:right="-153" w:rightChars="-73"/>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目</w:t>
      </w:r>
      <w:r>
        <w:rPr>
          <w:rFonts w:hint="eastAsia" w:asciiTheme="minorEastAsia" w:hAnsiTheme="minorEastAsia" w:eastAsiaTheme="minorEastAsia" w:cstheme="minorEastAsia"/>
          <w:b/>
          <w:color w:val="auto"/>
          <w:sz w:val="28"/>
          <w:szCs w:val="28"/>
          <w:highlight w:val="none"/>
          <w:lang w:val="en-US" w:eastAsia="zh-CN"/>
        </w:rPr>
        <w:t xml:space="preserve">    </w:t>
      </w:r>
      <w:r>
        <w:rPr>
          <w:rFonts w:hint="eastAsia" w:asciiTheme="minorEastAsia" w:hAnsiTheme="minorEastAsia" w:eastAsiaTheme="minorEastAsia" w:cstheme="minorEastAsia"/>
          <w:b/>
          <w:color w:val="auto"/>
          <w:sz w:val="28"/>
          <w:szCs w:val="28"/>
          <w:highlight w:val="none"/>
        </w:rPr>
        <w:t>录</w:t>
      </w:r>
    </w:p>
    <w:p w14:paraId="65B8254E">
      <w:pPr>
        <w:spacing w:line="336" w:lineRule="auto"/>
        <w:ind w:right="-153" w:rightChars="-73"/>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w:t>
      </w:r>
      <w:r>
        <w:rPr>
          <w:rFonts w:hint="eastAsia" w:asciiTheme="minorEastAsia" w:hAnsiTheme="minorEastAsia" w:eastAsiaTheme="minorEastAsia" w:cstheme="minorEastAsia"/>
          <w:b w:val="0"/>
          <w:bCs/>
          <w:color w:val="auto"/>
          <w:sz w:val="24"/>
          <w:szCs w:val="24"/>
          <w:highlight w:val="none"/>
          <w:lang w:val="en-US" w:eastAsia="zh-CN"/>
        </w:rPr>
        <w:t>自行编</w:t>
      </w:r>
      <w:r>
        <w:rPr>
          <w:rFonts w:hint="eastAsia" w:asciiTheme="minorEastAsia" w:hAnsiTheme="minorEastAsia" w:eastAsiaTheme="minorEastAsia" w:cstheme="minorEastAsia"/>
          <w:b w:val="0"/>
          <w:bCs/>
          <w:color w:val="auto"/>
          <w:sz w:val="24"/>
          <w:szCs w:val="24"/>
          <w:highlight w:val="none"/>
        </w:rPr>
        <w:t>页码）</w:t>
      </w:r>
    </w:p>
    <w:p w14:paraId="3517282C">
      <w:pPr>
        <w:pStyle w:val="11"/>
        <w:spacing w:line="390" w:lineRule="exact"/>
        <w:ind w:firstLine="0" w:firstLineChars="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lang w:val="en-US" w:eastAsia="zh-CN"/>
        </w:rPr>
        <w:t>1</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磋商函及磋商函附录</w:t>
      </w:r>
    </w:p>
    <w:p w14:paraId="11E1C3B0">
      <w:pPr>
        <w:pStyle w:val="11"/>
        <w:spacing w:line="390" w:lineRule="exact"/>
        <w:ind w:firstLine="0" w:firstLineChars="0"/>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lang w:val="en-US" w:eastAsia="zh-CN"/>
        </w:rPr>
        <w:t>2</w:t>
      </w:r>
      <w:r>
        <w:rPr>
          <w:rFonts w:hint="eastAsia" w:asciiTheme="minorEastAsia" w:hAnsiTheme="minorEastAsia" w:eastAsiaTheme="minorEastAsia" w:cstheme="minorEastAsia"/>
          <w:bCs/>
          <w:color w:val="auto"/>
          <w:sz w:val="24"/>
          <w:szCs w:val="24"/>
          <w:highlight w:val="none"/>
          <w:lang w:eastAsia="zh-CN"/>
        </w:rPr>
        <w:t>）竞标人基本情况表</w:t>
      </w:r>
    </w:p>
    <w:p w14:paraId="7CF4D278">
      <w:pPr>
        <w:pStyle w:val="11"/>
        <w:spacing w:line="390" w:lineRule="exact"/>
        <w:ind w:firstLine="0" w:firstLineChars="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lang w:val="en-US" w:eastAsia="zh-CN"/>
        </w:rPr>
        <w:t>3</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已标价工程量清单</w:t>
      </w:r>
    </w:p>
    <w:p w14:paraId="12FD51A5">
      <w:pPr>
        <w:spacing w:line="336" w:lineRule="auto"/>
        <w:ind w:right="-153" w:rightChars="-73"/>
        <w:jc w:val="center"/>
        <w:rPr>
          <w:rFonts w:hint="eastAsia" w:asciiTheme="minorEastAsia" w:hAnsiTheme="minorEastAsia" w:eastAsiaTheme="minorEastAsia" w:cstheme="minorEastAsia"/>
          <w:b/>
          <w:color w:val="auto"/>
          <w:szCs w:val="21"/>
          <w:highlight w:val="none"/>
        </w:rPr>
      </w:pPr>
    </w:p>
    <w:p w14:paraId="738CB309">
      <w:pPr>
        <w:spacing w:line="336" w:lineRule="auto"/>
        <w:ind w:right="-153" w:rightChars="-73"/>
        <w:jc w:val="center"/>
        <w:rPr>
          <w:rFonts w:hint="eastAsia" w:asciiTheme="minorEastAsia" w:hAnsiTheme="minorEastAsia" w:eastAsiaTheme="minorEastAsia" w:cstheme="minorEastAsia"/>
          <w:b/>
          <w:color w:val="auto"/>
          <w:szCs w:val="21"/>
          <w:highlight w:val="none"/>
        </w:rPr>
      </w:pPr>
    </w:p>
    <w:p w14:paraId="5034C97E">
      <w:pPr>
        <w:spacing w:line="336" w:lineRule="auto"/>
        <w:ind w:right="-153" w:rightChars="-73"/>
        <w:jc w:val="center"/>
        <w:rPr>
          <w:rFonts w:hint="eastAsia" w:asciiTheme="minorEastAsia" w:hAnsiTheme="minorEastAsia" w:eastAsiaTheme="minorEastAsia" w:cstheme="minorEastAsia"/>
          <w:b/>
          <w:color w:val="auto"/>
          <w:szCs w:val="21"/>
          <w:highlight w:val="none"/>
        </w:rPr>
      </w:pPr>
    </w:p>
    <w:p w14:paraId="7E5F7CFB">
      <w:pP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br w:type="page"/>
      </w:r>
    </w:p>
    <w:p w14:paraId="69ED6FAD">
      <w:pPr>
        <w:spacing w:line="336" w:lineRule="auto"/>
        <w:ind w:right="-153" w:rightChars="-73"/>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8"/>
          <w:szCs w:val="28"/>
          <w:highlight w:val="none"/>
        </w:rPr>
        <w:t>一、磋商函及磋商函附录</w:t>
      </w:r>
    </w:p>
    <w:p w14:paraId="3D9DD2F9">
      <w:pPr>
        <w:ind w:firstLine="2040" w:firstLineChars="850"/>
        <w:jc w:val="center"/>
        <w:rPr>
          <w:rFonts w:hint="eastAsia" w:asciiTheme="minorEastAsia" w:hAnsiTheme="minorEastAsia" w:eastAsiaTheme="minorEastAsia" w:cstheme="minorEastAsia"/>
          <w:b/>
          <w:color w:val="auto"/>
          <w:sz w:val="24"/>
          <w:highlight w:val="none"/>
        </w:rPr>
      </w:pPr>
    </w:p>
    <w:p w14:paraId="755AFAF6">
      <w:pPr>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（一）磋商函</w:t>
      </w:r>
    </w:p>
    <w:p w14:paraId="308B74F2">
      <w:pPr>
        <w:ind w:left="5250"/>
        <w:jc w:val="center"/>
        <w:rPr>
          <w:rFonts w:hint="eastAsia" w:asciiTheme="minorEastAsia" w:hAnsiTheme="minorEastAsia" w:eastAsiaTheme="minorEastAsia" w:cstheme="minorEastAsia"/>
          <w:b/>
          <w:bCs/>
          <w:color w:val="auto"/>
          <w:szCs w:val="21"/>
          <w:highlight w:val="none"/>
        </w:rPr>
      </w:pPr>
    </w:p>
    <w:p w14:paraId="4A8AF3AB">
      <w:pPr>
        <w:spacing w:line="4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（采购</w:t>
      </w:r>
      <w:r>
        <w:rPr>
          <w:rFonts w:hint="eastAsia" w:asciiTheme="minorEastAsia" w:hAnsiTheme="minorEastAsia" w:eastAsiaTheme="minorEastAsia" w:cstheme="minorEastAsia"/>
          <w:color w:val="auto"/>
          <w:szCs w:val="21"/>
          <w:highlight w:val="none"/>
          <w:lang w:eastAsia="zh-CN"/>
        </w:rPr>
        <w:t>人名称</w:t>
      </w:r>
      <w:r>
        <w:rPr>
          <w:rFonts w:hint="eastAsia" w:asciiTheme="minorEastAsia" w:hAnsiTheme="minorEastAsia" w:eastAsiaTheme="minorEastAsia" w:cstheme="minorEastAsia"/>
          <w:color w:val="auto"/>
          <w:szCs w:val="21"/>
          <w:highlight w:val="none"/>
        </w:rPr>
        <w:t>）：</w:t>
      </w:r>
    </w:p>
    <w:p w14:paraId="43522574">
      <w:pPr>
        <w:spacing w:line="400" w:lineRule="exact"/>
        <w:ind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1、我方已仔细研究了</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 w:val="21"/>
          <w:szCs w:val="21"/>
          <w:highlight w:val="none"/>
        </w:rPr>
        <w:t>（项目名称</w:t>
      </w:r>
      <w:r>
        <w:rPr>
          <w:rFonts w:hint="eastAsia" w:asciiTheme="minorEastAsia" w:hAnsiTheme="minorEastAsia" w:eastAsiaTheme="minorEastAsia" w:cstheme="minorEastAsia"/>
          <w:color w:val="auto"/>
          <w:sz w:val="21"/>
          <w:szCs w:val="21"/>
          <w:highlight w:val="none"/>
          <w:lang w:eastAsia="zh-CN"/>
        </w:rPr>
        <w:t>及项目编号</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Cs w:val="21"/>
          <w:highlight w:val="none"/>
          <w:lang w:eastAsia="zh-CN"/>
        </w:rPr>
        <w:t>《竞争性磋商文件》</w:t>
      </w:r>
      <w:r>
        <w:rPr>
          <w:rFonts w:hint="eastAsia" w:asciiTheme="minorEastAsia" w:hAnsiTheme="minorEastAsia" w:eastAsiaTheme="minorEastAsia" w:cstheme="minorEastAsia"/>
          <w:color w:val="auto"/>
          <w:szCs w:val="21"/>
          <w:highlight w:val="none"/>
        </w:rPr>
        <w:t>的全部内容，愿意以人民币（大写）</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元（￥</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）的磋商总报价，工期</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日历天，按合同约定实施和完成承包工程，修补工程中的任何缺陷，工程质量</w:t>
      </w:r>
      <w:r>
        <w:rPr>
          <w:rFonts w:hint="eastAsia" w:asciiTheme="minorEastAsia" w:hAnsiTheme="minorEastAsia" w:eastAsiaTheme="minorEastAsia" w:cstheme="minorEastAsia"/>
          <w:color w:val="auto"/>
          <w:szCs w:val="21"/>
          <w:highlight w:val="none"/>
          <w:lang w:eastAsia="zh-CN"/>
        </w:rPr>
        <w:t>等级</w:t>
      </w:r>
      <w:r>
        <w:rPr>
          <w:rFonts w:hint="eastAsia" w:asciiTheme="minorEastAsia" w:hAnsiTheme="minorEastAsia" w:eastAsiaTheme="minorEastAsia" w:cstheme="minorEastAsia"/>
          <w:color w:val="auto"/>
          <w:szCs w:val="21"/>
          <w:highlight w:val="none"/>
        </w:rPr>
        <w:t>达到</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w:t>
      </w:r>
    </w:p>
    <w:p w14:paraId="6C073569">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2、我方同意所递交的</w:t>
      </w:r>
      <w:r>
        <w:rPr>
          <w:rFonts w:hint="eastAsia" w:asciiTheme="minorEastAsia" w:hAnsiTheme="minorEastAsia" w:eastAsiaTheme="minorEastAsia" w:cstheme="minorEastAsia"/>
          <w:color w:val="auto"/>
          <w:szCs w:val="21"/>
          <w:highlight w:val="none"/>
          <w:lang w:eastAsia="zh-CN"/>
        </w:rPr>
        <w:t>《响应文件》</w:t>
      </w:r>
      <w:r>
        <w:rPr>
          <w:rFonts w:hint="eastAsia" w:asciiTheme="minorEastAsia" w:hAnsiTheme="minorEastAsia" w:eastAsiaTheme="minorEastAsia" w:cstheme="minorEastAsia"/>
          <w:color w:val="auto"/>
          <w:szCs w:val="21"/>
          <w:highlight w:val="none"/>
        </w:rPr>
        <w:t>在“</w:t>
      </w:r>
      <w:r>
        <w:rPr>
          <w:rFonts w:hint="eastAsia" w:asciiTheme="minorEastAsia" w:hAnsiTheme="minorEastAsia" w:eastAsiaTheme="minorEastAsia" w:cstheme="minorEastAsia"/>
          <w:color w:val="auto"/>
          <w:szCs w:val="21"/>
          <w:highlight w:val="none"/>
          <w:lang w:eastAsia="zh-CN"/>
        </w:rPr>
        <w:t>磋商供应商</w:t>
      </w:r>
      <w:r>
        <w:rPr>
          <w:rFonts w:hint="eastAsia" w:asciiTheme="minorEastAsia" w:hAnsiTheme="minorEastAsia" w:eastAsiaTheme="minorEastAsia" w:cstheme="minorEastAsia"/>
          <w:color w:val="auto"/>
          <w:szCs w:val="21"/>
          <w:highlight w:val="none"/>
        </w:rPr>
        <w:t>须知前附表”第</w:t>
      </w: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rPr>
        <w:t>条规定的磋商有效期内有效，在此期间内我方的磋商有可能成交，我方将受此约束。　</w:t>
      </w:r>
    </w:p>
    <w:p w14:paraId="3CBC969C">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3、我方承诺已经具备《中华人民共和国政府采购法》第二十二条中规定的参加政府采购活动的供应商应当具备的条件。</w:t>
      </w:r>
    </w:p>
    <w:p w14:paraId="2C6DDABB">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4、我方根据</w:t>
      </w:r>
      <w:r>
        <w:rPr>
          <w:rFonts w:hint="eastAsia" w:asciiTheme="minorEastAsia" w:hAnsiTheme="minorEastAsia" w:eastAsiaTheme="minorEastAsia" w:cstheme="minorEastAsia"/>
          <w:color w:val="auto"/>
          <w:szCs w:val="21"/>
          <w:highlight w:val="none"/>
          <w:lang w:eastAsia="zh-CN"/>
        </w:rPr>
        <w:t>《竞争性磋商文件》</w:t>
      </w:r>
      <w:r>
        <w:rPr>
          <w:rFonts w:hint="eastAsia" w:asciiTheme="minorEastAsia" w:hAnsiTheme="minorEastAsia" w:eastAsiaTheme="minorEastAsia" w:cstheme="minorEastAsia"/>
          <w:color w:val="auto"/>
          <w:szCs w:val="21"/>
          <w:highlight w:val="none"/>
        </w:rPr>
        <w:t>的规定，承担完成合同的责任和义务。</w:t>
      </w:r>
    </w:p>
    <w:p w14:paraId="7E084E5E">
      <w:pPr>
        <w:pStyle w:val="11"/>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5、我方已详细审核</w:t>
      </w:r>
      <w:r>
        <w:rPr>
          <w:rFonts w:hint="eastAsia" w:asciiTheme="minorEastAsia" w:hAnsiTheme="minorEastAsia" w:eastAsiaTheme="minorEastAsia" w:cstheme="minorEastAsia"/>
          <w:color w:val="auto"/>
          <w:szCs w:val="21"/>
          <w:highlight w:val="none"/>
          <w:lang w:eastAsia="zh-CN"/>
        </w:rPr>
        <w:t>《竞争性磋商文件》</w:t>
      </w:r>
      <w:r>
        <w:rPr>
          <w:rFonts w:hint="eastAsia" w:asciiTheme="minorEastAsia" w:hAnsiTheme="minorEastAsia" w:eastAsiaTheme="minorEastAsia" w:cstheme="minorEastAsia"/>
          <w:color w:val="auto"/>
          <w:szCs w:val="21"/>
          <w:highlight w:val="none"/>
        </w:rPr>
        <w:t>，我方知道必须放弃提出含糊不清或误解问题的权利。</w:t>
      </w:r>
    </w:p>
    <w:p w14:paraId="514F96B3">
      <w:pPr>
        <w:pStyle w:val="11"/>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6、如果在磋商截止时间后的磋商有效期内撤回磋商或者有其他违约行为，贵方可不退还我方的磋商保证金。</w:t>
      </w:r>
    </w:p>
    <w:p w14:paraId="0934E5DC">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7、同意向贵方提供贵方可能要求的与本磋商有关的任何数据或资料。</w:t>
      </w:r>
    </w:p>
    <w:p w14:paraId="7F37822C">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8、我方完全理解贵方不一定要接受最低报价的</w:t>
      </w:r>
      <w:r>
        <w:rPr>
          <w:rFonts w:hint="eastAsia" w:asciiTheme="minorEastAsia" w:hAnsiTheme="minorEastAsia" w:eastAsiaTheme="minorEastAsia" w:cstheme="minorEastAsia"/>
          <w:color w:val="auto"/>
          <w:szCs w:val="21"/>
          <w:highlight w:val="none"/>
          <w:lang w:eastAsia="zh-CN"/>
        </w:rPr>
        <w:t>磋商供应商</w:t>
      </w:r>
      <w:r>
        <w:rPr>
          <w:rFonts w:hint="eastAsia" w:asciiTheme="minorEastAsia" w:hAnsiTheme="minorEastAsia" w:eastAsiaTheme="minorEastAsia" w:cstheme="minorEastAsia"/>
          <w:color w:val="auto"/>
          <w:szCs w:val="21"/>
          <w:highlight w:val="none"/>
        </w:rPr>
        <w:t>为成交供应商。</w:t>
      </w:r>
    </w:p>
    <w:p w14:paraId="20031DD2">
      <w:pPr>
        <w:pStyle w:val="11"/>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9.若贵方需要，我方愿意提供我方作出的一切承诺的证明材料。</w:t>
      </w:r>
    </w:p>
    <w:p w14:paraId="09174CE2">
      <w:pPr>
        <w:pStyle w:val="11"/>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w:t>
      </w:r>
      <w:r>
        <w:rPr>
          <w:rFonts w:hint="eastAsia" w:asciiTheme="minorEastAsia" w:hAnsiTheme="minorEastAsia" w:eastAsiaTheme="minorEastAsia" w:cstheme="minorEastAsia"/>
          <w:color w:val="auto"/>
          <w:spacing w:val="-2"/>
          <w:szCs w:val="21"/>
          <w:highlight w:val="none"/>
        </w:rPr>
        <w:t>我方将严格遵守《中华人民共和国政府采购法》的规定，知悉作为政府采购供应商应负的法律责任。</w:t>
      </w:r>
    </w:p>
    <w:p w14:paraId="774EE74D">
      <w:pPr>
        <w:spacing w:line="400" w:lineRule="exact"/>
        <w:ind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u w:val="single"/>
        </w:rPr>
        <w:t xml:space="preserve">       （其他）        </w:t>
      </w:r>
      <w:r>
        <w:rPr>
          <w:rFonts w:hint="eastAsia" w:asciiTheme="minorEastAsia" w:hAnsiTheme="minorEastAsia" w:eastAsiaTheme="minorEastAsia" w:cstheme="minorEastAsia"/>
          <w:color w:val="auto"/>
          <w:szCs w:val="21"/>
          <w:highlight w:val="none"/>
        </w:rPr>
        <w:t>。</w:t>
      </w:r>
    </w:p>
    <w:p w14:paraId="7B4ACFB9">
      <w:pPr>
        <w:spacing w:line="360" w:lineRule="auto"/>
        <w:rPr>
          <w:rFonts w:hint="eastAsia" w:asciiTheme="minorEastAsia" w:hAnsiTheme="minorEastAsia" w:eastAsiaTheme="minorEastAsia" w:cstheme="minorEastAsia"/>
          <w:color w:val="auto"/>
          <w:szCs w:val="21"/>
          <w:highlight w:val="none"/>
        </w:rPr>
      </w:pPr>
    </w:p>
    <w:p w14:paraId="01632334">
      <w:pPr>
        <w:pStyle w:val="11"/>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与本项目磋商有关的正式通讯地址为：</w:t>
      </w:r>
    </w:p>
    <w:p w14:paraId="5B48496A">
      <w:pPr>
        <w:pStyle w:val="11"/>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磋商供应商</w:t>
      </w:r>
      <w:r>
        <w:rPr>
          <w:rFonts w:hint="eastAsia" w:asciiTheme="minorEastAsia" w:hAnsiTheme="minorEastAsia" w:eastAsiaTheme="minorEastAsia" w:cstheme="minorEastAsia"/>
          <w:color w:val="auto"/>
          <w:szCs w:val="21"/>
          <w:highlight w:val="none"/>
        </w:rPr>
        <w:t>名称：</w:t>
      </w:r>
      <w:r>
        <w:rPr>
          <w:rFonts w:hint="eastAsia" w:asciiTheme="minorEastAsia" w:hAnsiTheme="minorEastAsia" w:eastAsiaTheme="minorEastAsia" w:cstheme="minorEastAsia"/>
          <w:color w:val="auto"/>
          <w:szCs w:val="21"/>
          <w:highlight w:val="none"/>
          <w:u w:val="single"/>
        </w:rPr>
        <w:t xml:space="preserve">                                  </w:t>
      </w:r>
    </w:p>
    <w:p w14:paraId="34D5FEAE">
      <w:pPr>
        <w:pStyle w:val="11"/>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地址：</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邮政编码：</w:t>
      </w:r>
      <w:r>
        <w:rPr>
          <w:rFonts w:hint="eastAsia" w:asciiTheme="minorEastAsia" w:hAnsiTheme="minorEastAsia" w:eastAsiaTheme="minorEastAsia" w:cstheme="minorEastAsia"/>
          <w:color w:val="auto"/>
          <w:szCs w:val="21"/>
          <w:highlight w:val="none"/>
          <w:u w:val="single"/>
        </w:rPr>
        <w:t xml:space="preserve">         </w:t>
      </w:r>
    </w:p>
    <w:p w14:paraId="6F11E933">
      <w:pPr>
        <w:pStyle w:val="11"/>
        <w:spacing w:line="400" w:lineRule="exact"/>
        <w:ind w:firstLine="42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电话、电报、传真或电传：</w:t>
      </w:r>
      <w:r>
        <w:rPr>
          <w:rFonts w:hint="eastAsia" w:asciiTheme="minorEastAsia" w:hAnsiTheme="minorEastAsia" w:eastAsiaTheme="minorEastAsia" w:cstheme="minorEastAsia"/>
          <w:color w:val="auto"/>
          <w:szCs w:val="21"/>
          <w:highlight w:val="none"/>
          <w:u w:val="single"/>
        </w:rPr>
        <w:t xml:space="preserve">                     </w:t>
      </w:r>
    </w:p>
    <w:p w14:paraId="5BF540D1">
      <w:pPr>
        <w:pStyle w:val="11"/>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开户名称：</w:t>
      </w:r>
      <w:r>
        <w:rPr>
          <w:rFonts w:hint="eastAsia" w:asciiTheme="minorEastAsia" w:hAnsiTheme="minorEastAsia" w:eastAsiaTheme="minorEastAsia" w:cstheme="minorEastAsia"/>
          <w:color w:val="auto"/>
          <w:szCs w:val="21"/>
          <w:highlight w:val="none"/>
          <w:u w:val="single"/>
        </w:rPr>
        <w:t xml:space="preserve">                                   </w:t>
      </w:r>
    </w:p>
    <w:p w14:paraId="46E91E3F">
      <w:pPr>
        <w:pStyle w:val="11"/>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开户银行：</w:t>
      </w:r>
      <w:r>
        <w:rPr>
          <w:rFonts w:hint="eastAsia" w:asciiTheme="minorEastAsia" w:hAnsiTheme="minorEastAsia" w:eastAsiaTheme="minorEastAsia" w:cstheme="minorEastAsia"/>
          <w:color w:val="auto"/>
          <w:szCs w:val="21"/>
          <w:highlight w:val="none"/>
          <w:u w:val="single"/>
        </w:rPr>
        <w:t xml:space="preserve">                                   </w:t>
      </w:r>
    </w:p>
    <w:p w14:paraId="4A83C343">
      <w:pPr>
        <w:pStyle w:val="11"/>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银行帐号：</w:t>
      </w:r>
      <w:r>
        <w:rPr>
          <w:rFonts w:hint="eastAsia" w:asciiTheme="minorEastAsia" w:hAnsiTheme="minorEastAsia" w:eastAsiaTheme="minorEastAsia" w:cstheme="minorEastAsia"/>
          <w:color w:val="auto"/>
          <w:szCs w:val="21"/>
          <w:highlight w:val="none"/>
          <w:u w:val="single"/>
        </w:rPr>
        <w:t xml:space="preserve">                                    </w:t>
      </w:r>
    </w:p>
    <w:p w14:paraId="1ADE8C41">
      <w:pPr>
        <w:pStyle w:val="11"/>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法定代表人或委托代理人</w:t>
      </w:r>
      <w:r>
        <w:rPr>
          <w:rFonts w:hint="eastAsia" w:asciiTheme="minorEastAsia" w:hAnsiTheme="minorEastAsia" w:eastAsiaTheme="minorEastAsia" w:cstheme="minorEastAsia"/>
          <w:color w:val="auto"/>
          <w:kern w:val="0"/>
          <w:szCs w:val="21"/>
          <w:highlight w:val="none"/>
        </w:rPr>
        <w:t>手写签名</w:t>
      </w:r>
      <w:r>
        <w:rPr>
          <w:rFonts w:hint="eastAsia" w:asciiTheme="minorEastAsia" w:hAnsiTheme="minorEastAsia" w:eastAsiaTheme="minorEastAsia" w:cstheme="minorEastAsia"/>
          <w:color w:val="auto"/>
          <w:kern w:val="0"/>
          <w:szCs w:val="21"/>
          <w:highlight w:val="none"/>
          <w:lang w:val="en-US" w:eastAsia="zh-CN"/>
        </w:rPr>
        <w:t>或</w:t>
      </w:r>
      <w:r>
        <w:rPr>
          <w:rFonts w:hint="eastAsia" w:asciiTheme="minorEastAsia" w:hAnsiTheme="minorEastAsia" w:eastAsiaTheme="minorEastAsia" w:cstheme="minorEastAsia"/>
          <w:color w:val="auto"/>
          <w:kern w:val="0"/>
          <w:szCs w:val="21"/>
          <w:highlight w:val="none"/>
        </w:rPr>
        <w:t>电子签名</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u w:val="single"/>
        </w:rPr>
        <w:t xml:space="preserve">                  </w:t>
      </w:r>
    </w:p>
    <w:p w14:paraId="2E882260">
      <w:pPr>
        <w:pStyle w:val="11"/>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磋商供应商</w:t>
      </w:r>
      <w:r>
        <w:rPr>
          <w:rFonts w:hint="eastAsia" w:asciiTheme="minorEastAsia" w:hAnsiTheme="minorEastAsia" w:eastAsiaTheme="minorEastAsia" w:cstheme="minorEastAsia"/>
          <w:color w:val="auto"/>
          <w:szCs w:val="21"/>
          <w:highlight w:val="none"/>
        </w:rPr>
        <w:t>盖公章</w:t>
      </w:r>
      <w:r>
        <w:rPr>
          <w:rFonts w:hint="eastAsia" w:asciiTheme="minorEastAsia" w:hAnsiTheme="minorEastAsia" w:eastAsiaTheme="minorEastAsia" w:cstheme="minorEastAsia"/>
          <w:color w:val="auto"/>
          <w:szCs w:val="21"/>
          <w:highlight w:val="none"/>
          <w:lang w:val="en-US" w:eastAsia="zh-CN"/>
        </w:rPr>
        <w:t>或电子CA签章</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u w:val="single"/>
        </w:rPr>
        <w:t xml:space="preserve">                     </w:t>
      </w:r>
    </w:p>
    <w:p w14:paraId="05C31670">
      <w:pPr>
        <w:pStyle w:val="11"/>
        <w:spacing w:line="400" w:lineRule="exact"/>
        <w:ind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磋商日期：</w:t>
      </w:r>
      <w:r>
        <w:rPr>
          <w:rFonts w:hint="eastAsia" w:asciiTheme="minorEastAsia" w:hAnsiTheme="minorEastAsia" w:eastAsiaTheme="minorEastAsia" w:cstheme="minorEastAsia"/>
          <w:color w:val="auto"/>
          <w:szCs w:val="21"/>
          <w:highlight w:val="none"/>
          <w:u w:val="single"/>
        </w:rPr>
        <w:t xml:space="preserve">                                   </w:t>
      </w:r>
    </w:p>
    <w:p w14:paraId="1CFFD60C">
      <w:pPr>
        <w:spacing w:line="48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br w:type="page"/>
      </w:r>
      <w:r>
        <w:rPr>
          <w:rFonts w:hint="eastAsia" w:asciiTheme="minorEastAsia" w:hAnsiTheme="minorEastAsia" w:eastAsiaTheme="minorEastAsia" w:cstheme="minorEastAsia"/>
          <w:b/>
          <w:color w:val="auto"/>
          <w:sz w:val="24"/>
          <w:highlight w:val="none"/>
        </w:rPr>
        <w:t>（二） 磋商函附录</w:t>
      </w:r>
    </w:p>
    <w:p w14:paraId="5B9284CA">
      <w:pPr>
        <w:spacing w:line="336" w:lineRule="auto"/>
        <w:ind w:left="-4" w:leftChars="-2" w:right="-153" w:rightChars="-73" w:firstLine="2627" w:firstLineChars="1251"/>
        <w:rPr>
          <w:rFonts w:hint="eastAsia" w:asciiTheme="minorEastAsia" w:hAnsiTheme="minorEastAsia" w:eastAsiaTheme="minorEastAsia" w:cstheme="minorEastAsia"/>
          <w:b/>
          <w:color w:val="auto"/>
          <w:szCs w:val="21"/>
          <w:highlight w:val="none"/>
        </w:rPr>
      </w:pPr>
    </w:p>
    <w:tbl>
      <w:tblPr>
        <w:tblStyle w:val="19"/>
        <w:tblW w:w="0" w:type="auto"/>
        <w:tblInd w:w="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66"/>
        <w:gridCol w:w="2655"/>
        <w:gridCol w:w="1985"/>
        <w:gridCol w:w="2026"/>
        <w:gridCol w:w="1207"/>
      </w:tblGrid>
      <w:tr w14:paraId="2024B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0" w:hRule="atLeast"/>
        </w:trPr>
        <w:tc>
          <w:tcPr>
            <w:tcW w:w="866" w:type="dxa"/>
            <w:noWrap w:val="0"/>
            <w:vAlign w:val="top"/>
          </w:tcPr>
          <w:p w14:paraId="4643E398">
            <w:pPr>
              <w:pStyle w:val="43"/>
              <w:keepNext w:val="0"/>
              <w:keepLines w:val="0"/>
              <w:suppressLineNumbers w:val="0"/>
              <w:spacing w:before="155" w:beforeAutospacing="0" w:after="0" w:afterAutospacing="0"/>
              <w:ind w:left="174" w:right="157"/>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序号</w:t>
            </w:r>
          </w:p>
        </w:tc>
        <w:tc>
          <w:tcPr>
            <w:tcW w:w="2655" w:type="dxa"/>
            <w:tcBorders>
              <w:right w:val="single" w:color="000000" w:sz="4" w:space="0"/>
            </w:tcBorders>
            <w:noWrap w:val="0"/>
            <w:vAlign w:val="top"/>
          </w:tcPr>
          <w:p w14:paraId="6BE62891">
            <w:pPr>
              <w:pStyle w:val="43"/>
              <w:keepNext w:val="0"/>
              <w:keepLines w:val="0"/>
              <w:suppressLineNumbers w:val="0"/>
              <w:spacing w:before="155" w:beforeAutospacing="0" w:after="0" w:afterAutospacing="0"/>
              <w:ind w:left="226" w:right="215"/>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条款名称</w:t>
            </w:r>
          </w:p>
        </w:tc>
        <w:tc>
          <w:tcPr>
            <w:tcW w:w="1985" w:type="dxa"/>
            <w:tcBorders>
              <w:left w:val="single" w:color="000000" w:sz="4" w:space="0"/>
              <w:right w:val="single" w:color="000000" w:sz="4" w:space="0"/>
            </w:tcBorders>
            <w:noWrap w:val="0"/>
            <w:vAlign w:val="top"/>
          </w:tcPr>
          <w:p w14:paraId="20F935CE">
            <w:pPr>
              <w:pStyle w:val="43"/>
              <w:keepNext w:val="0"/>
              <w:keepLines w:val="0"/>
              <w:suppressLineNumbers w:val="0"/>
              <w:spacing w:before="155" w:beforeAutospacing="0" w:after="0" w:afterAutospacing="0"/>
              <w:ind w:left="373" w:right="361"/>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合同条款号</w:t>
            </w:r>
          </w:p>
        </w:tc>
        <w:tc>
          <w:tcPr>
            <w:tcW w:w="2026" w:type="dxa"/>
            <w:tcBorders>
              <w:left w:val="single" w:color="000000" w:sz="4" w:space="0"/>
              <w:right w:val="single" w:color="000000" w:sz="4" w:space="0"/>
            </w:tcBorders>
            <w:noWrap w:val="0"/>
            <w:vAlign w:val="top"/>
          </w:tcPr>
          <w:p w14:paraId="0D38B716">
            <w:pPr>
              <w:pStyle w:val="43"/>
              <w:keepNext w:val="0"/>
              <w:keepLines w:val="0"/>
              <w:suppressLineNumbers w:val="0"/>
              <w:spacing w:before="155" w:beforeAutospacing="0" w:after="0" w:afterAutospacing="0"/>
              <w:ind w:left="660" w:right="0"/>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约定内容</w:t>
            </w:r>
          </w:p>
        </w:tc>
        <w:tc>
          <w:tcPr>
            <w:tcW w:w="1207" w:type="dxa"/>
            <w:tcBorders>
              <w:left w:val="single" w:color="000000" w:sz="4" w:space="0"/>
            </w:tcBorders>
            <w:noWrap w:val="0"/>
            <w:vAlign w:val="top"/>
          </w:tcPr>
          <w:p w14:paraId="49DD428E">
            <w:pPr>
              <w:pStyle w:val="43"/>
              <w:keepNext w:val="0"/>
              <w:keepLines w:val="0"/>
              <w:suppressLineNumbers w:val="0"/>
              <w:spacing w:before="155" w:beforeAutospacing="0" w:after="0" w:afterAutospacing="0"/>
              <w:ind w:left="367" w:right="0"/>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备注</w:t>
            </w:r>
          </w:p>
        </w:tc>
      </w:tr>
      <w:tr w14:paraId="68C79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6" w:hRule="atLeast"/>
        </w:trPr>
        <w:tc>
          <w:tcPr>
            <w:tcW w:w="866" w:type="dxa"/>
            <w:noWrap w:val="0"/>
            <w:vAlign w:val="top"/>
          </w:tcPr>
          <w:p w14:paraId="68DA416A">
            <w:pPr>
              <w:pStyle w:val="43"/>
              <w:keepNext w:val="0"/>
              <w:keepLines w:val="0"/>
              <w:suppressLineNumbers w:val="0"/>
              <w:spacing w:before="213" w:beforeAutospacing="0" w:after="0" w:afterAutospacing="0"/>
              <w:ind w:left="17" w:right="0"/>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w:t>
            </w:r>
          </w:p>
        </w:tc>
        <w:tc>
          <w:tcPr>
            <w:tcW w:w="2655" w:type="dxa"/>
            <w:tcBorders>
              <w:right w:val="single" w:color="000000" w:sz="4" w:space="0"/>
            </w:tcBorders>
            <w:noWrap w:val="0"/>
            <w:vAlign w:val="top"/>
          </w:tcPr>
          <w:p w14:paraId="3D4DAE77">
            <w:pPr>
              <w:pStyle w:val="43"/>
              <w:keepNext w:val="0"/>
              <w:keepLines w:val="0"/>
              <w:suppressLineNumbers w:val="0"/>
              <w:spacing w:before="213" w:beforeAutospacing="0" w:after="0" w:afterAutospacing="0"/>
              <w:ind w:left="226" w:right="215"/>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项目经理</w:t>
            </w:r>
          </w:p>
        </w:tc>
        <w:tc>
          <w:tcPr>
            <w:tcW w:w="1985" w:type="dxa"/>
            <w:tcBorders>
              <w:left w:val="single" w:color="000000" w:sz="4" w:space="0"/>
              <w:right w:val="single" w:color="000000" w:sz="4" w:space="0"/>
            </w:tcBorders>
            <w:noWrap w:val="0"/>
            <w:vAlign w:val="top"/>
          </w:tcPr>
          <w:p w14:paraId="450C7E8B">
            <w:pPr>
              <w:pStyle w:val="43"/>
              <w:keepNext w:val="0"/>
              <w:keepLines w:val="0"/>
              <w:suppressLineNumbers w:val="0"/>
              <w:spacing w:before="213" w:beforeAutospacing="0" w:after="0" w:afterAutospacing="0"/>
              <w:ind w:left="373" w:right="361"/>
              <w:jc w:val="center"/>
              <w:rPr>
                <w:rFonts w:hint="eastAsia" w:asciiTheme="minorEastAsia" w:hAnsiTheme="minorEastAsia" w:eastAsiaTheme="minorEastAsia" w:cstheme="minorEastAsia"/>
                <w:color w:val="auto"/>
                <w:spacing w:val="0"/>
                <w:sz w:val="21"/>
                <w:szCs w:val="21"/>
                <w:highlight w:val="none"/>
              </w:rPr>
            </w:pPr>
          </w:p>
        </w:tc>
        <w:tc>
          <w:tcPr>
            <w:tcW w:w="2026" w:type="dxa"/>
            <w:tcBorders>
              <w:left w:val="single" w:color="000000" w:sz="4" w:space="0"/>
              <w:right w:val="single" w:color="000000" w:sz="4" w:space="0"/>
            </w:tcBorders>
            <w:noWrap w:val="0"/>
            <w:vAlign w:val="top"/>
          </w:tcPr>
          <w:p w14:paraId="65A829E3">
            <w:pPr>
              <w:pStyle w:val="43"/>
              <w:keepNext w:val="0"/>
              <w:keepLines w:val="0"/>
              <w:suppressLineNumbers w:val="0"/>
              <w:tabs>
                <w:tab w:val="left" w:pos="2004"/>
              </w:tabs>
              <w:spacing w:before="213" w:beforeAutospacing="0" w:after="0" w:afterAutospacing="0"/>
              <w:ind w:left="269" w:right="0"/>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姓名：</w:t>
            </w:r>
            <w:r>
              <w:rPr>
                <w:rFonts w:hint="eastAsia" w:asciiTheme="minorEastAsia" w:hAnsiTheme="minorEastAsia" w:eastAsiaTheme="minorEastAsia" w:cstheme="minorEastAsia"/>
                <w:color w:val="auto"/>
                <w:spacing w:val="0"/>
                <w:sz w:val="21"/>
                <w:szCs w:val="21"/>
                <w:highlight w:val="none"/>
                <w:u w:val="single"/>
              </w:rPr>
              <w:t xml:space="preserve"> </w:t>
            </w:r>
            <w:r>
              <w:rPr>
                <w:rFonts w:hint="eastAsia" w:asciiTheme="minorEastAsia" w:hAnsiTheme="minorEastAsia" w:eastAsiaTheme="minorEastAsia" w:cstheme="minorEastAsia"/>
                <w:color w:val="auto"/>
                <w:spacing w:val="0"/>
                <w:sz w:val="21"/>
                <w:szCs w:val="21"/>
                <w:highlight w:val="none"/>
                <w:u w:val="single"/>
              </w:rPr>
              <w:tab/>
            </w:r>
          </w:p>
        </w:tc>
        <w:tc>
          <w:tcPr>
            <w:tcW w:w="1207" w:type="dxa"/>
            <w:tcBorders>
              <w:left w:val="single" w:color="000000" w:sz="4" w:space="0"/>
            </w:tcBorders>
            <w:noWrap w:val="0"/>
            <w:vAlign w:val="top"/>
          </w:tcPr>
          <w:p w14:paraId="1886A256">
            <w:pPr>
              <w:pStyle w:val="43"/>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pacing w:val="0"/>
                <w:sz w:val="21"/>
                <w:szCs w:val="21"/>
                <w:highlight w:val="none"/>
              </w:rPr>
            </w:pPr>
          </w:p>
        </w:tc>
      </w:tr>
      <w:tr w14:paraId="478C9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6" w:hRule="atLeast"/>
        </w:trPr>
        <w:tc>
          <w:tcPr>
            <w:tcW w:w="866" w:type="dxa"/>
            <w:noWrap w:val="0"/>
            <w:vAlign w:val="top"/>
          </w:tcPr>
          <w:p w14:paraId="6A03497E">
            <w:pPr>
              <w:pStyle w:val="43"/>
              <w:keepNext w:val="0"/>
              <w:keepLines w:val="0"/>
              <w:suppressLineNumbers w:val="0"/>
              <w:spacing w:before="215" w:beforeAutospacing="0" w:after="0" w:afterAutospacing="0"/>
              <w:ind w:left="17" w:right="0"/>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w:t>
            </w:r>
          </w:p>
        </w:tc>
        <w:tc>
          <w:tcPr>
            <w:tcW w:w="2655" w:type="dxa"/>
            <w:tcBorders>
              <w:right w:val="single" w:color="000000" w:sz="4" w:space="0"/>
            </w:tcBorders>
            <w:noWrap w:val="0"/>
            <w:vAlign w:val="top"/>
          </w:tcPr>
          <w:p w14:paraId="09650EE5">
            <w:pPr>
              <w:pStyle w:val="43"/>
              <w:keepNext w:val="0"/>
              <w:keepLines w:val="0"/>
              <w:suppressLineNumbers w:val="0"/>
              <w:spacing w:before="215" w:beforeAutospacing="0" w:after="0" w:afterAutospacing="0"/>
              <w:ind w:left="226" w:right="215"/>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工期</w:t>
            </w:r>
          </w:p>
        </w:tc>
        <w:tc>
          <w:tcPr>
            <w:tcW w:w="1985" w:type="dxa"/>
            <w:tcBorders>
              <w:left w:val="single" w:color="000000" w:sz="4" w:space="0"/>
              <w:right w:val="single" w:color="000000" w:sz="4" w:space="0"/>
            </w:tcBorders>
            <w:noWrap w:val="0"/>
            <w:vAlign w:val="top"/>
          </w:tcPr>
          <w:p w14:paraId="2494FBEE">
            <w:pPr>
              <w:pStyle w:val="43"/>
              <w:keepNext w:val="0"/>
              <w:keepLines w:val="0"/>
              <w:suppressLineNumbers w:val="0"/>
              <w:spacing w:before="215" w:beforeAutospacing="0" w:after="0" w:afterAutospacing="0"/>
              <w:ind w:left="373" w:right="361"/>
              <w:jc w:val="center"/>
              <w:rPr>
                <w:rFonts w:hint="eastAsia" w:asciiTheme="minorEastAsia" w:hAnsiTheme="minorEastAsia" w:eastAsiaTheme="minorEastAsia" w:cstheme="minorEastAsia"/>
                <w:color w:val="auto"/>
                <w:spacing w:val="0"/>
                <w:sz w:val="21"/>
                <w:szCs w:val="21"/>
                <w:highlight w:val="none"/>
              </w:rPr>
            </w:pPr>
          </w:p>
        </w:tc>
        <w:tc>
          <w:tcPr>
            <w:tcW w:w="2026" w:type="dxa"/>
            <w:tcBorders>
              <w:left w:val="single" w:color="000000" w:sz="4" w:space="0"/>
              <w:right w:val="single" w:color="000000" w:sz="4" w:space="0"/>
            </w:tcBorders>
            <w:noWrap w:val="0"/>
            <w:vAlign w:val="top"/>
          </w:tcPr>
          <w:p w14:paraId="21B8A5E3">
            <w:pPr>
              <w:pStyle w:val="43"/>
              <w:keepNext w:val="0"/>
              <w:keepLines w:val="0"/>
              <w:suppressLineNumbers w:val="0"/>
              <w:tabs>
                <w:tab w:val="left" w:pos="1229"/>
              </w:tabs>
              <w:spacing w:before="215" w:beforeAutospacing="0" w:after="0" w:afterAutospacing="0"/>
              <w:ind w:left="29" w:right="0"/>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rPr>
              <w:t>天数：</w:t>
            </w:r>
            <w:r>
              <w:rPr>
                <w:rFonts w:hint="eastAsia" w:asciiTheme="minorEastAsia" w:hAnsiTheme="minorEastAsia" w:eastAsiaTheme="minorEastAsia" w:cstheme="minorEastAsia"/>
                <w:color w:val="auto"/>
                <w:spacing w:val="0"/>
                <w:sz w:val="21"/>
                <w:szCs w:val="21"/>
                <w:highlight w:val="none"/>
                <w:u w:val="single"/>
              </w:rPr>
              <w:t xml:space="preserve"> </w:t>
            </w:r>
            <w:r>
              <w:rPr>
                <w:rFonts w:hint="eastAsia" w:asciiTheme="minorEastAsia" w:hAnsiTheme="minorEastAsia" w:eastAsiaTheme="minorEastAsia" w:cstheme="minorEastAsia"/>
                <w:color w:val="auto"/>
                <w:spacing w:val="0"/>
                <w:sz w:val="21"/>
                <w:szCs w:val="21"/>
                <w:highlight w:val="none"/>
                <w:u w:val="single"/>
              </w:rPr>
              <w:tab/>
            </w:r>
            <w:r>
              <w:rPr>
                <w:rFonts w:hint="eastAsia" w:asciiTheme="minorEastAsia" w:hAnsiTheme="minorEastAsia" w:eastAsiaTheme="minorEastAsia" w:cstheme="minorEastAsia"/>
                <w:color w:val="auto"/>
                <w:spacing w:val="0"/>
                <w:sz w:val="21"/>
                <w:szCs w:val="21"/>
                <w:highlight w:val="none"/>
                <w:lang w:eastAsia="zh-CN"/>
              </w:rPr>
              <w:t>日历天</w:t>
            </w:r>
          </w:p>
        </w:tc>
        <w:tc>
          <w:tcPr>
            <w:tcW w:w="1207" w:type="dxa"/>
            <w:tcBorders>
              <w:left w:val="single" w:color="000000" w:sz="4" w:space="0"/>
            </w:tcBorders>
            <w:noWrap w:val="0"/>
            <w:vAlign w:val="top"/>
          </w:tcPr>
          <w:p w14:paraId="23CCC491">
            <w:pPr>
              <w:pStyle w:val="43"/>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pacing w:val="0"/>
                <w:sz w:val="21"/>
                <w:szCs w:val="21"/>
                <w:highlight w:val="none"/>
              </w:rPr>
            </w:pPr>
          </w:p>
        </w:tc>
      </w:tr>
      <w:tr w14:paraId="42B03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9" w:hRule="atLeast"/>
        </w:trPr>
        <w:tc>
          <w:tcPr>
            <w:tcW w:w="866" w:type="dxa"/>
            <w:noWrap w:val="0"/>
            <w:vAlign w:val="top"/>
          </w:tcPr>
          <w:p w14:paraId="3EA26DDA">
            <w:pPr>
              <w:pStyle w:val="43"/>
              <w:keepNext w:val="0"/>
              <w:keepLines w:val="0"/>
              <w:suppressLineNumbers w:val="0"/>
              <w:spacing w:before="215" w:beforeAutospacing="0" w:after="0" w:afterAutospacing="0"/>
              <w:ind w:left="17" w:right="0"/>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3</w:t>
            </w:r>
          </w:p>
        </w:tc>
        <w:tc>
          <w:tcPr>
            <w:tcW w:w="2655" w:type="dxa"/>
            <w:tcBorders>
              <w:right w:val="single" w:color="000000" w:sz="4" w:space="0"/>
            </w:tcBorders>
            <w:noWrap w:val="0"/>
            <w:vAlign w:val="top"/>
          </w:tcPr>
          <w:p w14:paraId="4FF73834">
            <w:pPr>
              <w:pStyle w:val="43"/>
              <w:keepNext w:val="0"/>
              <w:keepLines w:val="0"/>
              <w:suppressLineNumbers w:val="0"/>
              <w:spacing w:before="59" w:beforeAutospacing="0" w:after="0" w:afterAutospacing="0"/>
              <w:ind w:left="226" w:right="215"/>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缺陷责任期</w:t>
            </w:r>
          </w:p>
          <w:p w14:paraId="36001921">
            <w:pPr>
              <w:pStyle w:val="43"/>
              <w:keepNext w:val="0"/>
              <w:keepLines w:val="0"/>
              <w:suppressLineNumbers w:val="0"/>
              <w:spacing w:before="5" w:beforeAutospacing="0" w:after="0" w:afterAutospacing="0"/>
              <w:ind w:left="226" w:right="215"/>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（工程质量保修期）</w:t>
            </w:r>
          </w:p>
        </w:tc>
        <w:tc>
          <w:tcPr>
            <w:tcW w:w="1985" w:type="dxa"/>
            <w:tcBorders>
              <w:left w:val="single" w:color="000000" w:sz="4" w:space="0"/>
              <w:right w:val="single" w:color="000000" w:sz="4" w:space="0"/>
            </w:tcBorders>
            <w:noWrap w:val="0"/>
            <w:vAlign w:val="top"/>
          </w:tcPr>
          <w:p w14:paraId="4F5A9AC3">
            <w:pPr>
              <w:pStyle w:val="43"/>
              <w:keepNext w:val="0"/>
              <w:keepLines w:val="0"/>
              <w:suppressLineNumbers w:val="0"/>
              <w:spacing w:before="215" w:beforeAutospacing="0" w:after="0" w:afterAutospacing="0"/>
              <w:ind w:left="373" w:right="361"/>
              <w:jc w:val="center"/>
              <w:rPr>
                <w:rFonts w:hint="eastAsia" w:asciiTheme="minorEastAsia" w:hAnsiTheme="minorEastAsia" w:eastAsiaTheme="minorEastAsia" w:cstheme="minorEastAsia"/>
                <w:color w:val="auto"/>
                <w:spacing w:val="0"/>
                <w:sz w:val="21"/>
                <w:szCs w:val="21"/>
                <w:highlight w:val="none"/>
              </w:rPr>
            </w:pPr>
          </w:p>
        </w:tc>
        <w:tc>
          <w:tcPr>
            <w:tcW w:w="2026" w:type="dxa"/>
            <w:tcBorders>
              <w:left w:val="single" w:color="000000" w:sz="4" w:space="0"/>
              <w:right w:val="single" w:color="000000" w:sz="4" w:space="0"/>
            </w:tcBorders>
            <w:noWrap w:val="0"/>
            <w:vAlign w:val="top"/>
          </w:tcPr>
          <w:p w14:paraId="2E191319">
            <w:pPr>
              <w:pStyle w:val="43"/>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pacing w:val="0"/>
                <w:sz w:val="21"/>
                <w:szCs w:val="21"/>
                <w:highlight w:val="none"/>
              </w:rPr>
            </w:pPr>
          </w:p>
        </w:tc>
        <w:tc>
          <w:tcPr>
            <w:tcW w:w="1207" w:type="dxa"/>
            <w:tcBorders>
              <w:left w:val="single" w:color="000000" w:sz="4" w:space="0"/>
            </w:tcBorders>
            <w:noWrap w:val="0"/>
            <w:vAlign w:val="top"/>
          </w:tcPr>
          <w:p w14:paraId="315C96D2">
            <w:pPr>
              <w:pStyle w:val="43"/>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pacing w:val="0"/>
                <w:sz w:val="21"/>
                <w:szCs w:val="21"/>
                <w:highlight w:val="none"/>
              </w:rPr>
            </w:pPr>
          </w:p>
        </w:tc>
      </w:tr>
      <w:tr w14:paraId="714F6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6" w:hRule="atLeast"/>
        </w:trPr>
        <w:tc>
          <w:tcPr>
            <w:tcW w:w="866" w:type="dxa"/>
            <w:noWrap w:val="0"/>
            <w:vAlign w:val="top"/>
          </w:tcPr>
          <w:p w14:paraId="2D2DC39B">
            <w:pPr>
              <w:pStyle w:val="43"/>
              <w:keepNext w:val="0"/>
              <w:keepLines w:val="0"/>
              <w:suppressLineNumbers w:val="0"/>
              <w:spacing w:before="213" w:beforeAutospacing="0" w:after="0" w:afterAutospacing="0"/>
              <w:ind w:left="17" w:right="0"/>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4</w:t>
            </w:r>
          </w:p>
        </w:tc>
        <w:tc>
          <w:tcPr>
            <w:tcW w:w="2655" w:type="dxa"/>
            <w:tcBorders>
              <w:right w:val="single" w:color="000000" w:sz="4" w:space="0"/>
            </w:tcBorders>
            <w:noWrap w:val="0"/>
            <w:vAlign w:val="top"/>
          </w:tcPr>
          <w:p w14:paraId="47A0DE7B">
            <w:pPr>
              <w:pStyle w:val="43"/>
              <w:keepNext w:val="0"/>
              <w:keepLines w:val="0"/>
              <w:suppressLineNumbers w:val="0"/>
              <w:spacing w:before="213" w:beforeAutospacing="0" w:after="0" w:afterAutospacing="0"/>
              <w:ind w:left="226" w:right="215"/>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分包</w:t>
            </w:r>
          </w:p>
        </w:tc>
        <w:tc>
          <w:tcPr>
            <w:tcW w:w="1985" w:type="dxa"/>
            <w:tcBorders>
              <w:left w:val="single" w:color="000000" w:sz="4" w:space="0"/>
              <w:right w:val="single" w:color="000000" w:sz="4" w:space="0"/>
            </w:tcBorders>
            <w:noWrap w:val="0"/>
            <w:vAlign w:val="top"/>
          </w:tcPr>
          <w:p w14:paraId="10489646">
            <w:pPr>
              <w:pStyle w:val="43"/>
              <w:keepNext w:val="0"/>
              <w:keepLines w:val="0"/>
              <w:suppressLineNumbers w:val="0"/>
              <w:spacing w:before="213" w:beforeAutospacing="0" w:after="0" w:afterAutospacing="0"/>
              <w:ind w:left="373" w:right="361"/>
              <w:jc w:val="center"/>
              <w:rPr>
                <w:rFonts w:hint="eastAsia" w:asciiTheme="minorEastAsia" w:hAnsiTheme="minorEastAsia" w:eastAsiaTheme="minorEastAsia" w:cstheme="minorEastAsia"/>
                <w:color w:val="auto"/>
                <w:spacing w:val="0"/>
                <w:sz w:val="21"/>
                <w:szCs w:val="21"/>
                <w:highlight w:val="none"/>
              </w:rPr>
            </w:pPr>
          </w:p>
        </w:tc>
        <w:tc>
          <w:tcPr>
            <w:tcW w:w="2026" w:type="dxa"/>
            <w:tcBorders>
              <w:left w:val="single" w:color="000000" w:sz="4" w:space="0"/>
              <w:right w:val="single" w:color="000000" w:sz="4" w:space="0"/>
            </w:tcBorders>
            <w:noWrap w:val="0"/>
            <w:vAlign w:val="top"/>
          </w:tcPr>
          <w:p w14:paraId="6B25D9D0">
            <w:pPr>
              <w:pStyle w:val="43"/>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pacing w:val="0"/>
                <w:sz w:val="21"/>
                <w:szCs w:val="21"/>
                <w:highlight w:val="none"/>
              </w:rPr>
            </w:pPr>
          </w:p>
        </w:tc>
        <w:tc>
          <w:tcPr>
            <w:tcW w:w="1207" w:type="dxa"/>
            <w:tcBorders>
              <w:left w:val="single" w:color="000000" w:sz="4" w:space="0"/>
            </w:tcBorders>
            <w:noWrap w:val="0"/>
            <w:vAlign w:val="top"/>
          </w:tcPr>
          <w:p w14:paraId="21CA8661">
            <w:pPr>
              <w:pStyle w:val="43"/>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pacing w:val="0"/>
                <w:sz w:val="21"/>
                <w:szCs w:val="21"/>
                <w:highlight w:val="none"/>
              </w:rPr>
            </w:pPr>
          </w:p>
        </w:tc>
      </w:tr>
      <w:tr w14:paraId="77942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6" w:hRule="atLeast"/>
        </w:trPr>
        <w:tc>
          <w:tcPr>
            <w:tcW w:w="866" w:type="dxa"/>
            <w:noWrap w:val="0"/>
            <w:vAlign w:val="top"/>
          </w:tcPr>
          <w:p w14:paraId="5AEA5C89">
            <w:pPr>
              <w:pStyle w:val="43"/>
              <w:keepNext w:val="0"/>
              <w:keepLines w:val="0"/>
              <w:suppressLineNumbers w:val="0"/>
              <w:spacing w:before="215" w:beforeAutospacing="0" w:after="0" w:afterAutospacing="0"/>
              <w:ind w:left="17" w:right="0"/>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5</w:t>
            </w:r>
          </w:p>
        </w:tc>
        <w:tc>
          <w:tcPr>
            <w:tcW w:w="2655" w:type="dxa"/>
            <w:tcBorders>
              <w:right w:val="single" w:color="000000" w:sz="4" w:space="0"/>
            </w:tcBorders>
            <w:noWrap w:val="0"/>
            <w:vAlign w:val="top"/>
          </w:tcPr>
          <w:p w14:paraId="154A2918">
            <w:pPr>
              <w:pStyle w:val="43"/>
              <w:keepNext w:val="0"/>
              <w:keepLines w:val="0"/>
              <w:suppressLineNumbers w:val="0"/>
              <w:spacing w:before="215" w:beforeAutospacing="0" w:after="0" w:afterAutospacing="0"/>
              <w:ind w:left="226" w:right="214"/>
              <w:jc w:val="center"/>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rPr>
              <w:t>质量</w:t>
            </w:r>
            <w:r>
              <w:rPr>
                <w:rFonts w:hint="eastAsia" w:asciiTheme="minorEastAsia" w:hAnsiTheme="minorEastAsia" w:eastAsiaTheme="minorEastAsia" w:cstheme="minorEastAsia"/>
                <w:color w:val="auto"/>
                <w:spacing w:val="0"/>
                <w:sz w:val="21"/>
                <w:szCs w:val="21"/>
                <w:highlight w:val="none"/>
                <w:lang w:eastAsia="zh-CN"/>
              </w:rPr>
              <w:t>要求</w:t>
            </w:r>
          </w:p>
        </w:tc>
        <w:tc>
          <w:tcPr>
            <w:tcW w:w="1985" w:type="dxa"/>
            <w:tcBorders>
              <w:left w:val="single" w:color="000000" w:sz="4" w:space="0"/>
              <w:right w:val="single" w:color="000000" w:sz="4" w:space="0"/>
            </w:tcBorders>
            <w:noWrap w:val="0"/>
            <w:vAlign w:val="top"/>
          </w:tcPr>
          <w:p w14:paraId="7277E303">
            <w:pPr>
              <w:pStyle w:val="43"/>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pacing w:val="0"/>
                <w:sz w:val="21"/>
                <w:szCs w:val="21"/>
                <w:highlight w:val="none"/>
              </w:rPr>
            </w:pPr>
          </w:p>
        </w:tc>
        <w:tc>
          <w:tcPr>
            <w:tcW w:w="2026" w:type="dxa"/>
            <w:tcBorders>
              <w:left w:val="single" w:color="000000" w:sz="4" w:space="0"/>
              <w:right w:val="single" w:color="000000" w:sz="4" w:space="0"/>
            </w:tcBorders>
            <w:noWrap w:val="0"/>
            <w:vAlign w:val="top"/>
          </w:tcPr>
          <w:p w14:paraId="5D7804DC">
            <w:pPr>
              <w:pStyle w:val="43"/>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pacing w:val="0"/>
                <w:sz w:val="21"/>
                <w:szCs w:val="21"/>
                <w:highlight w:val="none"/>
              </w:rPr>
            </w:pPr>
          </w:p>
        </w:tc>
        <w:tc>
          <w:tcPr>
            <w:tcW w:w="1207" w:type="dxa"/>
            <w:tcBorders>
              <w:left w:val="single" w:color="000000" w:sz="4" w:space="0"/>
            </w:tcBorders>
            <w:noWrap w:val="0"/>
            <w:vAlign w:val="top"/>
          </w:tcPr>
          <w:p w14:paraId="0AEA5085">
            <w:pPr>
              <w:pStyle w:val="43"/>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pacing w:val="0"/>
                <w:sz w:val="21"/>
                <w:szCs w:val="21"/>
                <w:highlight w:val="none"/>
              </w:rPr>
            </w:pPr>
          </w:p>
        </w:tc>
      </w:tr>
      <w:tr w14:paraId="76B59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8" w:hRule="atLeast"/>
        </w:trPr>
        <w:tc>
          <w:tcPr>
            <w:tcW w:w="866" w:type="dxa"/>
            <w:noWrap w:val="0"/>
            <w:vAlign w:val="top"/>
          </w:tcPr>
          <w:p w14:paraId="3A8CDB24">
            <w:pPr>
              <w:pStyle w:val="43"/>
              <w:keepNext w:val="0"/>
              <w:keepLines w:val="0"/>
              <w:suppressLineNumbers w:val="0"/>
              <w:spacing w:before="215" w:beforeAutospacing="0" w:after="0" w:afterAutospacing="0"/>
              <w:ind w:left="17" w:right="0"/>
              <w:jc w:val="center"/>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lang w:val="en-US" w:eastAsia="zh-CN"/>
              </w:rPr>
              <w:t>6</w:t>
            </w:r>
          </w:p>
        </w:tc>
        <w:tc>
          <w:tcPr>
            <w:tcW w:w="2655" w:type="dxa"/>
            <w:tcBorders>
              <w:right w:val="single" w:color="000000" w:sz="4" w:space="0"/>
            </w:tcBorders>
            <w:noWrap w:val="0"/>
            <w:vAlign w:val="top"/>
          </w:tcPr>
          <w:p w14:paraId="6CEDAA15">
            <w:pPr>
              <w:pStyle w:val="43"/>
              <w:keepNext w:val="0"/>
              <w:keepLines w:val="0"/>
              <w:suppressLineNumbers w:val="0"/>
              <w:spacing w:before="215" w:beforeAutospacing="0" w:after="0" w:afterAutospacing="0"/>
              <w:ind w:left="226" w:right="215"/>
              <w:jc w:val="center"/>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lang w:eastAsia="zh-CN"/>
              </w:rPr>
              <w:t>投标有效期</w:t>
            </w:r>
          </w:p>
        </w:tc>
        <w:tc>
          <w:tcPr>
            <w:tcW w:w="1985" w:type="dxa"/>
            <w:tcBorders>
              <w:left w:val="single" w:color="000000" w:sz="4" w:space="0"/>
              <w:right w:val="single" w:color="000000" w:sz="4" w:space="0"/>
            </w:tcBorders>
            <w:noWrap w:val="0"/>
            <w:vAlign w:val="top"/>
          </w:tcPr>
          <w:p w14:paraId="7042B3E0">
            <w:pPr>
              <w:pStyle w:val="43"/>
              <w:keepNext w:val="0"/>
              <w:keepLines w:val="0"/>
              <w:suppressLineNumbers w:val="0"/>
              <w:spacing w:before="215" w:beforeAutospacing="0" w:after="0" w:afterAutospacing="0"/>
              <w:ind w:left="373" w:right="361"/>
              <w:jc w:val="center"/>
              <w:rPr>
                <w:rFonts w:hint="eastAsia" w:asciiTheme="minorEastAsia" w:hAnsiTheme="minorEastAsia" w:eastAsiaTheme="minorEastAsia" w:cstheme="minorEastAsia"/>
                <w:color w:val="auto"/>
                <w:spacing w:val="0"/>
                <w:sz w:val="21"/>
                <w:szCs w:val="21"/>
                <w:highlight w:val="none"/>
                <w:lang w:val="en-US" w:eastAsia="zh-CN"/>
              </w:rPr>
            </w:pPr>
          </w:p>
        </w:tc>
        <w:tc>
          <w:tcPr>
            <w:tcW w:w="2026" w:type="dxa"/>
            <w:tcBorders>
              <w:left w:val="single" w:color="000000" w:sz="4" w:space="0"/>
              <w:right w:val="single" w:color="000000" w:sz="4" w:space="0"/>
            </w:tcBorders>
            <w:noWrap w:val="0"/>
            <w:vAlign w:val="top"/>
          </w:tcPr>
          <w:p w14:paraId="641B3B81">
            <w:pPr>
              <w:pStyle w:val="43"/>
              <w:keepNext w:val="0"/>
              <w:keepLines w:val="0"/>
              <w:suppressLineNumbers w:val="0"/>
              <w:spacing w:before="215" w:beforeAutospacing="0" w:after="0" w:afterAutospacing="0"/>
              <w:ind w:left="753" w:right="743"/>
              <w:jc w:val="center"/>
              <w:rPr>
                <w:rFonts w:hint="eastAsia" w:asciiTheme="minorEastAsia" w:hAnsiTheme="minorEastAsia" w:eastAsiaTheme="minorEastAsia" w:cstheme="minorEastAsia"/>
                <w:color w:val="auto"/>
                <w:spacing w:val="0"/>
                <w:sz w:val="21"/>
                <w:szCs w:val="21"/>
                <w:highlight w:val="none"/>
              </w:rPr>
            </w:pPr>
          </w:p>
        </w:tc>
        <w:tc>
          <w:tcPr>
            <w:tcW w:w="1207" w:type="dxa"/>
            <w:tcBorders>
              <w:left w:val="single" w:color="000000" w:sz="4" w:space="0"/>
            </w:tcBorders>
            <w:noWrap w:val="0"/>
            <w:vAlign w:val="top"/>
          </w:tcPr>
          <w:p w14:paraId="7BBA0D9F">
            <w:pPr>
              <w:pStyle w:val="43"/>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pacing w:val="0"/>
                <w:sz w:val="21"/>
                <w:szCs w:val="21"/>
                <w:highlight w:val="none"/>
              </w:rPr>
            </w:pPr>
          </w:p>
        </w:tc>
      </w:tr>
      <w:tr w14:paraId="0DA1F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6" w:hRule="atLeast"/>
        </w:trPr>
        <w:tc>
          <w:tcPr>
            <w:tcW w:w="866" w:type="dxa"/>
            <w:noWrap w:val="0"/>
            <w:vAlign w:val="top"/>
          </w:tcPr>
          <w:p w14:paraId="50DA96C8">
            <w:pPr>
              <w:pStyle w:val="43"/>
              <w:keepNext w:val="0"/>
              <w:keepLines w:val="0"/>
              <w:suppressLineNumbers w:val="0"/>
              <w:spacing w:before="213" w:beforeAutospacing="0" w:after="0" w:afterAutospacing="0"/>
              <w:ind w:left="17" w:right="0"/>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w:t>
            </w:r>
          </w:p>
        </w:tc>
        <w:tc>
          <w:tcPr>
            <w:tcW w:w="2655" w:type="dxa"/>
            <w:tcBorders>
              <w:right w:val="single" w:color="000000" w:sz="4" w:space="0"/>
            </w:tcBorders>
            <w:noWrap w:val="0"/>
            <w:vAlign w:val="top"/>
          </w:tcPr>
          <w:p w14:paraId="2E39D44B">
            <w:pPr>
              <w:pStyle w:val="43"/>
              <w:keepNext w:val="0"/>
              <w:keepLines w:val="0"/>
              <w:suppressLineNumbers w:val="0"/>
              <w:spacing w:before="213" w:beforeAutospacing="0" w:after="0" w:afterAutospacing="0"/>
              <w:ind w:left="226" w:right="215"/>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w:t>
            </w:r>
          </w:p>
        </w:tc>
        <w:tc>
          <w:tcPr>
            <w:tcW w:w="1985" w:type="dxa"/>
            <w:tcBorders>
              <w:left w:val="single" w:color="000000" w:sz="4" w:space="0"/>
              <w:right w:val="single" w:color="000000" w:sz="4" w:space="0"/>
            </w:tcBorders>
            <w:noWrap w:val="0"/>
            <w:vAlign w:val="top"/>
          </w:tcPr>
          <w:p w14:paraId="6914C48F">
            <w:pPr>
              <w:pStyle w:val="43"/>
              <w:keepNext w:val="0"/>
              <w:keepLines w:val="0"/>
              <w:suppressLineNumbers w:val="0"/>
              <w:spacing w:before="213" w:beforeAutospacing="0" w:after="0" w:afterAutospacing="0"/>
              <w:ind w:left="373" w:right="361"/>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w:t>
            </w:r>
          </w:p>
        </w:tc>
        <w:tc>
          <w:tcPr>
            <w:tcW w:w="2026" w:type="dxa"/>
            <w:tcBorders>
              <w:left w:val="single" w:color="000000" w:sz="4" w:space="0"/>
              <w:right w:val="single" w:color="000000" w:sz="4" w:space="0"/>
            </w:tcBorders>
            <w:noWrap w:val="0"/>
            <w:vAlign w:val="top"/>
          </w:tcPr>
          <w:p w14:paraId="2132D9C6">
            <w:pPr>
              <w:pStyle w:val="43"/>
              <w:keepNext w:val="0"/>
              <w:keepLines w:val="0"/>
              <w:suppressLineNumbers w:val="0"/>
              <w:spacing w:before="213" w:beforeAutospacing="0" w:after="0" w:afterAutospacing="0"/>
              <w:ind w:left="753" w:right="743"/>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w:t>
            </w:r>
          </w:p>
        </w:tc>
        <w:tc>
          <w:tcPr>
            <w:tcW w:w="1207" w:type="dxa"/>
            <w:tcBorders>
              <w:left w:val="single" w:color="000000" w:sz="4" w:space="0"/>
            </w:tcBorders>
            <w:noWrap w:val="0"/>
            <w:vAlign w:val="top"/>
          </w:tcPr>
          <w:p w14:paraId="6D570590">
            <w:pPr>
              <w:pStyle w:val="43"/>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pacing w:val="0"/>
                <w:sz w:val="21"/>
                <w:szCs w:val="21"/>
                <w:highlight w:val="none"/>
              </w:rPr>
            </w:pPr>
          </w:p>
        </w:tc>
      </w:tr>
    </w:tbl>
    <w:p w14:paraId="25282A6A">
      <w:pPr>
        <w:spacing w:line="336" w:lineRule="auto"/>
        <w:ind w:left="-4" w:leftChars="-2" w:right="-153" w:rightChars="-73" w:firstLine="363" w:firstLineChars="173"/>
        <w:jc w:val="center"/>
        <w:rPr>
          <w:rFonts w:hint="eastAsia" w:asciiTheme="minorEastAsia" w:hAnsiTheme="minorEastAsia" w:eastAsiaTheme="minorEastAsia" w:cstheme="minorEastAsia"/>
          <w:b/>
          <w:color w:val="auto"/>
          <w:szCs w:val="21"/>
          <w:highlight w:val="none"/>
        </w:rPr>
      </w:pPr>
    </w:p>
    <w:p w14:paraId="105C1A77">
      <w:pPr>
        <w:spacing w:line="336" w:lineRule="auto"/>
        <w:ind w:left="-4" w:leftChars="-2" w:right="-153" w:rightChars="-73" w:firstLine="363" w:firstLineChars="173"/>
        <w:jc w:val="center"/>
        <w:rPr>
          <w:rFonts w:hint="eastAsia" w:asciiTheme="minorEastAsia" w:hAnsiTheme="minorEastAsia" w:eastAsiaTheme="minorEastAsia" w:cstheme="minorEastAsia"/>
          <w:b/>
          <w:color w:val="auto"/>
          <w:szCs w:val="21"/>
          <w:highlight w:val="none"/>
        </w:rPr>
      </w:pPr>
    </w:p>
    <w:p w14:paraId="08919B48">
      <w:pPr>
        <w:spacing w:line="336" w:lineRule="auto"/>
        <w:ind w:left="-4" w:leftChars="-2" w:right="-153" w:rightChars="-73" w:firstLine="363" w:firstLineChars="173"/>
        <w:jc w:val="center"/>
        <w:rPr>
          <w:rFonts w:hint="eastAsia" w:asciiTheme="minorEastAsia" w:hAnsiTheme="minorEastAsia" w:eastAsiaTheme="minorEastAsia" w:cstheme="minorEastAsia"/>
          <w:b/>
          <w:color w:val="auto"/>
          <w:szCs w:val="21"/>
          <w:highlight w:val="none"/>
        </w:rPr>
      </w:pPr>
    </w:p>
    <w:p w14:paraId="3E638EEE">
      <w:pPr>
        <w:spacing w:line="48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磋商供应商</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（公章</w:t>
      </w:r>
      <w:r>
        <w:rPr>
          <w:rFonts w:hint="eastAsia" w:asciiTheme="minorEastAsia" w:hAnsiTheme="minorEastAsia" w:eastAsiaTheme="minorEastAsia" w:cstheme="minorEastAsia"/>
          <w:color w:val="auto"/>
          <w:szCs w:val="21"/>
          <w:highlight w:val="none"/>
          <w:lang w:val="en-US" w:eastAsia="zh-CN"/>
        </w:rPr>
        <w:t>或</w:t>
      </w:r>
      <w:r>
        <w:rPr>
          <w:rFonts w:hint="eastAsia" w:asciiTheme="minorEastAsia" w:hAnsiTheme="minorEastAsia" w:eastAsiaTheme="minorEastAsia" w:cstheme="minorEastAsia"/>
          <w:color w:val="auto"/>
          <w:szCs w:val="21"/>
          <w:highlight w:val="none"/>
          <w:lang w:eastAsia="zh-CN"/>
        </w:rPr>
        <w:t>电子CA签章</w:t>
      </w:r>
      <w:r>
        <w:rPr>
          <w:rFonts w:hint="eastAsia" w:asciiTheme="minorEastAsia" w:hAnsiTheme="minorEastAsia" w:eastAsiaTheme="minorEastAsia" w:cstheme="minorEastAsia"/>
          <w:color w:val="auto"/>
          <w:szCs w:val="21"/>
          <w:highlight w:val="none"/>
        </w:rPr>
        <w:t>）</w:t>
      </w:r>
    </w:p>
    <w:p w14:paraId="051B6263">
      <w:pPr>
        <w:spacing w:line="48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法定代表人（或授权委托代理人）：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（手写签名</w:t>
      </w:r>
      <w:r>
        <w:rPr>
          <w:rFonts w:hint="eastAsia" w:asciiTheme="minorEastAsia" w:hAnsiTheme="minorEastAsia" w:eastAsiaTheme="minorEastAsia" w:cstheme="minorEastAsia"/>
          <w:color w:val="auto"/>
          <w:szCs w:val="21"/>
          <w:highlight w:val="none"/>
          <w:lang w:val="en-US" w:eastAsia="zh-CN"/>
        </w:rPr>
        <w:t>或</w:t>
      </w:r>
      <w:r>
        <w:rPr>
          <w:rFonts w:hint="eastAsia" w:asciiTheme="minorEastAsia" w:hAnsiTheme="minorEastAsia" w:eastAsiaTheme="minorEastAsia" w:cstheme="minorEastAsia"/>
          <w:color w:val="auto"/>
          <w:szCs w:val="21"/>
          <w:highlight w:val="none"/>
        </w:rPr>
        <w:t xml:space="preserve">电子签名） </w:t>
      </w:r>
    </w:p>
    <w:p w14:paraId="66BFDB96">
      <w:pPr>
        <w:spacing w:line="48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none"/>
          <w:lang w:eastAsia="zh-CN"/>
        </w:rPr>
        <w:t>日期：</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w:t>
      </w:r>
    </w:p>
    <w:p w14:paraId="0F5504F5">
      <w:pPr>
        <w:numPr>
          <w:ilvl w:val="0"/>
          <w:numId w:val="0"/>
        </w:numPr>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Cs w:val="21"/>
          <w:highlight w:val="none"/>
        </w:rPr>
        <w:br w:type="page"/>
      </w:r>
      <w:r>
        <w:rPr>
          <w:rFonts w:hint="eastAsia" w:asciiTheme="minorEastAsia" w:hAnsiTheme="minorEastAsia" w:eastAsiaTheme="minorEastAsia" w:cstheme="minorEastAsia"/>
          <w:b/>
          <w:color w:val="auto"/>
          <w:kern w:val="0"/>
          <w:sz w:val="28"/>
          <w:szCs w:val="28"/>
          <w:highlight w:val="none"/>
          <w:lang w:val="en-US" w:eastAsia="zh-CN"/>
        </w:rPr>
        <w:t>二、</w:t>
      </w:r>
      <w:r>
        <w:rPr>
          <w:rFonts w:hint="eastAsia" w:asciiTheme="minorEastAsia" w:hAnsiTheme="minorEastAsia" w:eastAsiaTheme="minorEastAsia" w:cstheme="minorEastAsia"/>
          <w:b/>
          <w:color w:val="auto"/>
          <w:kern w:val="0"/>
          <w:sz w:val="28"/>
          <w:szCs w:val="28"/>
          <w:highlight w:val="none"/>
        </w:rPr>
        <w:t>竞标人基本情况表</w:t>
      </w:r>
    </w:p>
    <w:p w14:paraId="226D2377">
      <w:pPr>
        <w:pStyle w:val="38"/>
        <w:numPr>
          <w:ilvl w:val="0"/>
          <w:numId w:val="0"/>
        </w:numPr>
        <w:rPr>
          <w:rFonts w:hint="eastAsia" w:asciiTheme="minorEastAsia" w:hAnsiTheme="minorEastAsia" w:eastAsiaTheme="minorEastAsia" w:cstheme="minorEastAsia"/>
          <w:color w:val="auto"/>
          <w:highlight w:val="none"/>
        </w:rPr>
      </w:pPr>
    </w:p>
    <w:tbl>
      <w:tblPr>
        <w:tblStyle w:val="19"/>
        <w:tblW w:w="10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917"/>
        <w:gridCol w:w="1377"/>
        <w:gridCol w:w="1172"/>
        <w:gridCol w:w="1540"/>
        <w:gridCol w:w="1016"/>
        <w:gridCol w:w="2735"/>
      </w:tblGrid>
      <w:tr w14:paraId="197CD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0"/>
            <w:vAlign w:val="center"/>
          </w:tcPr>
          <w:p w14:paraId="1D3E212A">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竞标人名称</w:t>
            </w:r>
          </w:p>
        </w:tc>
        <w:tc>
          <w:tcPr>
            <w:tcW w:w="8757" w:type="dxa"/>
            <w:gridSpan w:val="6"/>
            <w:noWrap w:val="0"/>
            <w:vAlign w:val="center"/>
          </w:tcPr>
          <w:p w14:paraId="2A17CCAA">
            <w:pPr>
              <w:spacing w:line="300" w:lineRule="exact"/>
              <w:jc w:val="center"/>
              <w:rPr>
                <w:rFonts w:hint="eastAsia" w:asciiTheme="minorEastAsia" w:hAnsiTheme="minorEastAsia" w:eastAsiaTheme="minorEastAsia" w:cstheme="minorEastAsia"/>
                <w:color w:val="auto"/>
                <w:szCs w:val="21"/>
                <w:highlight w:val="none"/>
              </w:rPr>
            </w:pPr>
          </w:p>
        </w:tc>
      </w:tr>
      <w:tr w14:paraId="591C8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0"/>
            <w:vAlign w:val="center"/>
          </w:tcPr>
          <w:p w14:paraId="732F2E26">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注册地址</w:t>
            </w:r>
          </w:p>
        </w:tc>
        <w:tc>
          <w:tcPr>
            <w:tcW w:w="3466" w:type="dxa"/>
            <w:gridSpan w:val="3"/>
            <w:noWrap w:val="0"/>
            <w:vAlign w:val="center"/>
          </w:tcPr>
          <w:p w14:paraId="1C6E1981">
            <w:pPr>
              <w:spacing w:line="300" w:lineRule="exact"/>
              <w:jc w:val="center"/>
              <w:rPr>
                <w:rFonts w:hint="eastAsia" w:asciiTheme="minorEastAsia" w:hAnsiTheme="minorEastAsia" w:eastAsiaTheme="minorEastAsia" w:cstheme="minorEastAsia"/>
                <w:color w:val="auto"/>
                <w:szCs w:val="21"/>
                <w:highlight w:val="none"/>
              </w:rPr>
            </w:pPr>
          </w:p>
        </w:tc>
        <w:tc>
          <w:tcPr>
            <w:tcW w:w="1540" w:type="dxa"/>
            <w:noWrap w:val="0"/>
            <w:vAlign w:val="center"/>
          </w:tcPr>
          <w:p w14:paraId="66FF9C24">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邮政编码</w:t>
            </w:r>
          </w:p>
        </w:tc>
        <w:tc>
          <w:tcPr>
            <w:tcW w:w="3751" w:type="dxa"/>
            <w:gridSpan w:val="2"/>
            <w:noWrap w:val="0"/>
            <w:vAlign w:val="center"/>
          </w:tcPr>
          <w:p w14:paraId="3EFF2F7C">
            <w:pPr>
              <w:spacing w:line="300" w:lineRule="exact"/>
              <w:jc w:val="center"/>
              <w:rPr>
                <w:rFonts w:hint="eastAsia" w:asciiTheme="minorEastAsia" w:hAnsiTheme="minorEastAsia" w:eastAsiaTheme="minorEastAsia" w:cstheme="minorEastAsia"/>
                <w:color w:val="auto"/>
                <w:szCs w:val="21"/>
                <w:highlight w:val="none"/>
              </w:rPr>
            </w:pPr>
          </w:p>
        </w:tc>
      </w:tr>
      <w:tr w14:paraId="0B8A1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vMerge w:val="restart"/>
            <w:noWrap w:val="0"/>
            <w:vAlign w:val="center"/>
          </w:tcPr>
          <w:p w14:paraId="208D5E1D">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联系方式</w:t>
            </w:r>
          </w:p>
        </w:tc>
        <w:tc>
          <w:tcPr>
            <w:tcW w:w="917" w:type="dxa"/>
            <w:noWrap w:val="0"/>
            <w:vAlign w:val="center"/>
          </w:tcPr>
          <w:p w14:paraId="69A2A824">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联系人</w:t>
            </w:r>
          </w:p>
        </w:tc>
        <w:tc>
          <w:tcPr>
            <w:tcW w:w="2549" w:type="dxa"/>
            <w:gridSpan w:val="2"/>
            <w:noWrap w:val="0"/>
            <w:vAlign w:val="center"/>
          </w:tcPr>
          <w:p w14:paraId="659E4C7F">
            <w:pPr>
              <w:spacing w:line="300" w:lineRule="exact"/>
              <w:jc w:val="center"/>
              <w:rPr>
                <w:rFonts w:hint="eastAsia" w:asciiTheme="minorEastAsia" w:hAnsiTheme="minorEastAsia" w:eastAsiaTheme="minorEastAsia" w:cstheme="minorEastAsia"/>
                <w:color w:val="auto"/>
                <w:szCs w:val="21"/>
                <w:highlight w:val="none"/>
              </w:rPr>
            </w:pPr>
          </w:p>
        </w:tc>
        <w:tc>
          <w:tcPr>
            <w:tcW w:w="1540" w:type="dxa"/>
            <w:noWrap w:val="0"/>
            <w:vAlign w:val="center"/>
          </w:tcPr>
          <w:p w14:paraId="62ABF946">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电话</w:t>
            </w:r>
          </w:p>
        </w:tc>
        <w:tc>
          <w:tcPr>
            <w:tcW w:w="3751" w:type="dxa"/>
            <w:gridSpan w:val="2"/>
            <w:noWrap w:val="0"/>
            <w:vAlign w:val="center"/>
          </w:tcPr>
          <w:p w14:paraId="5D5DA498">
            <w:pPr>
              <w:spacing w:line="300" w:lineRule="exact"/>
              <w:jc w:val="center"/>
              <w:rPr>
                <w:rFonts w:hint="eastAsia" w:asciiTheme="minorEastAsia" w:hAnsiTheme="minorEastAsia" w:eastAsiaTheme="minorEastAsia" w:cstheme="minorEastAsia"/>
                <w:color w:val="auto"/>
                <w:szCs w:val="21"/>
                <w:highlight w:val="none"/>
              </w:rPr>
            </w:pPr>
          </w:p>
        </w:tc>
      </w:tr>
      <w:tr w14:paraId="725FC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vMerge w:val="continue"/>
            <w:noWrap w:val="0"/>
            <w:vAlign w:val="center"/>
          </w:tcPr>
          <w:p w14:paraId="584A404A">
            <w:pPr>
              <w:spacing w:line="300" w:lineRule="exact"/>
              <w:jc w:val="center"/>
              <w:rPr>
                <w:rFonts w:hint="eastAsia" w:asciiTheme="minorEastAsia" w:hAnsiTheme="minorEastAsia" w:eastAsiaTheme="minorEastAsia" w:cstheme="minorEastAsia"/>
                <w:color w:val="auto"/>
                <w:szCs w:val="21"/>
                <w:highlight w:val="none"/>
              </w:rPr>
            </w:pPr>
          </w:p>
        </w:tc>
        <w:tc>
          <w:tcPr>
            <w:tcW w:w="917" w:type="dxa"/>
            <w:noWrap w:val="0"/>
            <w:vAlign w:val="center"/>
          </w:tcPr>
          <w:p w14:paraId="7C5A5B28">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传真</w:t>
            </w:r>
          </w:p>
        </w:tc>
        <w:tc>
          <w:tcPr>
            <w:tcW w:w="2549" w:type="dxa"/>
            <w:gridSpan w:val="2"/>
            <w:noWrap w:val="0"/>
            <w:vAlign w:val="center"/>
          </w:tcPr>
          <w:p w14:paraId="6F3DADE7">
            <w:pPr>
              <w:spacing w:line="300" w:lineRule="exact"/>
              <w:jc w:val="center"/>
              <w:rPr>
                <w:rFonts w:hint="eastAsia" w:asciiTheme="minorEastAsia" w:hAnsiTheme="minorEastAsia" w:eastAsiaTheme="minorEastAsia" w:cstheme="minorEastAsia"/>
                <w:color w:val="auto"/>
                <w:szCs w:val="21"/>
                <w:highlight w:val="none"/>
              </w:rPr>
            </w:pPr>
          </w:p>
        </w:tc>
        <w:tc>
          <w:tcPr>
            <w:tcW w:w="1540" w:type="dxa"/>
            <w:noWrap w:val="0"/>
            <w:vAlign w:val="center"/>
          </w:tcPr>
          <w:p w14:paraId="6C5C4E31">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网址</w:t>
            </w:r>
          </w:p>
        </w:tc>
        <w:tc>
          <w:tcPr>
            <w:tcW w:w="3751" w:type="dxa"/>
            <w:gridSpan w:val="2"/>
            <w:noWrap w:val="0"/>
            <w:vAlign w:val="center"/>
          </w:tcPr>
          <w:p w14:paraId="5AA69087">
            <w:pPr>
              <w:spacing w:line="300" w:lineRule="exact"/>
              <w:jc w:val="center"/>
              <w:rPr>
                <w:rFonts w:hint="eastAsia" w:asciiTheme="minorEastAsia" w:hAnsiTheme="minorEastAsia" w:eastAsiaTheme="minorEastAsia" w:cstheme="minorEastAsia"/>
                <w:color w:val="auto"/>
                <w:szCs w:val="21"/>
                <w:highlight w:val="none"/>
              </w:rPr>
            </w:pPr>
          </w:p>
        </w:tc>
      </w:tr>
      <w:tr w14:paraId="495DB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0"/>
            <w:vAlign w:val="center"/>
          </w:tcPr>
          <w:p w14:paraId="538C71B8">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组织机构</w:t>
            </w:r>
          </w:p>
        </w:tc>
        <w:tc>
          <w:tcPr>
            <w:tcW w:w="8757" w:type="dxa"/>
            <w:gridSpan w:val="6"/>
            <w:noWrap w:val="0"/>
            <w:vAlign w:val="center"/>
          </w:tcPr>
          <w:p w14:paraId="33FCC3AE">
            <w:pPr>
              <w:spacing w:line="300" w:lineRule="exact"/>
              <w:jc w:val="center"/>
              <w:rPr>
                <w:rFonts w:hint="eastAsia" w:asciiTheme="minorEastAsia" w:hAnsiTheme="minorEastAsia" w:eastAsiaTheme="minorEastAsia" w:cstheme="minorEastAsia"/>
                <w:color w:val="auto"/>
                <w:szCs w:val="21"/>
                <w:highlight w:val="none"/>
              </w:rPr>
            </w:pPr>
          </w:p>
        </w:tc>
      </w:tr>
      <w:tr w14:paraId="1692A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0"/>
            <w:vAlign w:val="center"/>
          </w:tcPr>
          <w:p w14:paraId="1864F74B">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法定代表人</w:t>
            </w:r>
          </w:p>
        </w:tc>
        <w:tc>
          <w:tcPr>
            <w:tcW w:w="917" w:type="dxa"/>
            <w:noWrap w:val="0"/>
            <w:vAlign w:val="center"/>
          </w:tcPr>
          <w:p w14:paraId="35BCBE66">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姓名</w:t>
            </w:r>
          </w:p>
        </w:tc>
        <w:tc>
          <w:tcPr>
            <w:tcW w:w="1377" w:type="dxa"/>
            <w:noWrap w:val="0"/>
            <w:vAlign w:val="center"/>
          </w:tcPr>
          <w:p w14:paraId="43EF4A84">
            <w:pPr>
              <w:spacing w:line="300" w:lineRule="exact"/>
              <w:jc w:val="center"/>
              <w:rPr>
                <w:rFonts w:hint="eastAsia" w:asciiTheme="minorEastAsia" w:hAnsiTheme="minorEastAsia" w:eastAsiaTheme="minorEastAsia" w:cstheme="minorEastAsia"/>
                <w:color w:val="auto"/>
                <w:szCs w:val="21"/>
                <w:highlight w:val="none"/>
              </w:rPr>
            </w:pPr>
          </w:p>
        </w:tc>
        <w:tc>
          <w:tcPr>
            <w:tcW w:w="1172" w:type="dxa"/>
            <w:noWrap w:val="0"/>
            <w:vAlign w:val="center"/>
          </w:tcPr>
          <w:p w14:paraId="1C5809A1">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技术职称</w:t>
            </w:r>
          </w:p>
        </w:tc>
        <w:tc>
          <w:tcPr>
            <w:tcW w:w="1540" w:type="dxa"/>
            <w:noWrap w:val="0"/>
            <w:vAlign w:val="center"/>
          </w:tcPr>
          <w:p w14:paraId="4BA98E73">
            <w:pPr>
              <w:spacing w:line="300" w:lineRule="exact"/>
              <w:jc w:val="center"/>
              <w:rPr>
                <w:rFonts w:hint="eastAsia" w:asciiTheme="minorEastAsia" w:hAnsiTheme="minorEastAsia" w:eastAsiaTheme="minorEastAsia" w:cstheme="minorEastAsia"/>
                <w:color w:val="auto"/>
                <w:szCs w:val="21"/>
                <w:highlight w:val="none"/>
              </w:rPr>
            </w:pPr>
          </w:p>
        </w:tc>
        <w:tc>
          <w:tcPr>
            <w:tcW w:w="1016" w:type="dxa"/>
            <w:noWrap w:val="0"/>
            <w:vAlign w:val="center"/>
          </w:tcPr>
          <w:p w14:paraId="58659CC5">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电话</w:t>
            </w:r>
          </w:p>
        </w:tc>
        <w:tc>
          <w:tcPr>
            <w:tcW w:w="2735" w:type="dxa"/>
            <w:noWrap w:val="0"/>
            <w:vAlign w:val="center"/>
          </w:tcPr>
          <w:p w14:paraId="06783842">
            <w:pPr>
              <w:spacing w:line="300" w:lineRule="exact"/>
              <w:jc w:val="center"/>
              <w:rPr>
                <w:rFonts w:hint="eastAsia" w:asciiTheme="minorEastAsia" w:hAnsiTheme="minorEastAsia" w:eastAsiaTheme="minorEastAsia" w:cstheme="minorEastAsia"/>
                <w:color w:val="auto"/>
                <w:szCs w:val="21"/>
                <w:highlight w:val="none"/>
              </w:rPr>
            </w:pPr>
          </w:p>
        </w:tc>
      </w:tr>
      <w:tr w14:paraId="2EA2A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0"/>
            <w:vAlign w:val="center"/>
          </w:tcPr>
          <w:p w14:paraId="23D98FDD">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技术负责人</w:t>
            </w:r>
          </w:p>
        </w:tc>
        <w:tc>
          <w:tcPr>
            <w:tcW w:w="917" w:type="dxa"/>
            <w:noWrap w:val="0"/>
            <w:vAlign w:val="center"/>
          </w:tcPr>
          <w:p w14:paraId="59D54FE5">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姓名</w:t>
            </w:r>
          </w:p>
        </w:tc>
        <w:tc>
          <w:tcPr>
            <w:tcW w:w="1377" w:type="dxa"/>
            <w:noWrap w:val="0"/>
            <w:vAlign w:val="center"/>
          </w:tcPr>
          <w:p w14:paraId="0F10733B">
            <w:pPr>
              <w:spacing w:line="300" w:lineRule="exact"/>
              <w:jc w:val="center"/>
              <w:rPr>
                <w:rFonts w:hint="eastAsia" w:asciiTheme="minorEastAsia" w:hAnsiTheme="minorEastAsia" w:eastAsiaTheme="minorEastAsia" w:cstheme="minorEastAsia"/>
                <w:color w:val="auto"/>
                <w:szCs w:val="21"/>
                <w:highlight w:val="none"/>
              </w:rPr>
            </w:pPr>
          </w:p>
        </w:tc>
        <w:tc>
          <w:tcPr>
            <w:tcW w:w="1172" w:type="dxa"/>
            <w:noWrap w:val="0"/>
            <w:vAlign w:val="center"/>
          </w:tcPr>
          <w:p w14:paraId="5DFD8913">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技术职称</w:t>
            </w:r>
          </w:p>
        </w:tc>
        <w:tc>
          <w:tcPr>
            <w:tcW w:w="1540" w:type="dxa"/>
            <w:noWrap w:val="0"/>
            <w:vAlign w:val="center"/>
          </w:tcPr>
          <w:p w14:paraId="0506364A">
            <w:pPr>
              <w:spacing w:line="300" w:lineRule="exact"/>
              <w:jc w:val="center"/>
              <w:rPr>
                <w:rFonts w:hint="eastAsia" w:asciiTheme="minorEastAsia" w:hAnsiTheme="minorEastAsia" w:eastAsiaTheme="minorEastAsia" w:cstheme="minorEastAsia"/>
                <w:color w:val="auto"/>
                <w:szCs w:val="21"/>
                <w:highlight w:val="none"/>
              </w:rPr>
            </w:pPr>
          </w:p>
        </w:tc>
        <w:tc>
          <w:tcPr>
            <w:tcW w:w="1016" w:type="dxa"/>
            <w:noWrap w:val="0"/>
            <w:vAlign w:val="center"/>
          </w:tcPr>
          <w:p w14:paraId="37468E67">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电话</w:t>
            </w:r>
          </w:p>
        </w:tc>
        <w:tc>
          <w:tcPr>
            <w:tcW w:w="2735" w:type="dxa"/>
            <w:noWrap w:val="0"/>
            <w:vAlign w:val="center"/>
          </w:tcPr>
          <w:p w14:paraId="16772C6D">
            <w:pPr>
              <w:spacing w:line="300" w:lineRule="exact"/>
              <w:jc w:val="center"/>
              <w:rPr>
                <w:rFonts w:hint="eastAsia" w:asciiTheme="minorEastAsia" w:hAnsiTheme="minorEastAsia" w:eastAsiaTheme="minorEastAsia" w:cstheme="minorEastAsia"/>
                <w:color w:val="auto"/>
                <w:szCs w:val="21"/>
                <w:highlight w:val="none"/>
              </w:rPr>
            </w:pPr>
          </w:p>
        </w:tc>
      </w:tr>
      <w:tr w14:paraId="25CAA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0"/>
            <w:vAlign w:val="center"/>
          </w:tcPr>
          <w:p w14:paraId="27F4EAB1">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成立时间</w:t>
            </w:r>
          </w:p>
        </w:tc>
        <w:tc>
          <w:tcPr>
            <w:tcW w:w="2294" w:type="dxa"/>
            <w:gridSpan w:val="2"/>
            <w:noWrap w:val="0"/>
            <w:vAlign w:val="center"/>
          </w:tcPr>
          <w:p w14:paraId="22608115">
            <w:pPr>
              <w:spacing w:line="300" w:lineRule="exact"/>
              <w:jc w:val="center"/>
              <w:rPr>
                <w:rFonts w:hint="eastAsia" w:asciiTheme="minorEastAsia" w:hAnsiTheme="minorEastAsia" w:eastAsiaTheme="minorEastAsia" w:cstheme="minorEastAsia"/>
                <w:color w:val="auto"/>
                <w:szCs w:val="21"/>
                <w:highlight w:val="none"/>
              </w:rPr>
            </w:pPr>
          </w:p>
        </w:tc>
        <w:tc>
          <w:tcPr>
            <w:tcW w:w="6463" w:type="dxa"/>
            <w:gridSpan w:val="4"/>
            <w:noWrap w:val="0"/>
            <w:vAlign w:val="center"/>
          </w:tcPr>
          <w:p w14:paraId="19043CF9">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员工总人数：</w:t>
            </w:r>
          </w:p>
        </w:tc>
      </w:tr>
      <w:tr w14:paraId="3F0A2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0"/>
            <w:vAlign w:val="center"/>
          </w:tcPr>
          <w:p w14:paraId="41EEB745">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企业资质等级</w:t>
            </w:r>
          </w:p>
        </w:tc>
        <w:tc>
          <w:tcPr>
            <w:tcW w:w="2294" w:type="dxa"/>
            <w:gridSpan w:val="2"/>
            <w:noWrap w:val="0"/>
            <w:vAlign w:val="center"/>
          </w:tcPr>
          <w:p w14:paraId="7CCE7438">
            <w:pPr>
              <w:spacing w:line="300" w:lineRule="exact"/>
              <w:jc w:val="center"/>
              <w:rPr>
                <w:rFonts w:hint="eastAsia" w:asciiTheme="minorEastAsia" w:hAnsiTheme="minorEastAsia" w:eastAsiaTheme="minorEastAsia" w:cstheme="minorEastAsia"/>
                <w:color w:val="auto"/>
                <w:szCs w:val="21"/>
                <w:highlight w:val="none"/>
              </w:rPr>
            </w:pPr>
          </w:p>
        </w:tc>
        <w:tc>
          <w:tcPr>
            <w:tcW w:w="1172" w:type="dxa"/>
            <w:vMerge w:val="restart"/>
            <w:noWrap w:val="0"/>
            <w:vAlign w:val="center"/>
          </w:tcPr>
          <w:p w14:paraId="21A67BC2">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其中</w:t>
            </w:r>
          </w:p>
        </w:tc>
        <w:tc>
          <w:tcPr>
            <w:tcW w:w="1540" w:type="dxa"/>
            <w:noWrap w:val="0"/>
            <w:vAlign w:val="center"/>
          </w:tcPr>
          <w:p w14:paraId="40BAE1DA">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项目经理</w:t>
            </w:r>
          </w:p>
        </w:tc>
        <w:tc>
          <w:tcPr>
            <w:tcW w:w="3751" w:type="dxa"/>
            <w:gridSpan w:val="2"/>
            <w:noWrap w:val="0"/>
            <w:vAlign w:val="center"/>
          </w:tcPr>
          <w:p w14:paraId="4170B305">
            <w:pPr>
              <w:spacing w:line="300" w:lineRule="exact"/>
              <w:jc w:val="center"/>
              <w:rPr>
                <w:rFonts w:hint="eastAsia" w:asciiTheme="minorEastAsia" w:hAnsiTheme="minorEastAsia" w:eastAsiaTheme="minorEastAsia" w:cstheme="minorEastAsia"/>
                <w:color w:val="auto"/>
                <w:szCs w:val="21"/>
                <w:highlight w:val="none"/>
              </w:rPr>
            </w:pPr>
          </w:p>
        </w:tc>
      </w:tr>
      <w:tr w14:paraId="7E792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0"/>
            <w:vAlign w:val="center"/>
          </w:tcPr>
          <w:p w14:paraId="7CD994AA">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营业执照号</w:t>
            </w:r>
          </w:p>
        </w:tc>
        <w:tc>
          <w:tcPr>
            <w:tcW w:w="2294" w:type="dxa"/>
            <w:gridSpan w:val="2"/>
            <w:noWrap w:val="0"/>
            <w:vAlign w:val="center"/>
          </w:tcPr>
          <w:p w14:paraId="241FD9E6">
            <w:pPr>
              <w:spacing w:line="300" w:lineRule="exact"/>
              <w:jc w:val="center"/>
              <w:rPr>
                <w:rFonts w:hint="eastAsia" w:asciiTheme="minorEastAsia" w:hAnsiTheme="minorEastAsia" w:eastAsiaTheme="minorEastAsia" w:cstheme="minorEastAsia"/>
                <w:color w:val="auto"/>
                <w:szCs w:val="21"/>
                <w:highlight w:val="none"/>
              </w:rPr>
            </w:pPr>
          </w:p>
        </w:tc>
        <w:tc>
          <w:tcPr>
            <w:tcW w:w="1172" w:type="dxa"/>
            <w:vMerge w:val="continue"/>
            <w:noWrap w:val="0"/>
            <w:vAlign w:val="center"/>
          </w:tcPr>
          <w:p w14:paraId="0E5456D8">
            <w:pPr>
              <w:spacing w:line="300" w:lineRule="exact"/>
              <w:jc w:val="center"/>
              <w:rPr>
                <w:rFonts w:hint="eastAsia" w:asciiTheme="minorEastAsia" w:hAnsiTheme="minorEastAsia" w:eastAsiaTheme="minorEastAsia" w:cstheme="minorEastAsia"/>
                <w:color w:val="auto"/>
                <w:szCs w:val="21"/>
                <w:highlight w:val="none"/>
              </w:rPr>
            </w:pPr>
          </w:p>
        </w:tc>
        <w:tc>
          <w:tcPr>
            <w:tcW w:w="1540" w:type="dxa"/>
            <w:noWrap w:val="0"/>
            <w:vAlign w:val="center"/>
          </w:tcPr>
          <w:p w14:paraId="132E7B24">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高级职称人员</w:t>
            </w:r>
          </w:p>
        </w:tc>
        <w:tc>
          <w:tcPr>
            <w:tcW w:w="3751" w:type="dxa"/>
            <w:gridSpan w:val="2"/>
            <w:noWrap w:val="0"/>
            <w:vAlign w:val="center"/>
          </w:tcPr>
          <w:p w14:paraId="1C88B099">
            <w:pPr>
              <w:spacing w:line="300" w:lineRule="exact"/>
              <w:jc w:val="center"/>
              <w:rPr>
                <w:rFonts w:hint="eastAsia" w:asciiTheme="minorEastAsia" w:hAnsiTheme="minorEastAsia" w:eastAsiaTheme="minorEastAsia" w:cstheme="minorEastAsia"/>
                <w:color w:val="auto"/>
                <w:szCs w:val="21"/>
                <w:highlight w:val="none"/>
              </w:rPr>
            </w:pPr>
          </w:p>
        </w:tc>
      </w:tr>
      <w:tr w14:paraId="7610A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0"/>
            <w:vAlign w:val="center"/>
          </w:tcPr>
          <w:p w14:paraId="02738495">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注册资金</w:t>
            </w:r>
          </w:p>
        </w:tc>
        <w:tc>
          <w:tcPr>
            <w:tcW w:w="2294" w:type="dxa"/>
            <w:gridSpan w:val="2"/>
            <w:noWrap w:val="0"/>
            <w:vAlign w:val="center"/>
          </w:tcPr>
          <w:p w14:paraId="3B565D38">
            <w:pPr>
              <w:spacing w:line="300" w:lineRule="exact"/>
              <w:jc w:val="center"/>
              <w:rPr>
                <w:rFonts w:hint="eastAsia" w:asciiTheme="minorEastAsia" w:hAnsiTheme="minorEastAsia" w:eastAsiaTheme="minorEastAsia" w:cstheme="minorEastAsia"/>
                <w:color w:val="auto"/>
                <w:szCs w:val="21"/>
                <w:highlight w:val="none"/>
              </w:rPr>
            </w:pPr>
          </w:p>
        </w:tc>
        <w:tc>
          <w:tcPr>
            <w:tcW w:w="1172" w:type="dxa"/>
            <w:vMerge w:val="continue"/>
            <w:noWrap w:val="0"/>
            <w:vAlign w:val="center"/>
          </w:tcPr>
          <w:p w14:paraId="589222BC">
            <w:pPr>
              <w:spacing w:line="300" w:lineRule="exact"/>
              <w:jc w:val="center"/>
              <w:rPr>
                <w:rFonts w:hint="eastAsia" w:asciiTheme="minorEastAsia" w:hAnsiTheme="minorEastAsia" w:eastAsiaTheme="minorEastAsia" w:cstheme="minorEastAsia"/>
                <w:color w:val="auto"/>
                <w:szCs w:val="21"/>
                <w:highlight w:val="none"/>
              </w:rPr>
            </w:pPr>
          </w:p>
        </w:tc>
        <w:tc>
          <w:tcPr>
            <w:tcW w:w="1540" w:type="dxa"/>
            <w:noWrap w:val="0"/>
            <w:vAlign w:val="center"/>
          </w:tcPr>
          <w:p w14:paraId="4021DA37">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中级职称人员</w:t>
            </w:r>
          </w:p>
        </w:tc>
        <w:tc>
          <w:tcPr>
            <w:tcW w:w="3751" w:type="dxa"/>
            <w:gridSpan w:val="2"/>
            <w:noWrap w:val="0"/>
            <w:vAlign w:val="center"/>
          </w:tcPr>
          <w:p w14:paraId="7C970D88">
            <w:pPr>
              <w:spacing w:line="300" w:lineRule="exact"/>
              <w:jc w:val="center"/>
              <w:rPr>
                <w:rFonts w:hint="eastAsia" w:asciiTheme="minorEastAsia" w:hAnsiTheme="minorEastAsia" w:eastAsiaTheme="minorEastAsia" w:cstheme="minorEastAsia"/>
                <w:color w:val="auto"/>
                <w:szCs w:val="21"/>
                <w:highlight w:val="none"/>
              </w:rPr>
            </w:pPr>
          </w:p>
        </w:tc>
      </w:tr>
      <w:tr w14:paraId="64C96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0"/>
            <w:vAlign w:val="center"/>
          </w:tcPr>
          <w:p w14:paraId="482108B6">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开户银行</w:t>
            </w:r>
          </w:p>
        </w:tc>
        <w:tc>
          <w:tcPr>
            <w:tcW w:w="2294" w:type="dxa"/>
            <w:gridSpan w:val="2"/>
            <w:noWrap w:val="0"/>
            <w:vAlign w:val="center"/>
          </w:tcPr>
          <w:p w14:paraId="5D8EC7BD">
            <w:pPr>
              <w:spacing w:line="300" w:lineRule="exact"/>
              <w:jc w:val="center"/>
              <w:rPr>
                <w:rFonts w:hint="eastAsia" w:asciiTheme="minorEastAsia" w:hAnsiTheme="minorEastAsia" w:eastAsiaTheme="minorEastAsia" w:cstheme="minorEastAsia"/>
                <w:color w:val="auto"/>
                <w:szCs w:val="21"/>
                <w:highlight w:val="none"/>
              </w:rPr>
            </w:pPr>
          </w:p>
        </w:tc>
        <w:tc>
          <w:tcPr>
            <w:tcW w:w="1172" w:type="dxa"/>
            <w:vMerge w:val="continue"/>
            <w:noWrap w:val="0"/>
            <w:vAlign w:val="center"/>
          </w:tcPr>
          <w:p w14:paraId="0E425791">
            <w:pPr>
              <w:spacing w:line="300" w:lineRule="exact"/>
              <w:jc w:val="center"/>
              <w:rPr>
                <w:rFonts w:hint="eastAsia" w:asciiTheme="minorEastAsia" w:hAnsiTheme="minorEastAsia" w:eastAsiaTheme="minorEastAsia" w:cstheme="minorEastAsia"/>
                <w:color w:val="auto"/>
                <w:szCs w:val="21"/>
                <w:highlight w:val="none"/>
              </w:rPr>
            </w:pPr>
          </w:p>
        </w:tc>
        <w:tc>
          <w:tcPr>
            <w:tcW w:w="1540" w:type="dxa"/>
            <w:noWrap w:val="0"/>
            <w:vAlign w:val="center"/>
          </w:tcPr>
          <w:p w14:paraId="7B644EF3">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初级职称人员</w:t>
            </w:r>
          </w:p>
        </w:tc>
        <w:tc>
          <w:tcPr>
            <w:tcW w:w="3751" w:type="dxa"/>
            <w:gridSpan w:val="2"/>
            <w:noWrap w:val="0"/>
            <w:vAlign w:val="center"/>
          </w:tcPr>
          <w:p w14:paraId="67CD62CF">
            <w:pPr>
              <w:spacing w:line="300" w:lineRule="exact"/>
              <w:jc w:val="center"/>
              <w:rPr>
                <w:rFonts w:hint="eastAsia" w:asciiTheme="minorEastAsia" w:hAnsiTheme="minorEastAsia" w:eastAsiaTheme="minorEastAsia" w:cstheme="minorEastAsia"/>
                <w:color w:val="auto"/>
                <w:szCs w:val="21"/>
                <w:highlight w:val="none"/>
              </w:rPr>
            </w:pPr>
          </w:p>
        </w:tc>
      </w:tr>
      <w:tr w14:paraId="487C2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0"/>
            <w:vAlign w:val="center"/>
          </w:tcPr>
          <w:p w14:paraId="1D07CD21">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账号</w:t>
            </w:r>
          </w:p>
        </w:tc>
        <w:tc>
          <w:tcPr>
            <w:tcW w:w="2294" w:type="dxa"/>
            <w:gridSpan w:val="2"/>
            <w:noWrap w:val="0"/>
            <w:vAlign w:val="center"/>
          </w:tcPr>
          <w:p w14:paraId="0BC3A5E5">
            <w:pPr>
              <w:spacing w:line="300" w:lineRule="exact"/>
              <w:jc w:val="center"/>
              <w:rPr>
                <w:rFonts w:hint="eastAsia" w:asciiTheme="minorEastAsia" w:hAnsiTheme="minorEastAsia" w:eastAsiaTheme="minorEastAsia" w:cstheme="minorEastAsia"/>
                <w:color w:val="auto"/>
                <w:szCs w:val="21"/>
                <w:highlight w:val="none"/>
              </w:rPr>
            </w:pPr>
          </w:p>
        </w:tc>
        <w:tc>
          <w:tcPr>
            <w:tcW w:w="1172" w:type="dxa"/>
            <w:vMerge w:val="continue"/>
            <w:noWrap w:val="0"/>
            <w:vAlign w:val="center"/>
          </w:tcPr>
          <w:p w14:paraId="3ADD1586">
            <w:pPr>
              <w:spacing w:line="300" w:lineRule="exact"/>
              <w:jc w:val="center"/>
              <w:rPr>
                <w:rFonts w:hint="eastAsia" w:asciiTheme="minorEastAsia" w:hAnsiTheme="minorEastAsia" w:eastAsiaTheme="minorEastAsia" w:cstheme="minorEastAsia"/>
                <w:color w:val="auto"/>
                <w:szCs w:val="21"/>
                <w:highlight w:val="none"/>
              </w:rPr>
            </w:pPr>
          </w:p>
        </w:tc>
        <w:tc>
          <w:tcPr>
            <w:tcW w:w="1540" w:type="dxa"/>
            <w:noWrap w:val="0"/>
            <w:vAlign w:val="center"/>
          </w:tcPr>
          <w:p w14:paraId="7EBCA674">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技工</w:t>
            </w:r>
          </w:p>
        </w:tc>
        <w:tc>
          <w:tcPr>
            <w:tcW w:w="3751" w:type="dxa"/>
            <w:gridSpan w:val="2"/>
            <w:noWrap w:val="0"/>
            <w:vAlign w:val="center"/>
          </w:tcPr>
          <w:p w14:paraId="24F7CB6D">
            <w:pPr>
              <w:spacing w:line="300" w:lineRule="exact"/>
              <w:jc w:val="center"/>
              <w:rPr>
                <w:rFonts w:hint="eastAsia" w:asciiTheme="minorEastAsia" w:hAnsiTheme="minorEastAsia" w:eastAsiaTheme="minorEastAsia" w:cstheme="minorEastAsia"/>
                <w:color w:val="auto"/>
                <w:szCs w:val="21"/>
                <w:highlight w:val="none"/>
              </w:rPr>
            </w:pPr>
          </w:p>
        </w:tc>
      </w:tr>
      <w:tr w14:paraId="4E3E6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0"/>
            <w:vAlign w:val="center"/>
          </w:tcPr>
          <w:p w14:paraId="4C9E0F19">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经营范围</w:t>
            </w:r>
          </w:p>
        </w:tc>
        <w:tc>
          <w:tcPr>
            <w:tcW w:w="8757" w:type="dxa"/>
            <w:gridSpan w:val="6"/>
            <w:noWrap w:val="0"/>
            <w:vAlign w:val="center"/>
          </w:tcPr>
          <w:p w14:paraId="3C543D34">
            <w:pPr>
              <w:spacing w:line="300" w:lineRule="exact"/>
              <w:jc w:val="center"/>
              <w:rPr>
                <w:rFonts w:hint="eastAsia" w:asciiTheme="minorEastAsia" w:hAnsiTheme="minorEastAsia" w:eastAsiaTheme="minorEastAsia" w:cstheme="minorEastAsia"/>
                <w:color w:val="auto"/>
                <w:szCs w:val="21"/>
                <w:highlight w:val="none"/>
              </w:rPr>
            </w:pPr>
          </w:p>
        </w:tc>
      </w:tr>
      <w:tr w14:paraId="40FD8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0"/>
            <w:vAlign w:val="center"/>
          </w:tcPr>
          <w:p w14:paraId="01D5B440">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备注</w:t>
            </w:r>
          </w:p>
        </w:tc>
        <w:tc>
          <w:tcPr>
            <w:tcW w:w="8757" w:type="dxa"/>
            <w:gridSpan w:val="6"/>
            <w:noWrap w:val="0"/>
            <w:vAlign w:val="center"/>
          </w:tcPr>
          <w:p w14:paraId="0E98BC59">
            <w:pPr>
              <w:spacing w:line="300" w:lineRule="exact"/>
              <w:jc w:val="center"/>
              <w:rPr>
                <w:rFonts w:hint="eastAsia" w:asciiTheme="minorEastAsia" w:hAnsiTheme="minorEastAsia" w:eastAsiaTheme="minorEastAsia" w:cstheme="minorEastAsia"/>
                <w:color w:val="auto"/>
                <w:szCs w:val="21"/>
                <w:highlight w:val="none"/>
              </w:rPr>
            </w:pPr>
          </w:p>
        </w:tc>
      </w:tr>
    </w:tbl>
    <w:p w14:paraId="14DD22F4">
      <w:pPr>
        <w:jc w:val="left"/>
        <w:rPr>
          <w:rFonts w:hint="eastAsia" w:asciiTheme="minorEastAsia" w:hAnsiTheme="minorEastAsia" w:eastAsiaTheme="minorEastAsia" w:cstheme="minorEastAsia"/>
          <w:b w:val="0"/>
          <w:bCs/>
          <w:color w:val="auto"/>
          <w:sz w:val="21"/>
          <w:szCs w:val="21"/>
          <w:highlight w:val="none"/>
          <w:lang w:val="en-US" w:eastAsia="zh-CN"/>
        </w:rPr>
      </w:pPr>
    </w:p>
    <w:p w14:paraId="69A7B804">
      <w:pPr>
        <w:jc w:val="center"/>
        <w:rPr>
          <w:rFonts w:hint="eastAsia" w:asciiTheme="minorEastAsia" w:hAnsiTheme="minorEastAsia" w:eastAsiaTheme="minorEastAsia" w:cstheme="minorEastAsia"/>
          <w:b/>
          <w:color w:val="auto"/>
          <w:sz w:val="28"/>
          <w:szCs w:val="28"/>
          <w:highlight w:val="none"/>
          <w:lang w:val="en-US" w:eastAsia="zh-CN"/>
        </w:rPr>
      </w:pPr>
    </w:p>
    <w:p w14:paraId="25DA4615">
      <w:pPr>
        <w:spacing w:line="48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磋商供应商</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（公章</w:t>
      </w:r>
      <w:r>
        <w:rPr>
          <w:rFonts w:hint="eastAsia" w:asciiTheme="minorEastAsia" w:hAnsiTheme="minorEastAsia" w:eastAsiaTheme="minorEastAsia" w:cstheme="minorEastAsia"/>
          <w:color w:val="auto"/>
          <w:szCs w:val="21"/>
          <w:highlight w:val="none"/>
          <w:lang w:val="en-US" w:eastAsia="zh-CN"/>
        </w:rPr>
        <w:t>或</w:t>
      </w:r>
      <w:r>
        <w:rPr>
          <w:rFonts w:hint="eastAsia" w:asciiTheme="minorEastAsia" w:hAnsiTheme="minorEastAsia" w:eastAsiaTheme="minorEastAsia" w:cstheme="minorEastAsia"/>
          <w:color w:val="auto"/>
          <w:szCs w:val="21"/>
          <w:highlight w:val="none"/>
          <w:lang w:eastAsia="zh-CN"/>
        </w:rPr>
        <w:t>电子CA签章</w:t>
      </w:r>
      <w:r>
        <w:rPr>
          <w:rFonts w:hint="eastAsia" w:asciiTheme="minorEastAsia" w:hAnsiTheme="minorEastAsia" w:eastAsiaTheme="minorEastAsia" w:cstheme="minorEastAsia"/>
          <w:color w:val="auto"/>
          <w:szCs w:val="21"/>
          <w:highlight w:val="none"/>
        </w:rPr>
        <w:t>）</w:t>
      </w:r>
    </w:p>
    <w:p w14:paraId="33B12336">
      <w:pPr>
        <w:spacing w:line="48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法定代表人（或授权委托代理人）：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（手写签名</w:t>
      </w:r>
      <w:r>
        <w:rPr>
          <w:rFonts w:hint="eastAsia" w:asciiTheme="minorEastAsia" w:hAnsiTheme="minorEastAsia" w:eastAsiaTheme="minorEastAsia" w:cstheme="minorEastAsia"/>
          <w:color w:val="auto"/>
          <w:szCs w:val="21"/>
          <w:highlight w:val="none"/>
          <w:lang w:val="en-US" w:eastAsia="zh-CN"/>
        </w:rPr>
        <w:t>或</w:t>
      </w:r>
      <w:r>
        <w:rPr>
          <w:rFonts w:hint="eastAsia" w:asciiTheme="minorEastAsia" w:hAnsiTheme="minorEastAsia" w:eastAsiaTheme="minorEastAsia" w:cstheme="minorEastAsia"/>
          <w:color w:val="auto"/>
          <w:szCs w:val="21"/>
          <w:highlight w:val="none"/>
        </w:rPr>
        <w:t xml:space="preserve">电子签名） </w:t>
      </w:r>
    </w:p>
    <w:p w14:paraId="5ECAEC2C">
      <w:pPr>
        <w:spacing w:line="48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none"/>
          <w:lang w:eastAsia="zh-CN"/>
        </w:rPr>
        <w:t>日期：</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w:t>
      </w:r>
    </w:p>
    <w:p w14:paraId="41D16BF1">
      <w:pPr>
        <w:jc w:val="center"/>
        <w:rPr>
          <w:rFonts w:hint="eastAsia" w:asciiTheme="minorEastAsia" w:hAnsiTheme="minorEastAsia" w:eastAsiaTheme="minorEastAsia" w:cstheme="minorEastAsia"/>
          <w:b/>
          <w:color w:val="auto"/>
          <w:szCs w:val="21"/>
          <w:highlight w:val="none"/>
          <w:lang w:eastAsia="zh-CN"/>
        </w:rPr>
      </w:pPr>
      <w:r>
        <w:rPr>
          <w:rFonts w:hint="eastAsia" w:asciiTheme="minorEastAsia" w:hAnsiTheme="minorEastAsia" w:eastAsiaTheme="minorEastAsia" w:cstheme="minorEastAsia"/>
          <w:b/>
          <w:color w:val="auto"/>
          <w:szCs w:val="21"/>
          <w:highlight w:val="none"/>
        </w:rPr>
        <w:br w:type="page"/>
      </w:r>
      <w:r>
        <w:rPr>
          <w:rFonts w:hint="eastAsia" w:asciiTheme="minorEastAsia" w:hAnsiTheme="minorEastAsia" w:eastAsiaTheme="minorEastAsia" w:cstheme="minorEastAsia"/>
          <w:b/>
          <w:color w:val="auto"/>
          <w:sz w:val="28"/>
          <w:szCs w:val="28"/>
          <w:highlight w:val="none"/>
          <w:lang w:val="en-US" w:eastAsia="zh-CN"/>
        </w:rPr>
        <w:t>三</w:t>
      </w:r>
      <w:r>
        <w:rPr>
          <w:rFonts w:hint="eastAsia" w:asciiTheme="minorEastAsia" w:hAnsiTheme="minorEastAsia" w:eastAsiaTheme="minorEastAsia" w:cstheme="minorEastAsia"/>
          <w:b/>
          <w:color w:val="auto"/>
          <w:sz w:val="28"/>
          <w:szCs w:val="28"/>
          <w:highlight w:val="none"/>
        </w:rPr>
        <w:t>、已标价工程量清单</w:t>
      </w:r>
      <w:r>
        <w:rPr>
          <w:rFonts w:hint="eastAsia" w:asciiTheme="minorEastAsia" w:hAnsiTheme="minorEastAsia" w:eastAsiaTheme="minorEastAsia" w:cstheme="minorEastAsia"/>
          <w:b/>
          <w:color w:val="auto"/>
          <w:sz w:val="28"/>
          <w:szCs w:val="28"/>
          <w:highlight w:val="none"/>
          <w:lang w:eastAsia="zh-CN"/>
        </w:rPr>
        <w:t>（</w:t>
      </w:r>
      <w:r>
        <w:rPr>
          <w:rFonts w:hint="eastAsia" w:asciiTheme="minorEastAsia" w:hAnsiTheme="minorEastAsia" w:eastAsiaTheme="minorEastAsia" w:cstheme="minorEastAsia"/>
          <w:b/>
          <w:color w:val="auto"/>
          <w:sz w:val="28"/>
          <w:szCs w:val="28"/>
          <w:highlight w:val="none"/>
          <w:lang w:val="en-US" w:eastAsia="zh-CN"/>
        </w:rPr>
        <w:t>格式自拟</w:t>
      </w:r>
      <w:r>
        <w:rPr>
          <w:rFonts w:hint="eastAsia" w:asciiTheme="minorEastAsia" w:hAnsiTheme="minorEastAsia" w:eastAsiaTheme="minorEastAsia" w:cstheme="minorEastAsia"/>
          <w:b/>
          <w:color w:val="auto"/>
          <w:sz w:val="28"/>
          <w:szCs w:val="28"/>
          <w:highlight w:val="none"/>
          <w:lang w:eastAsia="zh-CN"/>
        </w:rPr>
        <w:t>）</w:t>
      </w:r>
    </w:p>
    <w:p w14:paraId="1A71148A">
      <w:pPr>
        <w:jc w:val="center"/>
        <w:rPr>
          <w:rFonts w:hint="eastAsia" w:asciiTheme="minorEastAsia" w:hAnsiTheme="minorEastAsia" w:eastAsiaTheme="minorEastAsia" w:cstheme="minorEastAsia"/>
          <w:color w:val="auto"/>
          <w:szCs w:val="21"/>
          <w:highlight w:val="none"/>
        </w:rPr>
      </w:pPr>
    </w:p>
    <w:p w14:paraId="2D7139B2">
      <w:pPr>
        <w:ind w:firstLine="1050" w:firstLineChars="500"/>
        <w:jc w:val="center"/>
        <w:rPr>
          <w:rFonts w:hint="eastAsia" w:asciiTheme="minorEastAsia" w:hAnsiTheme="minorEastAsia" w:eastAsiaTheme="minorEastAsia" w:cstheme="minorEastAsia"/>
          <w:color w:val="auto"/>
          <w:szCs w:val="21"/>
          <w:highlight w:val="none"/>
        </w:rPr>
      </w:pPr>
    </w:p>
    <w:p w14:paraId="2B83932F">
      <w:pPr>
        <w:ind w:left="2100"/>
        <w:rPr>
          <w:rFonts w:hint="eastAsia" w:asciiTheme="minorEastAsia" w:hAnsiTheme="minorEastAsia" w:eastAsiaTheme="minorEastAsia" w:cstheme="minorEastAsia"/>
          <w:color w:val="auto"/>
          <w:szCs w:val="21"/>
          <w:highlight w:val="none"/>
        </w:rPr>
      </w:pPr>
    </w:p>
    <w:p w14:paraId="76C3AC61">
      <w:pPr>
        <w:ind w:left="2100"/>
        <w:rPr>
          <w:rFonts w:hint="eastAsia" w:asciiTheme="minorEastAsia" w:hAnsiTheme="minorEastAsia" w:eastAsiaTheme="minorEastAsia" w:cstheme="minorEastAsia"/>
          <w:color w:val="auto"/>
          <w:szCs w:val="21"/>
          <w:highlight w:val="none"/>
        </w:rPr>
      </w:pPr>
    </w:p>
    <w:p w14:paraId="17CCDFF6">
      <w:pPr>
        <w:ind w:left="2100"/>
        <w:rPr>
          <w:rFonts w:hint="eastAsia" w:asciiTheme="minorEastAsia" w:hAnsiTheme="minorEastAsia" w:eastAsiaTheme="minorEastAsia" w:cstheme="minorEastAsia"/>
          <w:color w:val="auto"/>
          <w:szCs w:val="21"/>
          <w:highlight w:val="none"/>
        </w:rPr>
      </w:pPr>
    </w:p>
    <w:p w14:paraId="114D9017">
      <w:pPr>
        <w:ind w:left="2100"/>
        <w:rPr>
          <w:rFonts w:hint="eastAsia" w:asciiTheme="minorEastAsia" w:hAnsiTheme="minorEastAsia" w:eastAsiaTheme="minorEastAsia" w:cstheme="minorEastAsia"/>
          <w:color w:val="auto"/>
          <w:szCs w:val="21"/>
          <w:highlight w:val="none"/>
        </w:rPr>
      </w:pPr>
    </w:p>
    <w:p w14:paraId="5B184676">
      <w:pPr>
        <w:ind w:left="2100"/>
        <w:rPr>
          <w:rFonts w:hint="eastAsia" w:asciiTheme="minorEastAsia" w:hAnsiTheme="minorEastAsia" w:eastAsiaTheme="minorEastAsia" w:cstheme="minorEastAsia"/>
          <w:color w:val="auto"/>
          <w:szCs w:val="21"/>
          <w:highlight w:val="none"/>
        </w:rPr>
      </w:pPr>
    </w:p>
    <w:p w14:paraId="76FDA889">
      <w:pPr>
        <w:ind w:left="2100"/>
        <w:rPr>
          <w:rFonts w:hint="eastAsia" w:asciiTheme="minorEastAsia" w:hAnsiTheme="minorEastAsia" w:eastAsiaTheme="minorEastAsia" w:cstheme="minorEastAsia"/>
          <w:color w:val="auto"/>
          <w:szCs w:val="21"/>
          <w:highlight w:val="none"/>
        </w:rPr>
      </w:pPr>
    </w:p>
    <w:p w14:paraId="5E940508">
      <w:pPr>
        <w:ind w:left="2100"/>
        <w:rPr>
          <w:rFonts w:hint="eastAsia" w:asciiTheme="minorEastAsia" w:hAnsiTheme="minorEastAsia" w:eastAsiaTheme="minorEastAsia" w:cstheme="minorEastAsia"/>
          <w:color w:val="auto"/>
          <w:szCs w:val="21"/>
          <w:highlight w:val="none"/>
        </w:rPr>
      </w:pPr>
    </w:p>
    <w:p w14:paraId="63F9A9A8">
      <w:pPr>
        <w:ind w:left="2100"/>
        <w:rPr>
          <w:rFonts w:hint="eastAsia" w:asciiTheme="minorEastAsia" w:hAnsiTheme="minorEastAsia" w:eastAsiaTheme="minorEastAsia" w:cstheme="minorEastAsia"/>
          <w:color w:val="auto"/>
          <w:szCs w:val="21"/>
          <w:highlight w:val="none"/>
        </w:rPr>
      </w:pPr>
    </w:p>
    <w:p w14:paraId="32A51092">
      <w:pPr>
        <w:ind w:left="2100"/>
        <w:rPr>
          <w:rFonts w:hint="eastAsia" w:asciiTheme="minorEastAsia" w:hAnsiTheme="minorEastAsia" w:eastAsiaTheme="minorEastAsia" w:cstheme="minorEastAsia"/>
          <w:color w:val="auto"/>
          <w:szCs w:val="21"/>
          <w:highlight w:val="none"/>
        </w:rPr>
      </w:pPr>
    </w:p>
    <w:p w14:paraId="7F11A52D">
      <w:pPr>
        <w:ind w:left="2100"/>
        <w:rPr>
          <w:rFonts w:hint="eastAsia" w:asciiTheme="minorEastAsia" w:hAnsiTheme="minorEastAsia" w:eastAsiaTheme="minorEastAsia" w:cstheme="minorEastAsia"/>
          <w:color w:val="auto"/>
          <w:szCs w:val="21"/>
          <w:highlight w:val="none"/>
        </w:rPr>
      </w:pPr>
    </w:p>
    <w:p w14:paraId="00622C13">
      <w:pPr>
        <w:ind w:left="2100"/>
        <w:rPr>
          <w:rFonts w:hint="eastAsia" w:asciiTheme="minorEastAsia" w:hAnsiTheme="minorEastAsia" w:eastAsiaTheme="minorEastAsia" w:cstheme="minorEastAsia"/>
          <w:color w:val="auto"/>
          <w:szCs w:val="21"/>
          <w:highlight w:val="none"/>
        </w:rPr>
      </w:pPr>
    </w:p>
    <w:p w14:paraId="11FDF8E6">
      <w:pPr>
        <w:ind w:left="2100"/>
        <w:rPr>
          <w:rFonts w:hint="eastAsia" w:asciiTheme="minorEastAsia" w:hAnsiTheme="minorEastAsia" w:eastAsiaTheme="minorEastAsia" w:cstheme="minorEastAsia"/>
          <w:color w:val="auto"/>
          <w:szCs w:val="21"/>
          <w:highlight w:val="none"/>
        </w:rPr>
      </w:pPr>
    </w:p>
    <w:p w14:paraId="55B1E1B8">
      <w:pPr>
        <w:ind w:left="2100"/>
        <w:rPr>
          <w:rFonts w:hint="eastAsia" w:asciiTheme="minorEastAsia" w:hAnsiTheme="minorEastAsia" w:eastAsiaTheme="minorEastAsia" w:cstheme="minorEastAsia"/>
          <w:color w:val="auto"/>
          <w:szCs w:val="21"/>
          <w:highlight w:val="none"/>
        </w:rPr>
      </w:pPr>
    </w:p>
    <w:p w14:paraId="65B7A78F">
      <w:pPr>
        <w:ind w:left="2100"/>
        <w:rPr>
          <w:rFonts w:hint="eastAsia" w:asciiTheme="minorEastAsia" w:hAnsiTheme="minorEastAsia" w:eastAsiaTheme="minorEastAsia" w:cstheme="minorEastAsia"/>
          <w:color w:val="auto"/>
          <w:szCs w:val="21"/>
          <w:highlight w:val="none"/>
        </w:rPr>
      </w:pPr>
    </w:p>
    <w:p w14:paraId="28BBD920">
      <w:pPr>
        <w:ind w:left="2100"/>
        <w:rPr>
          <w:rFonts w:hint="eastAsia" w:asciiTheme="minorEastAsia" w:hAnsiTheme="minorEastAsia" w:eastAsiaTheme="minorEastAsia" w:cstheme="minorEastAsia"/>
          <w:color w:val="auto"/>
          <w:szCs w:val="21"/>
          <w:highlight w:val="none"/>
        </w:rPr>
      </w:pPr>
    </w:p>
    <w:p w14:paraId="143C1911">
      <w:pPr>
        <w:ind w:left="2100"/>
        <w:rPr>
          <w:rFonts w:hint="eastAsia" w:asciiTheme="minorEastAsia" w:hAnsiTheme="minorEastAsia" w:eastAsiaTheme="minorEastAsia" w:cstheme="minorEastAsia"/>
          <w:color w:val="auto"/>
          <w:szCs w:val="21"/>
          <w:highlight w:val="none"/>
        </w:rPr>
      </w:pPr>
    </w:p>
    <w:p w14:paraId="14452E1C">
      <w:pPr>
        <w:rPr>
          <w:rFonts w:hint="eastAsia" w:asciiTheme="minorEastAsia" w:hAnsiTheme="minorEastAsia" w:eastAsiaTheme="minorEastAsia" w:cstheme="minorEastAsia"/>
          <w:color w:val="auto"/>
          <w:szCs w:val="21"/>
          <w:highlight w:val="none"/>
        </w:rPr>
      </w:pPr>
    </w:p>
    <w:p w14:paraId="56F11AF1">
      <w:pPr>
        <w:rPr>
          <w:rFonts w:hint="eastAsia" w:asciiTheme="minorEastAsia" w:hAnsiTheme="minorEastAsia" w:eastAsiaTheme="minorEastAsia" w:cstheme="minorEastAsia"/>
          <w:color w:val="auto"/>
          <w:szCs w:val="21"/>
          <w:highlight w:val="none"/>
        </w:rPr>
      </w:pPr>
    </w:p>
    <w:p w14:paraId="7F17E847">
      <w:pPr>
        <w:rPr>
          <w:rFonts w:hint="eastAsia" w:asciiTheme="minorEastAsia" w:hAnsiTheme="minorEastAsia" w:eastAsiaTheme="minorEastAsia" w:cstheme="minorEastAsia"/>
          <w:color w:val="auto"/>
          <w:szCs w:val="21"/>
          <w:highlight w:val="none"/>
        </w:rPr>
      </w:pPr>
    </w:p>
    <w:p w14:paraId="4F56B5B4">
      <w:pPr>
        <w:spacing w:line="336" w:lineRule="auto"/>
        <w:ind w:right="-153" w:rightChars="-73"/>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rPr>
        <w:br w:type="page"/>
      </w:r>
    </w:p>
    <w:p w14:paraId="2CE26F12">
      <w:pPr>
        <w:ind w:firstLine="560" w:firstLineChars="200"/>
        <w:jc w:val="center"/>
        <w:rPr>
          <w:rFonts w:hint="eastAsia" w:asciiTheme="minorEastAsia" w:hAnsiTheme="minorEastAsia" w:eastAsiaTheme="minorEastAsia" w:cstheme="minorEastAsia"/>
          <w:b/>
          <w:color w:val="auto"/>
          <w:kern w:val="44"/>
          <w:sz w:val="28"/>
          <w:szCs w:val="28"/>
          <w:highlight w:val="none"/>
        </w:rPr>
      </w:pPr>
      <w:r>
        <w:rPr>
          <w:rFonts w:hint="eastAsia" w:asciiTheme="minorEastAsia" w:hAnsiTheme="minorEastAsia" w:eastAsiaTheme="minorEastAsia" w:cstheme="minorEastAsia"/>
          <w:b/>
          <w:color w:val="auto"/>
          <w:kern w:val="44"/>
          <w:sz w:val="28"/>
          <w:szCs w:val="28"/>
          <w:highlight w:val="none"/>
          <w:lang w:val="en-US" w:eastAsia="zh-CN"/>
        </w:rPr>
        <w:t>第四节  商务技术</w:t>
      </w:r>
      <w:r>
        <w:rPr>
          <w:rFonts w:hint="eastAsia" w:asciiTheme="minorEastAsia" w:hAnsiTheme="minorEastAsia" w:eastAsiaTheme="minorEastAsia" w:cstheme="minorEastAsia"/>
          <w:b/>
          <w:color w:val="auto"/>
          <w:kern w:val="44"/>
          <w:sz w:val="28"/>
          <w:szCs w:val="28"/>
          <w:highlight w:val="none"/>
        </w:rPr>
        <w:t>文件格式</w:t>
      </w:r>
    </w:p>
    <w:p w14:paraId="5E8C6B48">
      <w:pPr>
        <w:widowControl/>
        <w:kinsoku w:val="0"/>
        <w:autoSpaceDE w:val="0"/>
        <w:autoSpaceDN w:val="0"/>
        <w:adjustRightInd w:val="0"/>
        <w:snapToGrid w:val="0"/>
        <w:spacing w:before="69" w:line="240" w:lineRule="auto"/>
        <w:ind w:firstLine="6250"/>
        <w:jc w:val="left"/>
        <w:textAlignment w:val="baseline"/>
        <w:rPr>
          <w:rFonts w:hint="eastAsia" w:asciiTheme="minorEastAsia" w:hAnsiTheme="minorEastAsia" w:eastAsiaTheme="minorEastAsia" w:cstheme="minorEastAsia"/>
          <w:snapToGrid w:val="0"/>
          <w:color w:val="auto"/>
          <w:spacing w:val="-2"/>
          <w:kern w:val="0"/>
          <w:sz w:val="24"/>
          <w:szCs w:val="24"/>
          <w:highlight w:val="none"/>
        </w:rPr>
      </w:pPr>
    </w:p>
    <w:p w14:paraId="125CBCB5">
      <w:pPr>
        <w:widowControl/>
        <w:kinsoku w:val="0"/>
        <w:autoSpaceDE w:val="0"/>
        <w:autoSpaceDN w:val="0"/>
        <w:adjustRightInd w:val="0"/>
        <w:snapToGrid w:val="0"/>
        <w:spacing w:before="69" w:line="240" w:lineRule="auto"/>
        <w:ind w:firstLine="6250"/>
        <w:jc w:val="left"/>
        <w:textAlignment w:val="baseline"/>
        <w:rPr>
          <w:rFonts w:hint="eastAsia" w:asciiTheme="minorEastAsia" w:hAnsiTheme="minorEastAsia" w:eastAsiaTheme="minorEastAsia" w:cstheme="minorEastAsia"/>
          <w:snapToGrid w:val="0"/>
          <w:color w:val="auto"/>
          <w:spacing w:val="-2"/>
          <w:kern w:val="0"/>
          <w:sz w:val="24"/>
          <w:szCs w:val="24"/>
          <w:highlight w:val="none"/>
        </w:rPr>
      </w:pPr>
    </w:p>
    <w:p w14:paraId="6C59FB5C">
      <w:pPr>
        <w:widowControl/>
        <w:kinsoku w:val="0"/>
        <w:autoSpaceDE w:val="0"/>
        <w:autoSpaceDN w:val="0"/>
        <w:adjustRightInd w:val="0"/>
        <w:snapToGrid w:val="0"/>
        <w:spacing w:before="69" w:line="240" w:lineRule="auto"/>
        <w:ind w:firstLine="6250"/>
        <w:jc w:val="left"/>
        <w:textAlignment w:val="baseline"/>
        <w:rPr>
          <w:rFonts w:hint="eastAsia" w:asciiTheme="minorEastAsia" w:hAnsiTheme="minorEastAsia" w:eastAsiaTheme="minorEastAsia" w:cstheme="minorEastAsia"/>
          <w:snapToGrid w:val="0"/>
          <w:color w:val="auto"/>
          <w:spacing w:val="-2"/>
          <w:kern w:val="0"/>
          <w:sz w:val="24"/>
          <w:szCs w:val="24"/>
          <w:highlight w:val="none"/>
        </w:rPr>
      </w:pPr>
    </w:p>
    <w:p w14:paraId="5E0866D0">
      <w:pPr>
        <w:pStyle w:val="35"/>
        <w:rPr>
          <w:rFonts w:hint="eastAsia" w:asciiTheme="minorEastAsia" w:hAnsiTheme="minorEastAsia" w:eastAsiaTheme="minorEastAsia" w:cstheme="minorEastAsia"/>
          <w:color w:val="auto"/>
          <w:highlight w:val="none"/>
        </w:rPr>
      </w:pPr>
    </w:p>
    <w:p w14:paraId="4CD622CE">
      <w:pPr>
        <w:widowControl/>
        <w:kinsoku w:val="0"/>
        <w:autoSpaceDE w:val="0"/>
        <w:autoSpaceDN w:val="0"/>
        <w:adjustRightInd w:val="0"/>
        <w:snapToGrid w:val="0"/>
        <w:spacing w:before="69" w:line="240" w:lineRule="auto"/>
        <w:ind w:firstLine="6250"/>
        <w:jc w:val="left"/>
        <w:textAlignment w:val="baseline"/>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spacing w:val="-2"/>
          <w:kern w:val="0"/>
          <w:sz w:val="24"/>
          <w:szCs w:val="24"/>
          <w:highlight w:val="none"/>
        </w:rPr>
        <w:t>全流程电子</w:t>
      </w:r>
      <w:r>
        <w:rPr>
          <w:rFonts w:hint="eastAsia" w:asciiTheme="minorEastAsia" w:hAnsiTheme="minorEastAsia" w:eastAsiaTheme="minorEastAsia" w:cstheme="minorEastAsia"/>
          <w:snapToGrid w:val="0"/>
          <w:color w:val="auto"/>
          <w:spacing w:val="-2"/>
          <w:kern w:val="0"/>
          <w:sz w:val="24"/>
          <w:szCs w:val="24"/>
          <w:highlight w:val="none"/>
          <w:lang w:val="en-US" w:eastAsia="zh-CN"/>
        </w:rPr>
        <w:t>响应</w:t>
      </w:r>
      <w:r>
        <w:rPr>
          <w:rFonts w:hint="eastAsia" w:asciiTheme="minorEastAsia" w:hAnsiTheme="minorEastAsia" w:eastAsiaTheme="minorEastAsia" w:cstheme="minorEastAsia"/>
          <w:snapToGrid w:val="0"/>
          <w:color w:val="auto"/>
          <w:spacing w:val="-2"/>
          <w:kern w:val="0"/>
          <w:sz w:val="24"/>
          <w:szCs w:val="24"/>
          <w:highlight w:val="none"/>
        </w:rPr>
        <w:t>文件</w:t>
      </w:r>
    </w:p>
    <w:p w14:paraId="7C1D227E">
      <w:pPr>
        <w:jc w:val="both"/>
        <w:rPr>
          <w:rFonts w:hint="eastAsia" w:asciiTheme="minorEastAsia" w:hAnsiTheme="minorEastAsia" w:eastAsiaTheme="minorEastAsia" w:cstheme="minorEastAsia"/>
          <w:color w:val="auto"/>
          <w:sz w:val="28"/>
          <w:szCs w:val="28"/>
          <w:highlight w:val="none"/>
          <w:u w:val="single"/>
        </w:rPr>
      </w:pPr>
    </w:p>
    <w:p w14:paraId="1C984BEA">
      <w:pPr>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lang w:val="en-US" w:eastAsia="zh-CN"/>
        </w:rPr>
        <w:t>商  务  技  术</w:t>
      </w:r>
      <w:r>
        <w:rPr>
          <w:rFonts w:hint="eastAsia" w:asciiTheme="minorEastAsia" w:hAnsiTheme="minorEastAsia" w:eastAsiaTheme="minorEastAsia" w:cstheme="minorEastAsia"/>
          <w:b/>
          <w:bCs/>
          <w:color w:val="auto"/>
          <w:sz w:val="28"/>
          <w:szCs w:val="28"/>
          <w:highlight w:val="none"/>
        </w:rPr>
        <w:t xml:space="preserve"> 文  件（封面）</w:t>
      </w:r>
    </w:p>
    <w:p w14:paraId="56678790">
      <w:pPr>
        <w:jc w:val="center"/>
        <w:rPr>
          <w:rFonts w:hint="eastAsia" w:asciiTheme="minorEastAsia" w:hAnsiTheme="minorEastAsia" w:eastAsiaTheme="minorEastAsia" w:cstheme="minorEastAsia"/>
          <w:b/>
          <w:bCs/>
          <w:color w:val="auto"/>
          <w:sz w:val="28"/>
          <w:szCs w:val="28"/>
          <w:highlight w:val="none"/>
        </w:rPr>
      </w:pPr>
    </w:p>
    <w:p w14:paraId="62435033">
      <w:pPr>
        <w:jc w:val="center"/>
        <w:rPr>
          <w:rFonts w:hint="eastAsia" w:asciiTheme="minorEastAsia" w:hAnsiTheme="minorEastAsia" w:eastAsiaTheme="minorEastAsia" w:cstheme="minorEastAsia"/>
          <w:b/>
          <w:bCs/>
          <w:color w:val="auto"/>
          <w:sz w:val="28"/>
          <w:szCs w:val="28"/>
          <w:highlight w:val="none"/>
        </w:rPr>
      </w:pPr>
    </w:p>
    <w:p w14:paraId="083CC023">
      <w:pPr>
        <w:spacing w:before="312" w:beforeLines="100"/>
        <w:jc w:val="center"/>
        <w:rPr>
          <w:rFonts w:hint="eastAsia" w:asciiTheme="minorEastAsia" w:hAnsiTheme="minorEastAsia" w:eastAsiaTheme="minorEastAsia" w:cstheme="minorEastAsia"/>
          <w:b/>
          <w:bCs/>
          <w:color w:val="auto"/>
          <w:sz w:val="52"/>
          <w:szCs w:val="52"/>
          <w:highlight w:val="none"/>
        </w:rPr>
      </w:pPr>
      <w:r>
        <w:rPr>
          <w:rFonts w:hint="eastAsia" w:asciiTheme="minorEastAsia" w:hAnsiTheme="minorEastAsia" w:eastAsiaTheme="minorEastAsia" w:cstheme="minorEastAsia"/>
          <w:b/>
          <w:bCs/>
          <w:color w:val="auto"/>
          <w:sz w:val="52"/>
          <w:szCs w:val="52"/>
          <w:highlight w:val="none"/>
        </w:rPr>
        <w:t>响 应 文 件</w:t>
      </w:r>
    </w:p>
    <w:p w14:paraId="678746BB">
      <w:pPr>
        <w:spacing w:line="360" w:lineRule="auto"/>
        <w:ind w:firstLine="2380" w:firstLineChars="850"/>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项目名称：</w:t>
      </w:r>
    </w:p>
    <w:p w14:paraId="092B8538">
      <w:pPr>
        <w:spacing w:line="360" w:lineRule="auto"/>
        <w:ind w:firstLine="2380" w:firstLineChars="850"/>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项目编号：</w:t>
      </w:r>
    </w:p>
    <w:p w14:paraId="2C5FFA79">
      <w:pPr>
        <w:pStyle w:val="35"/>
        <w:rPr>
          <w:rFonts w:hint="eastAsia" w:asciiTheme="minorEastAsia" w:hAnsiTheme="minorEastAsia" w:eastAsiaTheme="minorEastAsia" w:cstheme="minorEastAsia"/>
          <w:color w:val="auto"/>
          <w:highlight w:val="none"/>
        </w:rPr>
      </w:pPr>
    </w:p>
    <w:p w14:paraId="5A34E64B">
      <w:pPr>
        <w:jc w:val="center"/>
        <w:rPr>
          <w:rFonts w:hint="eastAsia" w:asciiTheme="minorEastAsia" w:hAnsiTheme="minorEastAsia" w:eastAsiaTheme="minorEastAsia" w:cstheme="minorEastAsia"/>
          <w:b/>
          <w:bCs/>
          <w:color w:val="auto"/>
          <w:sz w:val="28"/>
          <w:szCs w:val="28"/>
          <w:highlight w:val="none"/>
        </w:rPr>
      </w:pPr>
    </w:p>
    <w:p w14:paraId="5F830934">
      <w:pPr>
        <w:rPr>
          <w:rFonts w:hint="eastAsia" w:asciiTheme="minorEastAsia" w:hAnsiTheme="minorEastAsia" w:eastAsiaTheme="minorEastAsia" w:cstheme="minorEastAsia"/>
          <w:b/>
          <w:bCs/>
          <w:color w:val="auto"/>
          <w:sz w:val="28"/>
          <w:szCs w:val="28"/>
          <w:highlight w:val="none"/>
        </w:rPr>
      </w:pPr>
    </w:p>
    <w:p w14:paraId="357948B1">
      <w:pPr>
        <w:rPr>
          <w:rFonts w:hint="eastAsia" w:asciiTheme="minorEastAsia" w:hAnsiTheme="minorEastAsia" w:eastAsiaTheme="minorEastAsia" w:cstheme="minorEastAsia"/>
          <w:b/>
          <w:bCs/>
          <w:color w:val="auto"/>
          <w:sz w:val="28"/>
          <w:szCs w:val="28"/>
          <w:highlight w:val="none"/>
        </w:rPr>
      </w:pPr>
    </w:p>
    <w:p w14:paraId="4570DD56">
      <w:pPr>
        <w:jc w:val="center"/>
        <w:rPr>
          <w:rFonts w:hint="eastAsia" w:asciiTheme="minorEastAsia" w:hAnsiTheme="minorEastAsia" w:eastAsiaTheme="minorEastAsia" w:cstheme="minorEastAsia"/>
          <w:b/>
          <w:bCs/>
          <w:color w:val="auto"/>
          <w:sz w:val="28"/>
          <w:szCs w:val="28"/>
          <w:highlight w:val="none"/>
        </w:rPr>
      </w:pPr>
    </w:p>
    <w:p w14:paraId="6CEC01BA">
      <w:pPr>
        <w:jc w:val="center"/>
        <w:rPr>
          <w:rFonts w:hint="eastAsia" w:asciiTheme="minorEastAsia" w:hAnsiTheme="minorEastAsia" w:eastAsiaTheme="minorEastAsia" w:cstheme="minorEastAsia"/>
          <w:b/>
          <w:bCs/>
          <w:color w:val="auto"/>
          <w:sz w:val="28"/>
          <w:szCs w:val="28"/>
          <w:highlight w:val="none"/>
        </w:rPr>
      </w:pPr>
    </w:p>
    <w:p w14:paraId="5513E991">
      <w:pPr>
        <w:spacing w:line="360" w:lineRule="auto"/>
        <w:ind w:firstLine="1400" w:firstLineChars="500"/>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lang w:eastAsia="zh-CN"/>
        </w:rPr>
        <w:t>磋商供应商</w:t>
      </w:r>
      <w:r>
        <w:rPr>
          <w:rFonts w:hint="eastAsia" w:asciiTheme="minorEastAsia" w:hAnsiTheme="minorEastAsia" w:eastAsiaTheme="minorEastAsia" w:cstheme="minorEastAsia"/>
          <w:b/>
          <w:bCs/>
          <w:color w:val="auto"/>
          <w:sz w:val="28"/>
          <w:szCs w:val="28"/>
          <w:highlight w:val="none"/>
        </w:rPr>
        <w:t>：</w:t>
      </w:r>
      <w:r>
        <w:rPr>
          <w:rFonts w:hint="eastAsia" w:asciiTheme="minorEastAsia" w:hAnsiTheme="minorEastAsia" w:eastAsiaTheme="minorEastAsia" w:cstheme="minorEastAsia"/>
          <w:b/>
          <w:bCs/>
          <w:color w:val="auto"/>
          <w:sz w:val="28"/>
          <w:szCs w:val="28"/>
          <w:highlight w:val="none"/>
          <w:u w:val="single"/>
        </w:rPr>
        <w:t xml:space="preserve">                             </w:t>
      </w:r>
      <w:r>
        <w:rPr>
          <w:rFonts w:hint="eastAsia" w:asciiTheme="minorEastAsia" w:hAnsiTheme="minorEastAsia" w:eastAsiaTheme="minorEastAsia" w:cstheme="minorEastAsia"/>
          <w:b/>
          <w:bCs/>
          <w:color w:val="auto"/>
          <w:sz w:val="28"/>
          <w:szCs w:val="28"/>
          <w:highlight w:val="none"/>
        </w:rPr>
        <w:t>（公章</w:t>
      </w:r>
      <w:r>
        <w:rPr>
          <w:rFonts w:hint="eastAsia" w:asciiTheme="minorEastAsia" w:hAnsiTheme="minorEastAsia" w:eastAsiaTheme="minorEastAsia" w:cstheme="minorEastAsia"/>
          <w:b/>
          <w:bCs/>
          <w:color w:val="auto"/>
          <w:sz w:val="28"/>
          <w:szCs w:val="28"/>
          <w:highlight w:val="none"/>
          <w:lang w:val="en-US" w:eastAsia="zh-CN"/>
        </w:rPr>
        <w:t>或</w:t>
      </w:r>
      <w:r>
        <w:rPr>
          <w:rFonts w:hint="eastAsia" w:asciiTheme="minorEastAsia" w:hAnsiTheme="minorEastAsia" w:eastAsiaTheme="minorEastAsia" w:cstheme="minorEastAsia"/>
          <w:b/>
          <w:bCs/>
          <w:color w:val="auto"/>
          <w:sz w:val="28"/>
          <w:szCs w:val="28"/>
          <w:highlight w:val="none"/>
          <w:lang w:eastAsia="zh-CN"/>
        </w:rPr>
        <w:t>电子CA签章</w:t>
      </w:r>
      <w:r>
        <w:rPr>
          <w:rFonts w:hint="eastAsia" w:asciiTheme="minorEastAsia" w:hAnsiTheme="minorEastAsia" w:eastAsiaTheme="minorEastAsia" w:cstheme="minorEastAsia"/>
          <w:b/>
          <w:bCs/>
          <w:color w:val="auto"/>
          <w:sz w:val="28"/>
          <w:szCs w:val="28"/>
          <w:highlight w:val="none"/>
        </w:rPr>
        <w:t>）</w:t>
      </w:r>
    </w:p>
    <w:p w14:paraId="1CCFFFDA">
      <w:pPr>
        <w:spacing w:line="360" w:lineRule="auto"/>
        <w:ind w:firstLine="1400" w:firstLineChars="500"/>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法定代表人或其委托代理人：</w:t>
      </w:r>
      <w:r>
        <w:rPr>
          <w:rFonts w:hint="eastAsia" w:asciiTheme="minorEastAsia" w:hAnsiTheme="minorEastAsia" w:eastAsiaTheme="minorEastAsia" w:cstheme="minorEastAsia"/>
          <w:b/>
          <w:bCs/>
          <w:color w:val="auto"/>
          <w:sz w:val="28"/>
          <w:szCs w:val="28"/>
          <w:highlight w:val="none"/>
          <w:u w:val="single"/>
        </w:rPr>
        <w:t xml:space="preserve">           </w:t>
      </w:r>
      <w:r>
        <w:rPr>
          <w:rFonts w:hint="eastAsia" w:asciiTheme="minorEastAsia" w:hAnsiTheme="minorEastAsia" w:eastAsiaTheme="minorEastAsia" w:cstheme="minorEastAsia"/>
          <w:b/>
          <w:bCs/>
          <w:color w:val="auto"/>
          <w:sz w:val="28"/>
          <w:szCs w:val="28"/>
          <w:highlight w:val="none"/>
        </w:rPr>
        <w:t>（手写签名</w:t>
      </w:r>
      <w:r>
        <w:rPr>
          <w:rFonts w:hint="eastAsia" w:asciiTheme="minorEastAsia" w:hAnsiTheme="minorEastAsia" w:eastAsiaTheme="minorEastAsia" w:cstheme="minorEastAsia"/>
          <w:b/>
          <w:bCs/>
          <w:color w:val="auto"/>
          <w:sz w:val="28"/>
          <w:szCs w:val="28"/>
          <w:highlight w:val="none"/>
          <w:lang w:val="en-US" w:eastAsia="zh-CN"/>
        </w:rPr>
        <w:t>或</w:t>
      </w:r>
      <w:r>
        <w:rPr>
          <w:rFonts w:hint="eastAsia" w:asciiTheme="minorEastAsia" w:hAnsiTheme="minorEastAsia" w:eastAsiaTheme="minorEastAsia" w:cstheme="minorEastAsia"/>
          <w:b/>
          <w:bCs/>
          <w:color w:val="auto"/>
          <w:sz w:val="28"/>
          <w:szCs w:val="28"/>
          <w:highlight w:val="none"/>
        </w:rPr>
        <w:t>电子签名）</w:t>
      </w:r>
    </w:p>
    <w:p w14:paraId="10DE01A7">
      <w:pPr>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u w:val="single"/>
        </w:rPr>
        <w:t xml:space="preserve">         </w:t>
      </w:r>
      <w:r>
        <w:rPr>
          <w:rFonts w:hint="eastAsia" w:asciiTheme="minorEastAsia" w:hAnsiTheme="minorEastAsia" w:eastAsiaTheme="minorEastAsia" w:cstheme="minorEastAsia"/>
          <w:b/>
          <w:bCs/>
          <w:color w:val="auto"/>
          <w:sz w:val="28"/>
          <w:szCs w:val="28"/>
          <w:highlight w:val="none"/>
        </w:rPr>
        <w:t>年</w:t>
      </w:r>
      <w:r>
        <w:rPr>
          <w:rFonts w:hint="eastAsia" w:asciiTheme="minorEastAsia" w:hAnsiTheme="minorEastAsia" w:eastAsiaTheme="minorEastAsia" w:cstheme="minorEastAsia"/>
          <w:b/>
          <w:bCs/>
          <w:color w:val="auto"/>
          <w:sz w:val="28"/>
          <w:szCs w:val="28"/>
          <w:highlight w:val="none"/>
          <w:u w:val="single"/>
        </w:rPr>
        <w:t xml:space="preserve">         </w:t>
      </w:r>
      <w:r>
        <w:rPr>
          <w:rFonts w:hint="eastAsia" w:asciiTheme="minorEastAsia" w:hAnsiTheme="minorEastAsia" w:eastAsiaTheme="minorEastAsia" w:cstheme="minorEastAsia"/>
          <w:b/>
          <w:bCs/>
          <w:color w:val="auto"/>
          <w:sz w:val="28"/>
          <w:szCs w:val="28"/>
          <w:highlight w:val="none"/>
        </w:rPr>
        <w:t>月</w:t>
      </w:r>
      <w:r>
        <w:rPr>
          <w:rFonts w:hint="eastAsia" w:asciiTheme="minorEastAsia" w:hAnsiTheme="minorEastAsia" w:eastAsiaTheme="minorEastAsia" w:cstheme="minorEastAsia"/>
          <w:b/>
          <w:bCs/>
          <w:color w:val="auto"/>
          <w:sz w:val="28"/>
          <w:szCs w:val="28"/>
          <w:highlight w:val="none"/>
          <w:u w:val="single"/>
        </w:rPr>
        <w:t xml:space="preserve">         </w:t>
      </w:r>
      <w:r>
        <w:rPr>
          <w:rFonts w:hint="eastAsia" w:asciiTheme="minorEastAsia" w:hAnsiTheme="minorEastAsia" w:eastAsiaTheme="minorEastAsia" w:cstheme="minorEastAsia"/>
          <w:b/>
          <w:bCs/>
          <w:color w:val="auto"/>
          <w:sz w:val="28"/>
          <w:szCs w:val="28"/>
          <w:highlight w:val="none"/>
        </w:rPr>
        <w:t>日</w:t>
      </w:r>
    </w:p>
    <w:p w14:paraId="06ACEC75">
      <w:pPr>
        <w:spacing w:line="336" w:lineRule="auto"/>
        <w:ind w:right="-153" w:rightChars="-73"/>
        <w:jc w:val="center"/>
        <w:rPr>
          <w:rFonts w:hint="eastAsia" w:asciiTheme="minorEastAsia" w:hAnsiTheme="minorEastAsia" w:eastAsiaTheme="minorEastAsia" w:cstheme="minorEastAsia"/>
          <w:b/>
          <w:color w:val="auto"/>
          <w:szCs w:val="21"/>
          <w:highlight w:val="none"/>
        </w:rPr>
      </w:pPr>
    </w:p>
    <w:p w14:paraId="4FFB1BB9">
      <w:pPr>
        <w:spacing w:line="336" w:lineRule="auto"/>
        <w:ind w:right="-153" w:rightChars="-73"/>
        <w:jc w:val="center"/>
        <w:rPr>
          <w:rFonts w:hint="eastAsia" w:asciiTheme="minorEastAsia" w:hAnsiTheme="minorEastAsia" w:eastAsiaTheme="minorEastAsia" w:cstheme="minorEastAsia"/>
          <w:b/>
          <w:color w:val="auto"/>
          <w:szCs w:val="21"/>
          <w:highlight w:val="none"/>
        </w:rPr>
      </w:pPr>
    </w:p>
    <w:p w14:paraId="1702479E">
      <w:pPr>
        <w:spacing w:line="336" w:lineRule="auto"/>
        <w:ind w:right="-153" w:rightChars="-73"/>
        <w:jc w:val="both"/>
        <w:rPr>
          <w:rFonts w:hint="eastAsia" w:asciiTheme="minorEastAsia" w:hAnsiTheme="minorEastAsia" w:eastAsiaTheme="minorEastAsia" w:cstheme="minorEastAsia"/>
          <w:b/>
          <w:color w:val="auto"/>
          <w:szCs w:val="21"/>
          <w:highlight w:val="none"/>
        </w:rPr>
      </w:pPr>
    </w:p>
    <w:p w14:paraId="4D37368E">
      <w:pPr>
        <w:spacing w:line="336" w:lineRule="auto"/>
        <w:ind w:right="-153" w:rightChars="-73"/>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目</w:t>
      </w:r>
      <w:r>
        <w:rPr>
          <w:rFonts w:hint="eastAsia" w:asciiTheme="minorEastAsia" w:hAnsiTheme="minorEastAsia" w:eastAsiaTheme="minorEastAsia" w:cstheme="minorEastAsia"/>
          <w:b/>
          <w:color w:val="auto"/>
          <w:sz w:val="28"/>
          <w:szCs w:val="28"/>
          <w:highlight w:val="none"/>
          <w:lang w:val="en-US" w:eastAsia="zh-CN"/>
        </w:rPr>
        <w:t xml:space="preserve">    </w:t>
      </w:r>
      <w:r>
        <w:rPr>
          <w:rFonts w:hint="eastAsia" w:asciiTheme="minorEastAsia" w:hAnsiTheme="minorEastAsia" w:eastAsiaTheme="minorEastAsia" w:cstheme="minorEastAsia"/>
          <w:b/>
          <w:color w:val="auto"/>
          <w:sz w:val="28"/>
          <w:szCs w:val="28"/>
          <w:highlight w:val="none"/>
        </w:rPr>
        <w:t>录</w:t>
      </w:r>
    </w:p>
    <w:p w14:paraId="41A4B897">
      <w:pPr>
        <w:spacing w:line="336" w:lineRule="auto"/>
        <w:ind w:right="-153" w:rightChars="-73"/>
        <w:jc w:val="center"/>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sz w:val="24"/>
          <w:szCs w:val="24"/>
          <w:highlight w:val="none"/>
        </w:rPr>
        <w:t>（</w:t>
      </w:r>
      <w:r>
        <w:rPr>
          <w:rFonts w:hint="eastAsia" w:asciiTheme="minorEastAsia" w:hAnsiTheme="minorEastAsia" w:eastAsiaTheme="minorEastAsia" w:cstheme="minorEastAsia"/>
          <w:b w:val="0"/>
          <w:bCs/>
          <w:color w:val="auto"/>
          <w:sz w:val="24"/>
          <w:szCs w:val="24"/>
          <w:highlight w:val="none"/>
          <w:lang w:val="en-US" w:eastAsia="zh-CN"/>
        </w:rPr>
        <w:t>自行编</w:t>
      </w:r>
      <w:r>
        <w:rPr>
          <w:rFonts w:hint="eastAsia" w:asciiTheme="minorEastAsia" w:hAnsiTheme="minorEastAsia" w:eastAsiaTheme="minorEastAsia" w:cstheme="minorEastAsia"/>
          <w:b w:val="0"/>
          <w:bCs/>
          <w:color w:val="auto"/>
          <w:sz w:val="24"/>
          <w:szCs w:val="24"/>
          <w:highlight w:val="none"/>
        </w:rPr>
        <w:t>页码）</w:t>
      </w:r>
    </w:p>
    <w:p w14:paraId="512E3F7B">
      <w:pPr>
        <w:pStyle w:val="11"/>
        <w:numPr>
          <w:ilvl w:val="0"/>
          <w:numId w:val="0"/>
        </w:numPr>
        <w:spacing w:line="390" w:lineRule="exact"/>
        <w:ind w:firstLine="0" w:firstLineChars="0"/>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（1）主要管理人员表</w:t>
      </w:r>
    </w:p>
    <w:p w14:paraId="687E2878">
      <w:pPr>
        <w:pStyle w:val="11"/>
        <w:numPr>
          <w:ilvl w:val="0"/>
          <w:numId w:val="0"/>
        </w:numPr>
        <w:spacing w:line="390" w:lineRule="exact"/>
        <w:ind w:firstLine="0" w:firstLineChars="0"/>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（2）建设工程项目管理承诺书</w:t>
      </w:r>
    </w:p>
    <w:p w14:paraId="3FF072BF">
      <w:pPr>
        <w:pStyle w:val="11"/>
        <w:numPr>
          <w:ilvl w:val="0"/>
          <w:numId w:val="0"/>
        </w:numPr>
        <w:spacing w:line="390" w:lineRule="exact"/>
        <w:ind w:firstLine="0" w:firstLineChars="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lang w:val="en-US" w:eastAsia="zh-CN"/>
        </w:rPr>
        <w:t>3</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施工组织设计</w:t>
      </w:r>
    </w:p>
    <w:p w14:paraId="3F3FBD64">
      <w:pPr>
        <w:pStyle w:val="11"/>
        <w:numPr>
          <w:ilvl w:val="0"/>
          <w:numId w:val="0"/>
        </w:numPr>
        <w:spacing w:line="390" w:lineRule="exact"/>
        <w:ind w:firstLine="0" w:firstLineChars="0"/>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lang w:val="en-US" w:eastAsia="zh-CN"/>
        </w:rPr>
        <w:t>4</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lang w:val="en-US" w:eastAsia="zh-CN"/>
        </w:rPr>
        <w:t>业绩（</w:t>
      </w:r>
      <w:r>
        <w:rPr>
          <w:rFonts w:hint="eastAsia" w:asciiTheme="minorEastAsia" w:hAnsiTheme="minorEastAsia" w:eastAsiaTheme="minorEastAsia" w:cstheme="minorEastAsia"/>
          <w:bCs/>
          <w:color w:val="auto"/>
          <w:sz w:val="24"/>
          <w:szCs w:val="24"/>
          <w:highlight w:val="none"/>
        </w:rPr>
        <w:t>如有，请提供</w:t>
      </w:r>
      <w:r>
        <w:rPr>
          <w:rFonts w:hint="eastAsia" w:asciiTheme="minorEastAsia" w:hAnsiTheme="minorEastAsia" w:eastAsiaTheme="minorEastAsia" w:cstheme="minorEastAsia"/>
          <w:bCs/>
          <w:color w:val="auto"/>
          <w:sz w:val="24"/>
          <w:szCs w:val="24"/>
          <w:highlight w:val="none"/>
          <w:lang w:val="en-US" w:eastAsia="zh-CN"/>
        </w:rPr>
        <w:t>）</w:t>
      </w:r>
    </w:p>
    <w:p w14:paraId="078BD512">
      <w:pPr>
        <w:pStyle w:val="11"/>
        <w:numPr>
          <w:ilvl w:val="0"/>
          <w:numId w:val="0"/>
        </w:numPr>
        <w:spacing w:line="390" w:lineRule="exact"/>
        <w:ind w:firstLine="0" w:firstLineChars="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lang w:val="en-US" w:eastAsia="zh-CN"/>
        </w:rPr>
        <w:t>5</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供应商可结合本项目的评标办法视自身情况自行提交相关证明材料。（如有，请提供）</w:t>
      </w:r>
    </w:p>
    <w:p w14:paraId="235CE862">
      <w:pPr>
        <w:pStyle w:val="11"/>
        <w:numPr>
          <w:ilvl w:val="0"/>
          <w:numId w:val="0"/>
        </w:numPr>
        <w:spacing w:line="390" w:lineRule="exact"/>
        <w:ind w:firstLine="0" w:firstLineChars="0"/>
        <w:rPr>
          <w:rFonts w:hint="eastAsia" w:asciiTheme="minorEastAsia" w:hAnsiTheme="minorEastAsia" w:eastAsiaTheme="minorEastAsia" w:cstheme="minorEastAsia"/>
          <w:bCs/>
          <w:color w:val="auto"/>
          <w:sz w:val="24"/>
          <w:szCs w:val="24"/>
          <w:highlight w:val="none"/>
        </w:rPr>
      </w:pPr>
    </w:p>
    <w:p w14:paraId="739970EE">
      <w:pPr>
        <w:spacing w:line="336" w:lineRule="auto"/>
        <w:ind w:right="-153" w:rightChars="-73"/>
        <w:jc w:val="center"/>
        <w:rPr>
          <w:rFonts w:hint="eastAsia" w:asciiTheme="minorEastAsia" w:hAnsiTheme="minorEastAsia" w:eastAsiaTheme="minorEastAsia" w:cstheme="minorEastAsia"/>
          <w:b/>
          <w:color w:val="auto"/>
          <w:szCs w:val="21"/>
          <w:highlight w:val="none"/>
        </w:rPr>
      </w:pPr>
    </w:p>
    <w:p w14:paraId="5448D083">
      <w:pPr>
        <w:spacing w:line="336" w:lineRule="auto"/>
        <w:ind w:right="-153" w:rightChars="-73"/>
        <w:jc w:val="center"/>
        <w:rPr>
          <w:rFonts w:hint="eastAsia" w:asciiTheme="minorEastAsia" w:hAnsiTheme="minorEastAsia" w:eastAsiaTheme="minorEastAsia" w:cstheme="minorEastAsia"/>
          <w:b/>
          <w:color w:val="auto"/>
          <w:szCs w:val="21"/>
          <w:highlight w:val="none"/>
        </w:rPr>
      </w:pPr>
    </w:p>
    <w:p w14:paraId="49603096">
      <w:pPr>
        <w:spacing w:line="336" w:lineRule="auto"/>
        <w:ind w:right="-153" w:rightChars="-73"/>
        <w:jc w:val="center"/>
        <w:rPr>
          <w:rFonts w:hint="eastAsia" w:asciiTheme="minorEastAsia" w:hAnsiTheme="minorEastAsia" w:eastAsiaTheme="minorEastAsia" w:cstheme="minorEastAsia"/>
          <w:b/>
          <w:color w:val="auto"/>
          <w:szCs w:val="21"/>
          <w:highlight w:val="none"/>
        </w:rPr>
      </w:pPr>
    </w:p>
    <w:p w14:paraId="3FE143FC">
      <w:pPr>
        <w:spacing w:line="336" w:lineRule="auto"/>
        <w:ind w:right="-153" w:rightChars="-73"/>
        <w:jc w:val="center"/>
        <w:rPr>
          <w:rFonts w:hint="eastAsia" w:asciiTheme="minorEastAsia" w:hAnsiTheme="minorEastAsia" w:eastAsiaTheme="minorEastAsia" w:cstheme="minorEastAsia"/>
          <w:b/>
          <w:color w:val="auto"/>
          <w:szCs w:val="21"/>
          <w:highlight w:val="none"/>
        </w:rPr>
      </w:pPr>
    </w:p>
    <w:p w14:paraId="03C3AEE7">
      <w:pPr>
        <w:spacing w:line="336" w:lineRule="auto"/>
        <w:ind w:right="-153" w:rightChars="-73"/>
        <w:jc w:val="center"/>
        <w:rPr>
          <w:rFonts w:hint="eastAsia" w:asciiTheme="minorEastAsia" w:hAnsiTheme="minorEastAsia" w:eastAsiaTheme="minorEastAsia" w:cstheme="minorEastAsia"/>
          <w:b/>
          <w:color w:val="auto"/>
          <w:szCs w:val="21"/>
          <w:highlight w:val="none"/>
        </w:rPr>
      </w:pPr>
    </w:p>
    <w:p w14:paraId="56094401">
      <w:pPr>
        <w:spacing w:line="336" w:lineRule="auto"/>
        <w:ind w:right="-153" w:rightChars="-73"/>
        <w:jc w:val="center"/>
        <w:rPr>
          <w:rFonts w:hint="eastAsia" w:asciiTheme="minorEastAsia" w:hAnsiTheme="minorEastAsia" w:eastAsiaTheme="minorEastAsia" w:cstheme="minorEastAsia"/>
          <w:b/>
          <w:color w:val="auto"/>
          <w:szCs w:val="21"/>
          <w:highlight w:val="none"/>
        </w:rPr>
      </w:pPr>
    </w:p>
    <w:p w14:paraId="26B175AB">
      <w:pPr>
        <w:spacing w:line="336" w:lineRule="auto"/>
        <w:ind w:right="-153" w:rightChars="-73"/>
        <w:jc w:val="center"/>
        <w:rPr>
          <w:rFonts w:hint="eastAsia" w:asciiTheme="minorEastAsia" w:hAnsiTheme="minorEastAsia" w:eastAsiaTheme="minorEastAsia" w:cstheme="minorEastAsia"/>
          <w:b/>
          <w:color w:val="auto"/>
          <w:szCs w:val="21"/>
          <w:highlight w:val="none"/>
        </w:rPr>
      </w:pPr>
    </w:p>
    <w:p w14:paraId="0C36E556">
      <w:pPr>
        <w:pStyle w:val="8"/>
        <w:rPr>
          <w:rFonts w:hint="eastAsia" w:asciiTheme="minorEastAsia" w:hAnsiTheme="minorEastAsia" w:eastAsiaTheme="minorEastAsia" w:cstheme="minorEastAsia"/>
          <w:color w:val="auto"/>
          <w:highlight w:val="none"/>
        </w:rPr>
      </w:pPr>
    </w:p>
    <w:p w14:paraId="634A9381">
      <w:pPr>
        <w:rPr>
          <w:rFonts w:hint="eastAsia" w:asciiTheme="minorEastAsia" w:hAnsiTheme="minorEastAsia" w:eastAsiaTheme="minorEastAsia" w:cstheme="minorEastAsia"/>
          <w:b/>
          <w:color w:val="auto"/>
          <w:sz w:val="28"/>
          <w:szCs w:val="28"/>
          <w:highlight w:val="none"/>
          <w:lang w:val="en-US" w:eastAsia="zh-CN"/>
        </w:rPr>
      </w:pPr>
      <w:r>
        <w:rPr>
          <w:rFonts w:hint="eastAsia" w:asciiTheme="minorEastAsia" w:hAnsiTheme="minorEastAsia" w:eastAsiaTheme="minorEastAsia" w:cstheme="minorEastAsia"/>
          <w:b/>
          <w:color w:val="auto"/>
          <w:sz w:val="28"/>
          <w:szCs w:val="28"/>
          <w:highlight w:val="none"/>
          <w:lang w:val="en-US" w:eastAsia="zh-CN"/>
        </w:rPr>
        <w:br w:type="page"/>
      </w:r>
    </w:p>
    <w:p w14:paraId="7EF0421C">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8"/>
          <w:szCs w:val="28"/>
          <w:highlight w:val="none"/>
          <w:lang w:val="en-US" w:eastAsia="zh-CN"/>
        </w:rPr>
        <w:t>一、主要管理人员表</w:t>
      </w:r>
    </w:p>
    <w:p w14:paraId="79F81BC0">
      <w:pPr>
        <w:rPr>
          <w:rFonts w:hint="eastAsia" w:asciiTheme="minorEastAsia" w:hAnsiTheme="minorEastAsia" w:eastAsiaTheme="minorEastAsia" w:cstheme="minorEastAsia"/>
          <w:color w:val="auto"/>
          <w:szCs w:val="21"/>
          <w:highlight w:val="none"/>
        </w:rPr>
      </w:pPr>
    </w:p>
    <w:tbl>
      <w:tblPr>
        <w:tblStyle w:val="19"/>
        <w:tblW w:w="10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24"/>
        <w:gridCol w:w="1018"/>
        <w:gridCol w:w="5086"/>
        <w:gridCol w:w="1268"/>
        <w:gridCol w:w="1900"/>
      </w:tblGrid>
      <w:tr w14:paraId="38CC0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vMerge w:val="restart"/>
            <w:noWrap w:val="0"/>
            <w:vAlign w:val="center"/>
          </w:tcPr>
          <w:p w14:paraId="7850B10A">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岗位</w:t>
            </w:r>
          </w:p>
        </w:tc>
        <w:tc>
          <w:tcPr>
            <w:tcW w:w="1018" w:type="dxa"/>
            <w:vMerge w:val="restart"/>
            <w:noWrap w:val="0"/>
            <w:vAlign w:val="center"/>
          </w:tcPr>
          <w:p w14:paraId="2B322751">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姓名</w:t>
            </w:r>
          </w:p>
        </w:tc>
        <w:tc>
          <w:tcPr>
            <w:tcW w:w="5086" w:type="dxa"/>
            <w:vMerge w:val="restart"/>
            <w:noWrap w:val="0"/>
            <w:vAlign w:val="center"/>
          </w:tcPr>
          <w:p w14:paraId="66E04E4F">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《注册执业资格</w:t>
            </w:r>
          </w:p>
          <w:p w14:paraId="106CAB96">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（或职业或职称或岗位或培训或学历（位）证书）》</w:t>
            </w:r>
          </w:p>
        </w:tc>
        <w:tc>
          <w:tcPr>
            <w:tcW w:w="3168" w:type="dxa"/>
            <w:gridSpan w:val="2"/>
            <w:noWrap w:val="0"/>
            <w:vAlign w:val="center"/>
          </w:tcPr>
          <w:p w14:paraId="1C5D1DD9">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承担完工工程情况</w:t>
            </w:r>
          </w:p>
        </w:tc>
      </w:tr>
      <w:tr w14:paraId="44FE8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vMerge w:val="continue"/>
            <w:noWrap w:val="0"/>
            <w:vAlign w:val="center"/>
          </w:tcPr>
          <w:p w14:paraId="67D5D12D">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p>
        </w:tc>
        <w:tc>
          <w:tcPr>
            <w:tcW w:w="1018" w:type="dxa"/>
            <w:vMerge w:val="continue"/>
            <w:noWrap w:val="0"/>
            <w:vAlign w:val="center"/>
          </w:tcPr>
          <w:p w14:paraId="66BB6646">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p>
        </w:tc>
        <w:tc>
          <w:tcPr>
            <w:tcW w:w="5086" w:type="dxa"/>
            <w:vMerge w:val="continue"/>
            <w:noWrap w:val="0"/>
            <w:vAlign w:val="center"/>
          </w:tcPr>
          <w:p w14:paraId="62FADA56">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p>
        </w:tc>
        <w:tc>
          <w:tcPr>
            <w:tcW w:w="1268" w:type="dxa"/>
            <w:noWrap w:val="0"/>
            <w:vAlign w:val="center"/>
          </w:tcPr>
          <w:p w14:paraId="788EC8A6">
            <w:pPr>
              <w:spacing w:line="360" w:lineRule="auto"/>
              <w:ind w:left="-2" w:right="-153" w:rightChars="-73"/>
              <w:jc w:val="center"/>
              <w:rPr>
                <w:rFonts w:hint="eastAsia" w:asciiTheme="minorEastAsia" w:hAnsiTheme="minorEastAsia" w:eastAsiaTheme="minorEastAsia" w:cstheme="minorEastAsia"/>
                <w:b/>
                <w:bCs/>
                <w:color w:val="auto"/>
                <w:szCs w:val="21"/>
                <w:highlight w:val="none"/>
                <w:lang w:val="en-US" w:eastAsia="zh-CN"/>
              </w:rPr>
            </w:pPr>
            <w:r>
              <w:rPr>
                <w:rFonts w:hint="eastAsia" w:asciiTheme="minorEastAsia" w:hAnsiTheme="minorEastAsia" w:eastAsiaTheme="minorEastAsia" w:cstheme="minorEastAsia"/>
                <w:b/>
                <w:bCs/>
                <w:color w:val="auto"/>
                <w:szCs w:val="21"/>
                <w:highlight w:val="none"/>
              </w:rPr>
              <w:t>项目数</w:t>
            </w:r>
            <w:r>
              <w:rPr>
                <w:rFonts w:hint="eastAsia" w:asciiTheme="minorEastAsia" w:hAnsiTheme="minorEastAsia" w:eastAsiaTheme="minorEastAsia" w:cstheme="minorEastAsia"/>
                <w:b/>
                <w:bCs/>
                <w:color w:val="auto"/>
                <w:szCs w:val="21"/>
                <w:highlight w:val="none"/>
                <w:lang w:val="en-US" w:eastAsia="zh-CN"/>
              </w:rPr>
              <w:t>量</w:t>
            </w:r>
          </w:p>
        </w:tc>
        <w:tc>
          <w:tcPr>
            <w:tcW w:w="1900" w:type="dxa"/>
            <w:noWrap w:val="0"/>
            <w:vAlign w:val="center"/>
          </w:tcPr>
          <w:p w14:paraId="4A228D97">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主要项目名称</w:t>
            </w:r>
          </w:p>
        </w:tc>
      </w:tr>
      <w:tr w14:paraId="04353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noWrap w:val="0"/>
            <w:vAlign w:val="center"/>
          </w:tcPr>
          <w:p w14:paraId="38CC0229">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项目经理</w:t>
            </w:r>
          </w:p>
        </w:tc>
        <w:tc>
          <w:tcPr>
            <w:tcW w:w="1018" w:type="dxa"/>
            <w:noWrap w:val="0"/>
            <w:vAlign w:val="center"/>
          </w:tcPr>
          <w:p w14:paraId="4014E929">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p>
        </w:tc>
        <w:tc>
          <w:tcPr>
            <w:tcW w:w="5086" w:type="dxa"/>
            <w:vMerge w:val="restart"/>
            <w:noWrap w:val="0"/>
            <w:vAlign w:val="center"/>
          </w:tcPr>
          <w:p w14:paraId="1E6A7C47">
            <w:pPr>
              <w:spacing w:line="360" w:lineRule="auto"/>
              <w:ind w:left="-2" w:right="-153" w:rightChars="-73"/>
              <w:jc w:val="lef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◆证书名称：</w:t>
            </w:r>
          </w:p>
          <w:p w14:paraId="5EA7FC0B">
            <w:pPr>
              <w:spacing w:line="360" w:lineRule="auto"/>
              <w:ind w:left="-2" w:right="-153" w:rightChars="-73"/>
              <w:jc w:val="lef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◆证书证号：</w:t>
            </w:r>
          </w:p>
          <w:p w14:paraId="3B3388E0">
            <w:pPr>
              <w:spacing w:line="360" w:lineRule="auto"/>
              <w:ind w:left="-2" w:right="-153" w:rightChars="-73"/>
              <w:jc w:val="lef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◆专业（如有）：</w:t>
            </w:r>
          </w:p>
          <w:p w14:paraId="0D0DED8C">
            <w:pPr>
              <w:spacing w:line="360" w:lineRule="auto"/>
              <w:ind w:left="-2" w:right="-153" w:rightChars="-73"/>
              <w:jc w:val="lef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◆专业所属类别（如有）：</w:t>
            </w:r>
          </w:p>
          <w:p w14:paraId="29196EB0">
            <w:pPr>
              <w:spacing w:line="360" w:lineRule="auto"/>
              <w:ind w:left="-2" w:right="-153" w:rightChars="-73"/>
              <w:jc w:val="lef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◆授予（或签发或批准或发证）日期：</w:t>
            </w:r>
          </w:p>
        </w:tc>
        <w:tc>
          <w:tcPr>
            <w:tcW w:w="1268" w:type="dxa"/>
            <w:noWrap w:val="0"/>
            <w:vAlign w:val="center"/>
          </w:tcPr>
          <w:p w14:paraId="137E028A">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p>
        </w:tc>
        <w:tc>
          <w:tcPr>
            <w:tcW w:w="1900" w:type="dxa"/>
            <w:noWrap w:val="0"/>
            <w:vAlign w:val="center"/>
          </w:tcPr>
          <w:p w14:paraId="52662FB4">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p>
        </w:tc>
      </w:tr>
      <w:tr w14:paraId="306BB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noWrap w:val="0"/>
            <w:vAlign w:val="center"/>
          </w:tcPr>
          <w:p w14:paraId="3547B9F9">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技术负责人</w:t>
            </w:r>
          </w:p>
        </w:tc>
        <w:tc>
          <w:tcPr>
            <w:tcW w:w="1018" w:type="dxa"/>
            <w:noWrap w:val="0"/>
            <w:vAlign w:val="center"/>
          </w:tcPr>
          <w:p w14:paraId="52136F9F">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p>
        </w:tc>
        <w:tc>
          <w:tcPr>
            <w:tcW w:w="5086" w:type="dxa"/>
            <w:vMerge w:val="continue"/>
            <w:noWrap w:val="0"/>
            <w:vAlign w:val="center"/>
          </w:tcPr>
          <w:p w14:paraId="2B47A06A">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p>
        </w:tc>
        <w:tc>
          <w:tcPr>
            <w:tcW w:w="1268" w:type="dxa"/>
            <w:noWrap w:val="0"/>
            <w:vAlign w:val="center"/>
          </w:tcPr>
          <w:p w14:paraId="1B0C27B1">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p>
        </w:tc>
        <w:tc>
          <w:tcPr>
            <w:tcW w:w="1900" w:type="dxa"/>
            <w:noWrap w:val="0"/>
            <w:vAlign w:val="center"/>
          </w:tcPr>
          <w:p w14:paraId="731D0B02">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p>
        </w:tc>
      </w:tr>
      <w:tr w14:paraId="399BA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noWrap w:val="0"/>
            <w:vAlign w:val="center"/>
          </w:tcPr>
          <w:p w14:paraId="7B9917FC">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施工员</w:t>
            </w:r>
          </w:p>
        </w:tc>
        <w:tc>
          <w:tcPr>
            <w:tcW w:w="1018" w:type="dxa"/>
            <w:noWrap w:val="0"/>
            <w:vAlign w:val="center"/>
          </w:tcPr>
          <w:p w14:paraId="6C77E516">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p>
        </w:tc>
        <w:tc>
          <w:tcPr>
            <w:tcW w:w="5086" w:type="dxa"/>
            <w:vMerge w:val="continue"/>
            <w:noWrap w:val="0"/>
            <w:vAlign w:val="center"/>
          </w:tcPr>
          <w:p w14:paraId="6C8514D5">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p>
        </w:tc>
        <w:tc>
          <w:tcPr>
            <w:tcW w:w="1268" w:type="dxa"/>
            <w:noWrap w:val="0"/>
            <w:vAlign w:val="center"/>
          </w:tcPr>
          <w:p w14:paraId="4712432A">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p>
        </w:tc>
        <w:tc>
          <w:tcPr>
            <w:tcW w:w="1900" w:type="dxa"/>
            <w:noWrap w:val="0"/>
            <w:vAlign w:val="center"/>
          </w:tcPr>
          <w:p w14:paraId="79B0EB9D">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p>
        </w:tc>
      </w:tr>
      <w:tr w14:paraId="4165E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noWrap w:val="0"/>
            <w:vAlign w:val="center"/>
          </w:tcPr>
          <w:p w14:paraId="6B229523">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质量员</w:t>
            </w:r>
          </w:p>
        </w:tc>
        <w:tc>
          <w:tcPr>
            <w:tcW w:w="1018" w:type="dxa"/>
            <w:noWrap w:val="0"/>
            <w:vAlign w:val="center"/>
          </w:tcPr>
          <w:p w14:paraId="0502C32F">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p>
        </w:tc>
        <w:tc>
          <w:tcPr>
            <w:tcW w:w="5086" w:type="dxa"/>
            <w:vMerge w:val="continue"/>
            <w:noWrap w:val="0"/>
            <w:vAlign w:val="center"/>
          </w:tcPr>
          <w:p w14:paraId="5793EF7E">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p>
        </w:tc>
        <w:tc>
          <w:tcPr>
            <w:tcW w:w="1268" w:type="dxa"/>
            <w:noWrap w:val="0"/>
            <w:vAlign w:val="center"/>
          </w:tcPr>
          <w:p w14:paraId="48732565">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p>
        </w:tc>
        <w:tc>
          <w:tcPr>
            <w:tcW w:w="1900" w:type="dxa"/>
            <w:noWrap w:val="0"/>
            <w:vAlign w:val="center"/>
          </w:tcPr>
          <w:p w14:paraId="0326E074">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p>
        </w:tc>
      </w:tr>
      <w:tr w14:paraId="66396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noWrap w:val="0"/>
            <w:vAlign w:val="center"/>
          </w:tcPr>
          <w:p w14:paraId="3490AF58">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安全员</w:t>
            </w:r>
          </w:p>
        </w:tc>
        <w:tc>
          <w:tcPr>
            <w:tcW w:w="1018" w:type="dxa"/>
            <w:noWrap w:val="0"/>
            <w:vAlign w:val="center"/>
          </w:tcPr>
          <w:p w14:paraId="2F59E97A">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p>
        </w:tc>
        <w:tc>
          <w:tcPr>
            <w:tcW w:w="5086" w:type="dxa"/>
            <w:vMerge w:val="continue"/>
            <w:noWrap w:val="0"/>
            <w:vAlign w:val="center"/>
          </w:tcPr>
          <w:p w14:paraId="6B39B133">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p>
        </w:tc>
        <w:tc>
          <w:tcPr>
            <w:tcW w:w="1268" w:type="dxa"/>
            <w:noWrap w:val="0"/>
            <w:vAlign w:val="center"/>
          </w:tcPr>
          <w:p w14:paraId="59508632">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p>
        </w:tc>
        <w:tc>
          <w:tcPr>
            <w:tcW w:w="1900" w:type="dxa"/>
            <w:noWrap w:val="0"/>
            <w:vAlign w:val="center"/>
          </w:tcPr>
          <w:p w14:paraId="6ACD5FB5">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p>
        </w:tc>
      </w:tr>
      <w:tr w14:paraId="2D3A1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noWrap w:val="0"/>
            <w:vAlign w:val="center"/>
          </w:tcPr>
          <w:p w14:paraId="7C9C2603">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材料员</w:t>
            </w:r>
          </w:p>
        </w:tc>
        <w:tc>
          <w:tcPr>
            <w:tcW w:w="1018" w:type="dxa"/>
            <w:noWrap w:val="0"/>
            <w:vAlign w:val="center"/>
          </w:tcPr>
          <w:p w14:paraId="0540C102">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p>
        </w:tc>
        <w:tc>
          <w:tcPr>
            <w:tcW w:w="5086" w:type="dxa"/>
            <w:vMerge w:val="continue"/>
            <w:noWrap w:val="0"/>
            <w:vAlign w:val="center"/>
          </w:tcPr>
          <w:p w14:paraId="391D00DE">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p>
        </w:tc>
        <w:tc>
          <w:tcPr>
            <w:tcW w:w="1268" w:type="dxa"/>
            <w:noWrap w:val="0"/>
            <w:vAlign w:val="center"/>
          </w:tcPr>
          <w:p w14:paraId="091D63D9">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p>
        </w:tc>
        <w:tc>
          <w:tcPr>
            <w:tcW w:w="1900" w:type="dxa"/>
            <w:noWrap w:val="0"/>
            <w:vAlign w:val="center"/>
          </w:tcPr>
          <w:p w14:paraId="2A54D58A">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p>
        </w:tc>
      </w:tr>
      <w:tr w14:paraId="7FF8C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noWrap w:val="0"/>
            <w:vAlign w:val="center"/>
          </w:tcPr>
          <w:p w14:paraId="6BE391E7">
            <w:pPr>
              <w:spacing w:line="360" w:lineRule="auto"/>
              <w:ind w:left="-2" w:right="-153" w:rightChars="-73"/>
              <w:jc w:val="center"/>
              <w:rPr>
                <w:rFonts w:hint="eastAsia" w:asciiTheme="minorEastAsia" w:hAnsiTheme="minorEastAsia" w:eastAsiaTheme="minorEastAsia" w:cstheme="minorEastAsia"/>
                <w:b/>
                <w:bCs/>
                <w:color w:val="auto"/>
                <w:szCs w:val="21"/>
                <w:highlight w:val="none"/>
                <w:lang w:val="en-US" w:eastAsia="zh-CN"/>
              </w:rPr>
            </w:pPr>
            <w:r>
              <w:rPr>
                <w:rFonts w:hint="eastAsia" w:asciiTheme="minorEastAsia" w:hAnsiTheme="minorEastAsia" w:eastAsiaTheme="minorEastAsia" w:cstheme="minorEastAsia"/>
                <w:b/>
                <w:bCs/>
                <w:color w:val="auto"/>
                <w:szCs w:val="21"/>
                <w:highlight w:val="none"/>
                <w:lang w:val="en-US" w:eastAsia="zh-CN"/>
              </w:rPr>
              <w:t>......</w:t>
            </w:r>
          </w:p>
        </w:tc>
        <w:tc>
          <w:tcPr>
            <w:tcW w:w="1018" w:type="dxa"/>
            <w:noWrap w:val="0"/>
            <w:vAlign w:val="center"/>
          </w:tcPr>
          <w:p w14:paraId="13D851C6">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p>
        </w:tc>
        <w:tc>
          <w:tcPr>
            <w:tcW w:w="5086" w:type="dxa"/>
            <w:vMerge w:val="continue"/>
            <w:noWrap w:val="0"/>
            <w:vAlign w:val="center"/>
          </w:tcPr>
          <w:p w14:paraId="420FF985">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p>
        </w:tc>
        <w:tc>
          <w:tcPr>
            <w:tcW w:w="1268" w:type="dxa"/>
            <w:noWrap w:val="0"/>
            <w:vAlign w:val="center"/>
          </w:tcPr>
          <w:p w14:paraId="5BFA79FF">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p>
        </w:tc>
        <w:tc>
          <w:tcPr>
            <w:tcW w:w="1900" w:type="dxa"/>
            <w:noWrap w:val="0"/>
            <w:vAlign w:val="center"/>
          </w:tcPr>
          <w:p w14:paraId="3EA53372">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p>
        </w:tc>
      </w:tr>
      <w:tr w14:paraId="21C1A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3" w:hRule="atLeast"/>
          <w:jc w:val="center"/>
        </w:trPr>
        <w:tc>
          <w:tcPr>
            <w:tcW w:w="10496" w:type="dxa"/>
            <w:gridSpan w:val="5"/>
            <w:noWrap w:val="0"/>
            <w:vAlign w:val="center"/>
          </w:tcPr>
          <w:p w14:paraId="7340CC0D">
            <w:pPr>
              <w:spacing w:line="360" w:lineRule="auto"/>
              <w:ind w:left="-2" w:right="-153" w:rightChars="-73"/>
              <w:jc w:val="left"/>
              <w:rPr>
                <w:rFonts w:hint="eastAsia"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rPr>
              <w:t>一旦我单位</w:t>
            </w:r>
            <w:r>
              <w:rPr>
                <w:rFonts w:hint="eastAsia" w:asciiTheme="minorEastAsia" w:hAnsiTheme="minorEastAsia" w:eastAsiaTheme="minorEastAsia" w:cstheme="minorEastAsia"/>
                <w:b w:val="0"/>
                <w:bCs w:val="0"/>
                <w:color w:val="auto"/>
                <w:szCs w:val="21"/>
                <w:highlight w:val="none"/>
                <w:lang w:val="en-US" w:eastAsia="zh-CN"/>
              </w:rPr>
              <w:t>成交</w:t>
            </w:r>
            <w:r>
              <w:rPr>
                <w:rFonts w:hint="eastAsia" w:asciiTheme="minorEastAsia" w:hAnsiTheme="minorEastAsia" w:eastAsiaTheme="minorEastAsia" w:cstheme="minorEastAsia"/>
                <w:b w:val="0"/>
                <w:bCs w:val="0"/>
                <w:color w:val="auto"/>
                <w:szCs w:val="21"/>
                <w:highlight w:val="none"/>
              </w:rPr>
              <w:t>，将实行项目经理负责制，我方保证并配备上述项目管理机构。上述填报内容真实，若不真实，</w:t>
            </w:r>
          </w:p>
          <w:p w14:paraId="020410FC">
            <w:pPr>
              <w:spacing w:line="360" w:lineRule="auto"/>
              <w:ind w:left="-2" w:right="-153" w:rightChars="-73"/>
              <w:jc w:val="lef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val="0"/>
                <w:bCs w:val="0"/>
                <w:color w:val="auto"/>
                <w:szCs w:val="21"/>
                <w:highlight w:val="none"/>
              </w:rPr>
              <w:t>愿按有关规定接受处理。</w:t>
            </w:r>
          </w:p>
        </w:tc>
      </w:tr>
    </w:tbl>
    <w:p w14:paraId="6FB50E2A">
      <w:pPr>
        <w:spacing w:line="360" w:lineRule="auto"/>
        <w:ind w:left="-2" w:right="-153" w:rightChars="-73"/>
        <w:rPr>
          <w:rFonts w:hint="eastAsia" w:asciiTheme="minorEastAsia" w:hAnsiTheme="minorEastAsia" w:eastAsiaTheme="minorEastAsia" w:cstheme="minorEastAsia"/>
          <w:b w:val="0"/>
          <w:bCs w:val="0"/>
          <w:color w:val="auto"/>
          <w:highlight w:val="none"/>
          <w:lang w:eastAsia="zh-CN"/>
        </w:rPr>
      </w:pPr>
      <w:r>
        <w:rPr>
          <w:rFonts w:hint="eastAsia" w:asciiTheme="minorEastAsia" w:hAnsiTheme="minorEastAsia" w:eastAsiaTheme="minorEastAsia" w:cstheme="minorEastAsia"/>
          <w:b/>
          <w:bCs/>
          <w:color w:val="auto"/>
          <w:szCs w:val="21"/>
          <w:highlight w:val="none"/>
        </w:rPr>
        <w:t>附：</w:t>
      </w:r>
      <w:r>
        <w:rPr>
          <w:rFonts w:hint="eastAsia" w:asciiTheme="minorEastAsia" w:hAnsiTheme="minorEastAsia" w:eastAsiaTheme="minorEastAsia" w:cstheme="minorEastAsia"/>
          <w:b w:val="0"/>
          <w:bCs w:val="0"/>
          <w:color w:val="auto"/>
          <w:szCs w:val="21"/>
          <w:highlight w:val="none"/>
        </w:rPr>
        <w:t>①项目经理（注册建造师）简历表（格式）</w:t>
      </w:r>
      <w:r>
        <w:rPr>
          <w:rFonts w:hint="eastAsia" w:asciiTheme="minorEastAsia" w:hAnsiTheme="minorEastAsia" w:eastAsiaTheme="minorEastAsia" w:cstheme="minorEastAsia"/>
          <w:b w:val="0"/>
          <w:bCs w:val="0"/>
          <w:color w:val="auto"/>
          <w:szCs w:val="21"/>
          <w:highlight w:val="none"/>
          <w:lang w:eastAsia="zh-CN"/>
        </w:rPr>
        <w:t>；</w:t>
      </w:r>
    </w:p>
    <w:p w14:paraId="7D35F9DE">
      <w:pPr>
        <w:spacing w:line="360" w:lineRule="auto"/>
        <w:ind w:left="-2" w:right="-153" w:rightChars="-73" w:firstLine="42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szCs w:val="21"/>
          <w:highlight w:val="none"/>
        </w:rPr>
        <w:t>②项目技术负责人简历表（格式）；</w:t>
      </w:r>
    </w:p>
    <w:p w14:paraId="36264995">
      <w:pPr>
        <w:spacing w:line="360" w:lineRule="auto"/>
        <w:ind w:left="-2" w:right="-153" w:rightChars="-73" w:firstLine="420"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③其他主要人员应附</w:t>
      </w:r>
      <w:r>
        <w:rPr>
          <w:rFonts w:hint="eastAsia" w:asciiTheme="minorEastAsia" w:hAnsiTheme="minorEastAsia" w:eastAsiaTheme="minorEastAsia" w:cstheme="minorEastAsia"/>
          <w:color w:val="auto"/>
          <w:szCs w:val="21"/>
          <w:highlight w:val="none"/>
          <w:lang w:eastAsia="zh-CN"/>
        </w:rPr>
        <w:t>岗位证书</w:t>
      </w:r>
      <w:r>
        <w:rPr>
          <w:rFonts w:hint="eastAsia" w:asciiTheme="minorEastAsia" w:hAnsiTheme="minorEastAsia" w:eastAsiaTheme="minorEastAsia" w:cstheme="minorEastAsia"/>
          <w:color w:val="auto"/>
          <w:szCs w:val="21"/>
          <w:highlight w:val="none"/>
        </w:rPr>
        <w:t>、身份证</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职称证（若有）</w:t>
      </w:r>
      <w:r>
        <w:rPr>
          <w:rFonts w:hint="eastAsia" w:asciiTheme="minorEastAsia" w:hAnsiTheme="minorEastAsia" w:eastAsiaTheme="minorEastAsia" w:cstheme="minorEastAsia"/>
          <w:color w:val="auto"/>
          <w:szCs w:val="21"/>
          <w:highlight w:val="none"/>
        </w:rPr>
        <w:t>等</w:t>
      </w:r>
      <w:r>
        <w:rPr>
          <w:rFonts w:hint="eastAsia" w:asciiTheme="minorEastAsia" w:hAnsiTheme="minorEastAsia" w:eastAsiaTheme="minorEastAsia" w:cstheme="minorEastAsia"/>
          <w:color w:val="auto"/>
          <w:szCs w:val="21"/>
          <w:highlight w:val="none"/>
          <w:lang w:eastAsia="zh-CN"/>
        </w:rPr>
        <w:t>扫描件；</w:t>
      </w:r>
    </w:p>
    <w:p w14:paraId="66A84854">
      <w:pPr>
        <w:spacing w:line="360" w:lineRule="auto"/>
        <w:ind w:left="-2" w:right="-153" w:rightChars="-73" w:firstLine="420" w:firstLineChars="20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eastAsia="zh-CN"/>
        </w:rPr>
        <w:t>④拟投入</w:t>
      </w:r>
      <w:r>
        <w:rPr>
          <w:rFonts w:hint="eastAsia" w:asciiTheme="minorEastAsia" w:hAnsiTheme="minorEastAsia" w:eastAsiaTheme="minorEastAsia" w:cstheme="minorEastAsia"/>
          <w:color w:val="auto"/>
          <w:szCs w:val="21"/>
          <w:highlight w:val="none"/>
          <w:lang w:val="en-US" w:eastAsia="zh-CN"/>
        </w:rPr>
        <w:t>所有</w:t>
      </w:r>
      <w:r>
        <w:rPr>
          <w:rFonts w:hint="eastAsia" w:asciiTheme="minorEastAsia" w:hAnsiTheme="minorEastAsia" w:eastAsiaTheme="minorEastAsia" w:cstheme="minorEastAsia"/>
          <w:color w:val="auto"/>
          <w:szCs w:val="21"/>
          <w:highlight w:val="none"/>
          <w:lang w:eastAsia="zh-CN"/>
        </w:rPr>
        <w:t>人员</w:t>
      </w:r>
      <w:r>
        <w:rPr>
          <w:rFonts w:hint="eastAsia" w:asciiTheme="minorEastAsia" w:hAnsiTheme="minorEastAsia" w:eastAsiaTheme="minorEastAsia" w:cstheme="minorEastAsia"/>
          <w:color w:val="auto"/>
          <w:szCs w:val="21"/>
          <w:highlight w:val="none"/>
        </w:rPr>
        <w:t>现任职单位为其缴纳的</w:t>
      </w:r>
      <w:r>
        <w:rPr>
          <w:rFonts w:hint="eastAsia" w:asciiTheme="minorEastAsia" w:hAnsiTheme="minorEastAsia" w:eastAsiaTheme="minorEastAsia" w:cstheme="minorEastAsia"/>
          <w:color w:val="auto"/>
          <w:szCs w:val="21"/>
          <w:highlight w:val="none"/>
          <w:lang w:val="en-US" w:eastAsia="zh-CN"/>
        </w:rPr>
        <w:t>截止之日</w:t>
      </w:r>
      <w:r>
        <w:rPr>
          <w:rFonts w:hint="eastAsia" w:asciiTheme="minorEastAsia" w:hAnsiTheme="minorEastAsia" w:eastAsiaTheme="minorEastAsia" w:cstheme="minorEastAsia"/>
          <w:bCs/>
          <w:color w:val="auto"/>
          <w:sz w:val="21"/>
          <w:szCs w:val="21"/>
          <w:highlight w:val="none"/>
          <w:lang w:eastAsia="zh-CN"/>
        </w:rPr>
        <w:t>前半年内连续三个月的依法缴纳社保费的缴费凭证（格式自拟，扫描件，</w:t>
      </w:r>
      <w:r>
        <w:rPr>
          <w:rFonts w:hint="eastAsia" w:asciiTheme="minorEastAsia" w:hAnsiTheme="minorEastAsia" w:eastAsiaTheme="minorEastAsia" w:cstheme="minorEastAsia"/>
          <w:b/>
          <w:bCs w:val="0"/>
          <w:color w:val="auto"/>
          <w:sz w:val="21"/>
          <w:szCs w:val="21"/>
          <w:highlight w:val="none"/>
          <w:lang w:eastAsia="zh-CN"/>
        </w:rPr>
        <w:t>必须提供</w:t>
      </w:r>
      <w:r>
        <w:rPr>
          <w:rFonts w:hint="eastAsia" w:asciiTheme="minorEastAsia" w:hAnsiTheme="minorEastAsia" w:eastAsiaTheme="minorEastAsia" w:cstheme="minorEastAsia"/>
          <w:bCs/>
          <w:color w:val="auto"/>
          <w:sz w:val="21"/>
          <w:szCs w:val="21"/>
          <w:highlight w:val="none"/>
          <w:lang w:eastAsia="zh-CN"/>
        </w:rPr>
        <w:t>）。</w:t>
      </w:r>
    </w:p>
    <w:p w14:paraId="05E2AF96">
      <w:pPr>
        <w:pStyle w:val="35"/>
        <w:rPr>
          <w:rFonts w:hint="eastAsia" w:asciiTheme="minorEastAsia" w:hAnsiTheme="minorEastAsia" w:eastAsiaTheme="minorEastAsia" w:cstheme="minorEastAsia"/>
          <w:b/>
          <w:color w:val="auto"/>
          <w:sz w:val="24"/>
          <w:highlight w:val="none"/>
          <w:u w:val="single"/>
          <w:lang w:val="en-US" w:eastAsia="zh-CN"/>
        </w:rPr>
      </w:pPr>
    </w:p>
    <w:p w14:paraId="46CF880E">
      <w:pPr>
        <w:pStyle w:val="35"/>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b/>
          <w:color w:val="auto"/>
          <w:sz w:val="24"/>
          <w:highlight w:val="none"/>
          <w:u w:val="single"/>
          <w:lang w:val="en-US" w:eastAsia="zh-CN"/>
        </w:rPr>
        <w:t>注：文件 《一、主要管理人员表 》中所有提及的证件材料属于复印件的扫描件的，必须加盖供应商电子公章，否则响应文件按无效响应处理。</w:t>
      </w:r>
    </w:p>
    <w:p w14:paraId="5CE75E82">
      <w:pPr>
        <w:widowControl/>
        <w:spacing w:line="300" w:lineRule="exact"/>
        <w:ind w:right="-147" w:rightChars="-70"/>
        <w:rPr>
          <w:rFonts w:hint="eastAsia"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color w:val="auto"/>
          <w:szCs w:val="21"/>
          <w:highlight w:val="none"/>
          <w:lang w:val="en-US" w:eastAsia="zh-CN"/>
        </w:rPr>
        <w:br w:type="page"/>
      </w:r>
      <w:r>
        <w:rPr>
          <w:rFonts w:hint="eastAsia" w:asciiTheme="minorEastAsia" w:hAnsiTheme="minorEastAsia" w:eastAsiaTheme="minorEastAsia" w:cstheme="minorEastAsia"/>
          <w:color w:val="auto"/>
          <w:szCs w:val="21"/>
          <w:highlight w:val="none"/>
          <w:lang w:val="en-US" w:eastAsia="zh-CN"/>
        </w:rPr>
        <w:t>附表</w:t>
      </w:r>
      <w:r>
        <w:rPr>
          <w:rFonts w:hint="eastAsia" w:asciiTheme="minorEastAsia" w:hAnsiTheme="minorEastAsia" w:eastAsiaTheme="minorEastAsia" w:cstheme="minorEastAsia"/>
          <w:b w:val="0"/>
          <w:bCs w:val="0"/>
          <w:color w:val="auto"/>
          <w:szCs w:val="21"/>
          <w:highlight w:val="none"/>
        </w:rPr>
        <w:t>①项目经理（注册建造师）简历表（格式）</w:t>
      </w:r>
    </w:p>
    <w:p w14:paraId="1FE5A3E5">
      <w:pPr>
        <w:pStyle w:val="35"/>
        <w:rPr>
          <w:rFonts w:hint="eastAsia" w:asciiTheme="minorEastAsia" w:hAnsiTheme="minorEastAsia" w:eastAsiaTheme="minorEastAsia" w:cstheme="minorEastAsia"/>
          <w:color w:val="auto"/>
          <w:highlight w:val="none"/>
          <w:lang w:val="en-US" w:eastAsia="zh-CN"/>
        </w:rPr>
      </w:pPr>
    </w:p>
    <w:p w14:paraId="5AAD42BF">
      <w:pPr>
        <w:spacing w:line="40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项目经理（注册建造师）简历表</w:t>
      </w:r>
    </w:p>
    <w:p w14:paraId="5CC2CEDA">
      <w:pPr>
        <w:spacing w:line="400" w:lineRule="exact"/>
        <w:rPr>
          <w:rFonts w:hint="eastAsia" w:asciiTheme="minorEastAsia" w:hAnsiTheme="minorEastAsia" w:eastAsiaTheme="minorEastAsia" w:cstheme="minorEastAsia"/>
          <w:b/>
          <w:color w:val="auto"/>
          <w:sz w:val="28"/>
          <w:szCs w:val="28"/>
          <w:highlight w:val="none"/>
        </w:rPr>
      </w:pPr>
    </w:p>
    <w:p w14:paraId="72BAD184">
      <w:pPr>
        <w:spacing w:line="400" w:lineRule="exac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采购项目名称：</w:t>
      </w:r>
      <w:r>
        <w:rPr>
          <w:rFonts w:hint="eastAsia" w:asciiTheme="minorEastAsia" w:hAnsiTheme="minorEastAsia" w:eastAsiaTheme="minorEastAsia" w:cstheme="minorEastAsia"/>
          <w:color w:val="auto"/>
          <w:szCs w:val="21"/>
          <w:highlight w:val="none"/>
          <w:u w:val="single"/>
        </w:rPr>
        <w:t xml:space="preserve">                     </w:t>
      </w:r>
    </w:p>
    <w:p w14:paraId="28335E36">
      <w:pPr>
        <w:pStyle w:val="40"/>
        <w:spacing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项目采购编号：</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highlight w:val="none"/>
        </w:rPr>
        <w:t xml:space="preserve">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2164"/>
      </w:tblGrid>
      <w:tr w14:paraId="13BB4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3" w:type="dxa"/>
            <w:noWrap w:val="0"/>
            <w:vAlign w:val="center"/>
          </w:tcPr>
          <w:p w14:paraId="74D9B10F">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姓名</w:t>
            </w:r>
          </w:p>
        </w:tc>
        <w:tc>
          <w:tcPr>
            <w:tcW w:w="2340" w:type="dxa"/>
            <w:gridSpan w:val="3"/>
            <w:noWrap w:val="0"/>
            <w:vAlign w:val="center"/>
          </w:tcPr>
          <w:p w14:paraId="6573628E">
            <w:pPr>
              <w:spacing w:line="300" w:lineRule="exact"/>
              <w:jc w:val="center"/>
              <w:rPr>
                <w:rFonts w:hint="eastAsia" w:asciiTheme="minorEastAsia" w:hAnsiTheme="minorEastAsia" w:eastAsiaTheme="minorEastAsia" w:cstheme="minorEastAsia"/>
                <w:color w:val="auto"/>
                <w:szCs w:val="21"/>
                <w:highlight w:val="none"/>
              </w:rPr>
            </w:pPr>
          </w:p>
        </w:tc>
        <w:tc>
          <w:tcPr>
            <w:tcW w:w="1893" w:type="dxa"/>
            <w:gridSpan w:val="2"/>
            <w:noWrap w:val="0"/>
            <w:vAlign w:val="center"/>
          </w:tcPr>
          <w:p w14:paraId="047FE21D">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性别</w:t>
            </w:r>
          </w:p>
        </w:tc>
        <w:tc>
          <w:tcPr>
            <w:tcW w:w="1585" w:type="dxa"/>
            <w:gridSpan w:val="2"/>
            <w:noWrap w:val="0"/>
            <w:vAlign w:val="center"/>
          </w:tcPr>
          <w:p w14:paraId="111D346A">
            <w:pPr>
              <w:spacing w:line="300" w:lineRule="exact"/>
              <w:jc w:val="center"/>
              <w:rPr>
                <w:rFonts w:hint="eastAsia" w:asciiTheme="minorEastAsia" w:hAnsiTheme="minorEastAsia" w:eastAsiaTheme="minorEastAsia" w:cstheme="minorEastAsia"/>
                <w:color w:val="auto"/>
                <w:szCs w:val="21"/>
                <w:highlight w:val="none"/>
              </w:rPr>
            </w:pPr>
          </w:p>
        </w:tc>
        <w:tc>
          <w:tcPr>
            <w:tcW w:w="1108" w:type="dxa"/>
            <w:gridSpan w:val="2"/>
            <w:noWrap w:val="0"/>
            <w:vAlign w:val="center"/>
          </w:tcPr>
          <w:p w14:paraId="33F26A1A">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年龄</w:t>
            </w:r>
          </w:p>
        </w:tc>
        <w:tc>
          <w:tcPr>
            <w:tcW w:w="2164" w:type="dxa"/>
            <w:noWrap w:val="0"/>
            <w:vAlign w:val="center"/>
          </w:tcPr>
          <w:p w14:paraId="6AF4341A">
            <w:pPr>
              <w:spacing w:line="300" w:lineRule="exact"/>
              <w:jc w:val="center"/>
              <w:rPr>
                <w:rFonts w:hint="eastAsia" w:asciiTheme="minorEastAsia" w:hAnsiTheme="minorEastAsia" w:eastAsiaTheme="minorEastAsia" w:cstheme="minorEastAsia"/>
                <w:color w:val="auto"/>
                <w:szCs w:val="21"/>
                <w:highlight w:val="none"/>
              </w:rPr>
            </w:pPr>
          </w:p>
        </w:tc>
      </w:tr>
      <w:tr w14:paraId="074B4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3" w:type="dxa"/>
            <w:noWrap w:val="0"/>
            <w:vAlign w:val="center"/>
          </w:tcPr>
          <w:p w14:paraId="79DF215D">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职务</w:t>
            </w:r>
          </w:p>
        </w:tc>
        <w:tc>
          <w:tcPr>
            <w:tcW w:w="2340" w:type="dxa"/>
            <w:gridSpan w:val="3"/>
            <w:noWrap w:val="0"/>
            <w:vAlign w:val="center"/>
          </w:tcPr>
          <w:p w14:paraId="4D2632EC">
            <w:pPr>
              <w:spacing w:line="300" w:lineRule="exact"/>
              <w:jc w:val="center"/>
              <w:rPr>
                <w:rFonts w:hint="eastAsia" w:asciiTheme="minorEastAsia" w:hAnsiTheme="minorEastAsia" w:eastAsiaTheme="minorEastAsia" w:cstheme="minorEastAsia"/>
                <w:color w:val="auto"/>
                <w:szCs w:val="21"/>
                <w:highlight w:val="none"/>
              </w:rPr>
            </w:pPr>
          </w:p>
        </w:tc>
        <w:tc>
          <w:tcPr>
            <w:tcW w:w="1893" w:type="dxa"/>
            <w:gridSpan w:val="2"/>
            <w:noWrap w:val="0"/>
            <w:vAlign w:val="center"/>
          </w:tcPr>
          <w:p w14:paraId="2677E68E">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职称</w:t>
            </w:r>
          </w:p>
        </w:tc>
        <w:tc>
          <w:tcPr>
            <w:tcW w:w="1585" w:type="dxa"/>
            <w:gridSpan w:val="2"/>
            <w:noWrap w:val="0"/>
            <w:vAlign w:val="center"/>
          </w:tcPr>
          <w:p w14:paraId="5ED1D369">
            <w:pPr>
              <w:spacing w:line="300" w:lineRule="exact"/>
              <w:jc w:val="center"/>
              <w:rPr>
                <w:rFonts w:hint="eastAsia" w:asciiTheme="minorEastAsia" w:hAnsiTheme="minorEastAsia" w:eastAsiaTheme="minorEastAsia" w:cstheme="minorEastAsia"/>
                <w:color w:val="auto"/>
                <w:szCs w:val="21"/>
                <w:highlight w:val="none"/>
              </w:rPr>
            </w:pPr>
          </w:p>
        </w:tc>
        <w:tc>
          <w:tcPr>
            <w:tcW w:w="1108" w:type="dxa"/>
            <w:gridSpan w:val="2"/>
            <w:noWrap w:val="0"/>
            <w:vAlign w:val="center"/>
          </w:tcPr>
          <w:p w14:paraId="01422706">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学历</w:t>
            </w:r>
          </w:p>
        </w:tc>
        <w:tc>
          <w:tcPr>
            <w:tcW w:w="2164" w:type="dxa"/>
            <w:noWrap w:val="0"/>
            <w:vAlign w:val="center"/>
          </w:tcPr>
          <w:p w14:paraId="6AC978E6">
            <w:pPr>
              <w:spacing w:line="300" w:lineRule="exact"/>
              <w:jc w:val="center"/>
              <w:rPr>
                <w:rFonts w:hint="eastAsia" w:asciiTheme="minorEastAsia" w:hAnsiTheme="minorEastAsia" w:eastAsiaTheme="minorEastAsia" w:cstheme="minorEastAsia"/>
                <w:color w:val="auto"/>
                <w:szCs w:val="21"/>
                <w:highlight w:val="none"/>
              </w:rPr>
            </w:pPr>
          </w:p>
        </w:tc>
      </w:tr>
      <w:tr w14:paraId="2E797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23" w:type="dxa"/>
            <w:gridSpan w:val="4"/>
            <w:noWrap w:val="0"/>
            <w:vAlign w:val="center"/>
          </w:tcPr>
          <w:p w14:paraId="606B3E4E">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参加工作时间</w:t>
            </w:r>
          </w:p>
        </w:tc>
        <w:tc>
          <w:tcPr>
            <w:tcW w:w="1893" w:type="dxa"/>
            <w:gridSpan w:val="2"/>
            <w:noWrap w:val="0"/>
            <w:vAlign w:val="center"/>
          </w:tcPr>
          <w:p w14:paraId="7D9A28BF">
            <w:pPr>
              <w:spacing w:line="300" w:lineRule="exact"/>
              <w:jc w:val="center"/>
              <w:rPr>
                <w:rFonts w:hint="eastAsia" w:asciiTheme="minorEastAsia" w:hAnsiTheme="minorEastAsia" w:eastAsiaTheme="minorEastAsia" w:cstheme="minorEastAsia"/>
                <w:color w:val="auto"/>
                <w:szCs w:val="21"/>
                <w:highlight w:val="none"/>
              </w:rPr>
            </w:pPr>
          </w:p>
        </w:tc>
        <w:tc>
          <w:tcPr>
            <w:tcW w:w="2693" w:type="dxa"/>
            <w:gridSpan w:val="4"/>
            <w:noWrap w:val="0"/>
            <w:vAlign w:val="center"/>
          </w:tcPr>
          <w:p w14:paraId="331EE23F">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担任项目经理年限</w:t>
            </w:r>
          </w:p>
        </w:tc>
        <w:tc>
          <w:tcPr>
            <w:tcW w:w="2164" w:type="dxa"/>
            <w:noWrap w:val="0"/>
            <w:vAlign w:val="center"/>
          </w:tcPr>
          <w:p w14:paraId="4CF7B1EE">
            <w:pPr>
              <w:spacing w:line="300" w:lineRule="exact"/>
              <w:jc w:val="center"/>
              <w:rPr>
                <w:rFonts w:hint="eastAsia" w:asciiTheme="minorEastAsia" w:hAnsiTheme="minorEastAsia" w:eastAsiaTheme="minorEastAsia" w:cstheme="minorEastAsia"/>
                <w:color w:val="auto"/>
                <w:szCs w:val="21"/>
                <w:highlight w:val="none"/>
              </w:rPr>
            </w:pPr>
          </w:p>
        </w:tc>
      </w:tr>
      <w:tr w14:paraId="0D24F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23" w:type="dxa"/>
            <w:gridSpan w:val="4"/>
            <w:noWrap w:val="0"/>
            <w:vAlign w:val="center"/>
          </w:tcPr>
          <w:p w14:paraId="453F2EFE">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项目经理注册证书编号</w:t>
            </w:r>
          </w:p>
        </w:tc>
        <w:tc>
          <w:tcPr>
            <w:tcW w:w="6750" w:type="dxa"/>
            <w:gridSpan w:val="7"/>
            <w:noWrap w:val="0"/>
            <w:vAlign w:val="center"/>
          </w:tcPr>
          <w:p w14:paraId="4F32BDFB">
            <w:pPr>
              <w:spacing w:line="300" w:lineRule="exact"/>
              <w:jc w:val="center"/>
              <w:rPr>
                <w:rFonts w:hint="eastAsia" w:asciiTheme="minorEastAsia" w:hAnsiTheme="minorEastAsia" w:eastAsiaTheme="minorEastAsia" w:cstheme="minorEastAsia"/>
                <w:color w:val="auto"/>
                <w:szCs w:val="21"/>
                <w:highlight w:val="none"/>
              </w:rPr>
            </w:pPr>
          </w:p>
        </w:tc>
      </w:tr>
      <w:tr w14:paraId="55496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173" w:type="dxa"/>
            <w:gridSpan w:val="11"/>
            <w:noWrap w:val="0"/>
            <w:vAlign w:val="center"/>
          </w:tcPr>
          <w:p w14:paraId="6994A51F">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在建和已完工程项目情况</w:t>
            </w:r>
          </w:p>
        </w:tc>
      </w:tr>
      <w:tr w14:paraId="64EFE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0"/>
            <w:vAlign w:val="center"/>
          </w:tcPr>
          <w:p w14:paraId="583257E5">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建设单位</w:t>
            </w:r>
          </w:p>
        </w:tc>
        <w:tc>
          <w:tcPr>
            <w:tcW w:w="1548" w:type="dxa"/>
            <w:noWrap w:val="0"/>
            <w:vAlign w:val="center"/>
          </w:tcPr>
          <w:p w14:paraId="1E1DA52B">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项目名称</w:t>
            </w:r>
          </w:p>
        </w:tc>
        <w:tc>
          <w:tcPr>
            <w:tcW w:w="1547" w:type="dxa"/>
            <w:gridSpan w:val="2"/>
            <w:noWrap w:val="0"/>
            <w:vAlign w:val="center"/>
          </w:tcPr>
          <w:p w14:paraId="4532C883">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建设规模</w:t>
            </w:r>
          </w:p>
        </w:tc>
        <w:tc>
          <w:tcPr>
            <w:tcW w:w="1548" w:type="dxa"/>
            <w:gridSpan w:val="2"/>
            <w:noWrap w:val="0"/>
            <w:vAlign w:val="center"/>
          </w:tcPr>
          <w:p w14:paraId="182BF1AD">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开、竣工日期</w:t>
            </w:r>
          </w:p>
        </w:tc>
        <w:tc>
          <w:tcPr>
            <w:tcW w:w="1547" w:type="dxa"/>
            <w:gridSpan w:val="2"/>
            <w:noWrap w:val="0"/>
            <w:vAlign w:val="center"/>
          </w:tcPr>
          <w:p w14:paraId="4CE65712">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在建或已完</w:t>
            </w:r>
          </w:p>
        </w:tc>
        <w:tc>
          <w:tcPr>
            <w:tcW w:w="2436" w:type="dxa"/>
            <w:gridSpan w:val="2"/>
            <w:noWrap w:val="0"/>
            <w:vAlign w:val="center"/>
          </w:tcPr>
          <w:p w14:paraId="6B4B23E2">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工程质量</w:t>
            </w:r>
          </w:p>
        </w:tc>
      </w:tr>
      <w:tr w14:paraId="7ED61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0"/>
            <w:vAlign w:val="center"/>
          </w:tcPr>
          <w:p w14:paraId="42EE1617">
            <w:pPr>
              <w:spacing w:line="300" w:lineRule="exact"/>
              <w:jc w:val="center"/>
              <w:rPr>
                <w:rFonts w:hint="eastAsia" w:asciiTheme="minorEastAsia" w:hAnsiTheme="minorEastAsia" w:eastAsiaTheme="minorEastAsia" w:cstheme="minorEastAsia"/>
                <w:color w:val="auto"/>
                <w:szCs w:val="21"/>
                <w:highlight w:val="none"/>
              </w:rPr>
            </w:pPr>
          </w:p>
        </w:tc>
        <w:tc>
          <w:tcPr>
            <w:tcW w:w="1548" w:type="dxa"/>
            <w:noWrap w:val="0"/>
            <w:vAlign w:val="center"/>
          </w:tcPr>
          <w:p w14:paraId="6F0F1B4B">
            <w:pPr>
              <w:spacing w:line="300" w:lineRule="exact"/>
              <w:jc w:val="center"/>
              <w:rPr>
                <w:rFonts w:hint="eastAsia" w:asciiTheme="minorEastAsia" w:hAnsiTheme="minorEastAsia" w:eastAsiaTheme="minorEastAsia" w:cstheme="minorEastAsia"/>
                <w:color w:val="auto"/>
                <w:szCs w:val="21"/>
                <w:highlight w:val="none"/>
              </w:rPr>
            </w:pPr>
          </w:p>
        </w:tc>
        <w:tc>
          <w:tcPr>
            <w:tcW w:w="1547" w:type="dxa"/>
            <w:gridSpan w:val="2"/>
            <w:noWrap w:val="0"/>
            <w:vAlign w:val="center"/>
          </w:tcPr>
          <w:p w14:paraId="504D6A62">
            <w:pPr>
              <w:spacing w:line="300" w:lineRule="exact"/>
              <w:jc w:val="center"/>
              <w:rPr>
                <w:rFonts w:hint="eastAsia" w:asciiTheme="minorEastAsia" w:hAnsiTheme="minorEastAsia" w:eastAsiaTheme="minorEastAsia" w:cstheme="minorEastAsia"/>
                <w:color w:val="auto"/>
                <w:szCs w:val="21"/>
                <w:highlight w:val="none"/>
              </w:rPr>
            </w:pPr>
          </w:p>
        </w:tc>
        <w:tc>
          <w:tcPr>
            <w:tcW w:w="1548" w:type="dxa"/>
            <w:gridSpan w:val="2"/>
            <w:noWrap w:val="0"/>
            <w:vAlign w:val="center"/>
          </w:tcPr>
          <w:p w14:paraId="3536101F">
            <w:pPr>
              <w:spacing w:line="300" w:lineRule="exact"/>
              <w:jc w:val="center"/>
              <w:rPr>
                <w:rFonts w:hint="eastAsia" w:asciiTheme="minorEastAsia" w:hAnsiTheme="minorEastAsia" w:eastAsiaTheme="minorEastAsia" w:cstheme="minorEastAsia"/>
                <w:color w:val="auto"/>
                <w:szCs w:val="21"/>
                <w:highlight w:val="none"/>
              </w:rPr>
            </w:pPr>
          </w:p>
        </w:tc>
        <w:tc>
          <w:tcPr>
            <w:tcW w:w="1547" w:type="dxa"/>
            <w:gridSpan w:val="2"/>
            <w:noWrap w:val="0"/>
            <w:vAlign w:val="center"/>
          </w:tcPr>
          <w:p w14:paraId="1F80C251">
            <w:pPr>
              <w:spacing w:line="300" w:lineRule="exact"/>
              <w:jc w:val="center"/>
              <w:rPr>
                <w:rFonts w:hint="eastAsia" w:asciiTheme="minorEastAsia" w:hAnsiTheme="minorEastAsia" w:eastAsiaTheme="minorEastAsia" w:cstheme="minorEastAsia"/>
                <w:color w:val="auto"/>
                <w:szCs w:val="21"/>
                <w:highlight w:val="none"/>
              </w:rPr>
            </w:pPr>
          </w:p>
        </w:tc>
        <w:tc>
          <w:tcPr>
            <w:tcW w:w="2436" w:type="dxa"/>
            <w:gridSpan w:val="2"/>
            <w:noWrap w:val="0"/>
            <w:vAlign w:val="center"/>
          </w:tcPr>
          <w:p w14:paraId="6570D25F">
            <w:pPr>
              <w:spacing w:line="300" w:lineRule="exact"/>
              <w:jc w:val="center"/>
              <w:rPr>
                <w:rFonts w:hint="eastAsia" w:asciiTheme="minorEastAsia" w:hAnsiTheme="minorEastAsia" w:eastAsiaTheme="minorEastAsia" w:cstheme="minorEastAsia"/>
                <w:color w:val="auto"/>
                <w:szCs w:val="21"/>
                <w:highlight w:val="none"/>
              </w:rPr>
            </w:pPr>
          </w:p>
        </w:tc>
      </w:tr>
      <w:tr w14:paraId="3A2A6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0"/>
            <w:vAlign w:val="center"/>
          </w:tcPr>
          <w:p w14:paraId="0485719B">
            <w:pPr>
              <w:spacing w:line="300" w:lineRule="exact"/>
              <w:jc w:val="center"/>
              <w:rPr>
                <w:rFonts w:hint="eastAsia" w:asciiTheme="minorEastAsia" w:hAnsiTheme="minorEastAsia" w:eastAsiaTheme="minorEastAsia" w:cstheme="minorEastAsia"/>
                <w:color w:val="auto"/>
                <w:szCs w:val="21"/>
                <w:highlight w:val="none"/>
              </w:rPr>
            </w:pPr>
          </w:p>
        </w:tc>
        <w:tc>
          <w:tcPr>
            <w:tcW w:w="1548" w:type="dxa"/>
            <w:noWrap w:val="0"/>
            <w:vAlign w:val="center"/>
          </w:tcPr>
          <w:p w14:paraId="39622F9C">
            <w:pPr>
              <w:spacing w:line="300" w:lineRule="exact"/>
              <w:jc w:val="center"/>
              <w:rPr>
                <w:rFonts w:hint="eastAsia" w:asciiTheme="minorEastAsia" w:hAnsiTheme="minorEastAsia" w:eastAsiaTheme="minorEastAsia" w:cstheme="minorEastAsia"/>
                <w:color w:val="auto"/>
                <w:szCs w:val="21"/>
                <w:highlight w:val="none"/>
              </w:rPr>
            </w:pPr>
          </w:p>
        </w:tc>
        <w:tc>
          <w:tcPr>
            <w:tcW w:w="1547" w:type="dxa"/>
            <w:gridSpan w:val="2"/>
            <w:noWrap w:val="0"/>
            <w:vAlign w:val="center"/>
          </w:tcPr>
          <w:p w14:paraId="3D77B24E">
            <w:pPr>
              <w:spacing w:line="300" w:lineRule="exact"/>
              <w:jc w:val="center"/>
              <w:rPr>
                <w:rFonts w:hint="eastAsia" w:asciiTheme="minorEastAsia" w:hAnsiTheme="minorEastAsia" w:eastAsiaTheme="minorEastAsia" w:cstheme="minorEastAsia"/>
                <w:color w:val="auto"/>
                <w:szCs w:val="21"/>
                <w:highlight w:val="none"/>
              </w:rPr>
            </w:pPr>
          </w:p>
        </w:tc>
        <w:tc>
          <w:tcPr>
            <w:tcW w:w="1548" w:type="dxa"/>
            <w:gridSpan w:val="2"/>
            <w:noWrap w:val="0"/>
            <w:vAlign w:val="center"/>
          </w:tcPr>
          <w:p w14:paraId="4BC9E785">
            <w:pPr>
              <w:spacing w:line="300" w:lineRule="exact"/>
              <w:jc w:val="center"/>
              <w:rPr>
                <w:rFonts w:hint="eastAsia" w:asciiTheme="minorEastAsia" w:hAnsiTheme="minorEastAsia" w:eastAsiaTheme="minorEastAsia" w:cstheme="minorEastAsia"/>
                <w:color w:val="auto"/>
                <w:szCs w:val="21"/>
                <w:highlight w:val="none"/>
              </w:rPr>
            </w:pPr>
          </w:p>
        </w:tc>
        <w:tc>
          <w:tcPr>
            <w:tcW w:w="1547" w:type="dxa"/>
            <w:gridSpan w:val="2"/>
            <w:noWrap w:val="0"/>
            <w:vAlign w:val="center"/>
          </w:tcPr>
          <w:p w14:paraId="2232639C">
            <w:pPr>
              <w:spacing w:line="300" w:lineRule="exact"/>
              <w:jc w:val="center"/>
              <w:rPr>
                <w:rFonts w:hint="eastAsia" w:asciiTheme="minorEastAsia" w:hAnsiTheme="minorEastAsia" w:eastAsiaTheme="minorEastAsia" w:cstheme="minorEastAsia"/>
                <w:color w:val="auto"/>
                <w:szCs w:val="21"/>
                <w:highlight w:val="none"/>
              </w:rPr>
            </w:pPr>
          </w:p>
        </w:tc>
        <w:tc>
          <w:tcPr>
            <w:tcW w:w="2436" w:type="dxa"/>
            <w:gridSpan w:val="2"/>
            <w:noWrap w:val="0"/>
            <w:vAlign w:val="center"/>
          </w:tcPr>
          <w:p w14:paraId="3194C23C">
            <w:pPr>
              <w:spacing w:line="300" w:lineRule="exact"/>
              <w:jc w:val="center"/>
              <w:rPr>
                <w:rFonts w:hint="eastAsia" w:asciiTheme="minorEastAsia" w:hAnsiTheme="minorEastAsia" w:eastAsiaTheme="minorEastAsia" w:cstheme="minorEastAsia"/>
                <w:color w:val="auto"/>
                <w:szCs w:val="21"/>
                <w:highlight w:val="none"/>
              </w:rPr>
            </w:pPr>
          </w:p>
        </w:tc>
      </w:tr>
      <w:tr w14:paraId="2B657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0"/>
            <w:vAlign w:val="center"/>
          </w:tcPr>
          <w:p w14:paraId="17DCCA67">
            <w:pPr>
              <w:spacing w:line="300" w:lineRule="exact"/>
              <w:jc w:val="center"/>
              <w:rPr>
                <w:rFonts w:hint="eastAsia" w:asciiTheme="minorEastAsia" w:hAnsiTheme="minorEastAsia" w:eastAsiaTheme="minorEastAsia" w:cstheme="minorEastAsia"/>
                <w:color w:val="auto"/>
                <w:szCs w:val="21"/>
                <w:highlight w:val="none"/>
              </w:rPr>
            </w:pPr>
          </w:p>
        </w:tc>
        <w:tc>
          <w:tcPr>
            <w:tcW w:w="1548" w:type="dxa"/>
            <w:noWrap w:val="0"/>
            <w:vAlign w:val="center"/>
          </w:tcPr>
          <w:p w14:paraId="5B7D6AF2">
            <w:pPr>
              <w:spacing w:line="300" w:lineRule="exact"/>
              <w:jc w:val="center"/>
              <w:rPr>
                <w:rFonts w:hint="eastAsia" w:asciiTheme="minorEastAsia" w:hAnsiTheme="minorEastAsia" w:eastAsiaTheme="minorEastAsia" w:cstheme="minorEastAsia"/>
                <w:color w:val="auto"/>
                <w:szCs w:val="21"/>
                <w:highlight w:val="none"/>
              </w:rPr>
            </w:pPr>
          </w:p>
        </w:tc>
        <w:tc>
          <w:tcPr>
            <w:tcW w:w="1547" w:type="dxa"/>
            <w:gridSpan w:val="2"/>
            <w:noWrap w:val="0"/>
            <w:vAlign w:val="center"/>
          </w:tcPr>
          <w:p w14:paraId="0B6B3FEF">
            <w:pPr>
              <w:spacing w:line="300" w:lineRule="exact"/>
              <w:jc w:val="center"/>
              <w:rPr>
                <w:rFonts w:hint="eastAsia" w:asciiTheme="minorEastAsia" w:hAnsiTheme="minorEastAsia" w:eastAsiaTheme="minorEastAsia" w:cstheme="minorEastAsia"/>
                <w:color w:val="auto"/>
                <w:szCs w:val="21"/>
                <w:highlight w:val="none"/>
              </w:rPr>
            </w:pPr>
          </w:p>
        </w:tc>
        <w:tc>
          <w:tcPr>
            <w:tcW w:w="1548" w:type="dxa"/>
            <w:gridSpan w:val="2"/>
            <w:noWrap w:val="0"/>
            <w:vAlign w:val="center"/>
          </w:tcPr>
          <w:p w14:paraId="6EBA47C6">
            <w:pPr>
              <w:spacing w:line="300" w:lineRule="exact"/>
              <w:jc w:val="center"/>
              <w:rPr>
                <w:rFonts w:hint="eastAsia" w:asciiTheme="minorEastAsia" w:hAnsiTheme="minorEastAsia" w:eastAsiaTheme="minorEastAsia" w:cstheme="minorEastAsia"/>
                <w:color w:val="auto"/>
                <w:szCs w:val="21"/>
                <w:highlight w:val="none"/>
              </w:rPr>
            </w:pPr>
          </w:p>
        </w:tc>
        <w:tc>
          <w:tcPr>
            <w:tcW w:w="1547" w:type="dxa"/>
            <w:gridSpan w:val="2"/>
            <w:noWrap w:val="0"/>
            <w:vAlign w:val="center"/>
          </w:tcPr>
          <w:p w14:paraId="5A22DAA9">
            <w:pPr>
              <w:spacing w:line="300" w:lineRule="exact"/>
              <w:jc w:val="center"/>
              <w:rPr>
                <w:rFonts w:hint="eastAsia" w:asciiTheme="minorEastAsia" w:hAnsiTheme="minorEastAsia" w:eastAsiaTheme="minorEastAsia" w:cstheme="minorEastAsia"/>
                <w:color w:val="auto"/>
                <w:szCs w:val="21"/>
                <w:highlight w:val="none"/>
              </w:rPr>
            </w:pPr>
          </w:p>
        </w:tc>
        <w:tc>
          <w:tcPr>
            <w:tcW w:w="2436" w:type="dxa"/>
            <w:gridSpan w:val="2"/>
            <w:noWrap w:val="0"/>
            <w:vAlign w:val="center"/>
          </w:tcPr>
          <w:p w14:paraId="6AEADFF5">
            <w:pPr>
              <w:spacing w:line="300" w:lineRule="exact"/>
              <w:jc w:val="center"/>
              <w:rPr>
                <w:rFonts w:hint="eastAsia" w:asciiTheme="minorEastAsia" w:hAnsiTheme="minorEastAsia" w:eastAsiaTheme="minorEastAsia" w:cstheme="minorEastAsia"/>
                <w:color w:val="auto"/>
                <w:szCs w:val="21"/>
                <w:highlight w:val="none"/>
              </w:rPr>
            </w:pPr>
          </w:p>
        </w:tc>
      </w:tr>
      <w:tr w14:paraId="059CC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0"/>
            <w:vAlign w:val="center"/>
          </w:tcPr>
          <w:p w14:paraId="0B854682">
            <w:pPr>
              <w:spacing w:line="300" w:lineRule="exact"/>
              <w:jc w:val="center"/>
              <w:rPr>
                <w:rFonts w:hint="eastAsia" w:asciiTheme="minorEastAsia" w:hAnsiTheme="minorEastAsia" w:eastAsiaTheme="minorEastAsia" w:cstheme="minorEastAsia"/>
                <w:color w:val="auto"/>
                <w:szCs w:val="21"/>
                <w:highlight w:val="none"/>
              </w:rPr>
            </w:pPr>
          </w:p>
        </w:tc>
        <w:tc>
          <w:tcPr>
            <w:tcW w:w="1548" w:type="dxa"/>
            <w:noWrap w:val="0"/>
            <w:vAlign w:val="center"/>
          </w:tcPr>
          <w:p w14:paraId="0C501C0A">
            <w:pPr>
              <w:spacing w:line="300" w:lineRule="exact"/>
              <w:jc w:val="center"/>
              <w:rPr>
                <w:rFonts w:hint="eastAsia" w:asciiTheme="minorEastAsia" w:hAnsiTheme="minorEastAsia" w:eastAsiaTheme="minorEastAsia" w:cstheme="minorEastAsia"/>
                <w:color w:val="auto"/>
                <w:szCs w:val="21"/>
                <w:highlight w:val="none"/>
              </w:rPr>
            </w:pPr>
          </w:p>
        </w:tc>
        <w:tc>
          <w:tcPr>
            <w:tcW w:w="1547" w:type="dxa"/>
            <w:gridSpan w:val="2"/>
            <w:noWrap w:val="0"/>
            <w:vAlign w:val="center"/>
          </w:tcPr>
          <w:p w14:paraId="658B36AF">
            <w:pPr>
              <w:spacing w:line="300" w:lineRule="exact"/>
              <w:jc w:val="center"/>
              <w:rPr>
                <w:rFonts w:hint="eastAsia" w:asciiTheme="minorEastAsia" w:hAnsiTheme="minorEastAsia" w:eastAsiaTheme="minorEastAsia" w:cstheme="minorEastAsia"/>
                <w:color w:val="auto"/>
                <w:szCs w:val="21"/>
                <w:highlight w:val="none"/>
              </w:rPr>
            </w:pPr>
          </w:p>
        </w:tc>
        <w:tc>
          <w:tcPr>
            <w:tcW w:w="1548" w:type="dxa"/>
            <w:gridSpan w:val="2"/>
            <w:noWrap w:val="0"/>
            <w:vAlign w:val="center"/>
          </w:tcPr>
          <w:p w14:paraId="57A2CDEA">
            <w:pPr>
              <w:spacing w:line="300" w:lineRule="exact"/>
              <w:jc w:val="center"/>
              <w:rPr>
                <w:rFonts w:hint="eastAsia" w:asciiTheme="minorEastAsia" w:hAnsiTheme="minorEastAsia" w:eastAsiaTheme="minorEastAsia" w:cstheme="minorEastAsia"/>
                <w:color w:val="auto"/>
                <w:szCs w:val="21"/>
                <w:highlight w:val="none"/>
              </w:rPr>
            </w:pPr>
          </w:p>
        </w:tc>
        <w:tc>
          <w:tcPr>
            <w:tcW w:w="1547" w:type="dxa"/>
            <w:gridSpan w:val="2"/>
            <w:noWrap w:val="0"/>
            <w:vAlign w:val="center"/>
          </w:tcPr>
          <w:p w14:paraId="730B7974">
            <w:pPr>
              <w:spacing w:line="300" w:lineRule="exact"/>
              <w:jc w:val="center"/>
              <w:rPr>
                <w:rFonts w:hint="eastAsia" w:asciiTheme="minorEastAsia" w:hAnsiTheme="minorEastAsia" w:eastAsiaTheme="minorEastAsia" w:cstheme="minorEastAsia"/>
                <w:color w:val="auto"/>
                <w:szCs w:val="21"/>
                <w:highlight w:val="none"/>
              </w:rPr>
            </w:pPr>
          </w:p>
        </w:tc>
        <w:tc>
          <w:tcPr>
            <w:tcW w:w="2436" w:type="dxa"/>
            <w:gridSpan w:val="2"/>
            <w:noWrap w:val="0"/>
            <w:vAlign w:val="center"/>
          </w:tcPr>
          <w:p w14:paraId="21B511E2">
            <w:pPr>
              <w:spacing w:line="300" w:lineRule="exact"/>
              <w:jc w:val="center"/>
              <w:rPr>
                <w:rFonts w:hint="eastAsia" w:asciiTheme="minorEastAsia" w:hAnsiTheme="minorEastAsia" w:eastAsiaTheme="minorEastAsia" w:cstheme="minorEastAsia"/>
                <w:color w:val="auto"/>
                <w:szCs w:val="21"/>
                <w:highlight w:val="none"/>
              </w:rPr>
            </w:pPr>
          </w:p>
        </w:tc>
      </w:tr>
    </w:tbl>
    <w:p w14:paraId="5464D5DB">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备注：</w:t>
      </w:r>
    </w:p>
    <w:p w14:paraId="5E858735">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1.附项目经理</w:t>
      </w:r>
      <w:r>
        <w:rPr>
          <w:rFonts w:hint="eastAsia" w:asciiTheme="minorEastAsia" w:hAnsiTheme="minorEastAsia" w:eastAsiaTheme="minorEastAsia" w:cstheme="minorEastAsia"/>
          <w:bCs/>
          <w:color w:val="auto"/>
          <w:kern w:val="2"/>
          <w:sz w:val="21"/>
          <w:szCs w:val="21"/>
          <w:highlight w:val="none"/>
          <w:lang w:val="en-US" w:eastAsia="zh-CN" w:bidi="ar-SA"/>
        </w:rPr>
        <w:t>执业资格证书、</w:t>
      </w:r>
      <w:r>
        <w:rPr>
          <w:rFonts w:hint="eastAsia" w:asciiTheme="minorEastAsia" w:hAnsiTheme="minorEastAsia" w:eastAsiaTheme="minorEastAsia" w:cstheme="minorEastAsia"/>
          <w:color w:val="auto"/>
          <w:szCs w:val="21"/>
          <w:highlight w:val="none"/>
        </w:rPr>
        <w:t>《安全生产考核合格证书（</w:t>
      </w:r>
      <w:r>
        <w:rPr>
          <w:rFonts w:hint="eastAsia" w:asciiTheme="minorEastAsia" w:hAnsiTheme="minorEastAsia" w:eastAsiaTheme="minorEastAsia" w:cstheme="minorEastAsia"/>
          <w:color w:val="auto"/>
          <w:szCs w:val="21"/>
          <w:highlight w:val="none"/>
          <w:lang w:val="en-US" w:eastAsia="zh-CN"/>
        </w:rPr>
        <w:t>B证</w:t>
      </w:r>
      <w:r>
        <w:rPr>
          <w:rFonts w:hint="eastAsia" w:asciiTheme="minorEastAsia" w:hAnsiTheme="minorEastAsia" w:eastAsiaTheme="minorEastAsia" w:cstheme="minorEastAsia"/>
          <w:color w:val="auto"/>
          <w:szCs w:val="21"/>
          <w:highlight w:val="none"/>
        </w:rPr>
        <w:t>）》、职称证</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若有</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、学历证（若有）和已完工程（如有）《中标通知书》、工程合同协议书、工程竣工验收证明材料的扫描件，以及</w:t>
      </w:r>
      <w:r>
        <w:rPr>
          <w:rFonts w:hint="eastAsia" w:asciiTheme="minorEastAsia" w:hAnsiTheme="minorEastAsia" w:eastAsiaTheme="minorEastAsia" w:cstheme="minorEastAsia"/>
          <w:color w:val="auto"/>
          <w:szCs w:val="21"/>
          <w:highlight w:val="none"/>
          <w:lang w:eastAsia="zh-CN"/>
        </w:rPr>
        <w:t>竞标人</w:t>
      </w:r>
      <w:r>
        <w:rPr>
          <w:rFonts w:hint="eastAsia" w:asciiTheme="minorEastAsia" w:hAnsiTheme="minorEastAsia" w:eastAsiaTheme="minorEastAsia" w:cstheme="minorEastAsia"/>
          <w:color w:val="auto"/>
          <w:szCs w:val="21"/>
          <w:highlight w:val="none"/>
        </w:rPr>
        <w:t>认为需要增加的其他证明材料</w:t>
      </w:r>
      <w:r>
        <w:rPr>
          <w:rFonts w:hint="eastAsia" w:asciiTheme="minorEastAsia" w:hAnsiTheme="minorEastAsia" w:eastAsiaTheme="minorEastAsia" w:cstheme="minorEastAsia"/>
          <w:color w:val="auto"/>
          <w:szCs w:val="21"/>
          <w:highlight w:val="none"/>
          <w:lang w:val="en-US" w:eastAsia="zh-CN"/>
        </w:rPr>
        <w:t>的</w:t>
      </w:r>
      <w:r>
        <w:rPr>
          <w:rFonts w:hint="eastAsia" w:asciiTheme="minorEastAsia" w:hAnsiTheme="minorEastAsia" w:eastAsiaTheme="minorEastAsia" w:cstheme="minorEastAsia"/>
          <w:color w:val="auto"/>
          <w:szCs w:val="21"/>
          <w:highlight w:val="none"/>
        </w:rPr>
        <w:t>扫描件</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b/>
          <w:bCs/>
          <w:color w:val="auto"/>
          <w:szCs w:val="21"/>
          <w:highlight w:val="none"/>
        </w:rPr>
        <w:t>以上</w:t>
      </w:r>
      <w:r>
        <w:rPr>
          <w:rFonts w:hint="eastAsia" w:asciiTheme="minorEastAsia" w:hAnsiTheme="minorEastAsia" w:eastAsiaTheme="minorEastAsia" w:cstheme="minorEastAsia"/>
          <w:b/>
          <w:bCs/>
          <w:color w:val="auto"/>
          <w:szCs w:val="21"/>
          <w:highlight w:val="none"/>
          <w:lang w:val="en-US" w:eastAsia="zh-CN"/>
        </w:rPr>
        <w:t>材料是复印件的扫描件的，</w:t>
      </w:r>
      <w:r>
        <w:rPr>
          <w:rFonts w:hint="eastAsia" w:asciiTheme="minorEastAsia" w:hAnsiTheme="minorEastAsia" w:eastAsiaTheme="minorEastAsia" w:cstheme="minorEastAsia"/>
          <w:b/>
          <w:bCs/>
          <w:color w:val="auto"/>
          <w:szCs w:val="21"/>
          <w:highlight w:val="none"/>
        </w:rPr>
        <w:t>均须加盖</w:t>
      </w:r>
      <w:r>
        <w:rPr>
          <w:rFonts w:hint="eastAsia" w:asciiTheme="minorEastAsia" w:hAnsiTheme="minorEastAsia" w:eastAsiaTheme="minorEastAsia" w:cstheme="minorEastAsia"/>
          <w:b/>
          <w:bCs/>
          <w:color w:val="auto"/>
          <w:szCs w:val="21"/>
          <w:highlight w:val="none"/>
          <w:lang w:eastAsia="zh-CN"/>
        </w:rPr>
        <w:t>竞标人</w:t>
      </w:r>
      <w:r>
        <w:rPr>
          <w:rFonts w:hint="eastAsia" w:asciiTheme="minorEastAsia" w:hAnsiTheme="minorEastAsia" w:eastAsiaTheme="minorEastAsia" w:cstheme="minorEastAsia"/>
          <w:b/>
          <w:bCs/>
          <w:color w:val="auto"/>
          <w:szCs w:val="21"/>
          <w:highlight w:val="none"/>
        </w:rPr>
        <w:t>单位公章</w:t>
      </w:r>
      <w:r>
        <w:rPr>
          <w:rFonts w:hint="eastAsia" w:asciiTheme="minorEastAsia" w:hAnsiTheme="minorEastAsia" w:eastAsiaTheme="minorEastAsia" w:cstheme="minorEastAsia"/>
          <w:b/>
          <w:bCs/>
          <w:color w:val="auto"/>
          <w:szCs w:val="21"/>
          <w:highlight w:val="none"/>
          <w:lang w:val="en-US" w:eastAsia="zh-CN"/>
        </w:rPr>
        <w:t>或电子CA签章</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eastAsia="zh-CN"/>
        </w:rPr>
        <w:t>）</w:t>
      </w:r>
    </w:p>
    <w:p w14:paraId="26FFD408">
      <w:pPr>
        <w:widowControl/>
        <w:spacing w:line="300" w:lineRule="exact"/>
        <w:ind w:right="-147" w:rightChars="-70"/>
        <w:rPr>
          <w:rFonts w:hint="eastAsia"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color w:val="auto"/>
          <w:szCs w:val="21"/>
          <w:highlight w:val="none"/>
          <w:lang w:val="en-US" w:eastAsia="zh-CN"/>
        </w:rPr>
        <w:br w:type="page"/>
      </w:r>
      <w:r>
        <w:rPr>
          <w:rFonts w:hint="eastAsia" w:asciiTheme="minorEastAsia" w:hAnsiTheme="minorEastAsia" w:eastAsiaTheme="minorEastAsia" w:cstheme="minorEastAsia"/>
          <w:color w:val="auto"/>
          <w:szCs w:val="21"/>
          <w:highlight w:val="none"/>
          <w:lang w:val="en-US" w:eastAsia="zh-CN"/>
        </w:rPr>
        <w:t>附表</w:t>
      </w:r>
      <w:r>
        <w:rPr>
          <w:rFonts w:hint="eastAsia" w:asciiTheme="minorEastAsia" w:hAnsiTheme="minorEastAsia" w:eastAsiaTheme="minorEastAsia" w:cstheme="minorEastAsia"/>
          <w:b w:val="0"/>
          <w:bCs w:val="0"/>
          <w:color w:val="auto"/>
          <w:szCs w:val="21"/>
          <w:highlight w:val="none"/>
        </w:rPr>
        <w:t>②项目技术负责人简历表（格式）</w:t>
      </w:r>
    </w:p>
    <w:p w14:paraId="794049E0">
      <w:pPr>
        <w:pStyle w:val="35"/>
        <w:rPr>
          <w:rFonts w:hint="eastAsia" w:asciiTheme="minorEastAsia" w:hAnsiTheme="minorEastAsia" w:eastAsiaTheme="minorEastAsia" w:cstheme="minorEastAsia"/>
          <w:color w:val="auto"/>
          <w:highlight w:val="none"/>
        </w:rPr>
      </w:pPr>
    </w:p>
    <w:p w14:paraId="35388028">
      <w:pPr>
        <w:spacing w:line="40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项目技术负责人简历表</w:t>
      </w:r>
    </w:p>
    <w:p w14:paraId="0A0B2C2D">
      <w:pPr>
        <w:spacing w:line="400" w:lineRule="exact"/>
        <w:rPr>
          <w:rFonts w:hint="eastAsia" w:asciiTheme="minorEastAsia" w:hAnsiTheme="minorEastAsia" w:eastAsiaTheme="minorEastAsia" w:cstheme="minorEastAsia"/>
          <w:b/>
          <w:color w:val="auto"/>
          <w:sz w:val="28"/>
          <w:szCs w:val="28"/>
          <w:highlight w:val="none"/>
        </w:rPr>
      </w:pPr>
    </w:p>
    <w:p w14:paraId="0874D14E">
      <w:pPr>
        <w:spacing w:line="400" w:lineRule="exact"/>
        <w:rPr>
          <w:rFonts w:hint="eastAsia" w:asciiTheme="minorEastAsia" w:hAnsiTheme="minorEastAsia" w:eastAsiaTheme="minorEastAsia" w:cstheme="minorEastAsia"/>
          <w:color w:val="auto"/>
          <w:szCs w:val="21"/>
          <w:highlight w:val="none"/>
          <w:u w:val="single"/>
        </w:rPr>
      </w:pPr>
      <w:bookmarkStart w:id="1298" w:name="_Toc251052220"/>
      <w:r>
        <w:rPr>
          <w:rFonts w:hint="eastAsia" w:asciiTheme="minorEastAsia" w:hAnsiTheme="minorEastAsia" w:eastAsiaTheme="minorEastAsia" w:cstheme="minorEastAsia"/>
          <w:color w:val="auto"/>
          <w:szCs w:val="21"/>
          <w:highlight w:val="none"/>
        </w:rPr>
        <w:t>采购项目名称：</w:t>
      </w:r>
      <w:r>
        <w:rPr>
          <w:rFonts w:hint="eastAsia" w:asciiTheme="minorEastAsia" w:hAnsiTheme="minorEastAsia" w:eastAsiaTheme="minorEastAsia" w:cstheme="minorEastAsia"/>
          <w:color w:val="auto"/>
          <w:szCs w:val="21"/>
          <w:highlight w:val="none"/>
          <w:u w:val="single"/>
        </w:rPr>
        <w:t xml:space="preserve">                     </w:t>
      </w:r>
    </w:p>
    <w:p w14:paraId="542CA14D">
      <w:pPr>
        <w:spacing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项目采购编号：</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ab/>
      </w:r>
      <w:bookmarkEnd w:id="1298"/>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2305"/>
      </w:tblGrid>
      <w:tr w14:paraId="25322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083" w:type="dxa"/>
            <w:noWrap w:val="0"/>
            <w:vAlign w:val="center"/>
          </w:tcPr>
          <w:p w14:paraId="76DCDEB1">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姓名</w:t>
            </w:r>
          </w:p>
        </w:tc>
        <w:tc>
          <w:tcPr>
            <w:tcW w:w="2340" w:type="dxa"/>
            <w:gridSpan w:val="3"/>
            <w:noWrap w:val="0"/>
            <w:vAlign w:val="center"/>
          </w:tcPr>
          <w:p w14:paraId="5218EC7A">
            <w:pPr>
              <w:spacing w:line="300" w:lineRule="exact"/>
              <w:jc w:val="center"/>
              <w:rPr>
                <w:rFonts w:hint="eastAsia" w:asciiTheme="minorEastAsia" w:hAnsiTheme="minorEastAsia" w:eastAsiaTheme="minorEastAsia" w:cstheme="minorEastAsia"/>
                <w:color w:val="auto"/>
                <w:szCs w:val="21"/>
                <w:highlight w:val="none"/>
              </w:rPr>
            </w:pPr>
          </w:p>
        </w:tc>
        <w:tc>
          <w:tcPr>
            <w:tcW w:w="1893" w:type="dxa"/>
            <w:gridSpan w:val="2"/>
            <w:noWrap w:val="0"/>
            <w:vAlign w:val="center"/>
          </w:tcPr>
          <w:p w14:paraId="6CED97BF">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性别</w:t>
            </w:r>
          </w:p>
        </w:tc>
        <w:tc>
          <w:tcPr>
            <w:tcW w:w="1585" w:type="dxa"/>
            <w:gridSpan w:val="2"/>
            <w:noWrap w:val="0"/>
            <w:vAlign w:val="center"/>
          </w:tcPr>
          <w:p w14:paraId="178D8C62">
            <w:pPr>
              <w:spacing w:line="300" w:lineRule="exact"/>
              <w:jc w:val="center"/>
              <w:rPr>
                <w:rFonts w:hint="eastAsia" w:asciiTheme="minorEastAsia" w:hAnsiTheme="minorEastAsia" w:eastAsiaTheme="minorEastAsia" w:cstheme="minorEastAsia"/>
                <w:color w:val="auto"/>
                <w:szCs w:val="21"/>
                <w:highlight w:val="none"/>
              </w:rPr>
            </w:pPr>
          </w:p>
        </w:tc>
        <w:tc>
          <w:tcPr>
            <w:tcW w:w="1108" w:type="dxa"/>
            <w:gridSpan w:val="2"/>
            <w:noWrap w:val="0"/>
            <w:vAlign w:val="center"/>
          </w:tcPr>
          <w:p w14:paraId="0CB66E35">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年龄</w:t>
            </w:r>
          </w:p>
        </w:tc>
        <w:tc>
          <w:tcPr>
            <w:tcW w:w="2305" w:type="dxa"/>
            <w:noWrap w:val="0"/>
            <w:vAlign w:val="center"/>
          </w:tcPr>
          <w:p w14:paraId="78DB9A26">
            <w:pPr>
              <w:spacing w:line="300" w:lineRule="exact"/>
              <w:jc w:val="center"/>
              <w:rPr>
                <w:rFonts w:hint="eastAsia" w:asciiTheme="minorEastAsia" w:hAnsiTheme="minorEastAsia" w:eastAsiaTheme="minorEastAsia" w:cstheme="minorEastAsia"/>
                <w:color w:val="auto"/>
                <w:szCs w:val="21"/>
                <w:highlight w:val="none"/>
              </w:rPr>
            </w:pPr>
          </w:p>
        </w:tc>
      </w:tr>
      <w:tr w14:paraId="3180D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3" w:type="dxa"/>
            <w:noWrap w:val="0"/>
            <w:vAlign w:val="center"/>
          </w:tcPr>
          <w:p w14:paraId="23DB9338">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职务</w:t>
            </w:r>
          </w:p>
        </w:tc>
        <w:tc>
          <w:tcPr>
            <w:tcW w:w="2340" w:type="dxa"/>
            <w:gridSpan w:val="3"/>
            <w:noWrap w:val="0"/>
            <w:vAlign w:val="center"/>
          </w:tcPr>
          <w:p w14:paraId="05694194">
            <w:pPr>
              <w:spacing w:line="300" w:lineRule="exact"/>
              <w:jc w:val="center"/>
              <w:rPr>
                <w:rFonts w:hint="eastAsia" w:asciiTheme="minorEastAsia" w:hAnsiTheme="minorEastAsia" w:eastAsiaTheme="minorEastAsia" w:cstheme="minorEastAsia"/>
                <w:color w:val="auto"/>
                <w:szCs w:val="21"/>
                <w:highlight w:val="none"/>
              </w:rPr>
            </w:pPr>
          </w:p>
        </w:tc>
        <w:tc>
          <w:tcPr>
            <w:tcW w:w="1893" w:type="dxa"/>
            <w:gridSpan w:val="2"/>
            <w:noWrap w:val="0"/>
            <w:vAlign w:val="center"/>
          </w:tcPr>
          <w:p w14:paraId="7804A76E">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职称</w:t>
            </w:r>
          </w:p>
        </w:tc>
        <w:tc>
          <w:tcPr>
            <w:tcW w:w="1585" w:type="dxa"/>
            <w:gridSpan w:val="2"/>
            <w:noWrap w:val="0"/>
            <w:vAlign w:val="center"/>
          </w:tcPr>
          <w:p w14:paraId="584D53C7">
            <w:pPr>
              <w:spacing w:line="300" w:lineRule="exact"/>
              <w:jc w:val="center"/>
              <w:rPr>
                <w:rFonts w:hint="eastAsia" w:asciiTheme="minorEastAsia" w:hAnsiTheme="minorEastAsia" w:eastAsiaTheme="minorEastAsia" w:cstheme="minorEastAsia"/>
                <w:color w:val="auto"/>
                <w:szCs w:val="21"/>
                <w:highlight w:val="none"/>
              </w:rPr>
            </w:pPr>
          </w:p>
        </w:tc>
        <w:tc>
          <w:tcPr>
            <w:tcW w:w="1108" w:type="dxa"/>
            <w:gridSpan w:val="2"/>
            <w:noWrap w:val="0"/>
            <w:vAlign w:val="center"/>
          </w:tcPr>
          <w:p w14:paraId="36361D33">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学历</w:t>
            </w:r>
          </w:p>
        </w:tc>
        <w:tc>
          <w:tcPr>
            <w:tcW w:w="2305" w:type="dxa"/>
            <w:noWrap w:val="0"/>
            <w:vAlign w:val="center"/>
          </w:tcPr>
          <w:p w14:paraId="645F46F4">
            <w:pPr>
              <w:spacing w:line="300" w:lineRule="exact"/>
              <w:jc w:val="center"/>
              <w:rPr>
                <w:rFonts w:hint="eastAsia" w:asciiTheme="minorEastAsia" w:hAnsiTheme="minorEastAsia" w:eastAsiaTheme="minorEastAsia" w:cstheme="minorEastAsia"/>
                <w:color w:val="auto"/>
                <w:szCs w:val="21"/>
                <w:highlight w:val="none"/>
              </w:rPr>
            </w:pPr>
          </w:p>
        </w:tc>
      </w:tr>
      <w:tr w14:paraId="73C8E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23" w:type="dxa"/>
            <w:gridSpan w:val="4"/>
            <w:noWrap w:val="0"/>
            <w:vAlign w:val="center"/>
          </w:tcPr>
          <w:p w14:paraId="190C901F">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参加工作时间</w:t>
            </w:r>
          </w:p>
        </w:tc>
        <w:tc>
          <w:tcPr>
            <w:tcW w:w="1893" w:type="dxa"/>
            <w:gridSpan w:val="2"/>
            <w:noWrap w:val="0"/>
            <w:vAlign w:val="center"/>
          </w:tcPr>
          <w:p w14:paraId="2D85CFED">
            <w:pPr>
              <w:spacing w:line="300" w:lineRule="exact"/>
              <w:jc w:val="center"/>
              <w:rPr>
                <w:rFonts w:hint="eastAsia" w:asciiTheme="minorEastAsia" w:hAnsiTheme="minorEastAsia" w:eastAsiaTheme="minorEastAsia" w:cstheme="minorEastAsia"/>
                <w:color w:val="auto"/>
                <w:szCs w:val="21"/>
                <w:highlight w:val="none"/>
              </w:rPr>
            </w:pPr>
          </w:p>
        </w:tc>
        <w:tc>
          <w:tcPr>
            <w:tcW w:w="2693" w:type="dxa"/>
            <w:gridSpan w:val="4"/>
            <w:noWrap w:val="0"/>
            <w:vAlign w:val="center"/>
          </w:tcPr>
          <w:p w14:paraId="7191B026">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担任技术负责人年限</w:t>
            </w:r>
          </w:p>
        </w:tc>
        <w:tc>
          <w:tcPr>
            <w:tcW w:w="2305" w:type="dxa"/>
            <w:noWrap w:val="0"/>
            <w:vAlign w:val="center"/>
          </w:tcPr>
          <w:p w14:paraId="096C7FA5">
            <w:pPr>
              <w:spacing w:line="300" w:lineRule="exact"/>
              <w:jc w:val="center"/>
              <w:rPr>
                <w:rFonts w:hint="eastAsia" w:asciiTheme="minorEastAsia" w:hAnsiTheme="minorEastAsia" w:eastAsiaTheme="minorEastAsia" w:cstheme="minorEastAsia"/>
                <w:color w:val="auto"/>
                <w:szCs w:val="21"/>
                <w:highlight w:val="none"/>
              </w:rPr>
            </w:pPr>
          </w:p>
        </w:tc>
      </w:tr>
      <w:tr w14:paraId="41921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14" w:type="dxa"/>
            <w:gridSpan w:val="11"/>
            <w:noWrap w:val="0"/>
            <w:vAlign w:val="center"/>
          </w:tcPr>
          <w:p w14:paraId="4D8EDA08">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在建和已完工程项目情况</w:t>
            </w:r>
          </w:p>
        </w:tc>
      </w:tr>
      <w:tr w14:paraId="417B1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0"/>
            <w:vAlign w:val="center"/>
          </w:tcPr>
          <w:p w14:paraId="77530228">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建设单位</w:t>
            </w:r>
          </w:p>
        </w:tc>
        <w:tc>
          <w:tcPr>
            <w:tcW w:w="1548" w:type="dxa"/>
            <w:noWrap w:val="0"/>
            <w:vAlign w:val="center"/>
          </w:tcPr>
          <w:p w14:paraId="0DE25A08">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项目名称</w:t>
            </w:r>
          </w:p>
        </w:tc>
        <w:tc>
          <w:tcPr>
            <w:tcW w:w="1547" w:type="dxa"/>
            <w:gridSpan w:val="2"/>
            <w:noWrap w:val="0"/>
            <w:vAlign w:val="center"/>
          </w:tcPr>
          <w:p w14:paraId="7E3CAE61">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建设规模</w:t>
            </w:r>
          </w:p>
        </w:tc>
        <w:tc>
          <w:tcPr>
            <w:tcW w:w="1548" w:type="dxa"/>
            <w:gridSpan w:val="2"/>
            <w:noWrap w:val="0"/>
            <w:vAlign w:val="center"/>
          </w:tcPr>
          <w:p w14:paraId="21D71AA9">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开、竣工日期</w:t>
            </w:r>
          </w:p>
        </w:tc>
        <w:tc>
          <w:tcPr>
            <w:tcW w:w="1547" w:type="dxa"/>
            <w:gridSpan w:val="2"/>
            <w:noWrap w:val="0"/>
            <w:vAlign w:val="center"/>
          </w:tcPr>
          <w:p w14:paraId="70D72358">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在建或已完</w:t>
            </w:r>
          </w:p>
        </w:tc>
        <w:tc>
          <w:tcPr>
            <w:tcW w:w="2577" w:type="dxa"/>
            <w:gridSpan w:val="2"/>
            <w:noWrap w:val="0"/>
            <w:vAlign w:val="center"/>
          </w:tcPr>
          <w:p w14:paraId="2C49CB4D">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工程质量</w:t>
            </w:r>
          </w:p>
        </w:tc>
      </w:tr>
      <w:tr w14:paraId="4F37E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0"/>
            <w:vAlign w:val="center"/>
          </w:tcPr>
          <w:p w14:paraId="6D87AAD3">
            <w:pPr>
              <w:spacing w:line="300" w:lineRule="exact"/>
              <w:jc w:val="center"/>
              <w:rPr>
                <w:rFonts w:hint="eastAsia" w:asciiTheme="minorEastAsia" w:hAnsiTheme="minorEastAsia" w:eastAsiaTheme="minorEastAsia" w:cstheme="minorEastAsia"/>
                <w:color w:val="auto"/>
                <w:szCs w:val="21"/>
                <w:highlight w:val="none"/>
              </w:rPr>
            </w:pPr>
          </w:p>
        </w:tc>
        <w:tc>
          <w:tcPr>
            <w:tcW w:w="1548" w:type="dxa"/>
            <w:noWrap w:val="0"/>
            <w:vAlign w:val="center"/>
          </w:tcPr>
          <w:p w14:paraId="727D63D4">
            <w:pPr>
              <w:spacing w:line="300" w:lineRule="exact"/>
              <w:jc w:val="center"/>
              <w:rPr>
                <w:rFonts w:hint="eastAsia" w:asciiTheme="minorEastAsia" w:hAnsiTheme="minorEastAsia" w:eastAsiaTheme="minorEastAsia" w:cstheme="minorEastAsia"/>
                <w:color w:val="auto"/>
                <w:szCs w:val="21"/>
                <w:highlight w:val="none"/>
              </w:rPr>
            </w:pPr>
          </w:p>
        </w:tc>
        <w:tc>
          <w:tcPr>
            <w:tcW w:w="1547" w:type="dxa"/>
            <w:gridSpan w:val="2"/>
            <w:noWrap w:val="0"/>
            <w:vAlign w:val="center"/>
          </w:tcPr>
          <w:p w14:paraId="51DADE98">
            <w:pPr>
              <w:spacing w:line="300" w:lineRule="exact"/>
              <w:jc w:val="center"/>
              <w:rPr>
                <w:rFonts w:hint="eastAsia" w:asciiTheme="minorEastAsia" w:hAnsiTheme="minorEastAsia" w:eastAsiaTheme="minorEastAsia" w:cstheme="minorEastAsia"/>
                <w:color w:val="auto"/>
                <w:szCs w:val="21"/>
                <w:highlight w:val="none"/>
              </w:rPr>
            </w:pPr>
          </w:p>
        </w:tc>
        <w:tc>
          <w:tcPr>
            <w:tcW w:w="1548" w:type="dxa"/>
            <w:gridSpan w:val="2"/>
            <w:noWrap w:val="0"/>
            <w:vAlign w:val="center"/>
          </w:tcPr>
          <w:p w14:paraId="12093A59">
            <w:pPr>
              <w:spacing w:line="300" w:lineRule="exact"/>
              <w:jc w:val="center"/>
              <w:rPr>
                <w:rFonts w:hint="eastAsia" w:asciiTheme="minorEastAsia" w:hAnsiTheme="minorEastAsia" w:eastAsiaTheme="minorEastAsia" w:cstheme="minorEastAsia"/>
                <w:color w:val="auto"/>
                <w:szCs w:val="21"/>
                <w:highlight w:val="none"/>
              </w:rPr>
            </w:pPr>
          </w:p>
        </w:tc>
        <w:tc>
          <w:tcPr>
            <w:tcW w:w="1547" w:type="dxa"/>
            <w:gridSpan w:val="2"/>
            <w:noWrap w:val="0"/>
            <w:vAlign w:val="center"/>
          </w:tcPr>
          <w:p w14:paraId="4CF506DA">
            <w:pPr>
              <w:spacing w:line="300" w:lineRule="exact"/>
              <w:jc w:val="center"/>
              <w:rPr>
                <w:rFonts w:hint="eastAsia" w:asciiTheme="minorEastAsia" w:hAnsiTheme="minorEastAsia" w:eastAsiaTheme="minorEastAsia" w:cstheme="minorEastAsia"/>
                <w:color w:val="auto"/>
                <w:szCs w:val="21"/>
                <w:highlight w:val="none"/>
              </w:rPr>
            </w:pPr>
          </w:p>
        </w:tc>
        <w:tc>
          <w:tcPr>
            <w:tcW w:w="2577" w:type="dxa"/>
            <w:gridSpan w:val="2"/>
            <w:noWrap w:val="0"/>
            <w:vAlign w:val="center"/>
          </w:tcPr>
          <w:p w14:paraId="028704F1">
            <w:pPr>
              <w:spacing w:line="300" w:lineRule="exact"/>
              <w:jc w:val="center"/>
              <w:rPr>
                <w:rFonts w:hint="eastAsia" w:asciiTheme="minorEastAsia" w:hAnsiTheme="minorEastAsia" w:eastAsiaTheme="minorEastAsia" w:cstheme="minorEastAsia"/>
                <w:color w:val="auto"/>
                <w:szCs w:val="21"/>
                <w:highlight w:val="none"/>
              </w:rPr>
            </w:pPr>
          </w:p>
        </w:tc>
      </w:tr>
      <w:tr w14:paraId="5562E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0"/>
            <w:vAlign w:val="center"/>
          </w:tcPr>
          <w:p w14:paraId="76575E0E">
            <w:pPr>
              <w:spacing w:line="300" w:lineRule="exact"/>
              <w:jc w:val="center"/>
              <w:rPr>
                <w:rFonts w:hint="eastAsia" w:asciiTheme="minorEastAsia" w:hAnsiTheme="minorEastAsia" w:eastAsiaTheme="minorEastAsia" w:cstheme="minorEastAsia"/>
                <w:color w:val="auto"/>
                <w:szCs w:val="21"/>
                <w:highlight w:val="none"/>
              </w:rPr>
            </w:pPr>
          </w:p>
        </w:tc>
        <w:tc>
          <w:tcPr>
            <w:tcW w:w="1548" w:type="dxa"/>
            <w:noWrap w:val="0"/>
            <w:vAlign w:val="center"/>
          </w:tcPr>
          <w:p w14:paraId="4CD838B1">
            <w:pPr>
              <w:spacing w:line="300" w:lineRule="exact"/>
              <w:jc w:val="center"/>
              <w:rPr>
                <w:rFonts w:hint="eastAsia" w:asciiTheme="minorEastAsia" w:hAnsiTheme="minorEastAsia" w:eastAsiaTheme="minorEastAsia" w:cstheme="minorEastAsia"/>
                <w:color w:val="auto"/>
                <w:szCs w:val="21"/>
                <w:highlight w:val="none"/>
              </w:rPr>
            </w:pPr>
          </w:p>
        </w:tc>
        <w:tc>
          <w:tcPr>
            <w:tcW w:w="1547" w:type="dxa"/>
            <w:gridSpan w:val="2"/>
            <w:noWrap w:val="0"/>
            <w:vAlign w:val="center"/>
          </w:tcPr>
          <w:p w14:paraId="25053F36">
            <w:pPr>
              <w:spacing w:line="300" w:lineRule="exact"/>
              <w:jc w:val="center"/>
              <w:rPr>
                <w:rFonts w:hint="eastAsia" w:asciiTheme="minorEastAsia" w:hAnsiTheme="minorEastAsia" w:eastAsiaTheme="minorEastAsia" w:cstheme="minorEastAsia"/>
                <w:color w:val="auto"/>
                <w:szCs w:val="21"/>
                <w:highlight w:val="none"/>
              </w:rPr>
            </w:pPr>
          </w:p>
        </w:tc>
        <w:tc>
          <w:tcPr>
            <w:tcW w:w="1548" w:type="dxa"/>
            <w:gridSpan w:val="2"/>
            <w:noWrap w:val="0"/>
            <w:vAlign w:val="center"/>
          </w:tcPr>
          <w:p w14:paraId="0B1755DE">
            <w:pPr>
              <w:spacing w:line="300" w:lineRule="exact"/>
              <w:jc w:val="center"/>
              <w:rPr>
                <w:rFonts w:hint="eastAsia" w:asciiTheme="minorEastAsia" w:hAnsiTheme="minorEastAsia" w:eastAsiaTheme="minorEastAsia" w:cstheme="minorEastAsia"/>
                <w:color w:val="auto"/>
                <w:szCs w:val="21"/>
                <w:highlight w:val="none"/>
              </w:rPr>
            </w:pPr>
          </w:p>
        </w:tc>
        <w:tc>
          <w:tcPr>
            <w:tcW w:w="1547" w:type="dxa"/>
            <w:gridSpan w:val="2"/>
            <w:noWrap w:val="0"/>
            <w:vAlign w:val="center"/>
          </w:tcPr>
          <w:p w14:paraId="00AA99EE">
            <w:pPr>
              <w:spacing w:line="300" w:lineRule="exact"/>
              <w:jc w:val="center"/>
              <w:rPr>
                <w:rFonts w:hint="eastAsia" w:asciiTheme="minorEastAsia" w:hAnsiTheme="minorEastAsia" w:eastAsiaTheme="minorEastAsia" w:cstheme="minorEastAsia"/>
                <w:color w:val="auto"/>
                <w:szCs w:val="21"/>
                <w:highlight w:val="none"/>
              </w:rPr>
            </w:pPr>
          </w:p>
        </w:tc>
        <w:tc>
          <w:tcPr>
            <w:tcW w:w="2577" w:type="dxa"/>
            <w:gridSpan w:val="2"/>
            <w:noWrap w:val="0"/>
            <w:vAlign w:val="center"/>
          </w:tcPr>
          <w:p w14:paraId="3681D609">
            <w:pPr>
              <w:spacing w:line="300" w:lineRule="exact"/>
              <w:jc w:val="center"/>
              <w:rPr>
                <w:rFonts w:hint="eastAsia" w:asciiTheme="minorEastAsia" w:hAnsiTheme="minorEastAsia" w:eastAsiaTheme="minorEastAsia" w:cstheme="minorEastAsia"/>
                <w:color w:val="auto"/>
                <w:szCs w:val="21"/>
                <w:highlight w:val="none"/>
              </w:rPr>
            </w:pPr>
          </w:p>
        </w:tc>
      </w:tr>
      <w:tr w14:paraId="07AF5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0"/>
            <w:vAlign w:val="center"/>
          </w:tcPr>
          <w:p w14:paraId="3008BD8A">
            <w:pPr>
              <w:spacing w:line="300" w:lineRule="exact"/>
              <w:jc w:val="center"/>
              <w:rPr>
                <w:rFonts w:hint="eastAsia" w:asciiTheme="minorEastAsia" w:hAnsiTheme="minorEastAsia" w:eastAsiaTheme="minorEastAsia" w:cstheme="minorEastAsia"/>
                <w:color w:val="auto"/>
                <w:szCs w:val="21"/>
                <w:highlight w:val="none"/>
              </w:rPr>
            </w:pPr>
          </w:p>
        </w:tc>
        <w:tc>
          <w:tcPr>
            <w:tcW w:w="1548" w:type="dxa"/>
            <w:noWrap w:val="0"/>
            <w:vAlign w:val="center"/>
          </w:tcPr>
          <w:p w14:paraId="1A31C398">
            <w:pPr>
              <w:spacing w:line="300" w:lineRule="exact"/>
              <w:jc w:val="center"/>
              <w:rPr>
                <w:rFonts w:hint="eastAsia" w:asciiTheme="minorEastAsia" w:hAnsiTheme="minorEastAsia" w:eastAsiaTheme="minorEastAsia" w:cstheme="minorEastAsia"/>
                <w:color w:val="auto"/>
                <w:szCs w:val="21"/>
                <w:highlight w:val="none"/>
              </w:rPr>
            </w:pPr>
          </w:p>
        </w:tc>
        <w:tc>
          <w:tcPr>
            <w:tcW w:w="1547" w:type="dxa"/>
            <w:gridSpan w:val="2"/>
            <w:noWrap w:val="0"/>
            <w:vAlign w:val="center"/>
          </w:tcPr>
          <w:p w14:paraId="1D635996">
            <w:pPr>
              <w:spacing w:line="300" w:lineRule="exact"/>
              <w:jc w:val="center"/>
              <w:rPr>
                <w:rFonts w:hint="eastAsia" w:asciiTheme="minorEastAsia" w:hAnsiTheme="minorEastAsia" w:eastAsiaTheme="minorEastAsia" w:cstheme="minorEastAsia"/>
                <w:color w:val="auto"/>
                <w:szCs w:val="21"/>
                <w:highlight w:val="none"/>
              </w:rPr>
            </w:pPr>
          </w:p>
        </w:tc>
        <w:tc>
          <w:tcPr>
            <w:tcW w:w="1548" w:type="dxa"/>
            <w:gridSpan w:val="2"/>
            <w:noWrap w:val="0"/>
            <w:vAlign w:val="center"/>
          </w:tcPr>
          <w:p w14:paraId="7F3433E1">
            <w:pPr>
              <w:spacing w:line="300" w:lineRule="exact"/>
              <w:jc w:val="center"/>
              <w:rPr>
                <w:rFonts w:hint="eastAsia" w:asciiTheme="minorEastAsia" w:hAnsiTheme="minorEastAsia" w:eastAsiaTheme="minorEastAsia" w:cstheme="minorEastAsia"/>
                <w:color w:val="auto"/>
                <w:szCs w:val="21"/>
                <w:highlight w:val="none"/>
              </w:rPr>
            </w:pPr>
          </w:p>
        </w:tc>
        <w:tc>
          <w:tcPr>
            <w:tcW w:w="1547" w:type="dxa"/>
            <w:gridSpan w:val="2"/>
            <w:noWrap w:val="0"/>
            <w:vAlign w:val="center"/>
          </w:tcPr>
          <w:p w14:paraId="18CFE41C">
            <w:pPr>
              <w:spacing w:line="300" w:lineRule="exact"/>
              <w:jc w:val="center"/>
              <w:rPr>
                <w:rFonts w:hint="eastAsia" w:asciiTheme="minorEastAsia" w:hAnsiTheme="minorEastAsia" w:eastAsiaTheme="minorEastAsia" w:cstheme="minorEastAsia"/>
                <w:color w:val="auto"/>
                <w:szCs w:val="21"/>
                <w:highlight w:val="none"/>
              </w:rPr>
            </w:pPr>
          </w:p>
        </w:tc>
        <w:tc>
          <w:tcPr>
            <w:tcW w:w="2577" w:type="dxa"/>
            <w:gridSpan w:val="2"/>
            <w:noWrap w:val="0"/>
            <w:vAlign w:val="center"/>
          </w:tcPr>
          <w:p w14:paraId="781B2C1B">
            <w:pPr>
              <w:spacing w:line="300" w:lineRule="exact"/>
              <w:jc w:val="center"/>
              <w:rPr>
                <w:rFonts w:hint="eastAsia" w:asciiTheme="minorEastAsia" w:hAnsiTheme="minorEastAsia" w:eastAsiaTheme="minorEastAsia" w:cstheme="minorEastAsia"/>
                <w:color w:val="auto"/>
                <w:szCs w:val="21"/>
                <w:highlight w:val="none"/>
              </w:rPr>
            </w:pPr>
          </w:p>
        </w:tc>
      </w:tr>
      <w:tr w14:paraId="22AE3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0"/>
            <w:vAlign w:val="center"/>
          </w:tcPr>
          <w:p w14:paraId="2A520D35">
            <w:pPr>
              <w:spacing w:line="300" w:lineRule="exact"/>
              <w:jc w:val="center"/>
              <w:rPr>
                <w:rFonts w:hint="eastAsia" w:asciiTheme="minorEastAsia" w:hAnsiTheme="minorEastAsia" w:eastAsiaTheme="minorEastAsia" w:cstheme="minorEastAsia"/>
                <w:color w:val="auto"/>
                <w:szCs w:val="21"/>
                <w:highlight w:val="none"/>
              </w:rPr>
            </w:pPr>
          </w:p>
        </w:tc>
        <w:tc>
          <w:tcPr>
            <w:tcW w:w="1548" w:type="dxa"/>
            <w:noWrap w:val="0"/>
            <w:vAlign w:val="center"/>
          </w:tcPr>
          <w:p w14:paraId="48F66E26">
            <w:pPr>
              <w:spacing w:line="300" w:lineRule="exact"/>
              <w:jc w:val="center"/>
              <w:rPr>
                <w:rFonts w:hint="eastAsia" w:asciiTheme="minorEastAsia" w:hAnsiTheme="minorEastAsia" w:eastAsiaTheme="minorEastAsia" w:cstheme="minorEastAsia"/>
                <w:color w:val="auto"/>
                <w:szCs w:val="21"/>
                <w:highlight w:val="none"/>
              </w:rPr>
            </w:pPr>
          </w:p>
        </w:tc>
        <w:tc>
          <w:tcPr>
            <w:tcW w:w="1547" w:type="dxa"/>
            <w:gridSpan w:val="2"/>
            <w:noWrap w:val="0"/>
            <w:vAlign w:val="center"/>
          </w:tcPr>
          <w:p w14:paraId="13552EB3">
            <w:pPr>
              <w:spacing w:line="300" w:lineRule="exact"/>
              <w:jc w:val="center"/>
              <w:rPr>
                <w:rFonts w:hint="eastAsia" w:asciiTheme="minorEastAsia" w:hAnsiTheme="minorEastAsia" w:eastAsiaTheme="minorEastAsia" w:cstheme="minorEastAsia"/>
                <w:color w:val="auto"/>
                <w:szCs w:val="21"/>
                <w:highlight w:val="none"/>
              </w:rPr>
            </w:pPr>
          </w:p>
        </w:tc>
        <w:tc>
          <w:tcPr>
            <w:tcW w:w="1548" w:type="dxa"/>
            <w:gridSpan w:val="2"/>
            <w:noWrap w:val="0"/>
            <w:vAlign w:val="center"/>
          </w:tcPr>
          <w:p w14:paraId="1243F562">
            <w:pPr>
              <w:spacing w:line="300" w:lineRule="exact"/>
              <w:jc w:val="center"/>
              <w:rPr>
                <w:rFonts w:hint="eastAsia" w:asciiTheme="minorEastAsia" w:hAnsiTheme="minorEastAsia" w:eastAsiaTheme="minorEastAsia" w:cstheme="minorEastAsia"/>
                <w:color w:val="auto"/>
                <w:szCs w:val="21"/>
                <w:highlight w:val="none"/>
              </w:rPr>
            </w:pPr>
          </w:p>
        </w:tc>
        <w:tc>
          <w:tcPr>
            <w:tcW w:w="1547" w:type="dxa"/>
            <w:gridSpan w:val="2"/>
            <w:noWrap w:val="0"/>
            <w:vAlign w:val="center"/>
          </w:tcPr>
          <w:p w14:paraId="7009102A">
            <w:pPr>
              <w:spacing w:line="300" w:lineRule="exact"/>
              <w:jc w:val="center"/>
              <w:rPr>
                <w:rFonts w:hint="eastAsia" w:asciiTheme="minorEastAsia" w:hAnsiTheme="minorEastAsia" w:eastAsiaTheme="minorEastAsia" w:cstheme="minorEastAsia"/>
                <w:color w:val="auto"/>
                <w:szCs w:val="21"/>
                <w:highlight w:val="none"/>
              </w:rPr>
            </w:pPr>
          </w:p>
        </w:tc>
        <w:tc>
          <w:tcPr>
            <w:tcW w:w="2577" w:type="dxa"/>
            <w:gridSpan w:val="2"/>
            <w:noWrap w:val="0"/>
            <w:vAlign w:val="center"/>
          </w:tcPr>
          <w:p w14:paraId="66CA0359">
            <w:pPr>
              <w:spacing w:line="300" w:lineRule="exact"/>
              <w:jc w:val="center"/>
              <w:rPr>
                <w:rFonts w:hint="eastAsia" w:asciiTheme="minorEastAsia" w:hAnsiTheme="minorEastAsia" w:eastAsiaTheme="minorEastAsia" w:cstheme="minorEastAsia"/>
                <w:color w:val="auto"/>
                <w:szCs w:val="21"/>
                <w:highlight w:val="none"/>
              </w:rPr>
            </w:pPr>
          </w:p>
        </w:tc>
      </w:tr>
    </w:tbl>
    <w:p w14:paraId="4E20690F">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备注：</w:t>
      </w:r>
    </w:p>
    <w:p w14:paraId="3456653B">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1.附技术负责人的职称证、学历证（若有）和已完工程（如有）《中标通知书》、工程合同协议书、工程竣工验收证明材料的扫描件，以及</w:t>
      </w:r>
      <w:r>
        <w:rPr>
          <w:rFonts w:hint="eastAsia" w:asciiTheme="minorEastAsia" w:hAnsiTheme="minorEastAsia" w:eastAsiaTheme="minorEastAsia" w:cstheme="minorEastAsia"/>
          <w:color w:val="auto"/>
          <w:szCs w:val="21"/>
          <w:highlight w:val="none"/>
          <w:lang w:eastAsia="zh-CN"/>
        </w:rPr>
        <w:t>竞标人</w:t>
      </w:r>
      <w:r>
        <w:rPr>
          <w:rFonts w:hint="eastAsia" w:asciiTheme="minorEastAsia" w:hAnsiTheme="minorEastAsia" w:eastAsiaTheme="minorEastAsia" w:cstheme="minorEastAsia"/>
          <w:color w:val="auto"/>
          <w:szCs w:val="21"/>
          <w:highlight w:val="none"/>
        </w:rPr>
        <w:t>认为需要增加的其他证明材料</w:t>
      </w:r>
      <w:r>
        <w:rPr>
          <w:rFonts w:hint="eastAsia" w:asciiTheme="minorEastAsia" w:hAnsiTheme="minorEastAsia" w:eastAsiaTheme="minorEastAsia" w:cstheme="minorEastAsia"/>
          <w:color w:val="auto"/>
          <w:szCs w:val="21"/>
          <w:highlight w:val="none"/>
          <w:lang w:val="en-US" w:eastAsia="zh-CN"/>
        </w:rPr>
        <w:t>的</w:t>
      </w:r>
      <w:r>
        <w:rPr>
          <w:rFonts w:hint="eastAsia" w:asciiTheme="minorEastAsia" w:hAnsiTheme="minorEastAsia" w:eastAsiaTheme="minorEastAsia" w:cstheme="minorEastAsia"/>
          <w:color w:val="auto"/>
          <w:szCs w:val="21"/>
          <w:highlight w:val="none"/>
        </w:rPr>
        <w:t>扫描件，</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b/>
          <w:bCs/>
          <w:color w:val="auto"/>
          <w:szCs w:val="21"/>
          <w:highlight w:val="none"/>
        </w:rPr>
        <w:t>以上</w:t>
      </w:r>
      <w:r>
        <w:rPr>
          <w:rFonts w:hint="eastAsia" w:asciiTheme="minorEastAsia" w:hAnsiTheme="minorEastAsia" w:eastAsiaTheme="minorEastAsia" w:cstheme="minorEastAsia"/>
          <w:b/>
          <w:bCs/>
          <w:color w:val="auto"/>
          <w:szCs w:val="21"/>
          <w:highlight w:val="none"/>
          <w:lang w:val="en-US" w:eastAsia="zh-CN"/>
        </w:rPr>
        <w:t>材料是复印件的扫描件的，</w:t>
      </w:r>
      <w:r>
        <w:rPr>
          <w:rFonts w:hint="eastAsia" w:asciiTheme="minorEastAsia" w:hAnsiTheme="minorEastAsia" w:eastAsiaTheme="minorEastAsia" w:cstheme="minorEastAsia"/>
          <w:b/>
          <w:bCs/>
          <w:color w:val="auto"/>
          <w:szCs w:val="21"/>
          <w:highlight w:val="none"/>
        </w:rPr>
        <w:t>均须加盖</w:t>
      </w:r>
      <w:r>
        <w:rPr>
          <w:rFonts w:hint="eastAsia" w:asciiTheme="minorEastAsia" w:hAnsiTheme="minorEastAsia" w:eastAsiaTheme="minorEastAsia" w:cstheme="minorEastAsia"/>
          <w:b/>
          <w:bCs/>
          <w:color w:val="auto"/>
          <w:szCs w:val="21"/>
          <w:highlight w:val="none"/>
          <w:lang w:eastAsia="zh-CN"/>
        </w:rPr>
        <w:t>竞标人</w:t>
      </w:r>
      <w:r>
        <w:rPr>
          <w:rFonts w:hint="eastAsia" w:asciiTheme="minorEastAsia" w:hAnsiTheme="minorEastAsia" w:eastAsiaTheme="minorEastAsia" w:cstheme="minorEastAsia"/>
          <w:b/>
          <w:bCs/>
          <w:color w:val="auto"/>
          <w:szCs w:val="21"/>
          <w:highlight w:val="none"/>
        </w:rPr>
        <w:t>单位公章</w:t>
      </w:r>
      <w:r>
        <w:rPr>
          <w:rFonts w:hint="eastAsia" w:asciiTheme="minorEastAsia" w:hAnsiTheme="minorEastAsia" w:eastAsiaTheme="minorEastAsia" w:cstheme="minorEastAsia"/>
          <w:b/>
          <w:bCs/>
          <w:color w:val="auto"/>
          <w:szCs w:val="21"/>
          <w:highlight w:val="none"/>
          <w:lang w:val="en-US" w:eastAsia="zh-CN"/>
        </w:rPr>
        <w:t>或电子CA签章</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eastAsia="zh-CN"/>
        </w:rPr>
        <w:t>）</w:t>
      </w:r>
    </w:p>
    <w:p w14:paraId="18502DFF">
      <w:pPr>
        <w:spacing w:line="400" w:lineRule="exact"/>
        <w:ind w:firstLine="420" w:firstLineChars="200"/>
        <w:rPr>
          <w:rFonts w:hint="eastAsia" w:asciiTheme="minorEastAsia" w:hAnsiTheme="minorEastAsia" w:eastAsiaTheme="minorEastAsia" w:cstheme="minorEastAsia"/>
          <w:color w:val="auto"/>
          <w:szCs w:val="21"/>
          <w:highlight w:val="none"/>
        </w:rPr>
      </w:pPr>
    </w:p>
    <w:p w14:paraId="6C30204D">
      <w:pPr>
        <w:spacing w:line="400" w:lineRule="exact"/>
        <w:rPr>
          <w:rFonts w:hint="eastAsia" w:asciiTheme="minorEastAsia" w:hAnsiTheme="minorEastAsia" w:eastAsiaTheme="minorEastAsia" w:cstheme="minorEastAsia"/>
          <w:color w:val="auto"/>
          <w:szCs w:val="21"/>
          <w:highlight w:val="none"/>
        </w:rPr>
      </w:pPr>
    </w:p>
    <w:p w14:paraId="307A69BF">
      <w:pPr>
        <w:widowControl/>
        <w:spacing w:line="300" w:lineRule="exact"/>
        <w:ind w:right="-147" w:rightChars="-70"/>
        <w:jc w:val="center"/>
        <w:rPr>
          <w:rFonts w:hint="eastAsia" w:asciiTheme="minorEastAsia" w:hAnsiTheme="minorEastAsia" w:eastAsiaTheme="minorEastAsia" w:cstheme="minorEastAsia"/>
          <w:color w:val="auto"/>
          <w:szCs w:val="21"/>
          <w:highlight w:val="none"/>
        </w:rPr>
      </w:pPr>
    </w:p>
    <w:p w14:paraId="4BCC4639">
      <w:pPr>
        <w:widowControl/>
        <w:spacing w:line="300" w:lineRule="exact"/>
        <w:ind w:right="-147" w:rightChars="-70"/>
        <w:jc w:val="center"/>
        <w:rPr>
          <w:rFonts w:hint="eastAsia" w:asciiTheme="minorEastAsia" w:hAnsiTheme="minorEastAsia" w:eastAsiaTheme="minorEastAsia" w:cstheme="minorEastAsia"/>
          <w:color w:val="auto"/>
          <w:szCs w:val="21"/>
          <w:highlight w:val="none"/>
        </w:rPr>
      </w:pPr>
    </w:p>
    <w:p w14:paraId="53EA45FD">
      <w:pPr>
        <w:widowControl/>
        <w:spacing w:line="300" w:lineRule="exact"/>
        <w:ind w:right="-147" w:rightChars="-70"/>
        <w:jc w:val="center"/>
        <w:rPr>
          <w:rFonts w:hint="eastAsia" w:asciiTheme="minorEastAsia" w:hAnsiTheme="minorEastAsia" w:eastAsiaTheme="minorEastAsia" w:cstheme="minorEastAsia"/>
          <w:color w:val="auto"/>
          <w:szCs w:val="21"/>
          <w:highlight w:val="none"/>
        </w:rPr>
      </w:pPr>
    </w:p>
    <w:p w14:paraId="5C6ECD17">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br w:type="page"/>
      </w:r>
    </w:p>
    <w:p w14:paraId="4DA6B4CB">
      <w:pPr>
        <w:widowControl/>
        <w:numPr>
          <w:ilvl w:val="0"/>
          <w:numId w:val="0"/>
        </w:numPr>
        <w:spacing w:line="300" w:lineRule="exact"/>
        <w:ind w:right="-147" w:rightChars="-70"/>
        <w:jc w:val="center"/>
        <w:rPr>
          <w:rFonts w:hint="eastAsia" w:asciiTheme="minorEastAsia" w:hAnsiTheme="minorEastAsia" w:eastAsiaTheme="minorEastAsia" w:cstheme="minorEastAsia"/>
          <w:b/>
          <w:color w:val="auto"/>
          <w:sz w:val="28"/>
          <w:szCs w:val="28"/>
          <w:highlight w:val="none"/>
          <w:lang w:val="en-US" w:eastAsia="zh-CN"/>
        </w:rPr>
      </w:pPr>
    </w:p>
    <w:p w14:paraId="68E293A3">
      <w:pPr>
        <w:widowControl/>
        <w:numPr>
          <w:ilvl w:val="0"/>
          <w:numId w:val="0"/>
        </w:numPr>
        <w:spacing w:line="300" w:lineRule="exact"/>
        <w:ind w:right="-147" w:rightChars="-70"/>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lang w:val="en-US" w:eastAsia="zh-CN"/>
        </w:rPr>
        <w:t>二、</w:t>
      </w:r>
      <w:r>
        <w:rPr>
          <w:rFonts w:hint="eastAsia" w:asciiTheme="minorEastAsia" w:hAnsiTheme="minorEastAsia" w:eastAsiaTheme="minorEastAsia" w:cstheme="minorEastAsia"/>
          <w:b/>
          <w:color w:val="auto"/>
          <w:sz w:val="28"/>
          <w:szCs w:val="28"/>
          <w:highlight w:val="none"/>
        </w:rPr>
        <w:t>建设工程项目管理承诺书</w:t>
      </w:r>
    </w:p>
    <w:p w14:paraId="381672F4">
      <w:pPr>
        <w:pStyle w:val="38"/>
        <w:rPr>
          <w:rFonts w:hint="eastAsia" w:asciiTheme="minorEastAsia" w:hAnsiTheme="minorEastAsia" w:eastAsiaTheme="minorEastAsia" w:cstheme="minorEastAsia"/>
          <w:color w:val="auto"/>
          <w:highlight w:val="none"/>
        </w:rPr>
      </w:pPr>
    </w:p>
    <w:p w14:paraId="7A5232A7">
      <w:pPr>
        <w:pStyle w:val="38"/>
        <w:jc w:val="center"/>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（格式自拟）</w:t>
      </w:r>
    </w:p>
    <w:p w14:paraId="5E2A1094">
      <w:pPr>
        <w:pStyle w:val="38"/>
        <w:jc w:val="right"/>
        <w:rPr>
          <w:rFonts w:hint="eastAsia" w:asciiTheme="minorEastAsia" w:hAnsiTheme="minorEastAsia" w:eastAsiaTheme="minorEastAsia" w:cstheme="minorEastAsia"/>
          <w:color w:val="auto"/>
          <w:szCs w:val="21"/>
          <w:highlight w:val="none"/>
        </w:rPr>
      </w:pPr>
    </w:p>
    <w:p w14:paraId="6D04F4F4">
      <w:pPr>
        <w:rPr>
          <w:rFonts w:hint="eastAsia" w:asciiTheme="minorEastAsia" w:hAnsiTheme="minorEastAsia" w:eastAsiaTheme="minorEastAsia" w:cstheme="minorEastAsia"/>
          <w:b/>
          <w:color w:val="auto"/>
          <w:sz w:val="28"/>
          <w:szCs w:val="28"/>
          <w:highlight w:val="none"/>
          <w:lang w:val="en-US" w:eastAsia="zh-CN"/>
        </w:rPr>
      </w:pPr>
      <w:r>
        <w:rPr>
          <w:rFonts w:hint="eastAsia" w:asciiTheme="minorEastAsia" w:hAnsiTheme="minorEastAsia" w:eastAsiaTheme="minorEastAsia" w:cstheme="minorEastAsia"/>
          <w:b/>
          <w:color w:val="auto"/>
          <w:sz w:val="28"/>
          <w:szCs w:val="28"/>
          <w:highlight w:val="none"/>
          <w:lang w:val="en-US" w:eastAsia="zh-CN"/>
        </w:rPr>
        <w:br w:type="page"/>
      </w:r>
    </w:p>
    <w:p w14:paraId="3C8F9BF8">
      <w:pPr>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lang w:val="en-US" w:eastAsia="zh-CN"/>
        </w:rPr>
        <w:t>三、</w:t>
      </w:r>
      <w:r>
        <w:rPr>
          <w:rFonts w:hint="eastAsia" w:asciiTheme="minorEastAsia" w:hAnsiTheme="minorEastAsia" w:eastAsiaTheme="minorEastAsia" w:cstheme="minorEastAsia"/>
          <w:b/>
          <w:color w:val="auto"/>
          <w:sz w:val="28"/>
          <w:szCs w:val="28"/>
          <w:highlight w:val="none"/>
        </w:rPr>
        <w:t>施工组织设计</w:t>
      </w:r>
    </w:p>
    <w:p w14:paraId="4DDAEA1D">
      <w:pPr>
        <w:pStyle w:val="35"/>
        <w:numPr>
          <w:ilvl w:val="0"/>
          <w:numId w:val="0"/>
        </w:numPr>
        <w:ind w:leftChars="200"/>
        <w:rPr>
          <w:rFonts w:hint="eastAsia" w:asciiTheme="minorEastAsia" w:hAnsiTheme="minorEastAsia" w:eastAsiaTheme="minorEastAsia" w:cstheme="minorEastAsia"/>
          <w:color w:val="auto"/>
          <w:highlight w:val="none"/>
        </w:rPr>
      </w:pPr>
    </w:p>
    <w:p w14:paraId="2C4D1DDC">
      <w:pPr>
        <w:spacing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r>
        <w:rPr>
          <w:rFonts w:hint="eastAsia" w:asciiTheme="minorEastAsia" w:hAnsiTheme="minorEastAsia" w:eastAsiaTheme="minorEastAsia" w:cstheme="minorEastAsia"/>
          <w:color w:val="auto"/>
          <w:highlight w:val="none"/>
          <w:lang w:eastAsia="zh-CN"/>
        </w:rPr>
        <w:t>竞标人</w:t>
      </w:r>
      <w:r>
        <w:rPr>
          <w:rFonts w:hint="eastAsia" w:asciiTheme="minorEastAsia" w:hAnsiTheme="minorEastAsia" w:eastAsiaTheme="minorEastAsia" w:cstheme="minorEastAsia"/>
          <w:color w:val="auto"/>
          <w:highlight w:val="none"/>
        </w:rPr>
        <w:t>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7B820DDD">
      <w:pPr>
        <w:spacing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2.施工组织设计除采用文字表述外可附下列图表，图表及格式要求附后。</w:t>
      </w:r>
    </w:p>
    <w:p w14:paraId="79E02058">
      <w:pPr>
        <w:spacing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附表一  拟投入本工程的主要施工设备表</w:t>
      </w:r>
    </w:p>
    <w:p w14:paraId="4D217A9C">
      <w:pPr>
        <w:spacing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附表二  拟配备本工程的试验和检测仪器设备表</w:t>
      </w:r>
    </w:p>
    <w:p w14:paraId="4B136582">
      <w:pPr>
        <w:spacing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附表三  劳动力计划表</w:t>
      </w:r>
    </w:p>
    <w:p w14:paraId="278100F1">
      <w:pPr>
        <w:spacing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附表四  计划开、竣工日期和施工进度网络图</w:t>
      </w:r>
    </w:p>
    <w:p w14:paraId="77C6E4F5">
      <w:pPr>
        <w:spacing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附表五  施工总平面图</w:t>
      </w:r>
    </w:p>
    <w:p w14:paraId="22CA384A">
      <w:pPr>
        <w:spacing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附表六  临时用地表</w:t>
      </w:r>
    </w:p>
    <w:p w14:paraId="30ED2632">
      <w:pPr>
        <w:spacing w:line="400" w:lineRule="exact"/>
        <w:rPr>
          <w:rFonts w:hint="eastAsia" w:asciiTheme="minorEastAsia" w:hAnsiTheme="minorEastAsia" w:eastAsiaTheme="minorEastAsia" w:cstheme="minorEastAsia"/>
          <w:color w:val="auto"/>
          <w:highlight w:val="none"/>
        </w:rPr>
      </w:pPr>
    </w:p>
    <w:p w14:paraId="62CC44AF">
      <w:pPr>
        <w:spacing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附表一：拟投入本工程的主要施工设备表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061"/>
        <w:gridCol w:w="1061"/>
        <w:gridCol w:w="1062"/>
        <w:gridCol w:w="1061"/>
        <w:gridCol w:w="1061"/>
        <w:gridCol w:w="1062"/>
        <w:gridCol w:w="1061"/>
        <w:gridCol w:w="1061"/>
        <w:gridCol w:w="1062"/>
      </w:tblGrid>
      <w:tr w14:paraId="20661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6" w:type="dxa"/>
            <w:noWrap w:val="0"/>
            <w:vAlign w:val="center"/>
          </w:tcPr>
          <w:p w14:paraId="0CDF86DF">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序号</w:t>
            </w:r>
          </w:p>
        </w:tc>
        <w:tc>
          <w:tcPr>
            <w:tcW w:w="1061" w:type="dxa"/>
            <w:noWrap w:val="0"/>
            <w:vAlign w:val="center"/>
          </w:tcPr>
          <w:p w14:paraId="413FEF0E">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设备名称</w:t>
            </w:r>
          </w:p>
        </w:tc>
        <w:tc>
          <w:tcPr>
            <w:tcW w:w="1061" w:type="dxa"/>
            <w:noWrap w:val="0"/>
            <w:vAlign w:val="center"/>
          </w:tcPr>
          <w:p w14:paraId="2870D735">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型号规格</w:t>
            </w:r>
          </w:p>
        </w:tc>
        <w:tc>
          <w:tcPr>
            <w:tcW w:w="1062" w:type="dxa"/>
            <w:noWrap w:val="0"/>
            <w:vAlign w:val="center"/>
          </w:tcPr>
          <w:p w14:paraId="075E0F49">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数量</w:t>
            </w:r>
          </w:p>
        </w:tc>
        <w:tc>
          <w:tcPr>
            <w:tcW w:w="1061" w:type="dxa"/>
            <w:noWrap w:val="0"/>
            <w:vAlign w:val="center"/>
          </w:tcPr>
          <w:p w14:paraId="4D1EBF2A">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国别产地</w:t>
            </w:r>
          </w:p>
        </w:tc>
        <w:tc>
          <w:tcPr>
            <w:tcW w:w="1061" w:type="dxa"/>
            <w:noWrap w:val="0"/>
            <w:vAlign w:val="center"/>
          </w:tcPr>
          <w:p w14:paraId="4FBC066B">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制造年份</w:t>
            </w:r>
          </w:p>
        </w:tc>
        <w:tc>
          <w:tcPr>
            <w:tcW w:w="1062" w:type="dxa"/>
            <w:noWrap w:val="0"/>
            <w:vAlign w:val="center"/>
          </w:tcPr>
          <w:p w14:paraId="6C2BA5E4">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额定功率</w:t>
            </w:r>
          </w:p>
          <w:p w14:paraId="4B939528">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KW ）</w:t>
            </w:r>
          </w:p>
        </w:tc>
        <w:tc>
          <w:tcPr>
            <w:tcW w:w="1061" w:type="dxa"/>
            <w:noWrap w:val="0"/>
            <w:vAlign w:val="center"/>
          </w:tcPr>
          <w:p w14:paraId="26ACB3BC">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生产能力</w:t>
            </w:r>
          </w:p>
        </w:tc>
        <w:tc>
          <w:tcPr>
            <w:tcW w:w="1061" w:type="dxa"/>
            <w:noWrap w:val="0"/>
            <w:vAlign w:val="center"/>
          </w:tcPr>
          <w:p w14:paraId="60546788">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用于施工部位</w:t>
            </w:r>
          </w:p>
        </w:tc>
        <w:tc>
          <w:tcPr>
            <w:tcW w:w="1062" w:type="dxa"/>
            <w:noWrap w:val="0"/>
            <w:vAlign w:val="center"/>
          </w:tcPr>
          <w:p w14:paraId="7F5BA1FF">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备注</w:t>
            </w:r>
          </w:p>
        </w:tc>
      </w:tr>
      <w:tr w14:paraId="167E7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6" w:type="dxa"/>
            <w:noWrap w:val="0"/>
            <w:vAlign w:val="center"/>
          </w:tcPr>
          <w:p w14:paraId="2C522706">
            <w:pPr>
              <w:spacing w:line="30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p>
        </w:tc>
        <w:tc>
          <w:tcPr>
            <w:tcW w:w="1061" w:type="dxa"/>
            <w:noWrap w:val="0"/>
            <w:vAlign w:val="center"/>
          </w:tcPr>
          <w:p w14:paraId="3CBCF918">
            <w:pPr>
              <w:spacing w:line="300" w:lineRule="exact"/>
              <w:ind w:firstLine="420" w:firstLineChars="200"/>
              <w:jc w:val="center"/>
              <w:rPr>
                <w:rFonts w:hint="eastAsia" w:asciiTheme="minorEastAsia" w:hAnsiTheme="minorEastAsia" w:eastAsiaTheme="minorEastAsia" w:cstheme="minorEastAsia"/>
                <w:color w:val="auto"/>
                <w:szCs w:val="21"/>
                <w:highlight w:val="none"/>
              </w:rPr>
            </w:pPr>
          </w:p>
        </w:tc>
        <w:tc>
          <w:tcPr>
            <w:tcW w:w="1061" w:type="dxa"/>
            <w:noWrap w:val="0"/>
            <w:vAlign w:val="center"/>
          </w:tcPr>
          <w:p w14:paraId="66CEA174">
            <w:pPr>
              <w:spacing w:line="300" w:lineRule="exact"/>
              <w:jc w:val="center"/>
              <w:rPr>
                <w:rFonts w:hint="eastAsia" w:asciiTheme="minorEastAsia" w:hAnsiTheme="minorEastAsia" w:eastAsiaTheme="minorEastAsia" w:cstheme="minorEastAsia"/>
                <w:color w:val="auto"/>
                <w:szCs w:val="21"/>
                <w:highlight w:val="none"/>
              </w:rPr>
            </w:pPr>
          </w:p>
        </w:tc>
        <w:tc>
          <w:tcPr>
            <w:tcW w:w="1062" w:type="dxa"/>
            <w:noWrap w:val="0"/>
            <w:vAlign w:val="center"/>
          </w:tcPr>
          <w:p w14:paraId="44B375EE">
            <w:pPr>
              <w:spacing w:line="300" w:lineRule="exact"/>
              <w:jc w:val="center"/>
              <w:rPr>
                <w:rFonts w:hint="eastAsia" w:asciiTheme="minorEastAsia" w:hAnsiTheme="minorEastAsia" w:eastAsiaTheme="minorEastAsia" w:cstheme="minorEastAsia"/>
                <w:color w:val="auto"/>
                <w:szCs w:val="21"/>
                <w:highlight w:val="none"/>
              </w:rPr>
            </w:pPr>
          </w:p>
        </w:tc>
        <w:tc>
          <w:tcPr>
            <w:tcW w:w="1061" w:type="dxa"/>
            <w:noWrap w:val="0"/>
            <w:vAlign w:val="center"/>
          </w:tcPr>
          <w:p w14:paraId="70EE2C2E">
            <w:pPr>
              <w:spacing w:line="300" w:lineRule="exact"/>
              <w:jc w:val="center"/>
              <w:rPr>
                <w:rFonts w:hint="eastAsia" w:asciiTheme="minorEastAsia" w:hAnsiTheme="minorEastAsia" w:eastAsiaTheme="minorEastAsia" w:cstheme="minorEastAsia"/>
                <w:color w:val="auto"/>
                <w:szCs w:val="21"/>
                <w:highlight w:val="none"/>
              </w:rPr>
            </w:pPr>
          </w:p>
        </w:tc>
        <w:tc>
          <w:tcPr>
            <w:tcW w:w="1061" w:type="dxa"/>
            <w:noWrap w:val="0"/>
            <w:vAlign w:val="center"/>
          </w:tcPr>
          <w:p w14:paraId="1C7FA386">
            <w:pPr>
              <w:spacing w:line="300" w:lineRule="exact"/>
              <w:jc w:val="center"/>
              <w:rPr>
                <w:rFonts w:hint="eastAsia" w:asciiTheme="minorEastAsia" w:hAnsiTheme="minorEastAsia" w:eastAsiaTheme="minorEastAsia" w:cstheme="minorEastAsia"/>
                <w:color w:val="auto"/>
                <w:szCs w:val="21"/>
                <w:highlight w:val="none"/>
              </w:rPr>
            </w:pPr>
          </w:p>
        </w:tc>
        <w:tc>
          <w:tcPr>
            <w:tcW w:w="1062" w:type="dxa"/>
            <w:noWrap w:val="0"/>
            <w:vAlign w:val="center"/>
          </w:tcPr>
          <w:p w14:paraId="43391E1F">
            <w:pPr>
              <w:spacing w:line="300" w:lineRule="exact"/>
              <w:jc w:val="center"/>
              <w:rPr>
                <w:rFonts w:hint="eastAsia" w:asciiTheme="minorEastAsia" w:hAnsiTheme="minorEastAsia" w:eastAsiaTheme="minorEastAsia" w:cstheme="minorEastAsia"/>
                <w:color w:val="auto"/>
                <w:szCs w:val="21"/>
                <w:highlight w:val="none"/>
              </w:rPr>
            </w:pPr>
          </w:p>
        </w:tc>
        <w:tc>
          <w:tcPr>
            <w:tcW w:w="1061" w:type="dxa"/>
            <w:noWrap w:val="0"/>
            <w:vAlign w:val="center"/>
          </w:tcPr>
          <w:p w14:paraId="37CD1096">
            <w:pPr>
              <w:spacing w:line="300" w:lineRule="exact"/>
              <w:jc w:val="center"/>
              <w:rPr>
                <w:rFonts w:hint="eastAsia" w:asciiTheme="minorEastAsia" w:hAnsiTheme="minorEastAsia" w:eastAsiaTheme="minorEastAsia" w:cstheme="minorEastAsia"/>
                <w:color w:val="auto"/>
                <w:szCs w:val="21"/>
                <w:highlight w:val="none"/>
              </w:rPr>
            </w:pPr>
          </w:p>
        </w:tc>
        <w:tc>
          <w:tcPr>
            <w:tcW w:w="1061" w:type="dxa"/>
            <w:noWrap w:val="0"/>
            <w:vAlign w:val="center"/>
          </w:tcPr>
          <w:p w14:paraId="5DA0DC74">
            <w:pPr>
              <w:spacing w:line="300" w:lineRule="exact"/>
              <w:jc w:val="center"/>
              <w:rPr>
                <w:rFonts w:hint="eastAsia" w:asciiTheme="minorEastAsia" w:hAnsiTheme="minorEastAsia" w:eastAsiaTheme="minorEastAsia" w:cstheme="minorEastAsia"/>
                <w:color w:val="auto"/>
                <w:szCs w:val="21"/>
                <w:highlight w:val="none"/>
              </w:rPr>
            </w:pPr>
          </w:p>
        </w:tc>
        <w:tc>
          <w:tcPr>
            <w:tcW w:w="1062" w:type="dxa"/>
            <w:noWrap w:val="0"/>
            <w:vAlign w:val="center"/>
          </w:tcPr>
          <w:p w14:paraId="03715389">
            <w:pPr>
              <w:spacing w:line="300" w:lineRule="exact"/>
              <w:jc w:val="center"/>
              <w:rPr>
                <w:rFonts w:hint="eastAsia" w:asciiTheme="minorEastAsia" w:hAnsiTheme="minorEastAsia" w:eastAsiaTheme="minorEastAsia" w:cstheme="minorEastAsia"/>
                <w:color w:val="auto"/>
                <w:szCs w:val="21"/>
                <w:highlight w:val="none"/>
              </w:rPr>
            </w:pPr>
          </w:p>
        </w:tc>
      </w:tr>
      <w:tr w14:paraId="58F82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6" w:type="dxa"/>
            <w:noWrap w:val="0"/>
            <w:vAlign w:val="center"/>
          </w:tcPr>
          <w:p w14:paraId="63114E51">
            <w:pPr>
              <w:spacing w:line="30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N</w:t>
            </w:r>
          </w:p>
        </w:tc>
        <w:tc>
          <w:tcPr>
            <w:tcW w:w="1061" w:type="dxa"/>
            <w:noWrap w:val="0"/>
            <w:vAlign w:val="center"/>
          </w:tcPr>
          <w:p w14:paraId="04A6352F">
            <w:pPr>
              <w:spacing w:line="300" w:lineRule="exact"/>
              <w:jc w:val="center"/>
              <w:rPr>
                <w:rFonts w:hint="eastAsia" w:asciiTheme="minorEastAsia" w:hAnsiTheme="minorEastAsia" w:eastAsiaTheme="minorEastAsia" w:cstheme="minorEastAsia"/>
                <w:color w:val="auto"/>
                <w:szCs w:val="21"/>
                <w:highlight w:val="none"/>
              </w:rPr>
            </w:pPr>
          </w:p>
        </w:tc>
        <w:tc>
          <w:tcPr>
            <w:tcW w:w="1061" w:type="dxa"/>
            <w:noWrap w:val="0"/>
            <w:vAlign w:val="center"/>
          </w:tcPr>
          <w:p w14:paraId="59BC799C">
            <w:pPr>
              <w:spacing w:line="300" w:lineRule="exact"/>
              <w:jc w:val="center"/>
              <w:rPr>
                <w:rFonts w:hint="eastAsia" w:asciiTheme="minorEastAsia" w:hAnsiTheme="minorEastAsia" w:eastAsiaTheme="minorEastAsia" w:cstheme="minorEastAsia"/>
                <w:color w:val="auto"/>
                <w:szCs w:val="21"/>
                <w:highlight w:val="none"/>
              </w:rPr>
            </w:pPr>
          </w:p>
        </w:tc>
        <w:tc>
          <w:tcPr>
            <w:tcW w:w="1062" w:type="dxa"/>
            <w:noWrap w:val="0"/>
            <w:vAlign w:val="center"/>
          </w:tcPr>
          <w:p w14:paraId="69CCFD05">
            <w:pPr>
              <w:spacing w:line="300" w:lineRule="exact"/>
              <w:jc w:val="center"/>
              <w:rPr>
                <w:rFonts w:hint="eastAsia" w:asciiTheme="minorEastAsia" w:hAnsiTheme="minorEastAsia" w:eastAsiaTheme="minorEastAsia" w:cstheme="minorEastAsia"/>
                <w:color w:val="auto"/>
                <w:szCs w:val="21"/>
                <w:highlight w:val="none"/>
              </w:rPr>
            </w:pPr>
          </w:p>
        </w:tc>
        <w:tc>
          <w:tcPr>
            <w:tcW w:w="1061" w:type="dxa"/>
            <w:noWrap w:val="0"/>
            <w:vAlign w:val="center"/>
          </w:tcPr>
          <w:p w14:paraId="07FBA952">
            <w:pPr>
              <w:spacing w:line="300" w:lineRule="exact"/>
              <w:jc w:val="center"/>
              <w:rPr>
                <w:rFonts w:hint="eastAsia" w:asciiTheme="minorEastAsia" w:hAnsiTheme="minorEastAsia" w:eastAsiaTheme="minorEastAsia" w:cstheme="minorEastAsia"/>
                <w:color w:val="auto"/>
                <w:szCs w:val="21"/>
                <w:highlight w:val="none"/>
              </w:rPr>
            </w:pPr>
          </w:p>
        </w:tc>
        <w:tc>
          <w:tcPr>
            <w:tcW w:w="1061" w:type="dxa"/>
            <w:noWrap w:val="0"/>
            <w:vAlign w:val="center"/>
          </w:tcPr>
          <w:p w14:paraId="6F7F0609">
            <w:pPr>
              <w:spacing w:line="300" w:lineRule="exact"/>
              <w:jc w:val="center"/>
              <w:rPr>
                <w:rFonts w:hint="eastAsia" w:asciiTheme="minorEastAsia" w:hAnsiTheme="minorEastAsia" w:eastAsiaTheme="minorEastAsia" w:cstheme="minorEastAsia"/>
                <w:color w:val="auto"/>
                <w:szCs w:val="21"/>
                <w:highlight w:val="none"/>
              </w:rPr>
            </w:pPr>
          </w:p>
        </w:tc>
        <w:tc>
          <w:tcPr>
            <w:tcW w:w="1062" w:type="dxa"/>
            <w:noWrap w:val="0"/>
            <w:vAlign w:val="center"/>
          </w:tcPr>
          <w:p w14:paraId="0AED62A6">
            <w:pPr>
              <w:spacing w:line="300" w:lineRule="exact"/>
              <w:jc w:val="center"/>
              <w:rPr>
                <w:rFonts w:hint="eastAsia" w:asciiTheme="minorEastAsia" w:hAnsiTheme="minorEastAsia" w:eastAsiaTheme="minorEastAsia" w:cstheme="minorEastAsia"/>
                <w:color w:val="auto"/>
                <w:szCs w:val="21"/>
                <w:highlight w:val="none"/>
              </w:rPr>
            </w:pPr>
          </w:p>
        </w:tc>
        <w:tc>
          <w:tcPr>
            <w:tcW w:w="1061" w:type="dxa"/>
            <w:noWrap w:val="0"/>
            <w:vAlign w:val="center"/>
          </w:tcPr>
          <w:p w14:paraId="0D0D6861">
            <w:pPr>
              <w:spacing w:line="300" w:lineRule="exact"/>
              <w:jc w:val="center"/>
              <w:rPr>
                <w:rFonts w:hint="eastAsia" w:asciiTheme="minorEastAsia" w:hAnsiTheme="minorEastAsia" w:eastAsiaTheme="minorEastAsia" w:cstheme="minorEastAsia"/>
                <w:color w:val="auto"/>
                <w:szCs w:val="21"/>
                <w:highlight w:val="none"/>
              </w:rPr>
            </w:pPr>
          </w:p>
        </w:tc>
        <w:tc>
          <w:tcPr>
            <w:tcW w:w="1061" w:type="dxa"/>
            <w:noWrap w:val="0"/>
            <w:vAlign w:val="center"/>
          </w:tcPr>
          <w:p w14:paraId="17DE52F4">
            <w:pPr>
              <w:spacing w:line="300" w:lineRule="exact"/>
              <w:jc w:val="center"/>
              <w:rPr>
                <w:rFonts w:hint="eastAsia" w:asciiTheme="minorEastAsia" w:hAnsiTheme="minorEastAsia" w:eastAsiaTheme="minorEastAsia" w:cstheme="minorEastAsia"/>
                <w:color w:val="auto"/>
                <w:szCs w:val="21"/>
                <w:highlight w:val="none"/>
              </w:rPr>
            </w:pPr>
          </w:p>
        </w:tc>
        <w:tc>
          <w:tcPr>
            <w:tcW w:w="1062" w:type="dxa"/>
            <w:noWrap w:val="0"/>
            <w:vAlign w:val="center"/>
          </w:tcPr>
          <w:p w14:paraId="43438CA6">
            <w:pPr>
              <w:spacing w:line="300" w:lineRule="exact"/>
              <w:jc w:val="center"/>
              <w:rPr>
                <w:rFonts w:hint="eastAsia" w:asciiTheme="minorEastAsia" w:hAnsiTheme="minorEastAsia" w:eastAsiaTheme="minorEastAsia" w:cstheme="minorEastAsia"/>
                <w:color w:val="auto"/>
                <w:szCs w:val="21"/>
                <w:highlight w:val="none"/>
              </w:rPr>
            </w:pPr>
          </w:p>
        </w:tc>
      </w:tr>
    </w:tbl>
    <w:p w14:paraId="1A0DC176">
      <w:pPr>
        <w:spacing w:line="400" w:lineRule="exact"/>
        <w:rPr>
          <w:rFonts w:hint="eastAsia" w:asciiTheme="minorEastAsia" w:hAnsiTheme="minorEastAsia" w:eastAsiaTheme="minorEastAsia" w:cstheme="minorEastAsia"/>
          <w:color w:val="auto"/>
          <w:highlight w:val="none"/>
        </w:rPr>
      </w:pPr>
    </w:p>
    <w:p w14:paraId="131ED737">
      <w:pPr>
        <w:spacing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附表二：拟配备本工程的试验和检测仪器设备表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216"/>
        <w:gridCol w:w="1216"/>
        <w:gridCol w:w="1216"/>
        <w:gridCol w:w="1216"/>
        <w:gridCol w:w="1216"/>
        <w:gridCol w:w="1216"/>
        <w:gridCol w:w="1216"/>
        <w:gridCol w:w="1216"/>
      </w:tblGrid>
      <w:tr w14:paraId="545AB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0" w:type="dxa"/>
            <w:noWrap w:val="0"/>
            <w:vAlign w:val="center"/>
          </w:tcPr>
          <w:p w14:paraId="0B91C063">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序号</w:t>
            </w:r>
          </w:p>
        </w:tc>
        <w:tc>
          <w:tcPr>
            <w:tcW w:w="1216" w:type="dxa"/>
            <w:noWrap w:val="0"/>
            <w:vAlign w:val="center"/>
          </w:tcPr>
          <w:p w14:paraId="2894ECE5">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仪器设备</w:t>
            </w:r>
          </w:p>
          <w:p w14:paraId="2A7B02DE">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名称</w:t>
            </w:r>
          </w:p>
        </w:tc>
        <w:tc>
          <w:tcPr>
            <w:tcW w:w="1216" w:type="dxa"/>
            <w:noWrap w:val="0"/>
            <w:vAlign w:val="center"/>
          </w:tcPr>
          <w:p w14:paraId="4C494A72">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型号</w:t>
            </w:r>
          </w:p>
          <w:p w14:paraId="2689AB6D">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规格</w:t>
            </w:r>
          </w:p>
        </w:tc>
        <w:tc>
          <w:tcPr>
            <w:tcW w:w="1216" w:type="dxa"/>
            <w:noWrap w:val="0"/>
            <w:vAlign w:val="center"/>
          </w:tcPr>
          <w:p w14:paraId="7186676E">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数量</w:t>
            </w:r>
          </w:p>
        </w:tc>
        <w:tc>
          <w:tcPr>
            <w:tcW w:w="1216" w:type="dxa"/>
            <w:noWrap w:val="0"/>
            <w:vAlign w:val="center"/>
          </w:tcPr>
          <w:p w14:paraId="6FA1FE31">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国别</w:t>
            </w:r>
          </w:p>
          <w:p w14:paraId="7942C705">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产地</w:t>
            </w:r>
          </w:p>
        </w:tc>
        <w:tc>
          <w:tcPr>
            <w:tcW w:w="1216" w:type="dxa"/>
            <w:noWrap w:val="0"/>
            <w:vAlign w:val="center"/>
          </w:tcPr>
          <w:p w14:paraId="2DDECAC2">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制造年份</w:t>
            </w:r>
          </w:p>
        </w:tc>
        <w:tc>
          <w:tcPr>
            <w:tcW w:w="1216" w:type="dxa"/>
            <w:noWrap w:val="0"/>
            <w:vAlign w:val="center"/>
          </w:tcPr>
          <w:p w14:paraId="7EA899A1">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已使用</w:t>
            </w:r>
          </w:p>
          <w:p w14:paraId="20E243AA">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台时数</w:t>
            </w:r>
          </w:p>
        </w:tc>
        <w:tc>
          <w:tcPr>
            <w:tcW w:w="1216" w:type="dxa"/>
            <w:noWrap w:val="0"/>
            <w:vAlign w:val="center"/>
          </w:tcPr>
          <w:p w14:paraId="0E973876">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用途</w:t>
            </w:r>
          </w:p>
        </w:tc>
        <w:tc>
          <w:tcPr>
            <w:tcW w:w="1216" w:type="dxa"/>
            <w:noWrap w:val="0"/>
            <w:vAlign w:val="center"/>
          </w:tcPr>
          <w:p w14:paraId="3BBC369E">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备注</w:t>
            </w:r>
          </w:p>
        </w:tc>
      </w:tr>
      <w:tr w14:paraId="267B0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0" w:type="dxa"/>
            <w:noWrap w:val="0"/>
            <w:vAlign w:val="center"/>
          </w:tcPr>
          <w:p w14:paraId="5CFC8F87">
            <w:pPr>
              <w:spacing w:line="30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p>
        </w:tc>
        <w:tc>
          <w:tcPr>
            <w:tcW w:w="1216" w:type="dxa"/>
            <w:noWrap w:val="0"/>
            <w:vAlign w:val="center"/>
          </w:tcPr>
          <w:p w14:paraId="3EF36175">
            <w:pPr>
              <w:spacing w:line="300" w:lineRule="exact"/>
              <w:ind w:firstLine="420" w:firstLineChars="200"/>
              <w:rPr>
                <w:rFonts w:hint="eastAsia" w:asciiTheme="minorEastAsia" w:hAnsiTheme="minorEastAsia" w:eastAsiaTheme="minorEastAsia" w:cstheme="minorEastAsia"/>
                <w:color w:val="auto"/>
                <w:szCs w:val="21"/>
                <w:highlight w:val="none"/>
              </w:rPr>
            </w:pPr>
          </w:p>
        </w:tc>
        <w:tc>
          <w:tcPr>
            <w:tcW w:w="1216" w:type="dxa"/>
            <w:noWrap w:val="0"/>
            <w:vAlign w:val="center"/>
          </w:tcPr>
          <w:p w14:paraId="2A2DE012">
            <w:pPr>
              <w:spacing w:line="300" w:lineRule="exact"/>
              <w:ind w:firstLine="420" w:firstLineChars="200"/>
              <w:rPr>
                <w:rFonts w:hint="eastAsia" w:asciiTheme="minorEastAsia" w:hAnsiTheme="minorEastAsia" w:eastAsiaTheme="minorEastAsia" w:cstheme="minorEastAsia"/>
                <w:color w:val="auto"/>
                <w:szCs w:val="21"/>
                <w:highlight w:val="none"/>
              </w:rPr>
            </w:pPr>
          </w:p>
        </w:tc>
        <w:tc>
          <w:tcPr>
            <w:tcW w:w="1216" w:type="dxa"/>
            <w:noWrap w:val="0"/>
            <w:vAlign w:val="center"/>
          </w:tcPr>
          <w:p w14:paraId="62BDF96E">
            <w:pPr>
              <w:spacing w:line="300" w:lineRule="exact"/>
              <w:ind w:firstLine="420" w:firstLineChars="200"/>
              <w:rPr>
                <w:rFonts w:hint="eastAsia" w:asciiTheme="minorEastAsia" w:hAnsiTheme="minorEastAsia" w:eastAsiaTheme="minorEastAsia" w:cstheme="minorEastAsia"/>
                <w:color w:val="auto"/>
                <w:szCs w:val="21"/>
                <w:highlight w:val="none"/>
              </w:rPr>
            </w:pPr>
          </w:p>
        </w:tc>
        <w:tc>
          <w:tcPr>
            <w:tcW w:w="1216" w:type="dxa"/>
            <w:noWrap w:val="0"/>
            <w:vAlign w:val="center"/>
          </w:tcPr>
          <w:p w14:paraId="5C697D3C">
            <w:pPr>
              <w:spacing w:line="300" w:lineRule="exact"/>
              <w:ind w:firstLine="420" w:firstLineChars="200"/>
              <w:rPr>
                <w:rFonts w:hint="eastAsia" w:asciiTheme="minorEastAsia" w:hAnsiTheme="minorEastAsia" w:eastAsiaTheme="minorEastAsia" w:cstheme="minorEastAsia"/>
                <w:color w:val="auto"/>
                <w:szCs w:val="21"/>
                <w:highlight w:val="none"/>
              </w:rPr>
            </w:pPr>
          </w:p>
        </w:tc>
        <w:tc>
          <w:tcPr>
            <w:tcW w:w="1216" w:type="dxa"/>
            <w:noWrap w:val="0"/>
            <w:vAlign w:val="center"/>
          </w:tcPr>
          <w:p w14:paraId="14921AB3">
            <w:pPr>
              <w:spacing w:line="300" w:lineRule="exact"/>
              <w:ind w:firstLine="420" w:firstLineChars="200"/>
              <w:rPr>
                <w:rFonts w:hint="eastAsia" w:asciiTheme="minorEastAsia" w:hAnsiTheme="minorEastAsia" w:eastAsiaTheme="minorEastAsia" w:cstheme="minorEastAsia"/>
                <w:color w:val="auto"/>
                <w:szCs w:val="21"/>
                <w:highlight w:val="none"/>
              </w:rPr>
            </w:pPr>
          </w:p>
        </w:tc>
        <w:tc>
          <w:tcPr>
            <w:tcW w:w="1216" w:type="dxa"/>
            <w:noWrap w:val="0"/>
            <w:vAlign w:val="center"/>
          </w:tcPr>
          <w:p w14:paraId="4E9D6AA3">
            <w:pPr>
              <w:spacing w:line="300" w:lineRule="exact"/>
              <w:ind w:firstLine="420" w:firstLineChars="200"/>
              <w:rPr>
                <w:rFonts w:hint="eastAsia" w:asciiTheme="minorEastAsia" w:hAnsiTheme="minorEastAsia" w:eastAsiaTheme="minorEastAsia" w:cstheme="minorEastAsia"/>
                <w:color w:val="auto"/>
                <w:szCs w:val="21"/>
                <w:highlight w:val="none"/>
              </w:rPr>
            </w:pPr>
          </w:p>
        </w:tc>
        <w:tc>
          <w:tcPr>
            <w:tcW w:w="1216" w:type="dxa"/>
            <w:noWrap w:val="0"/>
            <w:vAlign w:val="center"/>
          </w:tcPr>
          <w:p w14:paraId="0052C48D">
            <w:pPr>
              <w:spacing w:line="300" w:lineRule="exact"/>
              <w:ind w:firstLine="420" w:firstLineChars="200"/>
              <w:rPr>
                <w:rFonts w:hint="eastAsia" w:asciiTheme="minorEastAsia" w:hAnsiTheme="minorEastAsia" w:eastAsiaTheme="minorEastAsia" w:cstheme="minorEastAsia"/>
                <w:color w:val="auto"/>
                <w:szCs w:val="21"/>
                <w:highlight w:val="none"/>
              </w:rPr>
            </w:pPr>
          </w:p>
        </w:tc>
        <w:tc>
          <w:tcPr>
            <w:tcW w:w="1216" w:type="dxa"/>
            <w:noWrap w:val="0"/>
            <w:vAlign w:val="top"/>
          </w:tcPr>
          <w:p w14:paraId="2CA9DF87">
            <w:pPr>
              <w:spacing w:line="300" w:lineRule="exact"/>
              <w:ind w:firstLine="420" w:firstLineChars="200"/>
              <w:rPr>
                <w:rFonts w:hint="eastAsia" w:asciiTheme="minorEastAsia" w:hAnsiTheme="minorEastAsia" w:eastAsiaTheme="minorEastAsia" w:cstheme="minorEastAsia"/>
                <w:color w:val="auto"/>
                <w:szCs w:val="21"/>
                <w:highlight w:val="none"/>
              </w:rPr>
            </w:pPr>
          </w:p>
        </w:tc>
      </w:tr>
      <w:tr w14:paraId="7CE24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0" w:type="dxa"/>
            <w:noWrap w:val="0"/>
            <w:vAlign w:val="center"/>
          </w:tcPr>
          <w:p w14:paraId="25F10DD4">
            <w:pPr>
              <w:spacing w:line="30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N</w:t>
            </w:r>
          </w:p>
        </w:tc>
        <w:tc>
          <w:tcPr>
            <w:tcW w:w="1216" w:type="dxa"/>
            <w:noWrap w:val="0"/>
            <w:vAlign w:val="center"/>
          </w:tcPr>
          <w:p w14:paraId="60CB39F9">
            <w:pPr>
              <w:spacing w:line="300" w:lineRule="exact"/>
              <w:ind w:firstLine="420" w:firstLineChars="200"/>
              <w:rPr>
                <w:rFonts w:hint="eastAsia" w:asciiTheme="minorEastAsia" w:hAnsiTheme="minorEastAsia" w:eastAsiaTheme="minorEastAsia" w:cstheme="minorEastAsia"/>
                <w:color w:val="auto"/>
                <w:szCs w:val="21"/>
                <w:highlight w:val="none"/>
              </w:rPr>
            </w:pPr>
          </w:p>
        </w:tc>
        <w:tc>
          <w:tcPr>
            <w:tcW w:w="1216" w:type="dxa"/>
            <w:noWrap w:val="0"/>
            <w:vAlign w:val="center"/>
          </w:tcPr>
          <w:p w14:paraId="2F76F66E">
            <w:pPr>
              <w:spacing w:line="300" w:lineRule="exact"/>
              <w:ind w:firstLine="420" w:firstLineChars="200"/>
              <w:rPr>
                <w:rFonts w:hint="eastAsia" w:asciiTheme="minorEastAsia" w:hAnsiTheme="minorEastAsia" w:eastAsiaTheme="minorEastAsia" w:cstheme="minorEastAsia"/>
                <w:color w:val="auto"/>
                <w:szCs w:val="21"/>
                <w:highlight w:val="none"/>
              </w:rPr>
            </w:pPr>
          </w:p>
        </w:tc>
        <w:tc>
          <w:tcPr>
            <w:tcW w:w="1216" w:type="dxa"/>
            <w:noWrap w:val="0"/>
            <w:vAlign w:val="center"/>
          </w:tcPr>
          <w:p w14:paraId="7A2F5F30">
            <w:pPr>
              <w:spacing w:line="300" w:lineRule="exact"/>
              <w:ind w:firstLine="420" w:firstLineChars="200"/>
              <w:rPr>
                <w:rFonts w:hint="eastAsia" w:asciiTheme="minorEastAsia" w:hAnsiTheme="minorEastAsia" w:eastAsiaTheme="minorEastAsia" w:cstheme="minorEastAsia"/>
                <w:color w:val="auto"/>
                <w:szCs w:val="21"/>
                <w:highlight w:val="none"/>
              </w:rPr>
            </w:pPr>
          </w:p>
        </w:tc>
        <w:tc>
          <w:tcPr>
            <w:tcW w:w="1216" w:type="dxa"/>
            <w:noWrap w:val="0"/>
            <w:vAlign w:val="center"/>
          </w:tcPr>
          <w:p w14:paraId="23FCBFD3">
            <w:pPr>
              <w:spacing w:line="300" w:lineRule="exact"/>
              <w:ind w:firstLine="420" w:firstLineChars="200"/>
              <w:rPr>
                <w:rFonts w:hint="eastAsia" w:asciiTheme="minorEastAsia" w:hAnsiTheme="minorEastAsia" w:eastAsiaTheme="minorEastAsia" w:cstheme="minorEastAsia"/>
                <w:color w:val="auto"/>
                <w:szCs w:val="21"/>
                <w:highlight w:val="none"/>
              </w:rPr>
            </w:pPr>
          </w:p>
        </w:tc>
        <w:tc>
          <w:tcPr>
            <w:tcW w:w="1216" w:type="dxa"/>
            <w:noWrap w:val="0"/>
            <w:vAlign w:val="center"/>
          </w:tcPr>
          <w:p w14:paraId="5DB85064">
            <w:pPr>
              <w:spacing w:line="300" w:lineRule="exact"/>
              <w:ind w:firstLine="420" w:firstLineChars="200"/>
              <w:rPr>
                <w:rFonts w:hint="eastAsia" w:asciiTheme="minorEastAsia" w:hAnsiTheme="minorEastAsia" w:eastAsiaTheme="minorEastAsia" w:cstheme="minorEastAsia"/>
                <w:color w:val="auto"/>
                <w:szCs w:val="21"/>
                <w:highlight w:val="none"/>
              </w:rPr>
            </w:pPr>
          </w:p>
        </w:tc>
        <w:tc>
          <w:tcPr>
            <w:tcW w:w="1216" w:type="dxa"/>
            <w:noWrap w:val="0"/>
            <w:vAlign w:val="center"/>
          </w:tcPr>
          <w:p w14:paraId="38E821FA">
            <w:pPr>
              <w:spacing w:line="300" w:lineRule="exact"/>
              <w:ind w:firstLine="420" w:firstLineChars="200"/>
              <w:rPr>
                <w:rFonts w:hint="eastAsia" w:asciiTheme="minorEastAsia" w:hAnsiTheme="minorEastAsia" w:eastAsiaTheme="minorEastAsia" w:cstheme="minorEastAsia"/>
                <w:color w:val="auto"/>
                <w:szCs w:val="21"/>
                <w:highlight w:val="none"/>
              </w:rPr>
            </w:pPr>
          </w:p>
        </w:tc>
        <w:tc>
          <w:tcPr>
            <w:tcW w:w="1216" w:type="dxa"/>
            <w:noWrap w:val="0"/>
            <w:vAlign w:val="center"/>
          </w:tcPr>
          <w:p w14:paraId="4E09E63D">
            <w:pPr>
              <w:spacing w:line="300" w:lineRule="exact"/>
              <w:ind w:firstLine="420" w:firstLineChars="200"/>
              <w:rPr>
                <w:rFonts w:hint="eastAsia" w:asciiTheme="minorEastAsia" w:hAnsiTheme="minorEastAsia" w:eastAsiaTheme="minorEastAsia" w:cstheme="minorEastAsia"/>
                <w:color w:val="auto"/>
                <w:szCs w:val="21"/>
                <w:highlight w:val="none"/>
              </w:rPr>
            </w:pPr>
          </w:p>
        </w:tc>
        <w:tc>
          <w:tcPr>
            <w:tcW w:w="1216" w:type="dxa"/>
            <w:noWrap w:val="0"/>
            <w:vAlign w:val="top"/>
          </w:tcPr>
          <w:p w14:paraId="1A66F0C1">
            <w:pPr>
              <w:spacing w:line="300" w:lineRule="exact"/>
              <w:ind w:firstLine="420" w:firstLineChars="200"/>
              <w:rPr>
                <w:rFonts w:hint="eastAsia" w:asciiTheme="minorEastAsia" w:hAnsiTheme="minorEastAsia" w:eastAsiaTheme="minorEastAsia" w:cstheme="minorEastAsia"/>
                <w:color w:val="auto"/>
                <w:szCs w:val="21"/>
                <w:highlight w:val="none"/>
              </w:rPr>
            </w:pPr>
          </w:p>
        </w:tc>
      </w:tr>
    </w:tbl>
    <w:p w14:paraId="1CB33D1A">
      <w:pPr>
        <w:spacing w:line="400" w:lineRule="exact"/>
        <w:rPr>
          <w:rFonts w:hint="eastAsia" w:asciiTheme="minorEastAsia" w:hAnsiTheme="minorEastAsia" w:eastAsiaTheme="minorEastAsia" w:cstheme="minorEastAsia"/>
          <w:color w:val="auto"/>
          <w:highlight w:val="none"/>
        </w:rPr>
      </w:pPr>
    </w:p>
    <w:p w14:paraId="4FBC2563">
      <w:pPr>
        <w:spacing w:line="4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附表三：劳动力计划表</w:t>
      </w:r>
    </w:p>
    <w:p w14:paraId="2A3B3264">
      <w:pPr>
        <w:spacing w:line="400" w:lineRule="exact"/>
        <w:ind w:firstLine="7245" w:firstLineChars="34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单位：人</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961"/>
        <w:gridCol w:w="1257"/>
        <w:gridCol w:w="1258"/>
        <w:gridCol w:w="1257"/>
        <w:gridCol w:w="1258"/>
        <w:gridCol w:w="1257"/>
        <w:gridCol w:w="2267"/>
      </w:tblGrid>
      <w:tr w14:paraId="207BD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3" w:type="dxa"/>
            <w:noWrap w:val="0"/>
            <w:vAlign w:val="center"/>
          </w:tcPr>
          <w:p w14:paraId="6694609A">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工种</w:t>
            </w:r>
          </w:p>
        </w:tc>
        <w:tc>
          <w:tcPr>
            <w:tcW w:w="9515" w:type="dxa"/>
            <w:gridSpan w:val="7"/>
            <w:noWrap w:val="0"/>
            <w:vAlign w:val="center"/>
          </w:tcPr>
          <w:p w14:paraId="187AD716">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按工程施工阶段投入劳动力情况</w:t>
            </w:r>
          </w:p>
        </w:tc>
      </w:tr>
      <w:tr w14:paraId="48CE8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3" w:type="dxa"/>
            <w:noWrap w:val="0"/>
            <w:vAlign w:val="center"/>
          </w:tcPr>
          <w:p w14:paraId="30CAC744">
            <w:pPr>
              <w:spacing w:line="30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p>
        </w:tc>
        <w:tc>
          <w:tcPr>
            <w:tcW w:w="961" w:type="dxa"/>
            <w:noWrap w:val="0"/>
            <w:vAlign w:val="center"/>
          </w:tcPr>
          <w:p w14:paraId="20C9209F">
            <w:pPr>
              <w:spacing w:line="300" w:lineRule="exact"/>
              <w:rPr>
                <w:rFonts w:hint="eastAsia" w:asciiTheme="minorEastAsia" w:hAnsiTheme="minorEastAsia" w:eastAsiaTheme="minorEastAsia" w:cstheme="minorEastAsia"/>
                <w:color w:val="auto"/>
                <w:szCs w:val="21"/>
                <w:highlight w:val="none"/>
              </w:rPr>
            </w:pPr>
          </w:p>
        </w:tc>
        <w:tc>
          <w:tcPr>
            <w:tcW w:w="1257" w:type="dxa"/>
            <w:noWrap w:val="0"/>
            <w:vAlign w:val="center"/>
          </w:tcPr>
          <w:p w14:paraId="1F5E69F0">
            <w:pPr>
              <w:spacing w:line="300" w:lineRule="exact"/>
              <w:rPr>
                <w:rFonts w:hint="eastAsia" w:asciiTheme="minorEastAsia" w:hAnsiTheme="minorEastAsia" w:eastAsiaTheme="minorEastAsia" w:cstheme="minorEastAsia"/>
                <w:color w:val="auto"/>
                <w:szCs w:val="21"/>
                <w:highlight w:val="none"/>
              </w:rPr>
            </w:pPr>
          </w:p>
        </w:tc>
        <w:tc>
          <w:tcPr>
            <w:tcW w:w="1258" w:type="dxa"/>
            <w:noWrap w:val="0"/>
            <w:vAlign w:val="center"/>
          </w:tcPr>
          <w:p w14:paraId="5974A2AD">
            <w:pPr>
              <w:spacing w:line="300" w:lineRule="exact"/>
              <w:rPr>
                <w:rFonts w:hint="eastAsia" w:asciiTheme="minorEastAsia" w:hAnsiTheme="minorEastAsia" w:eastAsiaTheme="minorEastAsia" w:cstheme="minorEastAsia"/>
                <w:color w:val="auto"/>
                <w:szCs w:val="21"/>
                <w:highlight w:val="none"/>
              </w:rPr>
            </w:pPr>
          </w:p>
        </w:tc>
        <w:tc>
          <w:tcPr>
            <w:tcW w:w="1257" w:type="dxa"/>
            <w:noWrap w:val="0"/>
            <w:vAlign w:val="center"/>
          </w:tcPr>
          <w:p w14:paraId="053488ED">
            <w:pPr>
              <w:spacing w:line="300" w:lineRule="exact"/>
              <w:rPr>
                <w:rFonts w:hint="eastAsia" w:asciiTheme="minorEastAsia" w:hAnsiTheme="minorEastAsia" w:eastAsiaTheme="minorEastAsia" w:cstheme="minorEastAsia"/>
                <w:color w:val="auto"/>
                <w:szCs w:val="21"/>
                <w:highlight w:val="none"/>
              </w:rPr>
            </w:pPr>
          </w:p>
        </w:tc>
        <w:tc>
          <w:tcPr>
            <w:tcW w:w="1258" w:type="dxa"/>
            <w:noWrap w:val="0"/>
            <w:vAlign w:val="center"/>
          </w:tcPr>
          <w:p w14:paraId="0FDF3639">
            <w:pPr>
              <w:spacing w:line="300" w:lineRule="exact"/>
              <w:rPr>
                <w:rFonts w:hint="eastAsia" w:asciiTheme="minorEastAsia" w:hAnsiTheme="minorEastAsia" w:eastAsiaTheme="minorEastAsia" w:cstheme="minorEastAsia"/>
                <w:color w:val="auto"/>
                <w:szCs w:val="21"/>
                <w:highlight w:val="none"/>
              </w:rPr>
            </w:pPr>
          </w:p>
        </w:tc>
        <w:tc>
          <w:tcPr>
            <w:tcW w:w="1257" w:type="dxa"/>
            <w:noWrap w:val="0"/>
            <w:vAlign w:val="center"/>
          </w:tcPr>
          <w:p w14:paraId="02614C6A">
            <w:pPr>
              <w:spacing w:line="300" w:lineRule="exact"/>
              <w:rPr>
                <w:rFonts w:hint="eastAsia" w:asciiTheme="minorEastAsia" w:hAnsiTheme="minorEastAsia" w:eastAsiaTheme="minorEastAsia" w:cstheme="minorEastAsia"/>
                <w:color w:val="auto"/>
                <w:szCs w:val="21"/>
                <w:highlight w:val="none"/>
              </w:rPr>
            </w:pPr>
          </w:p>
        </w:tc>
        <w:tc>
          <w:tcPr>
            <w:tcW w:w="2267" w:type="dxa"/>
            <w:noWrap w:val="0"/>
            <w:vAlign w:val="center"/>
          </w:tcPr>
          <w:p w14:paraId="7033725D">
            <w:pPr>
              <w:spacing w:line="300" w:lineRule="exact"/>
              <w:rPr>
                <w:rFonts w:hint="eastAsia" w:asciiTheme="minorEastAsia" w:hAnsiTheme="minorEastAsia" w:eastAsiaTheme="minorEastAsia" w:cstheme="minorEastAsia"/>
                <w:color w:val="auto"/>
                <w:szCs w:val="21"/>
                <w:highlight w:val="none"/>
              </w:rPr>
            </w:pPr>
          </w:p>
        </w:tc>
      </w:tr>
      <w:tr w14:paraId="0BDE2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3" w:type="dxa"/>
            <w:noWrap w:val="0"/>
            <w:vAlign w:val="center"/>
          </w:tcPr>
          <w:p w14:paraId="36614B40">
            <w:pPr>
              <w:spacing w:line="30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N</w:t>
            </w:r>
          </w:p>
        </w:tc>
        <w:tc>
          <w:tcPr>
            <w:tcW w:w="961" w:type="dxa"/>
            <w:noWrap w:val="0"/>
            <w:vAlign w:val="center"/>
          </w:tcPr>
          <w:p w14:paraId="09F6707C">
            <w:pPr>
              <w:spacing w:line="300" w:lineRule="exact"/>
              <w:rPr>
                <w:rFonts w:hint="eastAsia" w:asciiTheme="minorEastAsia" w:hAnsiTheme="minorEastAsia" w:eastAsiaTheme="minorEastAsia" w:cstheme="minorEastAsia"/>
                <w:color w:val="auto"/>
                <w:szCs w:val="21"/>
                <w:highlight w:val="none"/>
              </w:rPr>
            </w:pPr>
          </w:p>
        </w:tc>
        <w:tc>
          <w:tcPr>
            <w:tcW w:w="1257" w:type="dxa"/>
            <w:noWrap w:val="0"/>
            <w:vAlign w:val="center"/>
          </w:tcPr>
          <w:p w14:paraId="472D1961">
            <w:pPr>
              <w:spacing w:line="300" w:lineRule="exact"/>
              <w:rPr>
                <w:rFonts w:hint="eastAsia" w:asciiTheme="minorEastAsia" w:hAnsiTheme="minorEastAsia" w:eastAsiaTheme="minorEastAsia" w:cstheme="minorEastAsia"/>
                <w:color w:val="auto"/>
                <w:szCs w:val="21"/>
                <w:highlight w:val="none"/>
              </w:rPr>
            </w:pPr>
          </w:p>
        </w:tc>
        <w:tc>
          <w:tcPr>
            <w:tcW w:w="1258" w:type="dxa"/>
            <w:noWrap w:val="0"/>
            <w:vAlign w:val="center"/>
          </w:tcPr>
          <w:p w14:paraId="1FA4F106">
            <w:pPr>
              <w:spacing w:line="300" w:lineRule="exact"/>
              <w:rPr>
                <w:rFonts w:hint="eastAsia" w:asciiTheme="minorEastAsia" w:hAnsiTheme="minorEastAsia" w:eastAsiaTheme="minorEastAsia" w:cstheme="minorEastAsia"/>
                <w:color w:val="auto"/>
                <w:szCs w:val="21"/>
                <w:highlight w:val="none"/>
              </w:rPr>
            </w:pPr>
          </w:p>
        </w:tc>
        <w:tc>
          <w:tcPr>
            <w:tcW w:w="1257" w:type="dxa"/>
            <w:noWrap w:val="0"/>
            <w:vAlign w:val="center"/>
          </w:tcPr>
          <w:p w14:paraId="5BED2441">
            <w:pPr>
              <w:spacing w:line="300" w:lineRule="exact"/>
              <w:rPr>
                <w:rFonts w:hint="eastAsia" w:asciiTheme="minorEastAsia" w:hAnsiTheme="minorEastAsia" w:eastAsiaTheme="minorEastAsia" w:cstheme="minorEastAsia"/>
                <w:color w:val="auto"/>
                <w:szCs w:val="21"/>
                <w:highlight w:val="none"/>
              </w:rPr>
            </w:pPr>
          </w:p>
        </w:tc>
        <w:tc>
          <w:tcPr>
            <w:tcW w:w="1258" w:type="dxa"/>
            <w:noWrap w:val="0"/>
            <w:vAlign w:val="center"/>
          </w:tcPr>
          <w:p w14:paraId="32CB0557">
            <w:pPr>
              <w:spacing w:line="300" w:lineRule="exact"/>
              <w:rPr>
                <w:rFonts w:hint="eastAsia" w:asciiTheme="minorEastAsia" w:hAnsiTheme="minorEastAsia" w:eastAsiaTheme="minorEastAsia" w:cstheme="minorEastAsia"/>
                <w:color w:val="auto"/>
                <w:szCs w:val="21"/>
                <w:highlight w:val="none"/>
              </w:rPr>
            </w:pPr>
          </w:p>
        </w:tc>
        <w:tc>
          <w:tcPr>
            <w:tcW w:w="1257" w:type="dxa"/>
            <w:noWrap w:val="0"/>
            <w:vAlign w:val="center"/>
          </w:tcPr>
          <w:p w14:paraId="66CC2452">
            <w:pPr>
              <w:spacing w:line="300" w:lineRule="exact"/>
              <w:rPr>
                <w:rFonts w:hint="eastAsia" w:asciiTheme="minorEastAsia" w:hAnsiTheme="minorEastAsia" w:eastAsiaTheme="minorEastAsia" w:cstheme="minorEastAsia"/>
                <w:color w:val="auto"/>
                <w:szCs w:val="21"/>
                <w:highlight w:val="none"/>
              </w:rPr>
            </w:pPr>
          </w:p>
        </w:tc>
        <w:tc>
          <w:tcPr>
            <w:tcW w:w="2267" w:type="dxa"/>
            <w:noWrap w:val="0"/>
            <w:vAlign w:val="center"/>
          </w:tcPr>
          <w:p w14:paraId="31E9E210">
            <w:pPr>
              <w:spacing w:line="300" w:lineRule="exact"/>
              <w:rPr>
                <w:rFonts w:hint="eastAsia" w:asciiTheme="minorEastAsia" w:hAnsiTheme="minorEastAsia" w:eastAsiaTheme="minorEastAsia" w:cstheme="minorEastAsia"/>
                <w:color w:val="auto"/>
                <w:szCs w:val="21"/>
                <w:highlight w:val="none"/>
              </w:rPr>
            </w:pPr>
          </w:p>
        </w:tc>
      </w:tr>
    </w:tbl>
    <w:p w14:paraId="2BC1B9CE">
      <w:pPr>
        <w:spacing w:line="400" w:lineRule="exact"/>
        <w:rPr>
          <w:rFonts w:hint="eastAsia" w:asciiTheme="minorEastAsia" w:hAnsiTheme="minorEastAsia" w:eastAsiaTheme="minorEastAsia" w:cstheme="minorEastAsia"/>
          <w:color w:val="auto"/>
          <w:highlight w:val="none"/>
        </w:rPr>
      </w:pPr>
    </w:p>
    <w:p w14:paraId="7B1A4839">
      <w:pPr>
        <w:spacing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附表四：计划开、竣工日期和施工进度网络图</w:t>
      </w:r>
    </w:p>
    <w:p w14:paraId="74159625">
      <w:pPr>
        <w:spacing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r>
        <w:rPr>
          <w:rFonts w:hint="eastAsia" w:asciiTheme="minorEastAsia" w:hAnsiTheme="minorEastAsia" w:eastAsiaTheme="minorEastAsia" w:cstheme="minorEastAsia"/>
          <w:color w:val="auto"/>
          <w:highlight w:val="none"/>
          <w:lang w:eastAsia="zh-CN"/>
        </w:rPr>
        <w:t>竞标人</w:t>
      </w:r>
      <w:r>
        <w:rPr>
          <w:rFonts w:hint="eastAsia" w:asciiTheme="minorEastAsia" w:hAnsiTheme="minorEastAsia" w:eastAsiaTheme="minorEastAsia" w:cstheme="minorEastAsia"/>
          <w:color w:val="auto"/>
          <w:highlight w:val="none"/>
        </w:rPr>
        <w:t>应提交的施工进度网络图或施工进度表，说明按《</w:t>
      </w:r>
      <w:r>
        <w:rPr>
          <w:rFonts w:hint="eastAsia" w:asciiTheme="minorEastAsia" w:hAnsiTheme="minorEastAsia" w:eastAsiaTheme="minorEastAsia" w:cstheme="minorEastAsia"/>
          <w:color w:val="auto"/>
          <w:highlight w:val="none"/>
          <w:lang w:eastAsia="zh-CN"/>
        </w:rPr>
        <w:t>竞争性磋商文件</w:t>
      </w:r>
      <w:r>
        <w:rPr>
          <w:rFonts w:hint="eastAsia" w:asciiTheme="minorEastAsia" w:hAnsiTheme="minorEastAsia" w:eastAsiaTheme="minorEastAsia" w:cstheme="minorEastAsia"/>
          <w:color w:val="auto"/>
          <w:highlight w:val="none"/>
        </w:rPr>
        <w:t>》要求的工期进行施工的各个关键日期。</w:t>
      </w:r>
      <w:r>
        <w:rPr>
          <w:rFonts w:hint="eastAsia" w:asciiTheme="minorEastAsia" w:hAnsiTheme="minorEastAsia" w:eastAsiaTheme="minorEastAsia" w:cstheme="minorEastAsia"/>
          <w:color w:val="auto"/>
          <w:highlight w:val="none"/>
          <w:lang w:val="en-US" w:eastAsia="zh-CN"/>
        </w:rPr>
        <w:t>成交</w:t>
      </w:r>
      <w:r>
        <w:rPr>
          <w:rFonts w:hint="eastAsia" w:asciiTheme="minorEastAsia" w:hAnsiTheme="minorEastAsia" w:eastAsiaTheme="minorEastAsia" w:cstheme="minorEastAsia"/>
          <w:color w:val="auto"/>
          <w:highlight w:val="none"/>
        </w:rPr>
        <w:t>的</w:t>
      </w:r>
      <w:r>
        <w:rPr>
          <w:rFonts w:hint="eastAsia" w:asciiTheme="minorEastAsia" w:hAnsiTheme="minorEastAsia" w:eastAsiaTheme="minorEastAsia" w:cstheme="minorEastAsia"/>
          <w:color w:val="auto"/>
          <w:highlight w:val="none"/>
          <w:lang w:eastAsia="zh-CN"/>
        </w:rPr>
        <w:t>竞标人</w:t>
      </w:r>
      <w:r>
        <w:rPr>
          <w:rFonts w:hint="eastAsia" w:asciiTheme="minorEastAsia" w:hAnsiTheme="minorEastAsia" w:eastAsiaTheme="minorEastAsia" w:cstheme="minorEastAsia"/>
          <w:color w:val="auto"/>
          <w:highlight w:val="none"/>
        </w:rPr>
        <w:t>还应按合同条件有关条款的要求提交详细的施工进度计划。</w:t>
      </w:r>
    </w:p>
    <w:p w14:paraId="25A522E9">
      <w:pPr>
        <w:spacing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2.施工进度表可采用网络图（或横道图）表示，说明计划开工日期和各分项工程各阶段的完工日期和分包合同签订的日期。</w:t>
      </w:r>
    </w:p>
    <w:p w14:paraId="09FA3A23">
      <w:pPr>
        <w:spacing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3.施工进度计划应与施工组织设计相适应。</w:t>
      </w:r>
    </w:p>
    <w:p w14:paraId="236AA0BE">
      <w:pPr>
        <w:spacing w:line="400" w:lineRule="exact"/>
        <w:rPr>
          <w:rFonts w:hint="eastAsia" w:asciiTheme="minorEastAsia" w:hAnsiTheme="minorEastAsia" w:eastAsiaTheme="minorEastAsia" w:cstheme="minorEastAsia"/>
          <w:color w:val="auto"/>
          <w:highlight w:val="none"/>
        </w:rPr>
      </w:pPr>
    </w:p>
    <w:p w14:paraId="62A31534">
      <w:pPr>
        <w:spacing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附表五：施工总平面图</w:t>
      </w:r>
    </w:p>
    <w:p w14:paraId="5A504B74">
      <w:pPr>
        <w:spacing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竞标人</w:t>
      </w:r>
      <w:r>
        <w:rPr>
          <w:rFonts w:hint="eastAsia" w:asciiTheme="minorEastAsia" w:hAnsiTheme="minorEastAsia" w:eastAsiaTheme="minorEastAsia" w:cstheme="minorEastAsia"/>
          <w:color w:val="auto"/>
          <w:highlight w:val="none"/>
        </w:rPr>
        <w:t>应递交一份施工总平面图，绘出现场临时设施布置图表并附文字说明，说明临时设施、加工车间、现场办公、设备及仓储、供电、供水、卫生、生活、道路、消防等设施的情况和布置。</w:t>
      </w:r>
    </w:p>
    <w:p w14:paraId="67541565">
      <w:pPr>
        <w:spacing w:line="400" w:lineRule="exact"/>
        <w:rPr>
          <w:rFonts w:hint="eastAsia" w:asciiTheme="minorEastAsia" w:hAnsiTheme="minorEastAsia" w:eastAsiaTheme="minorEastAsia" w:cstheme="minorEastAsia"/>
          <w:color w:val="auto"/>
          <w:highlight w:val="none"/>
        </w:rPr>
      </w:pPr>
    </w:p>
    <w:p w14:paraId="2663E6F0">
      <w:pPr>
        <w:spacing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附表六：临时用地表</w:t>
      </w:r>
    </w:p>
    <w:p w14:paraId="649BC375">
      <w:pPr>
        <w:rPr>
          <w:rFonts w:hint="eastAsia" w:asciiTheme="minorEastAsia" w:hAnsiTheme="minorEastAsia" w:eastAsiaTheme="minorEastAsia" w:cstheme="minorEastAsia"/>
          <w:color w:val="auto"/>
          <w:highlight w:val="none"/>
        </w:rPr>
      </w:pPr>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5"/>
        <w:gridCol w:w="2565"/>
        <w:gridCol w:w="2565"/>
        <w:gridCol w:w="2565"/>
      </w:tblGrid>
      <w:tr w14:paraId="4C39E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65" w:type="dxa"/>
            <w:noWrap w:val="0"/>
            <w:vAlign w:val="center"/>
          </w:tcPr>
          <w:p w14:paraId="23E80465">
            <w:pPr>
              <w:spacing w:line="30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用途</w:t>
            </w:r>
          </w:p>
        </w:tc>
        <w:tc>
          <w:tcPr>
            <w:tcW w:w="2565" w:type="dxa"/>
            <w:noWrap w:val="0"/>
            <w:vAlign w:val="center"/>
          </w:tcPr>
          <w:p w14:paraId="6B6A709C">
            <w:pPr>
              <w:spacing w:line="30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面积（平方米）</w:t>
            </w:r>
          </w:p>
        </w:tc>
        <w:tc>
          <w:tcPr>
            <w:tcW w:w="2565" w:type="dxa"/>
            <w:noWrap w:val="0"/>
            <w:vAlign w:val="center"/>
          </w:tcPr>
          <w:p w14:paraId="11F34CFF">
            <w:pPr>
              <w:spacing w:line="30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位置</w:t>
            </w:r>
          </w:p>
        </w:tc>
        <w:tc>
          <w:tcPr>
            <w:tcW w:w="2565" w:type="dxa"/>
            <w:noWrap w:val="0"/>
            <w:vAlign w:val="center"/>
          </w:tcPr>
          <w:p w14:paraId="1337974B">
            <w:pPr>
              <w:spacing w:line="30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需用时间</w:t>
            </w:r>
          </w:p>
        </w:tc>
      </w:tr>
      <w:tr w14:paraId="6DBF9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65" w:type="dxa"/>
            <w:noWrap w:val="0"/>
            <w:vAlign w:val="center"/>
          </w:tcPr>
          <w:p w14:paraId="029B83C8">
            <w:pPr>
              <w:spacing w:line="30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p>
        </w:tc>
        <w:tc>
          <w:tcPr>
            <w:tcW w:w="2565" w:type="dxa"/>
            <w:noWrap w:val="0"/>
            <w:vAlign w:val="top"/>
          </w:tcPr>
          <w:p w14:paraId="60FC0D5D">
            <w:pPr>
              <w:spacing w:line="300" w:lineRule="exact"/>
              <w:rPr>
                <w:rFonts w:hint="eastAsia" w:asciiTheme="minorEastAsia" w:hAnsiTheme="minorEastAsia" w:eastAsiaTheme="minorEastAsia" w:cstheme="minorEastAsia"/>
                <w:color w:val="auto"/>
                <w:highlight w:val="none"/>
              </w:rPr>
            </w:pPr>
          </w:p>
        </w:tc>
        <w:tc>
          <w:tcPr>
            <w:tcW w:w="2565" w:type="dxa"/>
            <w:noWrap w:val="0"/>
            <w:vAlign w:val="top"/>
          </w:tcPr>
          <w:p w14:paraId="01732B89">
            <w:pPr>
              <w:spacing w:line="300" w:lineRule="exact"/>
              <w:rPr>
                <w:rFonts w:hint="eastAsia" w:asciiTheme="minorEastAsia" w:hAnsiTheme="minorEastAsia" w:eastAsiaTheme="minorEastAsia" w:cstheme="minorEastAsia"/>
                <w:color w:val="auto"/>
                <w:highlight w:val="none"/>
              </w:rPr>
            </w:pPr>
          </w:p>
        </w:tc>
        <w:tc>
          <w:tcPr>
            <w:tcW w:w="2565" w:type="dxa"/>
            <w:noWrap w:val="0"/>
            <w:vAlign w:val="top"/>
          </w:tcPr>
          <w:p w14:paraId="780B751D">
            <w:pPr>
              <w:spacing w:line="300" w:lineRule="exact"/>
              <w:rPr>
                <w:rFonts w:hint="eastAsia" w:asciiTheme="minorEastAsia" w:hAnsiTheme="minorEastAsia" w:eastAsiaTheme="minorEastAsia" w:cstheme="minorEastAsia"/>
                <w:color w:val="auto"/>
                <w:highlight w:val="none"/>
              </w:rPr>
            </w:pPr>
          </w:p>
        </w:tc>
      </w:tr>
      <w:tr w14:paraId="21F78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65" w:type="dxa"/>
            <w:noWrap w:val="0"/>
            <w:vAlign w:val="center"/>
          </w:tcPr>
          <w:p w14:paraId="5B06757E">
            <w:pPr>
              <w:spacing w:line="30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N</w:t>
            </w:r>
          </w:p>
        </w:tc>
        <w:tc>
          <w:tcPr>
            <w:tcW w:w="2565" w:type="dxa"/>
            <w:noWrap w:val="0"/>
            <w:vAlign w:val="top"/>
          </w:tcPr>
          <w:p w14:paraId="35C4939B">
            <w:pPr>
              <w:spacing w:line="300" w:lineRule="exact"/>
              <w:rPr>
                <w:rFonts w:hint="eastAsia" w:asciiTheme="minorEastAsia" w:hAnsiTheme="minorEastAsia" w:eastAsiaTheme="minorEastAsia" w:cstheme="minorEastAsia"/>
                <w:color w:val="auto"/>
                <w:highlight w:val="none"/>
              </w:rPr>
            </w:pPr>
          </w:p>
        </w:tc>
        <w:tc>
          <w:tcPr>
            <w:tcW w:w="2565" w:type="dxa"/>
            <w:noWrap w:val="0"/>
            <w:vAlign w:val="top"/>
          </w:tcPr>
          <w:p w14:paraId="0F580909">
            <w:pPr>
              <w:spacing w:line="300" w:lineRule="exact"/>
              <w:rPr>
                <w:rFonts w:hint="eastAsia" w:asciiTheme="minorEastAsia" w:hAnsiTheme="minorEastAsia" w:eastAsiaTheme="minorEastAsia" w:cstheme="minorEastAsia"/>
                <w:color w:val="auto"/>
                <w:highlight w:val="none"/>
              </w:rPr>
            </w:pPr>
          </w:p>
        </w:tc>
        <w:tc>
          <w:tcPr>
            <w:tcW w:w="2565" w:type="dxa"/>
            <w:noWrap w:val="0"/>
            <w:vAlign w:val="top"/>
          </w:tcPr>
          <w:p w14:paraId="27A7F83A">
            <w:pPr>
              <w:spacing w:line="300" w:lineRule="exact"/>
              <w:rPr>
                <w:rFonts w:hint="eastAsia" w:asciiTheme="minorEastAsia" w:hAnsiTheme="minorEastAsia" w:eastAsiaTheme="minorEastAsia" w:cstheme="minorEastAsia"/>
                <w:color w:val="auto"/>
                <w:highlight w:val="none"/>
              </w:rPr>
            </w:pPr>
          </w:p>
        </w:tc>
      </w:tr>
    </w:tbl>
    <w:p w14:paraId="21D07377">
      <w:pPr>
        <w:spacing w:line="400" w:lineRule="exact"/>
        <w:rPr>
          <w:rFonts w:hint="eastAsia" w:asciiTheme="minorEastAsia" w:hAnsiTheme="minorEastAsia" w:eastAsiaTheme="minorEastAsia" w:cstheme="minorEastAsia"/>
          <w:color w:val="auto"/>
          <w:highlight w:val="none"/>
        </w:rPr>
      </w:pPr>
    </w:p>
    <w:p w14:paraId="3D59BBE4">
      <w:pPr>
        <w:spacing w:line="480" w:lineRule="auto"/>
        <w:jc w:val="center"/>
        <w:rPr>
          <w:rFonts w:hint="eastAsia" w:asciiTheme="minorEastAsia" w:hAnsiTheme="minorEastAsia" w:eastAsiaTheme="minorEastAsia" w:cstheme="minorEastAsia"/>
          <w:color w:val="auto"/>
          <w:sz w:val="24"/>
          <w:highlight w:val="none"/>
        </w:rPr>
      </w:pPr>
    </w:p>
    <w:p w14:paraId="09D5360D">
      <w:pPr>
        <w:spacing w:line="480" w:lineRule="auto"/>
        <w:rPr>
          <w:rFonts w:hint="eastAsia" w:asciiTheme="minorEastAsia" w:hAnsiTheme="minorEastAsia" w:eastAsiaTheme="minorEastAsia" w:cstheme="minorEastAsia"/>
          <w:b/>
          <w:color w:val="auto"/>
          <w:sz w:val="24"/>
          <w:highlight w:val="none"/>
        </w:rPr>
      </w:pPr>
    </w:p>
    <w:p w14:paraId="57A5C660">
      <w:pPr>
        <w:spacing w:line="480" w:lineRule="auto"/>
        <w:rPr>
          <w:rFonts w:hint="eastAsia" w:asciiTheme="minorEastAsia" w:hAnsiTheme="minorEastAsia" w:eastAsiaTheme="minorEastAsia" w:cstheme="minorEastAsia"/>
          <w:b/>
          <w:color w:val="auto"/>
          <w:sz w:val="24"/>
          <w:highlight w:val="none"/>
        </w:rPr>
      </w:pPr>
    </w:p>
    <w:p w14:paraId="0A1A90A2">
      <w:pPr>
        <w:spacing w:line="480" w:lineRule="auto"/>
        <w:rPr>
          <w:rFonts w:hint="eastAsia" w:asciiTheme="minorEastAsia" w:hAnsiTheme="minorEastAsia" w:eastAsiaTheme="minorEastAsia" w:cstheme="minorEastAsia"/>
          <w:b/>
          <w:color w:val="auto"/>
          <w:sz w:val="24"/>
          <w:highlight w:val="none"/>
        </w:rPr>
      </w:pPr>
    </w:p>
    <w:p w14:paraId="1F3CCC1C">
      <w:pPr>
        <w:spacing w:line="480" w:lineRule="auto"/>
        <w:rPr>
          <w:rFonts w:hint="eastAsia" w:asciiTheme="minorEastAsia" w:hAnsiTheme="minorEastAsia" w:eastAsiaTheme="minorEastAsia" w:cstheme="minorEastAsia"/>
          <w:b/>
          <w:color w:val="auto"/>
          <w:sz w:val="24"/>
          <w:highlight w:val="none"/>
        </w:rPr>
      </w:pPr>
    </w:p>
    <w:p w14:paraId="06480098">
      <w:pPr>
        <w:spacing w:line="480" w:lineRule="auto"/>
        <w:rPr>
          <w:rFonts w:hint="eastAsia" w:asciiTheme="minorEastAsia" w:hAnsiTheme="minorEastAsia" w:eastAsiaTheme="minorEastAsia" w:cstheme="minorEastAsia"/>
          <w:b/>
          <w:color w:val="auto"/>
          <w:sz w:val="24"/>
          <w:highlight w:val="none"/>
        </w:rPr>
      </w:pPr>
    </w:p>
    <w:p w14:paraId="54FF62C3">
      <w:pPr>
        <w:spacing w:line="480" w:lineRule="auto"/>
        <w:rPr>
          <w:rFonts w:hint="eastAsia" w:asciiTheme="minorEastAsia" w:hAnsiTheme="minorEastAsia" w:eastAsiaTheme="minorEastAsia" w:cstheme="minorEastAsia"/>
          <w:b/>
          <w:color w:val="auto"/>
          <w:sz w:val="24"/>
          <w:highlight w:val="none"/>
        </w:rPr>
      </w:pPr>
    </w:p>
    <w:p w14:paraId="069E1F4B">
      <w:pPr>
        <w:spacing w:line="480" w:lineRule="auto"/>
        <w:rPr>
          <w:rFonts w:hint="eastAsia" w:asciiTheme="minorEastAsia" w:hAnsiTheme="minorEastAsia" w:eastAsiaTheme="minorEastAsia" w:cstheme="minorEastAsia"/>
          <w:b/>
          <w:color w:val="auto"/>
          <w:sz w:val="24"/>
          <w:highlight w:val="none"/>
        </w:rPr>
      </w:pPr>
    </w:p>
    <w:p w14:paraId="63BAD353">
      <w:pPr>
        <w:spacing w:line="480" w:lineRule="auto"/>
        <w:rPr>
          <w:rFonts w:hint="eastAsia" w:asciiTheme="minorEastAsia" w:hAnsiTheme="minorEastAsia" w:eastAsiaTheme="minorEastAsia" w:cstheme="minorEastAsia"/>
          <w:b/>
          <w:color w:val="auto"/>
          <w:sz w:val="24"/>
          <w:highlight w:val="none"/>
        </w:rPr>
      </w:pPr>
    </w:p>
    <w:p w14:paraId="4E60C560">
      <w:pPr>
        <w:spacing w:line="480" w:lineRule="auto"/>
        <w:rPr>
          <w:rFonts w:hint="eastAsia" w:asciiTheme="minorEastAsia" w:hAnsiTheme="minorEastAsia" w:eastAsiaTheme="minorEastAsia" w:cstheme="minorEastAsia"/>
          <w:b/>
          <w:color w:val="auto"/>
          <w:sz w:val="24"/>
          <w:highlight w:val="none"/>
        </w:rPr>
      </w:pPr>
    </w:p>
    <w:p w14:paraId="5C859103">
      <w:pPr>
        <w:spacing w:line="480" w:lineRule="auto"/>
        <w:rPr>
          <w:rFonts w:hint="eastAsia" w:asciiTheme="minorEastAsia" w:hAnsiTheme="minorEastAsia" w:eastAsiaTheme="minorEastAsia" w:cstheme="minorEastAsia"/>
          <w:b/>
          <w:color w:val="auto"/>
          <w:sz w:val="24"/>
          <w:highlight w:val="none"/>
        </w:rPr>
      </w:pPr>
    </w:p>
    <w:p w14:paraId="069D0AA8">
      <w:pPr>
        <w:spacing w:line="480" w:lineRule="auto"/>
        <w:rPr>
          <w:rFonts w:hint="eastAsia" w:asciiTheme="minorEastAsia" w:hAnsiTheme="minorEastAsia" w:eastAsiaTheme="minorEastAsia" w:cstheme="minorEastAsia"/>
          <w:b/>
          <w:color w:val="auto"/>
          <w:sz w:val="24"/>
          <w:highlight w:val="none"/>
        </w:rPr>
      </w:pPr>
    </w:p>
    <w:p w14:paraId="55F2E4FF">
      <w:pPr>
        <w:spacing w:line="480" w:lineRule="auto"/>
        <w:rPr>
          <w:rFonts w:hint="eastAsia" w:asciiTheme="minorEastAsia" w:hAnsiTheme="minorEastAsia" w:eastAsiaTheme="minorEastAsia" w:cstheme="minorEastAsia"/>
          <w:b/>
          <w:color w:val="auto"/>
          <w:sz w:val="24"/>
          <w:highlight w:val="none"/>
        </w:rPr>
      </w:pPr>
    </w:p>
    <w:p w14:paraId="0FFA1A4B">
      <w:pPr>
        <w:spacing w:line="480" w:lineRule="auto"/>
        <w:rPr>
          <w:rFonts w:hint="eastAsia" w:asciiTheme="minorEastAsia" w:hAnsiTheme="minorEastAsia" w:eastAsiaTheme="minorEastAsia" w:cstheme="minorEastAsia"/>
          <w:b/>
          <w:color w:val="auto"/>
          <w:sz w:val="24"/>
          <w:highlight w:val="none"/>
        </w:rPr>
      </w:pPr>
    </w:p>
    <w:p w14:paraId="2D0F59BC">
      <w:pPr>
        <w:spacing w:line="480" w:lineRule="auto"/>
        <w:rPr>
          <w:rFonts w:hint="eastAsia" w:asciiTheme="minorEastAsia" w:hAnsiTheme="minorEastAsia" w:eastAsiaTheme="minorEastAsia" w:cstheme="minorEastAsia"/>
          <w:b/>
          <w:color w:val="auto"/>
          <w:sz w:val="24"/>
          <w:highlight w:val="none"/>
        </w:rPr>
      </w:pPr>
    </w:p>
    <w:p w14:paraId="2DDA0984">
      <w:pPr>
        <w:pStyle w:val="2"/>
        <w:numPr>
          <w:ilvl w:val="0"/>
          <w:numId w:val="9"/>
        </w:numPr>
        <w:spacing w:before="0"/>
        <w:ind w:leftChars="0"/>
        <w:jc w:val="center"/>
        <w:rPr>
          <w:rFonts w:hint="eastAsia" w:asciiTheme="minorEastAsia" w:hAnsiTheme="minorEastAsia" w:eastAsiaTheme="minorEastAsia" w:cstheme="minorEastAsia"/>
          <w:bCs w:val="0"/>
          <w:color w:val="auto"/>
          <w:sz w:val="28"/>
          <w:szCs w:val="28"/>
          <w:highlight w:val="none"/>
          <w:lang w:val="en-US" w:eastAsia="zh-CN"/>
        </w:rPr>
      </w:pPr>
      <w:bookmarkStart w:id="1299" w:name="_Toc30492"/>
      <w:r>
        <w:rPr>
          <w:rFonts w:hint="eastAsia" w:asciiTheme="minorEastAsia" w:hAnsiTheme="minorEastAsia" w:eastAsiaTheme="minorEastAsia" w:cstheme="minorEastAsia"/>
          <w:bCs w:val="0"/>
          <w:color w:val="auto"/>
          <w:sz w:val="28"/>
          <w:szCs w:val="28"/>
          <w:highlight w:val="none"/>
          <w:lang w:val="en-US" w:eastAsia="zh-CN"/>
        </w:rPr>
        <w:t>业绩</w:t>
      </w:r>
      <w:bookmarkEnd w:id="1299"/>
      <w:r>
        <w:rPr>
          <w:rFonts w:hint="eastAsia" w:asciiTheme="minorEastAsia" w:hAnsiTheme="minorEastAsia" w:eastAsiaTheme="minorEastAsia" w:cstheme="minorEastAsia"/>
          <w:bCs w:val="0"/>
          <w:color w:val="auto"/>
          <w:sz w:val="28"/>
          <w:szCs w:val="28"/>
          <w:highlight w:val="none"/>
          <w:lang w:val="en-US" w:eastAsia="zh-CN"/>
        </w:rPr>
        <w:t>（如有，请提供）</w:t>
      </w:r>
    </w:p>
    <w:p w14:paraId="4FBADC23">
      <w:pPr>
        <w:numPr>
          <w:ilvl w:val="0"/>
          <w:numId w:val="0"/>
        </w:numPr>
        <w:jc w:val="cente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（格式自拟）</w:t>
      </w:r>
    </w:p>
    <w:p w14:paraId="7F8D1184">
      <w:pPr>
        <w:pStyle w:val="35"/>
        <w:rPr>
          <w:rFonts w:hint="eastAsia" w:asciiTheme="minorEastAsia" w:hAnsiTheme="minorEastAsia" w:eastAsiaTheme="minorEastAsia" w:cstheme="minorEastAsia"/>
          <w:color w:val="auto"/>
          <w:highlight w:val="none"/>
          <w:lang w:val="en-US" w:eastAsia="zh-CN"/>
        </w:rPr>
      </w:pPr>
    </w:p>
    <w:p w14:paraId="30A13494">
      <w:pPr>
        <w:pStyle w:val="36"/>
        <w:rPr>
          <w:rFonts w:hint="eastAsia" w:asciiTheme="minorEastAsia" w:hAnsiTheme="minorEastAsia" w:eastAsiaTheme="minorEastAsia" w:cstheme="minorEastAsia"/>
          <w:color w:val="auto"/>
          <w:highlight w:val="none"/>
          <w:lang w:val="en-US" w:eastAsia="zh-CN"/>
        </w:rPr>
      </w:pPr>
    </w:p>
    <w:p w14:paraId="798B3D06">
      <w:pPr>
        <w:rPr>
          <w:rFonts w:hint="eastAsia" w:asciiTheme="minorEastAsia" w:hAnsiTheme="minorEastAsia" w:eastAsiaTheme="minorEastAsia" w:cstheme="minorEastAsia"/>
          <w:bCs w:val="0"/>
          <w:color w:val="auto"/>
          <w:sz w:val="28"/>
          <w:szCs w:val="28"/>
          <w:highlight w:val="none"/>
          <w:lang w:val="en-US" w:eastAsia="zh-CN"/>
        </w:rPr>
      </w:pPr>
      <w:r>
        <w:rPr>
          <w:rFonts w:hint="eastAsia" w:asciiTheme="minorEastAsia" w:hAnsiTheme="minorEastAsia" w:eastAsiaTheme="minorEastAsia" w:cstheme="minorEastAsia"/>
          <w:bCs w:val="0"/>
          <w:color w:val="auto"/>
          <w:sz w:val="28"/>
          <w:szCs w:val="28"/>
          <w:highlight w:val="none"/>
          <w:lang w:val="en-US" w:eastAsia="zh-CN"/>
        </w:rPr>
        <w:br w:type="page"/>
      </w:r>
    </w:p>
    <w:p w14:paraId="2BE595AA">
      <w:pPr>
        <w:pStyle w:val="2"/>
        <w:numPr>
          <w:ilvl w:val="0"/>
          <w:numId w:val="9"/>
        </w:numPr>
        <w:spacing w:before="0"/>
        <w:ind w:left="0" w:leftChars="0" w:firstLine="0" w:firstLineChars="0"/>
        <w:jc w:val="center"/>
        <w:rPr>
          <w:rFonts w:hint="eastAsia" w:asciiTheme="minorEastAsia" w:hAnsiTheme="minorEastAsia" w:eastAsiaTheme="minorEastAsia" w:cstheme="minorEastAsia"/>
          <w:bCs w:val="0"/>
          <w:color w:val="auto"/>
          <w:sz w:val="28"/>
          <w:szCs w:val="28"/>
          <w:highlight w:val="none"/>
        </w:rPr>
      </w:pPr>
      <w:r>
        <w:rPr>
          <w:rFonts w:hint="eastAsia" w:asciiTheme="minorEastAsia" w:hAnsiTheme="minorEastAsia" w:eastAsiaTheme="minorEastAsia" w:cstheme="minorEastAsia"/>
          <w:bCs w:val="0"/>
          <w:color w:val="auto"/>
          <w:sz w:val="28"/>
          <w:szCs w:val="28"/>
          <w:highlight w:val="none"/>
        </w:rPr>
        <w:t>供应商可结合本项目的评标办法视自身情况自行提交相关证明材料。</w:t>
      </w:r>
    </w:p>
    <w:p w14:paraId="08982BE1">
      <w:pPr>
        <w:pStyle w:val="2"/>
        <w:numPr>
          <w:ilvl w:val="0"/>
          <w:numId w:val="0"/>
        </w:numPr>
        <w:spacing w:before="0"/>
        <w:ind w:leftChars="0"/>
        <w:jc w:val="center"/>
        <w:rPr>
          <w:rFonts w:hint="eastAsia" w:asciiTheme="minorEastAsia" w:hAnsiTheme="minorEastAsia" w:eastAsiaTheme="minorEastAsia" w:cstheme="minorEastAsia"/>
          <w:bCs w:val="0"/>
          <w:color w:val="auto"/>
          <w:sz w:val="28"/>
          <w:szCs w:val="28"/>
          <w:highlight w:val="none"/>
          <w:lang w:eastAsia="zh-CN"/>
        </w:rPr>
      </w:pPr>
      <w:r>
        <w:rPr>
          <w:rFonts w:hint="eastAsia" w:asciiTheme="minorEastAsia" w:hAnsiTheme="minorEastAsia" w:eastAsiaTheme="minorEastAsia" w:cstheme="minorEastAsia"/>
          <w:bCs w:val="0"/>
          <w:color w:val="auto"/>
          <w:sz w:val="28"/>
          <w:szCs w:val="28"/>
          <w:highlight w:val="none"/>
        </w:rPr>
        <w:t>（如有，请提供）</w:t>
      </w:r>
    </w:p>
    <w:p w14:paraId="163454E5">
      <w:pPr>
        <w:widowControl w:val="0"/>
        <w:spacing w:line="400" w:lineRule="exact"/>
        <w:ind w:firstLine="420" w:firstLineChars="200"/>
        <w:jc w:val="both"/>
        <w:rPr>
          <w:rFonts w:hint="eastAsia" w:asciiTheme="minorEastAsia" w:hAnsiTheme="minorEastAsia" w:eastAsiaTheme="minorEastAsia" w:cstheme="minorEastAsia"/>
          <w:b/>
          <w:color w:val="auto"/>
          <w:kern w:val="2"/>
          <w:sz w:val="21"/>
          <w:szCs w:val="21"/>
          <w:highlight w:val="none"/>
          <w:lang w:val="en-US" w:eastAsia="zh-CN" w:bidi="ar-SA"/>
        </w:rPr>
      </w:pPr>
    </w:p>
    <w:p w14:paraId="44E182C3">
      <w:pPr>
        <w:widowControl w:val="0"/>
        <w:spacing w:line="400" w:lineRule="exact"/>
        <w:ind w:left="1120" w:hanging="1120"/>
        <w:jc w:val="both"/>
        <w:rPr>
          <w:rFonts w:hint="eastAsia" w:asciiTheme="minorEastAsia" w:hAnsiTheme="minorEastAsia" w:eastAsiaTheme="minorEastAsia" w:cstheme="minorEastAsia"/>
          <w:b/>
          <w:bCs/>
          <w:color w:val="auto"/>
          <w:kern w:val="2"/>
          <w:sz w:val="21"/>
          <w:szCs w:val="20"/>
          <w:highlight w:val="none"/>
          <w:lang w:val="en-US" w:eastAsia="zh-CN" w:bidi="ar-SA"/>
        </w:rPr>
      </w:pPr>
    </w:p>
    <w:p w14:paraId="5B051E99">
      <w:pPr>
        <w:pStyle w:val="2"/>
        <w:spacing w:before="0"/>
        <w:jc w:val="center"/>
        <w:rPr>
          <w:rFonts w:hint="eastAsia" w:asciiTheme="minorEastAsia" w:hAnsiTheme="minorEastAsia" w:eastAsiaTheme="minorEastAsia" w:cstheme="minorEastAsia"/>
          <w:color w:val="auto"/>
          <w:sz w:val="28"/>
          <w:szCs w:val="28"/>
          <w:highlight w:val="none"/>
        </w:rPr>
      </w:pPr>
    </w:p>
    <w:p w14:paraId="25D41450">
      <w:pPr>
        <w:pStyle w:val="2"/>
        <w:spacing w:before="0"/>
        <w:jc w:val="center"/>
        <w:rPr>
          <w:rFonts w:hint="eastAsia" w:asciiTheme="minorEastAsia" w:hAnsiTheme="minorEastAsia" w:eastAsiaTheme="minorEastAsia" w:cstheme="minorEastAsia"/>
          <w:color w:val="auto"/>
          <w:sz w:val="28"/>
          <w:szCs w:val="28"/>
          <w:highlight w:val="none"/>
        </w:rPr>
      </w:pPr>
    </w:p>
    <w:p w14:paraId="43779E66">
      <w:pPr>
        <w:pStyle w:val="2"/>
        <w:spacing w:before="0"/>
        <w:jc w:val="center"/>
        <w:rPr>
          <w:rFonts w:hint="eastAsia" w:asciiTheme="minorEastAsia" w:hAnsiTheme="minorEastAsia" w:eastAsiaTheme="minorEastAsia" w:cstheme="minorEastAsia"/>
          <w:color w:val="auto"/>
          <w:sz w:val="28"/>
          <w:szCs w:val="28"/>
          <w:highlight w:val="none"/>
        </w:rPr>
      </w:pPr>
    </w:p>
    <w:p w14:paraId="37A3C53C">
      <w:pPr>
        <w:pStyle w:val="2"/>
        <w:spacing w:before="0"/>
        <w:jc w:val="center"/>
        <w:rPr>
          <w:rFonts w:hint="eastAsia" w:asciiTheme="minorEastAsia" w:hAnsiTheme="minorEastAsia" w:eastAsiaTheme="minorEastAsia" w:cstheme="minorEastAsia"/>
          <w:color w:val="auto"/>
          <w:sz w:val="28"/>
          <w:szCs w:val="28"/>
          <w:highlight w:val="none"/>
        </w:rPr>
      </w:pPr>
    </w:p>
    <w:p w14:paraId="04E02B47">
      <w:pPr>
        <w:pStyle w:val="2"/>
        <w:spacing w:before="0"/>
        <w:jc w:val="both"/>
        <w:rPr>
          <w:rFonts w:hint="eastAsia" w:asciiTheme="minorEastAsia" w:hAnsiTheme="minorEastAsia" w:eastAsiaTheme="minorEastAsia" w:cstheme="minorEastAsia"/>
          <w:color w:val="auto"/>
          <w:sz w:val="28"/>
          <w:szCs w:val="28"/>
          <w:highlight w:val="none"/>
        </w:rPr>
      </w:pPr>
    </w:p>
    <w:p w14:paraId="4E5A7546">
      <w:pPr>
        <w:rPr>
          <w:rFonts w:hint="eastAsia" w:asciiTheme="minorEastAsia" w:hAnsiTheme="minorEastAsia" w:eastAsiaTheme="minorEastAsia" w:cstheme="minorEastAsia"/>
          <w:color w:val="auto"/>
          <w:sz w:val="28"/>
          <w:szCs w:val="28"/>
          <w:highlight w:val="none"/>
        </w:rPr>
      </w:pPr>
    </w:p>
    <w:p w14:paraId="10B247E3">
      <w:pPr>
        <w:rPr>
          <w:rFonts w:hint="eastAsia" w:asciiTheme="minorEastAsia" w:hAnsiTheme="minorEastAsia" w:eastAsiaTheme="minorEastAsia" w:cstheme="minorEastAsia"/>
          <w:color w:val="auto"/>
          <w:sz w:val="28"/>
          <w:szCs w:val="28"/>
          <w:highlight w:val="none"/>
        </w:rPr>
      </w:pPr>
    </w:p>
    <w:p w14:paraId="01497EA5">
      <w:pPr>
        <w:rPr>
          <w:rFonts w:hint="eastAsia" w:asciiTheme="minorEastAsia" w:hAnsiTheme="minorEastAsia" w:eastAsiaTheme="minorEastAsia" w:cstheme="minorEastAsia"/>
          <w:color w:val="auto"/>
          <w:sz w:val="28"/>
          <w:szCs w:val="28"/>
          <w:highlight w:val="none"/>
        </w:rPr>
      </w:pPr>
    </w:p>
    <w:p w14:paraId="71BAD38E">
      <w:pPr>
        <w:rPr>
          <w:rFonts w:hint="eastAsia" w:asciiTheme="minorEastAsia" w:hAnsiTheme="minorEastAsia" w:eastAsiaTheme="minorEastAsia" w:cstheme="minorEastAsia"/>
          <w:color w:val="auto"/>
          <w:sz w:val="28"/>
          <w:szCs w:val="28"/>
          <w:highlight w:val="none"/>
        </w:rPr>
      </w:pPr>
    </w:p>
    <w:p w14:paraId="1392219D">
      <w:pPr>
        <w:rPr>
          <w:rFonts w:hint="eastAsia" w:asciiTheme="minorEastAsia" w:hAnsiTheme="minorEastAsia" w:eastAsiaTheme="minorEastAsia" w:cstheme="minorEastAsia"/>
          <w:color w:val="auto"/>
          <w:sz w:val="28"/>
          <w:szCs w:val="28"/>
          <w:highlight w:val="none"/>
        </w:rPr>
      </w:pPr>
    </w:p>
    <w:p w14:paraId="75CFB5CC">
      <w:pPr>
        <w:rPr>
          <w:rFonts w:hint="eastAsia" w:asciiTheme="minorEastAsia" w:hAnsiTheme="minorEastAsia" w:eastAsiaTheme="minorEastAsia" w:cstheme="minorEastAsia"/>
          <w:color w:val="auto"/>
          <w:sz w:val="28"/>
          <w:szCs w:val="28"/>
          <w:highlight w:val="none"/>
        </w:rPr>
      </w:pPr>
    </w:p>
    <w:p w14:paraId="47EFDC19">
      <w:pPr>
        <w:rPr>
          <w:rFonts w:hint="eastAsia" w:asciiTheme="minorEastAsia" w:hAnsiTheme="minorEastAsia" w:eastAsiaTheme="minorEastAsia" w:cstheme="minorEastAsia"/>
          <w:color w:val="auto"/>
          <w:sz w:val="28"/>
          <w:szCs w:val="28"/>
          <w:highlight w:val="none"/>
        </w:rPr>
      </w:pPr>
    </w:p>
    <w:p w14:paraId="7C541310">
      <w:pPr>
        <w:rPr>
          <w:rFonts w:hint="eastAsia" w:asciiTheme="minorEastAsia" w:hAnsiTheme="minorEastAsia" w:eastAsiaTheme="minorEastAsia" w:cstheme="minorEastAsia"/>
          <w:color w:val="auto"/>
          <w:sz w:val="28"/>
          <w:szCs w:val="28"/>
          <w:highlight w:val="none"/>
        </w:rPr>
      </w:pPr>
    </w:p>
    <w:p w14:paraId="3C65FC3C">
      <w:pPr>
        <w:rPr>
          <w:rFonts w:hint="eastAsia" w:asciiTheme="minorEastAsia" w:hAnsiTheme="minorEastAsia" w:eastAsiaTheme="minorEastAsia" w:cstheme="minorEastAsia"/>
          <w:color w:val="auto"/>
          <w:sz w:val="28"/>
          <w:szCs w:val="28"/>
          <w:highlight w:val="none"/>
        </w:rPr>
      </w:pPr>
    </w:p>
    <w:p w14:paraId="164B75D3">
      <w:pPr>
        <w:rPr>
          <w:rFonts w:hint="eastAsia" w:asciiTheme="minorEastAsia" w:hAnsiTheme="minorEastAsia" w:eastAsiaTheme="minorEastAsia" w:cstheme="minorEastAsia"/>
          <w:color w:val="auto"/>
          <w:highlight w:val="none"/>
        </w:rPr>
      </w:pPr>
    </w:p>
    <w:p w14:paraId="72D4C9FF">
      <w:pPr>
        <w:pStyle w:val="2"/>
        <w:spacing w:before="0"/>
        <w:jc w:val="center"/>
        <w:rPr>
          <w:rFonts w:hint="eastAsia" w:asciiTheme="minorEastAsia" w:hAnsiTheme="minorEastAsia" w:eastAsiaTheme="minorEastAsia" w:cstheme="minorEastAsia"/>
          <w:color w:val="auto"/>
          <w:sz w:val="28"/>
          <w:szCs w:val="28"/>
          <w:highlight w:val="none"/>
        </w:rPr>
      </w:pPr>
      <w:bookmarkStart w:id="1300" w:name="_Toc2615"/>
      <w:r>
        <w:rPr>
          <w:rFonts w:hint="eastAsia" w:asciiTheme="minorEastAsia" w:hAnsiTheme="minorEastAsia" w:eastAsiaTheme="minorEastAsia" w:cstheme="minorEastAsia"/>
          <w:color w:val="auto"/>
          <w:sz w:val="28"/>
          <w:szCs w:val="28"/>
          <w:highlight w:val="none"/>
        </w:rPr>
        <w:t>第八章  评标办法</w:t>
      </w:r>
      <w:bookmarkEnd w:id="1300"/>
    </w:p>
    <w:p w14:paraId="34A37CA5">
      <w:pPr>
        <w:widowControl w:val="0"/>
        <w:spacing w:after="120"/>
        <w:jc w:val="center"/>
        <w:rPr>
          <w:rFonts w:hint="eastAsia" w:asciiTheme="minorEastAsia" w:hAnsiTheme="minorEastAsia" w:eastAsiaTheme="minorEastAsia" w:cstheme="minorEastAsia"/>
          <w:color w:val="auto"/>
          <w:kern w:val="2"/>
          <w:sz w:val="21"/>
          <w:szCs w:val="24"/>
          <w:highlight w:val="none"/>
          <w:lang w:val="en-US" w:eastAsia="zh-CN" w:bidi="ar-SA"/>
        </w:rPr>
      </w:pPr>
      <w:bookmarkStart w:id="1301" w:name="_Toc440877588"/>
      <w:r>
        <w:rPr>
          <w:rFonts w:hint="eastAsia" w:asciiTheme="minorEastAsia" w:hAnsiTheme="minorEastAsia" w:eastAsiaTheme="minorEastAsia" w:cstheme="minorEastAsia"/>
          <w:b/>
          <w:color w:val="auto"/>
          <w:kern w:val="2"/>
          <w:sz w:val="24"/>
          <w:szCs w:val="24"/>
          <w:highlight w:val="none"/>
          <w:lang w:val="en-US" w:eastAsia="zh-CN" w:bidi="ar-SA"/>
        </w:rPr>
        <w:t>评分办法前附表</w:t>
      </w:r>
    </w:p>
    <w:tbl>
      <w:tblPr>
        <w:tblStyle w:val="19"/>
        <w:tblW w:w="10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832"/>
        <w:gridCol w:w="2033"/>
        <w:gridCol w:w="413"/>
        <w:gridCol w:w="6397"/>
      </w:tblGrid>
      <w:tr w14:paraId="3E534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95" w:type="dxa"/>
            <w:gridSpan w:val="2"/>
            <w:noWrap w:val="0"/>
            <w:vAlign w:val="center"/>
          </w:tcPr>
          <w:p w14:paraId="4711990A">
            <w:pPr>
              <w:autoSpaceDE w:val="0"/>
              <w:autoSpaceDN w:val="0"/>
              <w:adjustRightInd w:val="0"/>
              <w:spacing w:line="420" w:lineRule="exact"/>
              <w:jc w:val="center"/>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条款名称</w:t>
            </w:r>
          </w:p>
        </w:tc>
        <w:tc>
          <w:tcPr>
            <w:tcW w:w="2446" w:type="dxa"/>
            <w:gridSpan w:val="2"/>
            <w:noWrap w:val="0"/>
            <w:vAlign w:val="center"/>
          </w:tcPr>
          <w:p w14:paraId="3B088556">
            <w:pPr>
              <w:autoSpaceDE w:val="0"/>
              <w:autoSpaceDN w:val="0"/>
              <w:adjustRightInd w:val="0"/>
              <w:spacing w:line="420" w:lineRule="exact"/>
              <w:jc w:val="center"/>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评审因素</w:t>
            </w:r>
          </w:p>
        </w:tc>
        <w:tc>
          <w:tcPr>
            <w:tcW w:w="6397" w:type="dxa"/>
            <w:noWrap w:val="0"/>
            <w:vAlign w:val="center"/>
          </w:tcPr>
          <w:p w14:paraId="30BBCF76">
            <w:pPr>
              <w:autoSpaceDE w:val="0"/>
              <w:autoSpaceDN w:val="0"/>
              <w:adjustRightInd w:val="0"/>
              <w:spacing w:line="420" w:lineRule="exact"/>
              <w:jc w:val="center"/>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评审标准</w:t>
            </w:r>
          </w:p>
        </w:tc>
      </w:tr>
      <w:tr w14:paraId="00856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63" w:type="dxa"/>
            <w:vMerge w:val="restart"/>
            <w:noWrap w:val="0"/>
            <w:vAlign w:val="center"/>
          </w:tcPr>
          <w:p w14:paraId="225475CF">
            <w:pPr>
              <w:autoSpaceDE w:val="0"/>
              <w:autoSpaceDN w:val="0"/>
              <w:adjustRightInd w:val="0"/>
              <w:spacing w:line="420" w:lineRule="exact"/>
              <w:jc w:val="center"/>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b/>
                <w:bCs/>
                <w:color w:val="auto"/>
                <w:kern w:val="0"/>
                <w:szCs w:val="21"/>
                <w:highlight w:val="none"/>
                <w:lang w:eastAsia="zh-CN"/>
              </w:rPr>
              <w:t>初步评审</w:t>
            </w:r>
          </w:p>
        </w:tc>
        <w:tc>
          <w:tcPr>
            <w:tcW w:w="832" w:type="dxa"/>
            <w:vMerge w:val="restart"/>
            <w:noWrap w:val="0"/>
            <w:vAlign w:val="center"/>
          </w:tcPr>
          <w:p w14:paraId="60234E01">
            <w:pPr>
              <w:autoSpaceDE w:val="0"/>
              <w:autoSpaceDN w:val="0"/>
              <w:adjustRightInd w:val="0"/>
              <w:spacing w:line="420" w:lineRule="exact"/>
              <w:jc w:val="center"/>
              <w:rPr>
                <w:rFonts w:hint="eastAsia" w:asciiTheme="minorEastAsia" w:hAnsiTheme="minorEastAsia" w:eastAsiaTheme="minorEastAsia" w:cstheme="minorEastAsia"/>
                <w:b/>
                <w:bCs/>
                <w:color w:val="auto"/>
                <w:kern w:val="0"/>
                <w:szCs w:val="21"/>
                <w:highlight w:val="none"/>
                <w:lang w:eastAsia="zh-CN"/>
              </w:rPr>
            </w:pPr>
            <w:r>
              <w:rPr>
                <w:rFonts w:hint="eastAsia" w:asciiTheme="minorEastAsia" w:hAnsiTheme="minorEastAsia" w:eastAsiaTheme="minorEastAsia" w:cstheme="minorEastAsia"/>
                <w:b/>
                <w:bCs/>
                <w:color w:val="auto"/>
                <w:kern w:val="0"/>
                <w:szCs w:val="21"/>
                <w:highlight w:val="none"/>
                <w:lang w:eastAsia="zh-CN"/>
              </w:rPr>
              <w:t>资格性审查</w:t>
            </w:r>
          </w:p>
        </w:tc>
        <w:tc>
          <w:tcPr>
            <w:tcW w:w="2446" w:type="dxa"/>
            <w:gridSpan w:val="2"/>
            <w:noWrap w:val="0"/>
            <w:vAlign w:val="center"/>
          </w:tcPr>
          <w:p w14:paraId="05A0B3C1">
            <w:pPr>
              <w:spacing w:line="440" w:lineRule="exact"/>
              <w:jc w:val="center"/>
              <w:rPr>
                <w:rFonts w:hint="default"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企业营业执照</w:t>
            </w:r>
          </w:p>
        </w:tc>
        <w:tc>
          <w:tcPr>
            <w:tcW w:w="6397" w:type="dxa"/>
            <w:noWrap w:val="0"/>
            <w:vAlign w:val="center"/>
          </w:tcPr>
          <w:p w14:paraId="0683B9E1">
            <w:pPr>
              <w:spacing w:line="440" w:lineRule="exac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szCs w:val="21"/>
                <w:highlight w:val="none"/>
                <w:lang w:val="en-US" w:eastAsia="zh-CN"/>
              </w:rPr>
              <w:t>有效的法人营业执照副本扫描件</w:t>
            </w:r>
            <w:r>
              <w:rPr>
                <w:rFonts w:hint="eastAsia" w:asciiTheme="minorEastAsia" w:hAnsiTheme="minorEastAsia" w:eastAsiaTheme="minorEastAsia" w:cstheme="minorEastAsia"/>
                <w:color w:val="auto"/>
                <w:szCs w:val="21"/>
                <w:highlight w:val="none"/>
                <w:lang w:eastAsia="zh-CN"/>
              </w:rPr>
              <w:t>。</w:t>
            </w:r>
          </w:p>
        </w:tc>
      </w:tr>
      <w:tr w14:paraId="63FA2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763" w:type="dxa"/>
            <w:vMerge w:val="continue"/>
            <w:noWrap w:val="0"/>
            <w:vAlign w:val="center"/>
          </w:tcPr>
          <w:p w14:paraId="71438754">
            <w:pPr>
              <w:autoSpaceDE w:val="0"/>
              <w:autoSpaceDN w:val="0"/>
              <w:adjustRightInd w:val="0"/>
              <w:spacing w:line="420" w:lineRule="exact"/>
              <w:jc w:val="center"/>
              <w:rPr>
                <w:rFonts w:hint="eastAsia" w:asciiTheme="minorEastAsia" w:hAnsiTheme="minorEastAsia" w:eastAsiaTheme="minorEastAsia" w:cstheme="minorEastAsia"/>
                <w:b/>
                <w:bCs/>
                <w:color w:val="auto"/>
                <w:kern w:val="0"/>
                <w:szCs w:val="21"/>
                <w:highlight w:val="none"/>
                <w:lang w:eastAsia="zh-CN"/>
              </w:rPr>
            </w:pPr>
          </w:p>
        </w:tc>
        <w:tc>
          <w:tcPr>
            <w:tcW w:w="832" w:type="dxa"/>
            <w:vMerge w:val="continue"/>
            <w:noWrap w:val="0"/>
            <w:vAlign w:val="center"/>
          </w:tcPr>
          <w:p w14:paraId="4D111A0E">
            <w:pPr>
              <w:autoSpaceDE w:val="0"/>
              <w:autoSpaceDN w:val="0"/>
              <w:adjustRightInd w:val="0"/>
              <w:spacing w:line="420" w:lineRule="exact"/>
              <w:jc w:val="center"/>
              <w:rPr>
                <w:rFonts w:hint="eastAsia" w:asciiTheme="minorEastAsia" w:hAnsiTheme="minorEastAsia" w:eastAsiaTheme="minorEastAsia" w:cstheme="minorEastAsia"/>
                <w:b/>
                <w:bCs/>
                <w:color w:val="auto"/>
                <w:kern w:val="0"/>
                <w:szCs w:val="21"/>
                <w:highlight w:val="none"/>
                <w:lang w:eastAsia="zh-CN"/>
              </w:rPr>
            </w:pPr>
          </w:p>
        </w:tc>
        <w:tc>
          <w:tcPr>
            <w:tcW w:w="2446" w:type="dxa"/>
            <w:gridSpan w:val="2"/>
            <w:noWrap w:val="0"/>
            <w:vAlign w:val="center"/>
          </w:tcPr>
          <w:p w14:paraId="6C56D8E6">
            <w:pPr>
              <w:spacing w:line="44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政府采购供应商信用承诺函</w:t>
            </w:r>
          </w:p>
        </w:tc>
        <w:tc>
          <w:tcPr>
            <w:tcW w:w="6397" w:type="dxa"/>
            <w:noWrap w:val="0"/>
            <w:vAlign w:val="center"/>
          </w:tcPr>
          <w:p w14:paraId="03B4C377">
            <w:pPr>
              <w:spacing w:line="44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政府采购供应商信用承诺函</w:t>
            </w:r>
            <w:r>
              <w:rPr>
                <w:rFonts w:hint="eastAsia" w:asciiTheme="minorEastAsia" w:hAnsiTheme="minorEastAsia" w:eastAsiaTheme="minorEastAsia" w:cstheme="minorEastAsia"/>
                <w:color w:val="auto"/>
                <w:szCs w:val="21"/>
                <w:highlight w:val="none"/>
                <w:lang w:eastAsia="zh-CN"/>
              </w:rPr>
              <w:t>。</w:t>
            </w:r>
          </w:p>
        </w:tc>
      </w:tr>
      <w:tr w14:paraId="6B764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763" w:type="dxa"/>
            <w:vMerge w:val="continue"/>
            <w:noWrap w:val="0"/>
            <w:vAlign w:val="center"/>
          </w:tcPr>
          <w:p w14:paraId="68AAAE84">
            <w:pPr>
              <w:autoSpaceDE w:val="0"/>
              <w:autoSpaceDN w:val="0"/>
              <w:adjustRightInd w:val="0"/>
              <w:spacing w:line="420" w:lineRule="exact"/>
              <w:jc w:val="center"/>
              <w:rPr>
                <w:rFonts w:hint="eastAsia" w:asciiTheme="minorEastAsia" w:hAnsiTheme="minorEastAsia" w:eastAsiaTheme="minorEastAsia" w:cstheme="minorEastAsia"/>
                <w:color w:val="auto"/>
                <w:kern w:val="0"/>
                <w:szCs w:val="21"/>
                <w:highlight w:val="none"/>
              </w:rPr>
            </w:pPr>
          </w:p>
        </w:tc>
        <w:tc>
          <w:tcPr>
            <w:tcW w:w="832" w:type="dxa"/>
            <w:vMerge w:val="continue"/>
            <w:noWrap w:val="0"/>
            <w:vAlign w:val="center"/>
          </w:tcPr>
          <w:p w14:paraId="7279D36C">
            <w:pPr>
              <w:autoSpaceDE w:val="0"/>
              <w:autoSpaceDN w:val="0"/>
              <w:adjustRightInd w:val="0"/>
              <w:spacing w:line="420" w:lineRule="exact"/>
              <w:jc w:val="center"/>
              <w:rPr>
                <w:rFonts w:hint="eastAsia" w:asciiTheme="minorEastAsia" w:hAnsiTheme="minorEastAsia" w:eastAsiaTheme="minorEastAsia" w:cstheme="minorEastAsia"/>
                <w:color w:val="auto"/>
                <w:kern w:val="0"/>
                <w:szCs w:val="21"/>
                <w:highlight w:val="none"/>
              </w:rPr>
            </w:pPr>
          </w:p>
        </w:tc>
        <w:tc>
          <w:tcPr>
            <w:tcW w:w="2446" w:type="dxa"/>
            <w:gridSpan w:val="2"/>
            <w:noWrap w:val="0"/>
            <w:vAlign w:val="center"/>
          </w:tcPr>
          <w:p w14:paraId="1C163587">
            <w:pPr>
              <w:spacing w:line="440" w:lineRule="exact"/>
              <w:jc w:val="center"/>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szCs w:val="21"/>
                <w:highlight w:val="none"/>
              </w:rPr>
              <w:t>资质</w:t>
            </w:r>
            <w:r>
              <w:rPr>
                <w:rFonts w:hint="eastAsia" w:asciiTheme="minorEastAsia" w:hAnsiTheme="minorEastAsia" w:eastAsiaTheme="minorEastAsia" w:cstheme="minorEastAsia"/>
                <w:color w:val="auto"/>
                <w:szCs w:val="21"/>
                <w:highlight w:val="none"/>
                <w:lang w:val="en-US" w:eastAsia="zh-CN"/>
              </w:rPr>
              <w:t>证书，</w:t>
            </w:r>
            <w:r>
              <w:rPr>
                <w:rFonts w:hint="eastAsia" w:asciiTheme="minorEastAsia" w:hAnsiTheme="minorEastAsia" w:eastAsiaTheme="minorEastAsia" w:cstheme="minorEastAsia"/>
                <w:color w:val="auto"/>
                <w:szCs w:val="21"/>
                <w:highlight w:val="none"/>
              </w:rPr>
              <w:t>项目经理</w:t>
            </w:r>
          </w:p>
        </w:tc>
        <w:tc>
          <w:tcPr>
            <w:tcW w:w="6397" w:type="dxa"/>
            <w:noWrap w:val="0"/>
            <w:vAlign w:val="center"/>
          </w:tcPr>
          <w:p w14:paraId="7039FF0D">
            <w:pPr>
              <w:spacing w:line="440" w:lineRule="exact"/>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szCs w:val="21"/>
                <w:highlight w:val="none"/>
              </w:rPr>
              <w:t>具有</w:t>
            </w:r>
            <w:r>
              <w:rPr>
                <w:rFonts w:hint="eastAsia" w:asciiTheme="minorEastAsia" w:hAnsiTheme="minorEastAsia" w:eastAsiaTheme="minorEastAsia" w:cstheme="minorEastAsia"/>
                <w:color w:val="auto"/>
                <w:szCs w:val="21"/>
                <w:highlight w:val="none"/>
                <w:lang w:val="en-US" w:eastAsia="zh-CN"/>
              </w:rPr>
              <w:t>公路</w:t>
            </w:r>
            <w:r>
              <w:rPr>
                <w:rFonts w:hint="eastAsia" w:asciiTheme="minorEastAsia" w:hAnsiTheme="minorEastAsia" w:eastAsiaTheme="minorEastAsia" w:cstheme="minorEastAsia"/>
                <w:color w:val="auto"/>
                <w:szCs w:val="21"/>
                <w:highlight w:val="none"/>
              </w:rPr>
              <w:t>工程施工总承包叁级（含）及以上资质</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具备公路工程类专业注册建造师二级以上（含二级）执业资格和具备有效的《安全生产考核合格证书（B类）》【提供项目经理注册建造师执业资格证书和安全生产考核合格证书（B类）的扫描件】。</w:t>
            </w:r>
          </w:p>
        </w:tc>
      </w:tr>
      <w:tr w14:paraId="77C05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763" w:type="dxa"/>
            <w:vMerge w:val="continue"/>
            <w:noWrap w:val="0"/>
            <w:vAlign w:val="center"/>
          </w:tcPr>
          <w:p w14:paraId="60D647BD">
            <w:pPr>
              <w:autoSpaceDE w:val="0"/>
              <w:autoSpaceDN w:val="0"/>
              <w:adjustRightInd w:val="0"/>
              <w:spacing w:line="420" w:lineRule="exact"/>
              <w:jc w:val="center"/>
              <w:rPr>
                <w:rFonts w:hint="eastAsia" w:asciiTheme="minorEastAsia" w:hAnsiTheme="minorEastAsia" w:eastAsiaTheme="minorEastAsia" w:cstheme="minorEastAsia"/>
                <w:color w:val="auto"/>
                <w:kern w:val="0"/>
                <w:szCs w:val="21"/>
                <w:highlight w:val="none"/>
              </w:rPr>
            </w:pPr>
          </w:p>
        </w:tc>
        <w:tc>
          <w:tcPr>
            <w:tcW w:w="832" w:type="dxa"/>
            <w:vMerge w:val="continue"/>
            <w:noWrap w:val="0"/>
            <w:vAlign w:val="center"/>
          </w:tcPr>
          <w:p w14:paraId="1E2C9024">
            <w:pPr>
              <w:autoSpaceDE w:val="0"/>
              <w:autoSpaceDN w:val="0"/>
              <w:adjustRightInd w:val="0"/>
              <w:spacing w:line="420" w:lineRule="exact"/>
              <w:jc w:val="center"/>
              <w:rPr>
                <w:rFonts w:hint="eastAsia" w:asciiTheme="minorEastAsia" w:hAnsiTheme="minorEastAsia" w:eastAsiaTheme="minorEastAsia" w:cstheme="minorEastAsia"/>
                <w:color w:val="auto"/>
                <w:kern w:val="0"/>
                <w:szCs w:val="21"/>
                <w:highlight w:val="none"/>
              </w:rPr>
            </w:pPr>
          </w:p>
        </w:tc>
        <w:tc>
          <w:tcPr>
            <w:tcW w:w="2446" w:type="dxa"/>
            <w:gridSpan w:val="2"/>
            <w:noWrap w:val="0"/>
            <w:vAlign w:val="center"/>
          </w:tcPr>
          <w:p w14:paraId="4A864D62">
            <w:pPr>
              <w:spacing w:line="44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安全生产许可证</w:t>
            </w:r>
          </w:p>
        </w:tc>
        <w:tc>
          <w:tcPr>
            <w:tcW w:w="6397" w:type="dxa"/>
            <w:noWrap w:val="0"/>
            <w:vAlign w:val="center"/>
          </w:tcPr>
          <w:p w14:paraId="0BB73026">
            <w:pPr>
              <w:spacing w:line="440" w:lineRule="exac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szCs w:val="21"/>
                <w:highlight w:val="none"/>
              </w:rPr>
              <w:t>具备有效的</w:t>
            </w:r>
            <w:r>
              <w:rPr>
                <w:rFonts w:hint="eastAsia" w:asciiTheme="minorEastAsia" w:hAnsiTheme="minorEastAsia" w:eastAsiaTheme="minorEastAsia" w:cstheme="minorEastAsia"/>
                <w:color w:val="auto"/>
                <w:szCs w:val="21"/>
                <w:highlight w:val="none"/>
                <w:lang w:val="en-US" w:eastAsia="zh-CN"/>
              </w:rPr>
              <w:t>企业</w:t>
            </w:r>
            <w:r>
              <w:rPr>
                <w:rFonts w:hint="eastAsia" w:asciiTheme="minorEastAsia" w:hAnsiTheme="minorEastAsia" w:eastAsiaTheme="minorEastAsia" w:cstheme="minorEastAsia"/>
                <w:color w:val="auto"/>
                <w:szCs w:val="21"/>
                <w:highlight w:val="none"/>
              </w:rPr>
              <w:t>安全生产许可证。</w:t>
            </w:r>
          </w:p>
        </w:tc>
      </w:tr>
      <w:tr w14:paraId="5F02D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0"/>
            <w:vAlign w:val="center"/>
          </w:tcPr>
          <w:p w14:paraId="4F103E08">
            <w:pPr>
              <w:autoSpaceDE w:val="0"/>
              <w:autoSpaceDN w:val="0"/>
              <w:adjustRightInd w:val="0"/>
              <w:spacing w:line="420" w:lineRule="exact"/>
              <w:jc w:val="center"/>
              <w:rPr>
                <w:rFonts w:hint="eastAsia" w:asciiTheme="minorEastAsia" w:hAnsiTheme="minorEastAsia" w:eastAsiaTheme="minorEastAsia" w:cstheme="minorEastAsia"/>
                <w:color w:val="auto"/>
                <w:kern w:val="0"/>
                <w:szCs w:val="21"/>
                <w:highlight w:val="none"/>
              </w:rPr>
            </w:pPr>
          </w:p>
        </w:tc>
        <w:tc>
          <w:tcPr>
            <w:tcW w:w="832" w:type="dxa"/>
            <w:vMerge w:val="continue"/>
            <w:noWrap w:val="0"/>
            <w:vAlign w:val="center"/>
          </w:tcPr>
          <w:p w14:paraId="3F61F187">
            <w:pPr>
              <w:autoSpaceDE w:val="0"/>
              <w:autoSpaceDN w:val="0"/>
              <w:adjustRightInd w:val="0"/>
              <w:spacing w:line="420" w:lineRule="exact"/>
              <w:jc w:val="center"/>
              <w:rPr>
                <w:rFonts w:hint="eastAsia" w:asciiTheme="minorEastAsia" w:hAnsiTheme="minorEastAsia" w:eastAsiaTheme="minorEastAsia" w:cstheme="minorEastAsia"/>
                <w:color w:val="auto"/>
                <w:kern w:val="0"/>
                <w:szCs w:val="21"/>
                <w:highlight w:val="none"/>
              </w:rPr>
            </w:pPr>
          </w:p>
        </w:tc>
        <w:tc>
          <w:tcPr>
            <w:tcW w:w="2446" w:type="dxa"/>
            <w:gridSpan w:val="2"/>
            <w:noWrap w:val="0"/>
            <w:vAlign w:val="center"/>
          </w:tcPr>
          <w:p w14:paraId="5FB13862">
            <w:pPr>
              <w:spacing w:line="44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法定代表人身份证明书及授权委托书</w:t>
            </w:r>
          </w:p>
        </w:tc>
        <w:tc>
          <w:tcPr>
            <w:tcW w:w="6397" w:type="dxa"/>
            <w:noWrap w:val="0"/>
            <w:vAlign w:val="center"/>
          </w:tcPr>
          <w:p w14:paraId="3B65AAEE">
            <w:pPr>
              <w:spacing w:line="440" w:lineRule="exact"/>
              <w:jc w:val="left"/>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法定代表人身份证明书及授权委托书（委托代理时必须提供，同时加盖单位电子公章）</w:t>
            </w:r>
          </w:p>
        </w:tc>
      </w:tr>
      <w:tr w14:paraId="162F9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763" w:type="dxa"/>
            <w:vMerge w:val="continue"/>
            <w:noWrap w:val="0"/>
            <w:vAlign w:val="center"/>
          </w:tcPr>
          <w:p w14:paraId="420D8D9E">
            <w:pPr>
              <w:autoSpaceDE w:val="0"/>
              <w:autoSpaceDN w:val="0"/>
              <w:adjustRightInd w:val="0"/>
              <w:spacing w:line="420" w:lineRule="exact"/>
              <w:jc w:val="center"/>
              <w:rPr>
                <w:rFonts w:hint="eastAsia" w:asciiTheme="minorEastAsia" w:hAnsiTheme="minorEastAsia" w:eastAsiaTheme="minorEastAsia" w:cstheme="minorEastAsia"/>
                <w:color w:val="auto"/>
                <w:kern w:val="0"/>
                <w:szCs w:val="21"/>
                <w:highlight w:val="none"/>
              </w:rPr>
            </w:pPr>
          </w:p>
        </w:tc>
        <w:tc>
          <w:tcPr>
            <w:tcW w:w="832" w:type="dxa"/>
            <w:vMerge w:val="continue"/>
            <w:noWrap w:val="0"/>
            <w:vAlign w:val="center"/>
          </w:tcPr>
          <w:p w14:paraId="2E601F1F">
            <w:pPr>
              <w:autoSpaceDE w:val="0"/>
              <w:autoSpaceDN w:val="0"/>
              <w:adjustRightInd w:val="0"/>
              <w:spacing w:line="420" w:lineRule="exact"/>
              <w:jc w:val="center"/>
              <w:rPr>
                <w:rFonts w:hint="eastAsia" w:asciiTheme="minorEastAsia" w:hAnsiTheme="minorEastAsia" w:eastAsiaTheme="minorEastAsia" w:cstheme="minorEastAsia"/>
                <w:color w:val="auto"/>
                <w:kern w:val="0"/>
                <w:szCs w:val="21"/>
                <w:highlight w:val="none"/>
              </w:rPr>
            </w:pPr>
          </w:p>
        </w:tc>
        <w:tc>
          <w:tcPr>
            <w:tcW w:w="2446" w:type="dxa"/>
            <w:gridSpan w:val="2"/>
            <w:noWrap w:val="0"/>
            <w:vAlign w:val="center"/>
          </w:tcPr>
          <w:p w14:paraId="6C42585B">
            <w:pPr>
              <w:spacing w:line="440" w:lineRule="exact"/>
              <w:jc w:val="center"/>
              <w:rPr>
                <w:rFonts w:hint="default"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中小企业声明函</w:t>
            </w:r>
          </w:p>
        </w:tc>
        <w:tc>
          <w:tcPr>
            <w:tcW w:w="6397" w:type="dxa"/>
            <w:noWrap w:val="0"/>
            <w:vAlign w:val="center"/>
          </w:tcPr>
          <w:p w14:paraId="328AB651">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eastAsia="zh-CN"/>
              </w:rPr>
              <w:t>本项目属于专门面向中小企业采购的项目，</w:t>
            </w:r>
            <w:r>
              <w:rPr>
                <w:rFonts w:hint="eastAsia" w:asciiTheme="minorEastAsia" w:hAnsiTheme="minorEastAsia" w:eastAsiaTheme="minorEastAsia" w:cstheme="minorEastAsia"/>
                <w:color w:val="auto"/>
                <w:kern w:val="0"/>
                <w:szCs w:val="21"/>
                <w:highlight w:val="none"/>
                <w:lang w:val="en-US" w:eastAsia="zh-CN"/>
              </w:rPr>
              <w:t>中小企业声明函（或监狱企业的证明文件或残疾人福利性单位声明函）必须提供。</w:t>
            </w:r>
          </w:p>
        </w:tc>
      </w:tr>
      <w:tr w14:paraId="05ED0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763" w:type="dxa"/>
            <w:vMerge w:val="continue"/>
            <w:noWrap w:val="0"/>
            <w:vAlign w:val="center"/>
          </w:tcPr>
          <w:p w14:paraId="2F639621">
            <w:pPr>
              <w:autoSpaceDE w:val="0"/>
              <w:autoSpaceDN w:val="0"/>
              <w:adjustRightInd w:val="0"/>
              <w:spacing w:line="420" w:lineRule="exact"/>
              <w:rPr>
                <w:rFonts w:hint="eastAsia" w:asciiTheme="minorEastAsia" w:hAnsiTheme="minorEastAsia" w:eastAsiaTheme="minorEastAsia" w:cstheme="minorEastAsia"/>
                <w:color w:val="auto"/>
                <w:kern w:val="0"/>
                <w:szCs w:val="21"/>
                <w:highlight w:val="none"/>
              </w:rPr>
            </w:pPr>
          </w:p>
        </w:tc>
        <w:tc>
          <w:tcPr>
            <w:tcW w:w="9675" w:type="dxa"/>
            <w:gridSpan w:val="4"/>
            <w:noWrap w:val="0"/>
            <w:vAlign w:val="center"/>
          </w:tcPr>
          <w:p w14:paraId="45C381A5">
            <w:pPr>
              <w:autoSpaceDE w:val="0"/>
              <w:autoSpaceDN w:val="0"/>
              <w:adjustRightInd w:val="0"/>
              <w:spacing w:line="420" w:lineRule="exact"/>
              <w:rPr>
                <w:rFonts w:hint="eastAsia" w:asciiTheme="minorEastAsia" w:hAnsiTheme="minorEastAsia" w:eastAsiaTheme="minorEastAsia" w:cstheme="minorEastAsia"/>
                <w:b/>
                <w:color w:val="auto"/>
                <w:szCs w:val="21"/>
                <w:highlight w:val="none"/>
                <w:lang w:eastAsia="zh-CN"/>
              </w:rPr>
            </w:pPr>
            <w:r>
              <w:rPr>
                <w:rFonts w:hint="eastAsia" w:asciiTheme="minorEastAsia" w:hAnsiTheme="minorEastAsia" w:eastAsiaTheme="minorEastAsia" w:cstheme="minorEastAsia"/>
                <w:b/>
                <w:color w:val="auto"/>
                <w:szCs w:val="21"/>
                <w:highlight w:val="none"/>
                <w:lang w:eastAsia="zh-CN"/>
              </w:rPr>
              <w:t>资格性审查</w:t>
            </w:r>
            <w:r>
              <w:rPr>
                <w:rFonts w:hint="eastAsia" w:asciiTheme="minorEastAsia" w:hAnsiTheme="minorEastAsia" w:eastAsiaTheme="minorEastAsia" w:cstheme="minorEastAsia"/>
                <w:b/>
                <w:color w:val="auto"/>
                <w:szCs w:val="21"/>
                <w:highlight w:val="none"/>
              </w:rPr>
              <w:t>项中缺少任何一项或有任何一项不合格者其</w:t>
            </w:r>
            <w:r>
              <w:rPr>
                <w:rFonts w:hint="eastAsia" w:asciiTheme="minorEastAsia" w:hAnsiTheme="minorEastAsia" w:eastAsiaTheme="minorEastAsia" w:cstheme="minorEastAsia"/>
                <w:b/>
                <w:color w:val="auto"/>
                <w:szCs w:val="21"/>
                <w:highlight w:val="none"/>
                <w:lang w:val="en-US" w:eastAsia="zh-CN"/>
              </w:rPr>
              <w:t>资格</w:t>
            </w:r>
            <w:r>
              <w:rPr>
                <w:rFonts w:hint="eastAsia" w:asciiTheme="minorEastAsia" w:hAnsiTheme="minorEastAsia" w:eastAsiaTheme="minorEastAsia" w:cstheme="minorEastAsia"/>
                <w:b/>
                <w:color w:val="auto"/>
                <w:szCs w:val="21"/>
                <w:highlight w:val="none"/>
              </w:rPr>
              <w:t>审查视为不合格，</w:t>
            </w:r>
            <w:r>
              <w:rPr>
                <w:rFonts w:hint="eastAsia" w:asciiTheme="minorEastAsia" w:hAnsiTheme="minorEastAsia" w:eastAsiaTheme="minorEastAsia" w:cstheme="minorEastAsia"/>
                <w:b/>
                <w:color w:val="auto"/>
                <w:szCs w:val="21"/>
                <w:highlight w:val="none"/>
                <w:lang w:val="en-US" w:eastAsia="zh-CN"/>
              </w:rPr>
              <w:t>资格</w:t>
            </w:r>
            <w:r>
              <w:rPr>
                <w:rFonts w:hint="eastAsia" w:asciiTheme="minorEastAsia" w:hAnsiTheme="minorEastAsia" w:eastAsiaTheme="minorEastAsia" w:cstheme="minorEastAsia"/>
                <w:b/>
                <w:color w:val="auto"/>
                <w:szCs w:val="21"/>
                <w:highlight w:val="none"/>
              </w:rPr>
              <w:t>评审不合格的磋商人不</w:t>
            </w:r>
            <w:r>
              <w:rPr>
                <w:rFonts w:hint="eastAsia" w:asciiTheme="minorEastAsia" w:hAnsiTheme="minorEastAsia" w:eastAsiaTheme="minorEastAsia" w:cstheme="minorEastAsia"/>
                <w:b/>
                <w:color w:val="auto"/>
                <w:szCs w:val="21"/>
                <w:highlight w:val="none"/>
                <w:lang w:val="en-US" w:eastAsia="zh-CN"/>
              </w:rPr>
              <w:t>得</w:t>
            </w:r>
            <w:r>
              <w:rPr>
                <w:rFonts w:hint="eastAsia" w:asciiTheme="minorEastAsia" w:hAnsiTheme="minorEastAsia" w:eastAsiaTheme="minorEastAsia" w:cstheme="minorEastAsia"/>
                <w:b/>
                <w:color w:val="auto"/>
                <w:szCs w:val="21"/>
                <w:highlight w:val="none"/>
              </w:rPr>
              <w:t>进入</w:t>
            </w:r>
            <w:r>
              <w:rPr>
                <w:rFonts w:hint="eastAsia" w:asciiTheme="minorEastAsia" w:hAnsiTheme="minorEastAsia" w:eastAsiaTheme="minorEastAsia" w:cstheme="minorEastAsia"/>
                <w:b/>
                <w:color w:val="auto"/>
                <w:szCs w:val="21"/>
                <w:highlight w:val="none"/>
                <w:lang w:val="en-US" w:eastAsia="zh-CN"/>
              </w:rPr>
              <w:t>符合性评审</w:t>
            </w:r>
            <w:r>
              <w:rPr>
                <w:rFonts w:hint="eastAsia" w:asciiTheme="minorEastAsia" w:hAnsiTheme="minorEastAsia" w:eastAsiaTheme="minorEastAsia" w:cstheme="minorEastAsia"/>
                <w:b/>
                <w:color w:val="auto"/>
                <w:szCs w:val="21"/>
                <w:highlight w:val="none"/>
              </w:rPr>
              <w:t>。</w:t>
            </w:r>
          </w:p>
        </w:tc>
      </w:tr>
      <w:tr w14:paraId="24A3B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0"/>
            <w:vAlign w:val="center"/>
          </w:tcPr>
          <w:p w14:paraId="170CDE6B">
            <w:pPr>
              <w:autoSpaceDE w:val="0"/>
              <w:autoSpaceDN w:val="0"/>
              <w:adjustRightInd w:val="0"/>
              <w:spacing w:line="420" w:lineRule="exact"/>
              <w:jc w:val="center"/>
              <w:rPr>
                <w:rFonts w:hint="eastAsia" w:asciiTheme="minorEastAsia" w:hAnsiTheme="minorEastAsia" w:eastAsiaTheme="minorEastAsia" w:cstheme="minorEastAsia"/>
                <w:color w:val="auto"/>
                <w:kern w:val="0"/>
                <w:szCs w:val="21"/>
                <w:highlight w:val="none"/>
                <w:lang w:eastAsia="zh-CN"/>
              </w:rPr>
            </w:pPr>
          </w:p>
        </w:tc>
        <w:tc>
          <w:tcPr>
            <w:tcW w:w="832" w:type="dxa"/>
            <w:vMerge w:val="restart"/>
            <w:noWrap w:val="0"/>
            <w:vAlign w:val="center"/>
          </w:tcPr>
          <w:p w14:paraId="72F34B3E">
            <w:pPr>
              <w:autoSpaceDE w:val="0"/>
              <w:autoSpaceDN w:val="0"/>
              <w:adjustRightInd w:val="0"/>
              <w:spacing w:line="420" w:lineRule="exact"/>
              <w:jc w:val="center"/>
              <w:rPr>
                <w:rFonts w:hint="eastAsia" w:asciiTheme="minorEastAsia" w:hAnsiTheme="minorEastAsia" w:eastAsiaTheme="minorEastAsia" w:cstheme="minorEastAsia"/>
                <w:b/>
                <w:bCs/>
                <w:color w:val="auto"/>
                <w:kern w:val="0"/>
                <w:szCs w:val="21"/>
                <w:highlight w:val="none"/>
                <w:lang w:eastAsia="zh-CN"/>
              </w:rPr>
            </w:pPr>
            <w:r>
              <w:rPr>
                <w:rFonts w:hint="eastAsia" w:asciiTheme="minorEastAsia" w:hAnsiTheme="minorEastAsia" w:eastAsiaTheme="minorEastAsia" w:cstheme="minorEastAsia"/>
                <w:b/>
                <w:bCs/>
                <w:color w:val="auto"/>
                <w:kern w:val="0"/>
                <w:szCs w:val="21"/>
                <w:highlight w:val="none"/>
                <w:lang w:eastAsia="zh-CN"/>
              </w:rPr>
              <w:t>符合性审查</w:t>
            </w:r>
          </w:p>
        </w:tc>
        <w:tc>
          <w:tcPr>
            <w:tcW w:w="2446" w:type="dxa"/>
            <w:gridSpan w:val="2"/>
            <w:noWrap w:val="0"/>
            <w:vAlign w:val="center"/>
          </w:tcPr>
          <w:p w14:paraId="4CC7E78D">
            <w:pPr>
              <w:autoSpaceDE w:val="0"/>
              <w:autoSpaceDN w:val="0"/>
              <w:adjustRightInd w:val="0"/>
              <w:spacing w:line="420" w:lineRule="exact"/>
              <w:jc w:val="center"/>
              <w:rPr>
                <w:rFonts w:hint="eastAsia"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磋商报价</w:t>
            </w:r>
          </w:p>
        </w:tc>
        <w:tc>
          <w:tcPr>
            <w:tcW w:w="6397" w:type="dxa"/>
            <w:noWrap w:val="0"/>
            <w:vAlign w:val="center"/>
          </w:tcPr>
          <w:p w14:paraId="4208EEF0">
            <w:pPr>
              <w:numPr>
                <w:ilvl w:val="0"/>
                <w:numId w:val="0"/>
              </w:numPr>
              <w:autoSpaceDE w:val="0"/>
              <w:autoSpaceDN w:val="0"/>
              <w:adjustRightInd w:val="0"/>
              <w:spacing w:line="420" w:lineRule="exac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符合第二章</w:t>
            </w:r>
            <w:r>
              <w:rPr>
                <w:rFonts w:hint="eastAsia" w:asciiTheme="minorEastAsia" w:hAnsiTheme="minorEastAsia" w:eastAsiaTheme="minorEastAsia" w:cstheme="minorEastAsia"/>
                <w:color w:val="auto"/>
                <w:kern w:val="0"/>
                <w:szCs w:val="21"/>
                <w:highlight w:val="none"/>
                <w:lang w:val="en-US" w:eastAsia="zh-CN"/>
              </w:rPr>
              <w:t>“</w:t>
            </w:r>
            <w:r>
              <w:rPr>
                <w:rFonts w:hint="eastAsia" w:asciiTheme="minorEastAsia" w:hAnsiTheme="minorEastAsia" w:eastAsiaTheme="minorEastAsia" w:cstheme="minorEastAsia"/>
                <w:color w:val="auto"/>
                <w:kern w:val="0"/>
                <w:szCs w:val="21"/>
                <w:highlight w:val="none"/>
                <w:lang w:eastAsia="zh-CN"/>
              </w:rPr>
              <w:t>磋商供应商</w:t>
            </w:r>
            <w:r>
              <w:rPr>
                <w:rFonts w:hint="eastAsia" w:asciiTheme="minorEastAsia" w:hAnsiTheme="minorEastAsia" w:eastAsiaTheme="minorEastAsia" w:cstheme="minorEastAsia"/>
                <w:color w:val="auto"/>
                <w:kern w:val="0"/>
                <w:szCs w:val="21"/>
                <w:highlight w:val="none"/>
              </w:rPr>
              <w:t>须知</w:t>
            </w:r>
            <w:r>
              <w:rPr>
                <w:rFonts w:hint="eastAsia" w:asciiTheme="minorEastAsia" w:hAnsiTheme="minorEastAsia" w:eastAsiaTheme="minorEastAsia" w:cstheme="minorEastAsia"/>
                <w:color w:val="auto"/>
                <w:kern w:val="0"/>
                <w:szCs w:val="21"/>
                <w:highlight w:val="none"/>
                <w:lang w:val="en-US" w:eastAsia="zh-CN"/>
              </w:rPr>
              <w:t>正文”</w:t>
            </w:r>
            <w:r>
              <w:rPr>
                <w:rFonts w:hint="eastAsia" w:asciiTheme="minorEastAsia" w:hAnsiTheme="minorEastAsia" w:eastAsiaTheme="minorEastAsia" w:cstheme="minorEastAsia"/>
                <w:color w:val="auto"/>
                <w:szCs w:val="21"/>
                <w:highlight w:val="none"/>
                <w:lang w:val="en-US" w:eastAsia="zh-CN"/>
              </w:rPr>
              <w:t>第6项</w:t>
            </w:r>
            <w:r>
              <w:rPr>
                <w:rFonts w:hint="eastAsia" w:asciiTheme="minorEastAsia" w:hAnsiTheme="minorEastAsia" w:eastAsiaTheme="minorEastAsia" w:cstheme="minorEastAsia"/>
                <w:color w:val="auto"/>
                <w:szCs w:val="21"/>
                <w:highlight w:val="none"/>
              </w:rPr>
              <w:t>规定。</w:t>
            </w:r>
          </w:p>
        </w:tc>
      </w:tr>
      <w:tr w14:paraId="7B098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0"/>
            <w:vAlign w:val="center"/>
          </w:tcPr>
          <w:p w14:paraId="3B068DA4">
            <w:pPr>
              <w:autoSpaceDE w:val="0"/>
              <w:autoSpaceDN w:val="0"/>
              <w:adjustRightInd w:val="0"/>
              <w:spacing w:line="420" w:lineRule="exact"/>
              <w:rPr>
                <w:rFonts w:hint="eastAsia" w:asciiTheme="minorEastAsia" w:hAnsiTheme="minorEastAsia" w:eastAsiaTheme="minorEastAsia" w:cstheme="minorEastAsia"/>
                <w:color w:val="auto"/>
                <w:kern w:val="0"/>
                <w:szCs w:val="21"/>
                <w:highlight w:val="none"/>
              </w:rPr>
            </w:pPr>
          </w:p>
        </w:tc>
        <w:tc>
          <w:tcPr>
            <w:tcW w:w="832" w:type="dxa"/>
            <w:vMerge w:val="continue"/>
            <w:noWrap w:val="0"/>
            <w:vAlign w:val="center"/>
          </w:tcPr>
          <w:p w14:paraId="57E1EBF5">
            <w:pPr>
              <w:autoSpaceDE w:val="0"/>
              <w:autoSpaceDN w:val="0"/>
              <w:adjustRightInd w:val="0"/>
              <w:spacing w:line="420" w:lineRule="exact"/>
              <w:rPr>
                <w:rFonts w:hint="eastAsia" w:asciiTheme="minorEastAsia" w:hAnsiTheme="minorEastAsia" w:eastAsiaTheme="minorEastAsia" w:cstheme="minorEastAsia"/>
                <w:color w:val="auto"/>
                <w:kern w:val="0"/>
                <w:szCs w:val="21"/>
                <w:highlight w:val="none"/>
              </w:rPr>
            </w:pPr>
          </w:p>
        </w:tc>
        <w:tc>
          <w:tcPr>
            <w:tcW w:w="2446" w:type="dxa"/>
            <w:gridSpan w:val="2"/>
            <w:noWrap w:val="0"/>
            <w:vAlign w:val="center"/>
          </w:tcPr>
          <w:p w14:paraId="0441B717">
            <w:pPr>
              <w:autoSpaceDE w:val="0"/>
              <w:autoSpaceDN w:val="0"/>
              <w:adjustRightInd w:val="0"/>
              <w:spacing w:line="42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响应文件签字盖章</w:t>
            </w:r>
          </w:p>
        </w:tc>
        <w:tc>
          <w:tcPr>
            <w:tcW w:w="6397" w:type="dxa"/>
            <w:noWrap w:val="0"/>
            <w:vAlign w:val="center"/>
          </w:tcPr>
          <w:p w14:paraId="43B04770">
            <w:pPr>
              <w:autoSpaceDE w:val="0"/>
              <w:autoSpaceDN w:val="0"/>
              <w:adjustRightInd w:val="0"/>
              <w:spacing w:line="420" w:lineRule="exac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符合第二章</w:t>
            </w:r>
            <w:r>
              <w:rPr>
                <w:rFonts w:hint="eastAsia" w:asciiTheme="minorEastAsia" w:hAnsiTheme="minorEastAsia" w:eastAsiaTheme="minorEastAsia" w:cstheme="minorEastAsia"/>
                <w:color w:val="auto"/>
                <w:kern w:val="0"/>
                <w:szCs w:val="21"/>
                <w:highlight w:val="none"/>
                <w:lang w:val="en-US" w:eastAsia="zh-CN"/>
              </w:rPr>
              <w:t>“</w:t>
            </w:r>
            <w:r>
              <w:rPr>
                <w:rFonts w:hint="eastAsia" w:asciiTheme="minorEastAsia" w:hAnsiTheme="minorEastAsia" w:eastAsiaTheme="minorEastAsia" w:cstheme="minorEastAsia"/>
                <w:color w:val="auto"/>
                <w:kern w:val="0"/>
                <w:szCs w:val="21"/>
                <w:highlight w:val="none"/>
                <w:lang w:eastAsia="zh-CN"/>
              </w:rPr>
              <w:t>磋商供应商</w:t>
            </w:r>
            <w:r>
              <w:rPr>
                <w:rFonts w:hint="eastAsia" w:asciiTheme="minorEastAsia" w:hAnsiTheme="minorEastAsia" w:eastAsiaTheme="minorEastAsia" w:cstheme="minorEastAsia"/>
                <w:color w:val="auto"/>
                <w:kern w:val="0"/>
                <w:szCs w:val="21"/>
                <w:highlight w:val="none"/>
              </w:rPr>
              <w:t>须知</w:t>
            </w:r>
            <w:r>
              <w:rPr>
                <w:rFonts w:hint="eastAsia" w:asciiTheme="minorEastAsia" w:hAnsiTheme="minorEastAsia" w:eastAsiaTheme="minorEastAsia" w:cstheme="minorEastAsia"/>
                <w:color w:val="auto"/>
                <w:kern w:val="0"/>
                <w:szCs w:val="21"/>
                <w:highlight w:val="none"/>
                <w:lang w:val="en-US" w:eastAsia="zh-CN"/>
              </w:rPr>
              <w:t>正文”</w:t>
            </w:r>
            <w:r>
              <w:rPr>
                <w:rFonts w:hint="eastAsia" w:asciiTheme="minorEastAsia" w:hAnsiTheme="minorEastAsia" w:eastAsiaTheme="minorEastAsia" w:cstheme="minorEastAsia"/>
                <w:color w:val="auto"/>
                <w:szCs w:val="21"/>
                <w:highlight w:val="none"/>
                <w:lang w:val="en-US" w:eastAsia="zh-CN"/>
              </w:rPr>
              <w:t>第11项</w:t>
            </w:r>
            <w:r>
              <w:rPr>
                <w:rFonts w:hint="eastAsia" w:asciiTheme="minorEastAsia" w:hAnsiTheme="minorEastAsia" w:eastAsiaTheme="minorEastAsia" w:cstheme="minorEastAsia"/>
                <w:color w:val="auto"/>
                <w:szCs w:val="21"/>
                <w:highlight w:val="none"/>
              </w:rPr>
              <w:t>规定。</w:t>
            </w:r>
          </w:p>
        </w:tc>
      </w:tr>
      <w:tr w14:paraId="16B35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0"/>
            <w:vAlign w:val="center"/>
          </w:tcPr>
          <w:p w14:paraId="1842183C">
            <w:pPr>
              <w:autoSpaceDE w:val="0"/>
              <w:autoSpaceDN w:val="0"/>
              <w:adjustRightInd w:val="0"/>
              <w:spacing w:line="420" w:lineRule="exact"/>
              <w:rPr>
                <w:rFonts w:hint="eastAsia" w:asciiTheme="minorEastAsia" w:hAnsiTheme="minorEastAsia" w:eastAsiaTheme="minorEastAsia" w:cstheme="minorEastAsia"/>
                <w:color w:val="auto"/>
                <w:kern w:val="0"/>
                <w:szCs w:val="21"/>
                <w:highlight w:val="none"/>
              </w:rPr>
            </w:pPr>
          </w:p>
        </w:tc>
        <w:tc>
          <w:tcPr>
            <w:tcW w:w="832" w:type="dxa"/>
            <w:vMerge w:val="continue"/>
            <w:noWrap w:val="0"/>
            <w:vAlign w:val="center"/>
          </w:tcPr>
          <w:p w14:paraId="37F09905">
            <w:pPr>
              <w:autoSpaceDE w:val="0"/>
              <w:autoSpaceDN w:val="0"/>
              <w:adjustRightInd w:val="0"/>
              <w:spacing w:line="420" w:lineRule="exact"/>
              <w:rPr>
                <w:rFonts w:hint="eastAsia" w:asciiTheme="minorEastAsia" w:hAnsiTheme="minorEastAsia" w:eastAsiaTheme="minorEastAsia" w:cstheme="minorEastAsia"/>
                <w:color w:val="auto"/>
                <w:kern w:val="0"/>
                <w:szCs w:val="21"/>
                <w:highlight w:val="none"/>
              </w:rPr>
            </w:pPr>
          </w:p>
        </w:tc>
        <w:tc>
          <w:tcPr>
            <w:tcW w:w="2446" w:type="dxa"/>
            <w:gridSpan w:val="2"/>
            <w:noWrap w:val="0"/>
            <w:vAlign w:val="center"/>
          </w:tcPr>
          <w:p w14:paraId="38FB1BEB">
            <w:pPr>
              <w:autoSpaceDE w:val="0"/>
              <w:autoSpaceDN w:val="0"/>
              <w:adjustRightInd w:val="0"/>
              <w:spacing w:line="42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响应文件格式</w:t>
            </w:r>
          </w:p>
        </w:tc>
        <w:tc>
          <w:tcPr>
            <w:tcW w:w="6397" w:type="dxa"/>
            <w:noWrap w:val="0"/>
            <w:vAlign w:val="center"/>
          </w:tcPr>
          <w:p w14:paraId="40CF9D21">
            <w:pPr>
              <w:autoSpaceDE w:val="0"/>
              <w:autoSpaceDN w:val="0"/>
              <w:adjustRightInd w:val="0"/>
              <w:spacing w:line="420" w:lineRule="exac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符合第</w:t>
            </w:r>
            <w:r>
              <w:rPr>
                <w:rFonts w:hint="eastAsia" w:asciiTheme="minorEastAsia" w:hAnsiTheme="minorEastAsia" w:eastAsiaTheme="minorEastAsia" w:cstheme="minorEastAsia"/>
                <w:color w:val="auto"/>
                <w:kern w:val="0"/>
                <w:szCs w:val="21"/>
                <w:highlight w:val="none"/>
                <w:lang w:val="en-US" w:eastAsia="zh-CN"/>
              </w:rPr>
              <w:t>七</w:t>
            </w:r>
            <w:r>
              <w:rPr>
                <w:rFonts w:hint="eastAsia" w:asciiTheme="minorEastAsia" w:hAnsiTheme="minorEastAsia" w:eastAsiaTheme="minorEastAsia" w:cstheme="minorEastAsia"/>
                <w:color w:val="auto"/>
                <w:kern w:val="0"/>
                <w:szCs w:val="21"/>
                <w:highlight w:val="none"/>
              </w:rPr>
              <w:t>章“响应文件格式”的要求</w:t>
            </w:r>
            <w:r>
              <w:rPr>
                <w:rFonts w:hint="eastAsia" w:asciiTheme="minorEastAsia" w:hAnsiTheme="minorEastAsia" w:eastAsiaTheme="minorEastAsia" w:cstheme="minorEastAsia"/>
                <w:color w:val="auto"/>
                <w:kern w:val="0"/>
                <w:szCs w:val="21"/>
                <w:highlight w:val="none"/>
                <w:lang w:eastAsia="zh-CN"/>
              </w:rPr>
              <w:t>。</w:t>
            </w:r>
          </w:p>
        </w:tc>
      </w:tr>
      <w:tr w14:paraId="00622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63" w:type="dxa"/>
            <w:vMerge w:val="continue"/>
            <w:noWrap w:val="0"/>
            <w:vAlign w:val="center"/>
          </w:tcPr>
          <w:p w14:paraId="65BF073D">
            <w:pPr>
              <w:autoSpaceDE w:val="0"/>
              <w:autoSpaceDN w:val="0"/>
              <w:adjustRightInd w:val="0"/>
              <w:spacing w:line="420" w:lineRule="exact"/>
              <w:rPr>
                <w:rFonts w:hint="eastAsia" w:asciiTheme="minorEastAsia" w:hAnsiTheme="minorEastAsia" w:eastAsiaTheme="minorEastAsia" w:cstheme="minorEastAsia"/>
                <w:color w:val="auto"/>
                <w:kern w:val="0"/>
                <w:szCs w:val="21"/>
                <w:highlight w:val="none"/>
              </w:rPr>
            </w:pPr>
          </w:p>
        </w:tc>
        <w:tc>
          <w:tcPr>
            <w:tcW w:w="832" w:type="dxa"/>
            <w:vMerge w:val="continue"/>
            <w:noWrap w:val="0"/>
            <w:vAlign w:val="center"/>
          </w:tcPr>
          <w:p w14:paraId="0B5456AE">
            <w:pPr>
              <w:autoSpaceDE w:val="0"/>
              <w:autoSpaceDN w:val="0"/>
              <w:adjustRightInd w:val="0"/>
              <w:spacing w:line="420" w:lineRule="exact"/>
              <w:rPr>
                <w:rFonts w:hint="eastAsia" w:asciiTheme="minorEastAsia" w:hAnsiTheme="minorEastAsia" w:eastAsiaTheme="minorEastAsia" w:cstheme="minorEastAsia"/>
                <w:color w:val="auto"/>
                <w:kern w:val="0"/>
                <w:szCs w:val="21"/>
                <w:highlight w:val="none"/>
              </w:rPr>
            </w:pPr>
          </w:p>
        </w:tc>
        <w:tc>
          <w:tcPr>
            <w:tcW w:w="2446" w:type="dxa"/>
            <w:gridSpan w:val="2"/>
            <w:noWrap w:val="0"/>
            <w:vAlign w:val="center"/>
          </w:tcPr>
          <w:p w14:paraId="09A0B96E">
            <w:pPr>
              <w:spacing w:line="44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质量</w:t>
            </w:r>
            <w:r>
              <w:rPr>
                <w:rFonts w:hint="eastAsia" w:asciiTheme="minorEastAsia" w:hAnsiTheme="minorEastAsia" w:eastAsiaTheme="minorEastAsia" w:cstheme="minorEastAsia"/>
                <w:color w:val="auto"/>
                <w:szCs w:val="21"/>
                <w:highlight w:val="none"/>
                <w:lang w:val="en-US" w:eastAsia="zh-CN"/>
              </w:rPr>
              <w:t>要求</w:t>
            </w:r>
          </w:p>
        </w:tc>
        <w:tc>
          <w:tcPr>
            <w:tcW w:w="6397" w:type="dxa"/>
            <w:noWrap w:val="0"/>
            <w:vAlign w:val="center"/>
          </w:tcPr>
          <w:p w14:paraId="022B237D">
            <w:pPr>
              <w:spacing w:line="440" w:lineRule="exac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符合“</w:t>
            </w:r>
            <w:r>
              <w:rPr>
                <w:rFonts w:hint="eastAsia" w:asciiTheme="minorEastAsia" w:hAnsiTheme="minorEastAsia" w:eastAsiaTheme="minorEastAsia" w:cstheme="minorEastAsia"/>
                <w:color w:val="auto"/>
                <w:szCs w:val="21"/>
                <w:highlight w:val="none"/>
                <w:lang w:eastAsia="zh-CN"/>
              </w:rPr>
              <w:t>磋商供应商</w:t>
            </w:r>
            <w:r>
              <w:rPr>
                <w:rFonts w:hint="eastAsia" w:asciiTheme="minorEastAsia" w:hAnsiTheme="minorEastAsia" w:eastAsiaTheme="minorEastAsia" w:cstheme="minorEastAsia"/>
                <w:color w:val="auto"/>
                <w:szCs w:val="21"/>
                <w:highlight w:val="none"/>
              </w:rPr>
              <w:t>须知前附表”</w:t>
            </w:r>
            <w:r>
              <w:rPr>
                <w:rFonts w:hint="eastAsia" w:asciiTheme="minorEastAsia" w:hAnsiTheme="minorEastAsia" w:eastAsiaTheme="minorEastAsia" w:cstheme="minorEastAsia"/>
                <w:color w:val="auto"/>
                <w:szCs w:val="21"/>
                <w:highlight w:val="none"/>
                <w:lang w:val="en-US" w:eastAsia="zh-CN"/>
              </w:rPr>
              <w:t>第5项</w:t>
            </w:r>
            <w:r>
              <w:rPr>
                <w:rFonts w:hint="eastAsia" w:asciiTheme="minorEastAsia" w:hAnsiTheme="minorEastAsia" w:eastAsiaTheme="minorEastAsia" w:cstheme="minorEastAsia"/>
                <w:color w:val="auto"/>
                <w:szCs w:val="21"/>
                <w:highlight w:val="none"/>
              </w:rPr>
              <w:t>规定。</w:t>
            </w:r>
          </w:p>
        </w:tc>
      </w:tr>
      <w:tr w14:paraId="4276D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0"/>
            <w:vAlign w:val="center"/>
          </w:tcPr>
          <w:p w14:paraId="54798D57">
            <w:pPr>
              <w:autoSpaceDE w:val="0"/>
              <w:autoSpaceDN w:val="0"/>
              <w:adjustRightInd w:val="0"/>
              <w:spacing w:line="420" w:lineRule="exact"/>
              <w:rPr>
                <w:rFonts w:hint="eastAsia" w:asciiTheme="minorEastAsia" w:hAnsiTheme="minorEastAsia" w:eastAsiaTheme="minorEastAsia" w:cstheme="minorEastAsia"/>
                <w:color w:val="auto"/>
                <w:kern w:val="0"/>
                <w:szCs w:val="21"/>
                <w:highlight w:val="none"/>
              </w:rPr>
            </w:pPr>
          </w:p>
        </w:tc>
        <w:tc>
          <w:tcPr>
            <w:tcW w:w="832" w:type="dxa"/>
            <w:vMerge w:val="continue"/>
            <w:noWrap w:val="0"/>
            <w:vAlign w:val="center"/>
          </w:tcPr>
          <w:p w14:paraId="1E383452">
            <w:pPr>
              <w:autoSpaceDE w:val="0"/>
              <w:autoSpaceDN w:val="0"/>
              <w:adjustRightInd w:val="0"/>
              <w:spacing w:line="420" w:lineRule="exact"/>
              <w:rPr>
                <w:rFonts w:hint="eastAsia" w:asciiTheme="minorEastAsia" w:hAnsiTheme="minorEastAsia" w:eastAsiaTheme="minorEastAsia" w:cstheme="minorEastAsia"/>
                <w:color w:val="auto"/>
                <w:kern w:val="0"/>
                <w:szCs w:val="21"/>
                <w:highlight w:val="none"/>
              </w:rPr>
            </w:pPr>
          </w:p>
        </w:tc>
        <w:tc>
          <w:tcPr>
            <w:tcW w:w="2446" w:type="dxa"/>
            <w:gridSpan w:val="2"/>
            <w:noWrap w:val="0"/>
            <w:vAlign w:val="center"/>
          </w:tcPr>
          <w:p w14:paraId="7A4D05DA">
            <w:pPr>
              <w:spacing w:line="44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工期</w:t>
            </w:r>
          </w:p>
        </w:tc>
        <w:tc>
          <w:tcPr>
            <w:tcW w:w="6397" w:type="dxa"/>
            <w:noWrap w:val="0"/>
            <w:vAlign w:val="center"/>
          </w:tcPr>
          <w:p w14:paraId="79E9449F">
            <w:pPr>
              <w:spacing w:line="440" w:lineRule="exac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符合“</w:t>
            </w:r>
            <w:r>
              <w:rPr>
                <w:rFonts w:hint="eastAsia" w:asciiTheme="minorEastAsia" w:hAnsiTheme="minorEastAsia" w:eastAsiaTheme="minorEastAsia" w:cstheme="minorEastAsia"/>
                <w:color w:val="auto"/>
                <w:szCs w:val="21"/>
                <w:highlight w:val="none"/>
                <w:lang w:eastAsia="zh-CN"/>
              </w:rPr>
              <w:t>磋商供应商</w:t>
            </w:r>
            <w:r>
              <w:rPr>
                <w:rFonts w:hint="eastAsia" w:asciiTheme="minorEastAsia" w:hAnsiTheme="minorEastAsia" w:eastAsiaTheme="minorEastAsia" w:cstheme="minorEastAsia"/>
                <w:color w:val="auto"/>
                <w:szCs w:val="21"/>
                <w:highlight w:val="none"/>
              </w:rPr>
              <w:t>须知前附表”</w:t>
            </w:r>
            <w:r>
              <w:rPr>
                <w:rFonts w:hint="eastAsia" w:asciiTheme="minorEastAsia" w:hAnsiTheme="minorEastAsia" w:eastAsiaTheme="minorEastAsia" w:cstheme="minorEastAsia"/>
                <w:color w:val="auto"/>
                <w:szCs w:val="21"/>
                <w:highlight w:val="none"/>
                <w:lang w:val="en-US" w:eastAsia="zh-CN"/>
              </w:rPr>
              <w:t>第4项</w:t>
            </w:r>
            <w:r>
              <w:rPr>
                <w:rFonts w:hint="eastAsia" w:asciiTheme="minorEastAsia" w:hAnsiTheme="minorEastAsia" w:eastAsiaTheme="minorEastAsia" w:cstheme="minorEastAsia"/>
                <w:color w:val="auto"/>
                <w:szCs w:val="21"/>
                <w:highlight w:val="none"/>
              </w:rPr>
              <w:t>规定。</w:t>
            </w:r>
          </w:p>
        </w:tc>
      </w:tr>
      <w:tr w14:paraId="79288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763" w:type="dxa"/>
            <w:noWrap w:val="0"/>
            <w:vAlign w:val="top"/>
          </w:tcPr>
          <w:p w14:paraId="098B8BA0">
            <w:pPr>
              <w:autoSpaceDE w:val="0"/>
              <w:autoSpaceDN w:val="0"/>
              <w:adjustRightInd w:val="0"/>
              <w:spacing w:line="420" w:lineRule="exact"/>
              <w:rPr>
                <w:rFonts w:hint="eastAsia" w:asciiTheme="minorEastAsia" w:hAnsiTheme="minorEastAsia" w:eastAsiaTheme="minorEastAsia" w:cstheme="minorEastAsia"/>
                <w:color w:val="auto"/>
                <w:kern w:val="0"/>
                <w:szCs w:val="21"/>
                <w:highlight w:val="none"/>
              </w:rPr>
            </w:pPr>
          </w:p>
        </w:tc>
        <w:tc>
          <w:tcPr>
            <w:tcW w:w="9675" w:type="dxa"/>
            <w:gridSpan w:val="4"/>
            <w:noWrap w:val="0"/>
            <w:vAlign w:val="top"/>
          </w:tcPr>
          <w:p w14:paraId="03AE0746">
            <w:pPr>
              <w:autoSpaceDE w:val="0"/>
              <w:autoSpaceDN w:val="0"/>
              <w:adjustRightInd w:val="0"/>
              <w:spacing w:line="420" w:lineRule="exac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
                <w:color w:val="auto"/>
                <w:szCs w:val="21"/>
                <w:highlight w:val="none"/>
                <w:lang w:eastAsia="zh-CN"/>
              </w:rPr>
              <w:t>符合性审查</w:t>
            </w:r>
            <w:r>
              <w:rPr>
                <w:rFonts w:hint="eastAsia" w:asciiTheme="minorEastAsia" w:hAnsiTheme="minorEastAsia" w:eastAsiaTheme="minorEastAsia" w:cstheme="minorEastAsia"/>
                <w:b/>
                <w:color w:val="auto"/>
                <w:szCs w:val="21"/>
                <w:highlight w:val="none"/>
              </w:rPr>
              <w:t>项中缺少任何一项或有任何一项不合格者其初步审查视为不合格，初步评审不合格的磋商人不再进入以下各项组成的详细评审。</w:t>
            </w:r>
          </w:p>
        </w:tc>
      </w:tr>
      <w:tr w14:paraId="38361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438" w:type="dxa"/>
            <w:gridSpan w:val="5"/>
            <w:noWrap w:val="0"/>
            <w:vAlign w:val="top"/>
          </w:tcPr>
          <w:p w14:paraId="6A1D1AB5">
            <w:pPr>
              <w:autoSpaceDE w:val="0"/>
              <w:autoSpaceDN w:val="0"/>
              <w:adjustRightInd w:val="0"/>
              <w:spacing w:line="42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kern w:val="0"/>
                <w:szCs w:val="21"/>
                <w:highlight w:val="none"/>
              </w:rPr>
              <w:t>详细评审标准</w:t>
            </w:r>
          </w:p>
        </w:tc>
      </w:tr>
      <w:tr w14:paraId="23852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95" w:type="dxa"/>
            <w:gridSpan w:val="2"/>
            <w:tcBorders>
              <w:top w:val="single" w:color="auto" w:sz="4" w:space="0"/>
              <w:left w:val="single" w:color="auto" w:sz="4" w:space="0"/>
              <w:bottom w:val="single" w:color="auto" w:sz="4" w:space="0"/>
              <w:right w:val="single" w:color="auto" w:sz="4" w:space="0"/>
            </w:tcBorders>
            <w:noWrap w:val="0"/>
            <w:vAlign w:val="center"/>
          </w:tcPr>
          <w:p w14:paraId="0BE19999">
            <w:pPr>
              <w:spacing w:line="42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报价分</w:t>
            </w:r>
          </w:p>
          <w:p w14:paraId="74A4FA68">
            <w:pPr>
              <w:autoSpaceDE w:val="0"/>
              <w:autoSpaceDN w:val="0"/>
              <w:adjustRightInd w:val="0"/>
              <w:spacing w:line="420" w:lineRule="exact"/>
              <w:jc w:val="center"/>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评审标准</w:t>
            </w:r>
          </w:p>
          <w:p w14:paraId="0BE19A14">
            <w:pPr>
              <w:spacing w:line="42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w:t>
            </w:r>
            <w:r>
              <w:rPr>
                <w:rFonts w:hint="eastAsia" w:asciiTheme="minorEastAsia" w:hAnsiTheme="minorEastAsia" w:eastAsiaTheme="minorEastAsia" w:cstheme="minorEastAsia"/>
                <w:b/>
                <w:color w:val="auto"/>
                <w:szCs w:val="21"/>
                <w:highlight w:val="none"/>
                <w:lang w:val="en-US" w:eastAsia="zh-CN"/>
              </w:rPr>
              <w:t>30</w:t>
            </w:r>
            <w:r>
              <w:rPr>
                <w:rFonts w:hint="eastAsia" w:asciiTheme="minorEastAsia" w:hAnsiTheme="minorEastAsia" w:eastAsiaTheme="minorEastAsia" w:cstheme="minorEastAsia"/>
                <w:b/>
                <w:color w:val="auto"/>
                <w:szCs w:val="21"/>
                <w:highlight w:val="none"/>
              </w:rPr>
              <w:t>分）</w:t>
            </w:r>
          </w:p>
        </w:tc>
        <w:tc>
          <w:tcPr>
            <w:tcW w:w="8843" w:type="dxa"/>
            <w:gridSpan w:val="3"/>
            <w:tcBorders>
              <w:top w:val="single" w:color="auto" w:sz="4" w:space="0"/>
              <w:left w:val="single" w:color="auto" w:sz="4" w:space="0"/>
              <w:bottom w:val="single" w:color="auto" w:sz="4" w:space="0"/>
            </w:tcBorders>
            <w:noWrap w:val="0"/>
            <w:vAlign w:val="center"/>
          </w:tcPr>
          <w:p w14:paraId="3BB16BD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rPr>
              <w:t>评标基准价的计算方法：</w:t>
            </w:r>
          </w:p>
          <w:p w14:paraId="717D3351">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（1）有效报价范围：为磋商总价低于或等于上限控制价，通过初步评审，经磋商小组审定不存在严重不平衡、不合理、不低于其企业成本的磋商供应商磋商总价。</w:t>
            </w:r>
          </w:p>
          <w:p w14:paraId="326C6B9B">
            <w:pPr>
              <w:spacing w:line="380" w:lineRule="exact"/>
              <w:ind w:firstLine="420" w:firstLineChars="20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kern w:val="0"/>
                <w:szCs w:val="21"/>
              </w:rPr>
              <w:t>（2）</w:t>
            </w:r>
            <w:r>
              <w:rPr>
                <w:rFonts w:hint="eastAsia" w:asciiTheme="minorEastAsia" w:hAnsiTheme="minorEastAsia" w:eastAsiaTheme="minorEastAsia" w:cstheme="minorEastAsia"/>
                <w:szCs w:val="21"/>
              </w:rPr>
              <w:t>评标价折算：</w:t>
            </w:r>
            <w:r>
              <w:rPr>
                <w:rFonts w:hint="eastAsia" w:asciiTheme="minorEastAsia" w:hAnsiTheme="minorEastAsia" w:eastAsiaTheme="minorEastAsia" w:cstheme="minorEastAsia"/>
                <w:b/>
                <w:bCs/>
                <w:szCs w:val="21"/>
              </w:rPr>
              <w:t>本项目为专门面向“中小</w:t>
            </w:r>
            <w:r>
              <w:rPr>
                <w:rFonts w:hint="eastAsia" w:asciiTheme="minorEastAsia" w:hAnsiTheme="minorEastAsia" w:eastAsiaTheme="minorEastAsia" w:cstheme="minorEastAsia"/>
                <w:b/>
                <w:bCs/>
                <w:szCs w:val="21"/>
                <w:lang w:val="en-US" w:eastAsia="zh-CN"/>
              </w:rPr>
              <w:t>微</w:t>
            </w:r>
            <w:r>
              <w:rPr>
                <w:rFonts w:hint="eastAsia" w:asciiTheme="minorEastAsia" w:hAnsiTheme="minorEastAsia" w:eastAsiaTheme="minorEastAsia" w:cstheme="minorEastAsia"/>
                <w:b/>
                <w:bCs/>
                <w:szCs w:val="21"/>
              </w:rPr>
              <w:t>企业”的项目，不再执行价格评审优惠的扶持政策。</w:t>
            </w:r>
          </w:p>
          <w:p w14:paraId="512225E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按照《财政部、司法部关于政府采购支持监狱企业发展有关问题的通知》（财库〔2014〕68号）的规定，监狱企业视同小型、微型企业，享受预留份额、评审中价格扣除等促进中小企业发展的政府采购政策。监狱企业参加政府采购活动</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时，应当提供由省级以上监狱管理局、戒毒管理局(含新疆生产建设兵团)出具的属于监狱企业的证明文件。不重复享受政策。</w:t>
            </w:r>
          </w:p>
          <w:p w14:paraId="04DD3A59">
            <w:pPr>
              <w:spacing w:line="360" w:lineRule="auto"/>
              <w:ind w:firstLine="420" w:firstLineChars="200"/>
              <w:rPr>
                <w:rFonts w:hint="eastAsia" w:asciiTheme="minorEastAsia" w:hAnsiTheme="minorEastAsia" w:eastAsiaTheme="minorEastAsia" w:cstheme="minorEastAsia"/>
                <w:b/>
                <w:bCs/>
                <w:szCs w:val="21"/>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0B22304B">
            <w:pPr>
              <w:spacing w:line="276" w:lineRule="auto"/>
              <w:ind w:firstLine="420"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报价分评分标准：</w:t>
            </w:r>
          </w:p>
          <w:p w14:paraId="752375A3">
            <w:pPr>
              <w:spacing w:line="42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以进入详细评审的最低评标价为评标基准价，得30分。投标报价分计算公式：</w:t>
            </w:r>
          </w:p>
          <w:p w14:paraId="5A404F31">
            <w:pPr>
              <w:spacing w:line="420" w:lineRule="exact"/>
              <w:rPr>
                <w:rFonts w:hint="eastAsia" w:ascii="宋体" w:hAnsi="宋体" w:eastAsia="宋体" w:cs="宋体"/>
                <w:spacing w:val="-2"/>
                <w:sz w:val="20"/>
                <w:szCs w:val="20"/>
                <w:lang w:val="en-US" w:eastAsia="zh-CN"/>
              </w:rPr>
            </w:pPr>
            <w:r>
              <w:rPr>
                <w:rFonts w:hint="eastAsia" w:asciiTheme="minorEastAsia" w:hAnsiTheme="minorEastAsia" w:eastAsiaTheme="minorEastAsia" w:cstheme="minorEastAsia"/>
                <w:szCs w:val="21"/>
              </w:rPr>
              <w:t>报价分= 评标基准价（金额）/投标人评标价（金额） ×30分。</w:t>
            </w:r>
          </w:p>
        </w:tc>
      </w:tr>
      <w:tr w14:paraId="3CDD1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95" w:type="dxa"/>
            <w:gridSpan w:val="2"/>
            <w:vMerge w:val="restart"/>
            <w:noWrap w:val="0"/>
            <w:vAlign w:val="center"/>
          </w:tcPr>
          <w:p w14:paraId="352B5CFB">
            <w:pPr>
              <w:spacing w:line="400" w:lineRule="exact"/>
              <w:jc w:val="left"/>
              <w:rPr>
                <w:rFonts w:hint="eastAsia" w:asciiTheme="minorEastAsia" w:hAnsiTheme="minorEastAsia" w:eastAsiaTheme="minorEastAsia" w:cstheme="minorEastAsia"/>
                <w:b/>
                <w:color w:val="auto"/>
                <w:kern w:val="0"/>
                <w:szCs w:val="21"/>
                <w:highlight w:val="none"/>
              </w:rPr>
            </w:pPr>
          </w:p>
          <w:p w14:paraId="54FCCAEC">
            <w:pPr>
              <w:spacing w:line="400" w:lineRule="exact"/>
              <w:jc w:val="left"/>
              <w:rPr>
                <w:rFonts w:hint="eastAsia" w:asciiTheme="minorEastAsia" w:hAnsiTheme="minorEastAsia" w:eastAsiaTheme="minorEastAsia" w:cstheme="minorEastAsia"/>
                <w:b/>
                <w:color w:val="auto"/>
                <w:kern w:val="0"/>
                <w:szCs w:val="21"/>
                <w:highlight w:val="none"/>
              </w:rPr>
            </w:pPr>
          </w:p>
          <w:p w14:paraId="28164F4D">
            <w:pPr>
              <w:spacing w:line="400" w:lineRule="exact"/>
              <w:jc w:val="left"/>
              <w:rPr>
                <w:rFonts w:hint="eastAsia" w:asciiTheme="minorEastAsia" w:hAnsiTheme="minorEastAsia" w:eastAsiaTheme="minorEastAsia" w:cstheme="minorEastAsia"/>
                <w:b/>
                <w:color w:val="auto"/>
                <w:kern w:val="0"/>
                <w:szCs w:val="21"/>
                <w:highlight w:val="none"/>
              </w:rPr>
            </w:pPr>
          </w:p>
          <w:p w14:paraId="7B5EA97A">
            <w:pPr>
              <w:spacing w:line="400" w:lineRule="exact"/>
              <w:jc w:val="lef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kern w:val="0"/>
                <w:szCs w:val="21"/>
                <w:highlight w:val="none"/>
              </w:rPr>
              <w:t>施工组织设计</w:t>
            </w:r>
          </w:p>
          <w:p w14:paraId="0DFF6497">
            <w:pPr>
              <w:spacing w:line="400" w:lineRule="exact"/>
              <w:jc w:val="lef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（满分</w:t>
            </w:r>
            <w:r>
              <w:rPr>
                <w:rFonts w:hint="eastAsia" w:asciiTheme="minorEastAsia" w:hAnsiTheme="minorEastAsia" w:eastAsiaTheme="minorEastAsia" w:cstheme="minorEastAsia"/>
                <w:b/>
                <w:color w:val="auto"/>
                <w:szCs w:val="21"/>
                <w:highlight w:val="none"/>
                <w:lang w:val="en-US" w:eastAsia="zh-CN"/>
              </w:rPr>
              <w:t>60</w:t>
            </w:r>
            <w:r>
              <w:rPr>
                <w:rFonts w:hint="eastAsia" w:asciiTheme="minorEastAsia" w:hAnsiTheme="minorEastAsia" w:eastAsiaTheme="minorEastAsia" w:cstheme="minorEastAsia"/>
                <w:b/>
                <w:color w:val="auto"/>
                <w:szCs w:val="21"/>
                <w:highlight w:val="none"/>
              </w:rPr>
              <w:t>分）</w:t>
            </w:r>
          </w:p>
          <w:p w14:paraId="56A7215C">
            <w:pPr>
              <w:spacing w:line="400" w:lineRule="exact"/>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由磋商评审小组按下述评审标准对比各竞标人的施工组织设计后，每个评委独立打分，某</w:t>
            </w:r>
            <w:r>
              <w:rPr>
                <w:rFonts w:hint="eastAsia" w:asciiTheme="minorEastAsia" w:hAnsiTheme="minorEastAsia" w:eastAsiaTheme="minorEastAsia" w:cstheme="minorEastAsia"/>
                <w:color w:val="auto"/>
                <w:kern w:val="0"/>
                <w:szCs w:val="21"/>
                <w:highlight w:val="none"/>
                <w:lang w:val="en-US" w:eastAsia="zh-CN"/>
              </w:rPr>
              <w:t>竞</w:t>
            </w:r>
            <w:r>
              <w:rPr>
                <w:rFonts w:hint="eastAsia" w:asciiTheme="minorEastAsia" w:hAnsiTheme="minorEastAsia" w:eastAsiaTheme="minorEastAsia" w:cstheme="minorEastAsia"/>
                <w:color w:val="auto"/>
                <w:kern w:val="0"/>
                <w:szCs w:val="21"/>
                <w:highlight w:val="none"/>
              </w:rPr>
              <w:t>标人本评审项得分为各评委打分的算数平均值。</w:t>
            </w:r>
          </w:p>
          <w:p w14:paraId="280A5EB9">
            <w:pPr>
              <w:spacing w:line="400" w:lineRule="exact"/>
              <w:jc w:val="left"/>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color w:val="auto"/>
                <w:kern w:val="0"/>
                <w:szCs w:val="21"/>
                <w:highlight w:val="none"/>
              </w:rPr>
              <w:t>评定标准：每评审项满分6分，分4个档（一档：</w:t>
            </w:r>
            <w:r>
              <w:rPr>
                <w:rFonts w:hint="eastAsia" w:asciiTheme="minorEastAsia" w:hAnsiTheme="minorEastAsia" w:eastAsiaTheme="minorEastAsia" w:cstheme="minorEastAsia"/>
                <w:color w:val="auto"/>
                <w:kern w:val="0"/>
                <w:szCs w:val="21"/>
                <w:highlight w:val="none"/>
                <w:lang w:val="en-US" w:eastAsia="zh-CN"/>
              </w:rPr>
              <w:t>1</w:t>
            </w:r>
            <w:r>
              <w:rPr>
                <w:rFonts w:hint="eastAsia" w:asciiTheme="minorEastAsia" w:hAnsiTheme="minorEastAsia" w:eastAsiaTheme="minorEastAsia" w:cstheme="minorEastAsia"/>
                <w:color w:val="auto"/>
                <w:kern w:val="0"/>
                <w:szCs w:val="21"/>
                <w:highlight w:val="none"/>
              </w:rPr>
              <w:t>分；二档：</w:t>
            </w:r>
            <w:r>
              <w:rPr>
                <w:rFonts w:hint="eastAsia" w:asciiTheme="minorEastAsia" w:hAnsiTheme="minorEastAsia" w:eastAsiaTheme="minorEastAsia" w:cstheme="minorEastAsia"/>
                <w:color w:val="auto"/>
                <w:kern w:val="0"/>
                <w:szCs w:val="21"/>
                <w:highlight w:val="none"/>
                <w:lang w:val="en-US" w:eastAsia="zh-CN"/>
              </w:rPr>
              <w:t>2</w:t>
            </w:r>
            <w:r>
              <w:rPr>
                <w:rFonts w:hint="eastAsia" w:asciiTheme="minorEastAsia" w:hAnsiTheme="minorEastAsia" w:eastAsiaTheme="minorEastAsia" w:cstheme="minorEastAsia"/>
                <w:color w:val="auto"/>
                <w:kern w:val="0"/>
                <w:szCs w:val="21"/>
                <w:highlight w:val="none"/>
              </w:rPr>
              <w:t>分；三档：</w:t>
            </w:r>
            <w:r>
              <w:rPr>
                <w:rFonts w:hint="eastAsia" w:asciiTheme="minorEastAsia" w:hAnsiTheme="minorEastAsia" w:eastAsiaTheme="minorEastAsia" w:cstheme="minorEastAsia"/>
                <w:color w:val="auto"/>
                <w:kern w:val="0"/>
                <w:szCs w:val="21"/>
                <w:highlight w:val="none"/>
                <w:lang w:val="en-US" w:eastAsia="zh-CN"/>
              </w:rPr>
              <w:t>4</w:t>
            </w:r>
            <w:r>
              <w:rPr>
                <w:rFonts w:hint="eastAsia" w:asciiTheme="minorEastAsia" w:hAnsiTheme="minorEastAsia" w:eastAsiaTheme="minorEastAsia" w:cstheme="minorEastAsia"/>
                <w:color w:val="auto"/>
                <w:kern w:val="0"/>
                <w:szCs w:val="21"/>
                <w:highlight w:val="none"/>
              </w:rPr>
              <w:t>分；四档：6分）打分。</w:t>
            </w:r>
          </w:p>
          <w:p w14:paraId="12C5C6DC">
            <w:pPr>
              <w:spacing w:line="400" w:lineRule="exact"/>
              <w:jc w:val="left"/>
              <w:rPr>
                <w:rFonts w:hint="eastAsia" w:asciiTheme="minorEastAsia" w:hAnsiTheme="minorEastAsia" w:eastAsiaTheme="minorEastAsia" w:cstheme="minorEastAsia"/>
                <w:b/>
                <w:color w:val="auto"/>
                <w:kern w:val="0"/>
                <w:szCs w:val="21"/>
                <w:highlight w:val="none"/>
              </w:rPr>
            </w:pPr>
          </w:p>
          <w:p w14:paraId="0BE7E52A">
            <w:pPr>
              <w:spacing w:line="400" w:lineRule="exact"/>
              <w:jc w:val="left"/>
              <w:rPr>
                <w:rFonts w:hint="eastAsia" w:asciiTheme="minorEastAsia" w:hAnsiTheme="minorEastAsia" w:eastAsiaTheme="minorEastAsia" w:cstheme="minorEastAsia"/>
                <w:b/>
                <w:color w:val="auto"/>
                <w:kern w:val="0"/>
                <w:szCs w:val="21"/>
                <w:highlight w:val="none"/>
              </w:rPr>
            </w:pPr>
          </w:p>
          <w:p w14:paraId="677AE39B">
            <w:pPr>
              <w:spacing w:line="420" w:lineRule="exact"/>
              <w:jc w:val="center"/>
              <w:rPr>
                <w:rFonts w:hint="eastAsia" w:asciiTheme="minorEastAsia" w:hAnsiTheme="minorEastAsia" w:eastAsiaTheme="minorEastAsia" w:cstheme="minorEastAsia"/>
                <w:color w:val="auto"/>
                <w:kern w:val="0"/>
                <w:szCs w:val="21"/>
                <w:highlight w:val="none"/>
              </w:rPr>
            </w:pPr>
          </w:p>
        </w:tc>
        <w:tc>
          <w:tcPr>
            <w:tcW w:w="2033" w:type="dxa"/>
            <w:noWrap w:val="0"/>
            <w:vAlign w:val="center"/>
          </w:tcPr>
          <w:p w14:paraId="49BC114E">
            <w:pPr>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主要施工方法</w:t>
            </w:r>
          </w:p>
          <w:p w14:paraId="7CE90140">
            <w:pPr>
              <w:spacing w:line="42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rPr>
              <w:t>分）</w:t>
            </w:r>
          </w:p>
        </w:tc>
        <w:tc>
          <w:tcPr>
            <w:tcW w:w="6810" w:type="dxa"/>
            <w:gridSpan w:val="2"/>
            <w:noWrap w:val="0"/>
            <w:vAlign w:val="center"/>
          </w:tcPr>
          <w:p w14:paraId="69C583C7">
            <w:pPr>
              <w:spacing w:line="42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各主要分部施工方法符合项目实际，须有详尽的施工技术方案，工艺先进、方法科学合理、可行，能指导具体施工并确保安全。</w:t>
            </w:r>
          </w:p>
        </w:tc>
      </w:tr>
      <w:tr w14:paraId="1E85D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gridSpan w:val="2"/>
            <w:vMerge w:val="continue"/>
            <w:noWrap w:val="0"/>
            <w:vAlign w:val="center"/>
          </w:tcPr>
          <w:p w14:paraId="4F5AC433">
            <w:pPr>
              <w:spacing w:line="420" w:lineRule="exact"/>
              <w:jc w:val="center"/>
              <w:rPr>
                <w:rFonts w:hint="eastAsia" w:asciiTheme="minorEastAsia" w:hAnsiTheme="minorEastAsia" w:eastAsiaTheme="minorEastAsia" w:cstheme="minorEastAsia"/>
                <w:b/>
                <w:color w:val="auto"/>
                <w:kern w:val="0"/>
                <w:szCs w:val="21"/>
                <w:highlight w:val="none"/>
              </w:rPr>
            </w:pPr>
          </w:p>
        </w:tc>
        <w:tc>
          <w:tcPr>
            <w:tcW w:w="2033" w:type="dxa"/>
            <w:noWrap w:val="0"/>
            <w:vAlign w:val="center"/>
          </w:tcPr>
          <w:p w14:paraId="4176A71C">
            <w:pPr>
              <w:spacing w:line="42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highlight w:val="none"/>
              </w:rPr>
              <w:t>拟投入的主要物资计划（</w:t>
            </w: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rPr>
              <w:t>分）</w:t>
            </w:r>
          </w:p>
        </w:tc>
        <w:tc>
          <w:tcPr>
            <w:tcW w:w="6810" w:type="dxa"/>
            <w:gridSpan w:val="2"/>
            <w:noWrap w:val="0"/>
            <w:vAlign w:val="center"/>
          </w:tcPr>
          <w:p w14:paraId="2040062F">
            <w:pPr>
              <w:widowControl/>
              <w:spacing w:line="360" w:lineRule="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highlight w:val="none"/>
              </w:rPr>
              <w:t>投入的施工材料有详细的组织计划且计划周密，数量、选型配置、进场时间安排合理，满足施工需要。</w:t>
            </w:r>
          </w:p>
        </w:tc>
      </w:tr>
      <w:tr w14:paraId="2FEA8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1595" w:type="dxa"/>
            <w:gridSpan w:val="2"/>
            <w:vMerge w:val="continue"/>
            <w:noWrap w:val="0"/>
            <w:vAlign w:val="center"/>
          </w:tcPr>
          <w:p w14:paraId="6196D642">
            <w:pPr>
              <w:spacing w:line="420" w:lineRule="exact"/>
              <w:ind w:firstLine="420" w:firstLineChars="200"/>
              <w:rPr>
                <w:rFonts w:hint="eastAsia" w:asciiTheme="minorEastAsia" w:hAnsiTheme="minorEastAsia" w:eastAsiaTheme="minorEastAsia" w:cstheme="minorEastAsia"/>
                <w:color w:val="auto"/>
                <w:highlight w:val="none"/>
              </w:rPr>
            </w:pPr>
          </w:p>
        </w:tc>
        <w:tc>
          <w:tcPr>
            <w:tcW w:w="2033" w:type="dxa"/>
            <w:noWrap w:val="0"/>
            <w:vAlign w:val="center"/>
          </w:tcPr>
          <w:p w14:paraId="3E1CEF34">
            <w:pPr>
              <w:widowControl/>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拟投入的主要施工机械、设备计划</w:t>
            </w:r>
          </w:p>
          <w:p w14:paraId="2678103C">
            <w:pPr>
              <w:widowControl/>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rPr>
              <w:t>分）</w:t>
            </w:r>
          </w:p>
        </w:tc>
        <w:tc>
          <w:tcPr>
            <w:tcW w:w="6810" w:type="dxa"/>
            <w:gridSpan w:val="2"/>
            <w:noWrap w:val="0"/>
            <w:vAlign w:val="center"/>
          </w:tcPr>
          <w:p w14:paraId="47CBA3A8">
            <w:pPr>
              <w:widowControl/>
              <w:spacing w:line="360" w:lineRule="auto"/>
              <w:rPr>
                <w:rFonts w:hint="eastAsia" w:asciiTheme="minorEastAsia" w:hAnsiTheme="minorEastAsia" w:eastAsiaTheme="minorEastAsia" w:cstheme="minorEastAsia"/>
                <w:bCs/>
                <w:color w:val="auto"/>
                <w:szCs w:val="21"/>
                <w:highlight w:val="none"/>
                <w:lang w:eastAsia="zh-CN"/>
              </w:rPr>
            </w:pPr>
            <w:r>
              <w:rPr>
                <w:rFonts w:hint="eastAsia" w:asciiTheme="minorEastAsia" w:hAnsiTheme="minorEastAsia" w:eastAsiaTheme="minorEastAsia" w:cstheme="minorEastAsia"/>
                <w:color w:val="auto"/>
                <w:highlight w:val="none"/>
              </w:rPr>
              <w:t>投入的施工机械、设备、机具有详细的组织计划且计划周密，设备数量、选型配置、进场时间安排合理，满足施工需要。</w:t>
            </w:r>
          </w:p>
        </w:tc>
      </w:tr>
      <w:tr w14:paraId="7C4CD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1595" w:type="dxa"/>
            <w:gridSpan w:val="2"/>
            <w:vMerge w:val="continue"/>
            <w:noWrap w:val="0"/>
            <w:vAlign w:val="center"/>
          </w:tcPr>
          <w:p w14:paraId="56BE7BE7">
            <w:pPr>
              <w:spacing w:line="420" w:lineRule="exact"/>
              <w:ind w:firstLine="420" w:firstLineChars="200"/>
              <w:rPr>
                <w:rFonts w:hint="eastAsia" w:asciiTheme="minorEastAsia" w:hAnsiTheme="minorEastAsia" w:eastAsiaTheme="minorEastAsia" w:cstheme="minorEastAsia"/>
                <w:bCs/>
                <w:color w:val="auto"/>
                <w:szCs w:val="21"/>
                <w:highlight w:val="none"/>
              </w:rPr>
            </w:pPr>
          </w:p>
        </w:tc>
        <w:tc>
          <w:tcPr>
            <w:tcW w:w="2033" w:type="dxa"/>
            <w:noWrap w:val="0"/>
            <w:vAlign w:val="center"/>
          </w:tcPr>
          <w:p w14:paraId="58267D4C">
            <w:pPr>
              <w:widowControl/>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劳动力安排计划</w:t>
            </w:r>
          </w:p>
          <w:p w14:paraId="3933F7DF">
            <w:pPr>
              <w:widowControl/>
              <w:spacing w:line="360" w:lineRule="auto"/>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rPr>
              <w:t>分）</w:t>
            </w:r>
          </w:p>
        </w:tc>
        <w:tc>
          <w:tcPr>
            <w:tcW w:w="6810" w:type="dxa"/>
            <w:gridSpan w:val="2"/>
            <w:noWrap w:val="0"/>
            <w:vAlign w:val="center"/>
          </w:tcPr>
          <w:p w14:paraId="69D4BDB3">
            <w:pPr>
              <w:widowControl/>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color w:val="auto"/>
                <w:highlight w:val="none"/>
              </w:rPr>
              <w:t>各主要施工工序应有详细周密的劳动力安排计划，有各工种劳动力安排计划，劳动力投入合理，满足施工需要。</w:t>
            </w:r>
          </w:p>
        </w:tc>
      </w:tr>
      <w:tr w14:paraId="0F999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3" w:hRule="atLeast"/>
        </w:trPr>
        <w:tc>
          <w:tcPr>
            <w:tcW w:w="1595" w:type="dxa"/>
            <w:gridSpan w:val="2"/>
            <w:vMerge w:val="continue"/>
            <w:noWrap w:val="0"/>
            <w:vAlign w:val="center"/>
          </w:tcPr>
          <w:p w14:paraId="7AC489A4">
            <w:pPr>
              <w:spacing w:line="420" w:lineRule="exact"/>
              <w:ind w:firstLine="420" w:firstLineChars="200"/>
              <w:rPr>
                <w:rFonts w:hint="eastAsia" w:asciiTheme="minorEastAsia" w:hAnsiTheme="minorEastAsia" w:eastAsiaTheme="minorEastAsia" w:cstheme="minorEastAsia"/>
                <w:bCs/>
                <w:color w:val="auto"/>
                <w:szCs w:val="21"/>
                <w:highlight w:val="none"/>
              </w:rPr>
            </w:pPr>
          </w:p>
        </w:tc>
        <w:tc>
          <w:tcPr>
            <w:tcW w:w="2033" w:type="dxa"/>
            <w:noWrap w:val="0"/>
            <w:vAlign w:val="center"/>
          </w:tcPr>
          <w:p w14:paraId="2EBBFD6F">
            <w:pPr>
              <w:widowControl/>
              <w:spacing w:line="360" w:lineRule="auto"/>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color w:val="auto"/>
                <w:highlight w:val="none"/>
              </w:rPr>
              <w:t>确保工程质量的技术组织措施（</w:t>
            </w: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rPr>
              <w:t>分）</w:t>
            </w:r>
          </w:p>
        </w:tc>
        <w:tc>
          <w:tcPr>
            <w:tcW w:w="6810" w:type="dxa"/>
            <w:gridSpan w:val="2"/>
            <w:noWrap w:val="0"/>
            <w:vAlign w:val="center"/>
          </w:tcPr>
          <w:p w14:paraId="528618AA">
            <w:pPr>
              <w:widowControl/>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color w:val="auto"/>
                <w:highlight w:val="none"/>
              </w:rPr>
              <w:t>应有专门的质量技术管理班子和制度，且人员配备合理，制度健全。主要工序应有质量技术保证措施和手段，自控体系完整，能有效保证技术质量，达到承诺的质量标准。</w:t>
            </w:r>
          </w:p>
        </w:tc>
      </w:tr>
      <w:tr w14:paraId="5EF42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gridSpan w:val="2"/>
            <w:vMerge w:val="continue"/>
            <w:noWrap w:val="0"/>
            <w:vAlign w:val="center"/>
          </w:tcPr>
          <w:p w14:paraId="430A5918">
            <w:pPr>
              <w:spacing w:line="420" w:lineRule="exact"/>
              <w:ind w:firstLine="420" w:firstLineChars="200"/>
              <w:rPr>
                <w:rFonts w:hint="eastAsia" w:asciiTheme="minorEastAsia" w:hAnsiTheme="minorEastAsia" w:eastAsiaTheme="minorEastAsia" w:cstheme="minorEastAsia"/>
                <w:bCs/>
                <w:color w:val="auto"/>
                <w:szCs w:val="21"/>
                <w:highlight w:val="none"/>
              </w:rPr>
            </w:pPr>
          </w:p>
        </w:tc>
        <w:tc>
          <w:tcPr>
            <w:tcW w:w="2033" w:type="dxa"/>
            <w:noWrap w:val="0"/>
            <w:vAlign w:val="center"/>
          </w:tcPr>
          <w:p w14:paraId="24908EB0">
            <w:pPr>
              <w:widowControl/>
              <w:spacing w:line="360" w:lineRule="auto"/>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color w:val="auto"/>
                <w:highlight w:val="none"/>
              </w:rPr>
              <w:t>确保安全生产的技术组织措施（</w:t>
            </w: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rPr>
              <w:t>分）</w:t>
            </w:r>
          </w:p>
        </w:tc>
        <w:tc>
          <w:tcPr>
            <w:tcW w:w="6810" w:type="dxa"/>
            <w:gridSpan w:val="2"/>
            <w:noWrap w:val="0"/>
            <w:vAlign w:val="center"/>
          </w:tcPr>
          <w:p w14:paraId="5B2922D1">
            <w:pPr>
              <w:widowControl/>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color w:val="auto"/>
                <w:highlight w:val="none"/>
              </w:rPr>
              <w:t>应有专门的安全管理人员和制度，且人员配备合理，制度健全，各道工序安全技术措施针对性强，符合实际且满足有关安全技术标准要求。现场防火、应急救援、社会治安安全措施得力。</w:t>
            </w:r>
          </w:p>
        </w:tc>
      </w:tr>
      <w:tr w14:paraId="0F917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1595" w:type="dxa"/>
            <w:gridSpan w:val="2"/>
            <w:vMerge w:val="continue"/>
            <w:noWrap w:val="0"/>
            <w:vAlign w:val="center"/>
          </w:tcPr>
          <w:p w14:paraId="78254F7B">
            <w:pPr>
              <w:spacing w:line="420" w:lineRule="exact"/>
              <w:ind w:firstLine="420" w:firstLineChars="200"/>
              <w:rPr>
                <w:rFonts w:hint="eastAsia" w:asciiTheme="minorEastAsia" w:hAnsiTheme="minorEastAsia" w:eastAsiaTheme="minorEastAsia" w:cstheme="minorEastAsia"/>
                <w:bCs/>
                <w:color w:val="auto"/>
                <w:szCs w:val="21"/>
                <w:highlight w:val="none"/>
              </w:rPr>
            </w:pPr>
          </w:p>
        </w:tc>
        <w:tc>
          <w:tcPr>
            <w:tcW w:w="2033" w:type="dxa"/>
            <w:noWrap w:val="0"/>
            <w:vAlign w:val="center"/>
          </w:tcPr>
          <w:p w14:paraId="3F0057E4">
            <w:pPr>
              <w:widowControl/>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确保工期的技术组织措施（</w:t>
            </w: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rPr>
              <w:t>分）</w:t>
            </w:r>
          </w:p>
        </w:tc>
        <w:tc>
          <w:tcPr>
            <w:tcW w:w="6810" w:type="dxa"/>
            <w:gridSpan w:val="2"/>
            <w:noWrap w:val="0"/>
            <w:vAlign w:val="center"/>
          </w:tcPr>
          <w:p w14:paraId="533688C5">
            <w:pPr>
              <w:widowControl/>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在施工工艺、施工方法、材料选用、劳动力安排、技术等方面有保证工期的具体措施且措施得当。有控制工期的施工进度计划。应有施工总进度表或施工网络图，各项计划图表编制完善，安排科学合理，符合本项目施工实际要求。</w:t>
            </w:r>
          </w:p>
        </w:tc>
      </w:tr>
      <w:tr w14:paraId="118CF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gridSpan w:val="2"/>
            <w:vMerge w:val="continue"/>
            <w:noWrap w:val="0"/>
            <w:vAlign w:val="center"/>
          </w:tcPr>
          <w:p w14:paraId="1AE15061">
            <w:pPr>
              <w:spacing w:line="420" w:lineRule="exact"/>
              <w:ind w:firstLine="420" w:firstLineChars="200"/>
              <w:rPr>
                <w:rFonts w:hint="eastAsia" w:asciiTheme="minorEastAsia" w:hAnsiTheme="minorEastAsia" w:eastAsiaTheme="minorEastAsia" w:cstheme="minorEastAsia"/>
                <w:bCs/>
                <w:color w:val="auto"/>
                <w:szCs w:val="21"/>
                <w:highlight w:val="none"/>
              </w:rPr>
            </w:pPr>
          </w:p>
        </w:tc>
        <w:tc>
          <w:tcPr>
            <w:tcW w:w="2033" w:type="dxa"/>
            <w:noWrap w:val="0"/>
            <w:vAlign w:val="center"/>
          </w:tcPr>
          <w:p w14:paraId="3BB3B3D2">
            <w:pPr>
              <w:widowControl/>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确保文明施工的技术组织措施（</w:t>
            </w: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rPr>
              <w:t>分）</w:t>
            </w:r>
          </w:p>
        </w:tc>
        <w:tc>
          <w:tcPr>
            <w:tcW w:w="6810" w:type="dxa"/>
            <w:gridSpan w:val="2"/>
            <w:noWrap w:val="0"/>
            <w:vAlign w:val="center"/>
          </w:tcPr>
          <w:p w14:paraId="014A7BDD">
            <w:pPr>
              <w:widowControl/>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1"/>
                <w:szCs w:val="21"/>
                <w:highlight w:val="none"/>
              </w:rPr>
              <w:t>针对本工程项目特点，应有现场文明施工、环境保护措施，且措施内容应达到《建筑施工安全生产检查标准》（JGJ59-2011）合格标准并符合《广西壮族自治区建筑工程文明施工导则》要求。各项措施周全、具体、有效。有具体实现现场文明施工目标的承诺。</w:t>
            </w:r>
          </w:p>
        </w:tc>
      </w:tr>
      <w:tr w14:paraId="1F2D5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gridSpan w:val="2"/>
            <w:vMerge w:val="continue"/>
            <w:noWrap w:val="0"/>
            <w:vAlign w:val="center"/>
          </w:tcPr>
          <w:p w14:paraId="3C998DC4">
            <w:pPr>
              <w:spacing w:line="420" w:lineRule="exact"/>
              <w:ind w:firstLine="420" w:firstLineChars="200"/>
              <w:rPr>
                <w:rFonts w:hint="eastAsia" w:asciiTheme="minorEastAsia" w:hAnsiTheme="minorEastAsia" w:eastAsiaTheme="minorEastAsia" w:cstheme="minorEastAsia"/>
                <w:bCs/>
                <w:color w:val="auto"/>
                <w:szCs w:val="21"/>
                <w:highlight w:val="none"/>
              </w:rPr>
            </w:pPr>
          </w:p>
        </w:tc>
        <w:tc>
          <w:tcPr>
            <w:tcW w:w="2033" w:type="dxa"/>
            <w:noWrap w:val="0"/>
            <w:vAlign w:val="center"/>
          </w:tcPr>
          <w:p w14:paraId="75F35DEE">
            <w:pPr>
              <w:widowControl/>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工程施工的重点和难点及保证措</w:t>
            </w:r>
          </w:p>
          <w:p w14:paraId="736134F1">
            <w:pPr>
              <w:widowControl/>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rPr>
              <w:t>分）</w:t>
            </w:r>
          </w:p>
        </w:tc>
        <w:tc>
          <w:tcPr>
            <w:tcW w:w="6810" w:type="dxa"/>
            <w:gridSpan w:val="2"/>
            <w:noWrap w:val="0"/>
            <w:vAlign w:val="center"/>
          </w:tcPr>
          <w:p w14:paraId="51F86FA2">
            <w:pPr>
              <w:widowControl/>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针对本工程的特点，阐述本工程的重点和难点，解决重点和难点问题的方法是否合理。</w:t>
            </w:r>
          </w:p>
        </w:tc>
      </w:tr>
      <w:tr w14:paraId="630A5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595" w:type="dxa"/>
            <w:gridSpan w:val="2"/>
            <w:vMerge w:val="continue"/>
            <w:noWrap w:val="0"/>
            <w:vAlign w:val="center"/>
          </w:tcPr>
          <w:p w14:paraId="3B6E80B9">
            <w:pPr>
              <w:spacing w:line="420" w:lineRule="exact"/>
              <w:ind w:firstLine="420" w:firstLineChars="200"/>
              <w:rPr>
                <w:rFonts w:hint="eastAsia" w:asciiTheme="minorEastAsia" w:hAnsiTheme="minorEastAsia" w:eastAsiaTheme="minorEastAsia" w:cstheme="minorEastAsia"/>
                <w:bCs/>
                <w:color w:val="auto"/>
                <w:szCs w:val="21"/>
                <w:highlight w:val="none"/>
              </w:rPr>
            </w:pPr>
          </w:p>
        </w:tc>
        <w:tc>
          <w:tcPr>
            <w:tcW w:w="2033" w:type="dxa"/>
            <w:noWrap w:val="0"/>
            <w:vAlign w:val="center"/>
          </w:tcPr>
          <w:p w14:paraId="6F61A1E3">
            <w:pPr>
              <w:widowControl/>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施工总平面布置图（</w:t>
            </w: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rPr>
              <w:t>分）</w:t>
            </w:r>
          </w:p>
        </w:tc>
        <w:tc>
          <w:tcPr>
            <w:tcW w:w="6810" w:type="dxa"/>
            <w:gridSpan w:val="2"/>
            <w:noWrap w:val="0"/>
            <w:vAlign w:val="center"/>
          </w:tcPr>
          <w:p w14:paraId="5D52D999">
            <w:pPr>
              <w:widowControl/>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应有施工总平面布置图，安排科学合理，符合本项目施工实际要求。</w:t>
            </w:r>
          </w:p>
        </w:tc>
      </w:tr>
      <w:tr w14:paraId="3B06C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595" w:type="dxa"/>
            <w:gridSpan w:val="2"/>
            <w:noWrap w:val="0"/>
            <w:vAlign w:val="center"/>
          </w:tcPr>
          <w:p w14:paraId="344C8F36">
            <w:pPr>
              <w:spacing w:line="400" w:lineRule="exact"/>
              <w:jc w:val="center"/>
              <w:rPr>
                <w:rFonts w:hint="eastAsia" w:asciiTheme="minorEastAsia" w:hAnsiTheme="minorEastAsia" w:eastAsiaTheme="minorEastAsia" w:cstheme="minorEastAsia"/>
                <w:b/>
                <w:bCs w:val="0"/>
                <w:color w:val="auto"/>
                <w:szCs w:val="21"/>
                <w:highlight w:val="none"/>
              </w:rPr>
            </w:pPr>
            <w:r>
              <w:rPr>
                <w:rFonts w:hint="eastAsia" w:asciiTheme="minorEastAsia" w:hAnsiTheme="minorEastAsia" w:eastAsiaTheme="minorEastAsia" w:cstheme="minorEastAsia"/>
                <w:b/>
                <w:bCs w:val="0"/>
                <w:color w:val="auto"/>
                <w:szCs w:val="21"/>
                <w:highlight w:val="none"/>
              </w:rPr>
              <w:t>项目管理机构</w:t>
            </w:r>
          </w:p>
          <w:p w14:paraId="180D357A">
            <w:pPr>
              <w:autoSpaceDE w:val="0"/>
              <w:autoSpaceDN w:val="0"/>
              <w:adjustRightInd w:val="0"/>
              <w:spacing w:line="420" w:lineRule="exact"/>
              <w:jc w:val="center"/>
              <w:rPr>
                <w:rFonts w:hint="eastAsia" w:asciiTheme="minorEastAsia" w:hAnsiTheme="minorEastAsia" w:eastAsiaTheme="minorEastAsia" w:cstheme="minorEastAsia"/>
                <w:b w:val="0"/>
                <w:bCs/>
                <w:color w:val="auto"/>
                <w:kern w:val="0"/>
                <w:szCs w:val="21"/>
                <w:highlight w:val="none"/>
              </w:rPr>
            </w:pPr>
            <w:r>
              <w:rPr>
                <w:rFonts w:hint="eastAsia" w:asciiTheme="minorEastAsia" w:hAnsiTheme="minorEastAsia" w:eastAsiaTheme="minorEastAsia" w:cstheme="minorEastAsia"/>
                <w:b/>
                <w:bCs w:val="0"/>
                <w:color w:val="auto"/>
                <w:szCs w:val="21"/>
                <w:highlight w:val="none"/>
              </w:rPr>
              <w:t>（满分</w:t>
            </w:r>
            <w:r>
              <w:rPr>
                <w:rFonts w:hint="eastAsia" w:asciiTheme="minorEastAsia" w:hAnsiTheme="minorEastAsia" w:eastAsiaTheme="minorEastAsia" w:cstheme="minorEastAsia"/>
                <w:b/>
                <w:bCs w:val="0"/>
                <w:color w:val="auto"/>
                <w:szCs w:val="21"/>
                <w:highlight w:val="none"/>
                <w:lang w:val="en-US" w:eastAsia="zh-CN"/>
              </w:rPr>
              <w:t>10</w:t>
            </w:r>
            <w:r>
              <w:rPr>
                <w:rFonts w:hint="eastAsia" w:asciiTheme="minorEastAsia" w:hAnsiTheme="minorEastAsia" w:eastAsiaTheme="minorEastAsia" w:cstheme="minorEastAsia"/>
                <w:b/>
                <w:bCs w:val="0"/>
                <w:color w:val="auto"/>
                <w:szCs w:val="21"/>
                <w:highlight w:val="none"/>
              </w:rPr>
              <w:t>分）</w:t>
            </w:r>
          </w:p>
        </w:tc>
        <w:tc>
          <w:tcPr>
            <w:tcW w:w="8843" w:type="dxa"/>
            <w:gridSpan w:val="3"/>
            <w:noWrap w:val="0"/>
            <w:vAlign w:val="center"/>
          </w:tcPr>
          <w:p w14:paraId="7614FED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1、项目经理任职资格与业绩、工作经历等（满分</w:t>
            </w: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lang w:eastAsia="zh-CN"/>
              </w:rPr>
              <w:t>分）：</w:t>
            </w:r>
          </w:p>
          <w:p w14:paraId="5A01F16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拟派任项目经理（或注册建造师）必须与资格审查合格通过的项目经理（或注册建造师）在名称、专业、资格等级等方面一致。</w:t>
            </w:r>
          </w:p>
          <w:p w14:paraId="37C32AE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auto"/>
                <w:szCs w:val="21"/>
                <w:highlight w:val="none"/>
                <w:lang w:eastAsia="zh-CN"/>
              </w:rPr>
            </w:pPr>
            <w:bookmarkStart w:id="1302" w:name="_GoBack"/>
            <w:bookmarkEnd w:id="1302"/>
            <w:r>
              <w:rPr>
                <w:rFonts w:hint="eastAsia" w:asciiTheme="minorEastAsia" w:hAnsiTheme="minorEastAsia" w:eastAsiaTheme="minorEastAsia" w:cstheme="minorEastAsia"/>
                <w:color w:val="auto"/>
                <w:szCs w:val="21"/>
                <w:highlight w:val="none"/>
                <w:lang w:eastAsia="zh-CN"/>
              </w:rPr>
              <w:t>项目经理（</w:t>
            </w: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lang w:eastAsia="zh-CN"/>
              </w:rPr>
              <w:t>分）</w:t>
            </w:r>
          </w:p>
          <w:p w14:paraId="1CD3F9F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b w:val="0"/>
                <w:bCs w:val="0"/>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（1）拟派往本项目的项目经理</w:t>
            </w:r>
            <w:r>
              <w:rPr>
                <w:rFonts w:hint="eastAsia" w:asciiTheme="minorEastAsia" w:hAnsiTheme="minorEastAsia" w:eastAsiaTheme="minorEastAsia" w:cstheme="minorEastAsia"/>
                <w:color w:val="auto"/>
                <w:szCs w:val="21"/>
                <w:highlight w:val="none"/>
                <w:lang w:val="en-US" w:eastAsia="zh-CN"/>
              </w:rPr>
              <w:t>具备市政工程专业注册建造师二级以上（含二级）执业资格和具备有效的《安全生产考核合格证书（B类）》【提供项目经理注册建造师执业资格证书和安全生产考核合格证书（B类）的扫描件】</w:t>
            </w:r>
            <w:r>
              <w:rPr>
                <w:rFonts w:hint="eastAsia" w:asciiTheme="minorEastAsia" w:hAnsiTheme="minorEastAsia" w:eastAsiaTheme="minorEastAsia" w:cstheme="minorEastAsia"/>
                <w:color w:val="auto"/>
                <w:szCs w:val="21"/>
                <w:highlight w:val="none"/>
                <w:lang w:eastAsia="zh-CN"/>
              </w:rPr>
              <w:t>的得</w:t>
            </w: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lang w:eastAsia="zh-CN"/>
              </w:rPr>
              <w:t>分。</w:t>
            </w:r>
          </w:p>
          <w:p w14:paraId="146DB03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Cs w:val="21"/>
                <w:highlight w:val="none"/>
                <w:lang w:eastAsia="zh-CN"/>
              </w:rPr>
            </w:pPr>
            <w:r>
              <w:rPr>
                <w:rFonts w:hint="eastAsia" w:asciiTheme="minorEastAsia" w:hAnsiTheme="minorEastAsia" w:eastAsiaTheme="minorEastAsia" w:cstheme="minorEastAsia"/>
                <w:b w:val="0"/>
                <w:bCs w:val="0"/>
                <w:color w:val="auto"/>
                <w:szCs w:val="21"/>
                <w:highlight w:val="none"/>
                <w:lang w:eastAsia="zh-CN"/>
              </w:rPr>
              <w:t>2、其他主要人员（满分</w:t>
            </w:r>
            <w:r>
              <w:rPr>
                <w:rFonts w:hint="eastAsia" w:asciiTheme="minorEastAsia" w:hAnsiTheme="minorEastAsia" w:eastAsiaTheme="minorEastAsia" w:cstheme="minorEastAsia"/>
                <w:b w:val="0"/>
                <w:bCs w:val="0"/>
                <w:color w:val="auto"/>
                <w:szCs w:val="21"/>
                <w:highlight w:val="none"/>
                <w:lang w:val="en-US" w:eastAsia="zh-CN"/>
              </w:rPr>
              <w:t>6</w:t>
            </w:r>
            <w:r>
              <w:rPr>
                <w:rFonts w:hint="eastAsia" w:asciiTheme="minorEastAsia" w:hAnsiTheme="minorEastAsia" w:eastAsiaTheme="minorEastAsia" w:cstheme="minorEastAsia"/>
                <w:b w:val="0"/>
                <w:bCs w:val="0"/>
                <w:color w:val="auto"/>
                <w:szCs w:val="21"/>
                <w:highlight w:val="none"/>
                <w:lang w:eastAsia="zh-CN"/>
              </w:rPr>
              <w:t>分 ）</w:t>
            </w:r>
          </w:p>
          <w:p w14:paraId="42FF1AE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b w:val="0"/>
                <w:bCs w:val="0"/>
                <w:color w:val="auto"/>
                <w:kern w:val="2"/>
                <w:sz w:val="21"/>
                <w:szCs w:val="24"/>
                <w:highlight w:val="none"/>
                <w:lang w:val="en-US" w:eastAsia="zh-CN" w:bidi="ar-SA"/>
              </w:rPr>
            </w:pPr>
            <w:r>
              <w:rPr>
                <w:rFonts w:hint="eastAsia" w:asciiTheme="minorEastAsia" w:hAnsiTheme="minorEastAsia" w:eastAsiaTheme="minorEastAsia" w:cstheme="minorEastAsia"/>
                <w:b w:val="0"/>
                <w:bCs w:val="0"/>
                <w:color w:val="auto"/>
                <w:kern w:val="2"/>
                <w:sz w:val="21"/>
                <w:szCs w:val="24"/>
                <w:highlight w:val="none"/>
                <w:lang w:val="en-US" w:eastAsia="zh-CN" w:bidi="ar-SA"/>
              </w:rPr>
              <w:t>基本要求：人员齐备、专业配套应与资格审查提供的人员配备相一致，且具备相关岗位证书（拟派驻本项目的技术负责人应具有中级及以上职称证件，安全员、质量员应具有相应岗位资格证书，且拟投入的项目管理人员符合国家及广西壮族自治区的规定）。</w:t>
            </w:r>
          </w:p>
          <w:p w14:paraId="4CF5AFA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b w:val="0"/>
                <w:bCs w:val="0"/>
                <w:color w:val="auto"/>
                <w:kern w:val="2"/>
                <w:sz w:val="21"/>
                <w:szCs w:val="24"/>
                <w:highlight w:val="none"/>
                <w:lang w:val="en-US" w:eastAsia="zh-CN" w:bidi="ar-SA"/>
              </w:rPr>
            </w:pPr>
            <w:r>
              <w:rPr>
                <w:rFonts w:hint="eastAsia" w:asciiTheme="minorEastAsia" w:hAnsiTheme="minorEastAsia" w:eastAsiaTheme="minorEastAsia" w:cstheme="minorEastAsia"/>
                <w:b w:val="0"/>
                <w:bCs w:val="0"/>
                <w:color w:val="auto"/>
                <w:kern w:val="2"/>
                <w:sz w:val="21"/>
                <w:szCs w:val="24"/>
                <w:highlight w:val="none"/>
                <w:lang w:val="en-US" w:eastAsia="zh-CN" w:bidi="ar-SA"/>
              </w:rPr>
              <w:t>评分内容：</w:t>
            </w:r>
          </w:p>
          <w:p w14:paraId="57AE710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b w:val="0"/>
                <w:bCs w:val="0"/>
                <w:color w:val="auto"/>
                <w:kern w:val="2"/>
                <w:sz w:val="21"/>
                <w:szCs w:val="24"/>
                <w:highlight w:val="none"/>
                <w:lang w:val="en-US" w:eastAsia="zh-CN" w:bidi="ar-SA"/>
              </w:rPr>
            </w:pPr>
            <w:r>
              <w:rPr>
                <w:rFonts w:hint="eastAsia" w:asciiTheme="minorEastAsia" w:hAnsiTheme="minorEastAsia" w:eastAsiaTheme="minorEastAsia" w:cstheme="minorEastAsia"/>
                <w:b w:val="0"/>
                <w:bCs w:val="0"/>
                <w:color w:val="auto"/>
                <w:kern w:val="2"/>
                <w:sz w:val="21"/>
                <w:szCs w:val="24"/>
                <w:highlight w:val="none"/>
                <w:lang w:val="en-US" w:eastAsia="zh-CN" w:bidi="ar-SA"/>
              </w:rPr>
              <w:t>1）.技术负责人（4分）拟派往本项目的技术负责人具有公路工程类类专业(专业以技术职称证书所填写专业为准)中级或中级以上技术职称；得4分。</w:t>
            </w:r>
          </w:p>
          <w:p w14:paraId="481EEED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auto"/>
                <w:kern w:val="2"/>
                <w:sz w:val="21"/>
                <w:szCs w:val="24"/>
                <w:highlight w:val="none"/>
                <w:lang w:val="en-US" w:eastAsia="zh-CN" w:bidi="ar-SA"/>
              </w:rPr>
            </w:pPr>
            <w:r>
              <w:rPr>
                <w:rFonts w:hint="eastAsia" w:asciiTheme="minorEastAsia" w:hAnsiTheme="minorEastAsia" w:eastAsiaTheme="minorEastAsia" w:cstheme="minorEastAsia"/>
                <w:b w:val="0"/>
                <w:bCs w:val="0"/>
                <w:color w:val="auto"/>
                <w:kern w:val="2"/>
                <w:sz w:val="21"/>
                <w:szCs w:val="24"/>
                <w:highlight w:val="none"/>
                <w:lang w:val="en-US" w:eastAsia="zh-CN" w:bidi="ar-SA"/>
              </w:rPr>
              <w:t>2）.其他管理人员（2分）拟指派本项目其他管理人员（安全员、质量员）中，持有省级或省级以上建设主管部门颁发的资格证书得2分。</w:t>
            </w:r>
          </w:p>
        </w:tc>
      </w:tr>
      <w:tr w14:paraId="7A951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438" w:type="dxa"/>
            <w:gridSpan w:val="5"/>
            <w:noWrap w:val="0"/>
            <w:vAlign w:val="top"/>
          </w:tcPr>
          <w:p w14:paraId="30A528C9">
            <w:pPr>
              <w:spacing w:line="400" w:lineRule="exact"/>
              <w:jc w:val="both"/>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综合总得分</w:t>
            </w:r>
            <w:r>
              <w:rPr>
                <w:rFonts w:hint="eastAsia" w:asciiTheme="minorEastAsia" w:hAnsiTheme="minorEastAsia" w:eastAsiaTheme="minorEastAsia" w:cstheme="minorEastAsia"/>
                <w:b/>
                <w:bCs/>
                <w:color w:val="auto"/>
                <w:szCs w:val="21"/>
                <w:highlight w:val="none"/>
              </w:rPr>
              <w:t>＝报价分+</w:t>
            </w:r>
            <w:r>
              <w:rPr>
                <w:rFonts w:hint="eastAsia" w:asciiTheme="minorEastAsia" w:hAnsiTheme="minorEastAsia" w:eastAsiaTheme="minorEastAsia" w:cstheme="minorEastAsia"/>
                <w:b/>
                <w:color w:val="auto"/>
                <w:kern w:val="0"/>
                <w:szCs w:val="21"/>
                <w:highlight w:val="none"/>
              </w:rPr>
              <w:t>施工组织设计</w:t>
            </w:r>
            <w:r>
              <w:rPr>
                <w:rFonts w:hint="eastAsia" w:asciiTheme="minorEastAsia" w:hAnsiTheme="minorEastAsia" w:eastAsiaTheme="minorEastAsia" w:cstheme="minorEastAsia"/>
                <w:b/>
                <w:color w:val="auto"/>
                <w:kern w:val="0"/>
                <w:szCs w:val="21"/>
                <w:highlight w:val="none"/>
                <w:lang w:val="en-US" w:eastAsia="zh-CN"/>
              </w:rPr>
              <w:t>分+</w:t>
            </w:r>
            <w:r>
              <w:rPr>
                <w:rFonts w:hint="eastAsia" w:asciiTheme="minorEastAsia" w:hAnsiTheme="minorEastAsia" w:eastAsiaTheme="minorEastAsia" w:cstheme="minorEastAsia"/>
                <w:b/>
                <w:color w:val="auto"/>
                <w:szCs w:val="21"/>
                <w:highlight w:val="none"/>
              </w:rPr>
              <w:t>项目管理机构</w:t>
            </w:r>
            <w:r>
              <w:rPr>
                <w:rFonts w:hint="eastAsia" w:asciiTheme="minorEastAsia" w:hAnsiTheme="minorEastAsia" w:eastAsiaTheme="minorEastAsia" w:cstheme="minorEastAsia"/>
                <w:b/>
                <w:color w:val="auto"/>
                <w:szCs w:val="21"/>
                <w:highlight w:val="none"/>
                <w:lang w:val="en-US" w:eastAsia="zh-CN"/>
              </w:rPr>
              <w:t>分=100分</w:t>
            </w:r>
          </w:p>
        </w:tc>
      </w:tr>
    </w:tbl>
    <w:p w14:paraId="3188EF3B">
      <w:pPr>
        <w:snapToGrid w:val="0"/>
        <w:spacing w:line="400" w:lineRule="exact"/>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Cs w:val="21"/>
          <w:highlight w:val="none"/>
        </w:rPr>
        <w:br w:type="page"/>
      </w:r>
      <w:r>
        <w:rPr>
          <w:rFonts w:hint="eastAsia" w:asciiTheme="minorEastAsia" w:hAnsiTheme="minorEastAsia" w:eastAsiaTheme="minorEastAsia" w:cstheme="minorEastAsia"/>
          <w:b/>
          <w:color w:val="auto"/>
          <w:sz w:val="24"/>
          <w:szCs w:val="24"/>
          <w:highlight w:val="none"/>
        </w:rPr>
        <w:t>评标办法正文</w:t>
      </w:r>
    </w:p>
    <w:p w14:paraId="71058D49">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eastAsia="zh-CN"/>
        </w:rPr>
        <w:t>一、</w:t>
      </w:r>
      <w:r>
        <w:rPr>
          <w:rFonts w:hint="eastAsia" w:asciiTheme="minorEastAsia" w:hAnsiTheme="minorEastAsia" w:eastAsiaTheme="minorEastAsia" w:cstheme="minorEastAsia"/>
          <w:b/>
          <w:color w:val="auto"/>
          <w:sz w:val="21"/>
          <w:szCs w:val="21"/>
          <w:highlight w:val="none"/>
        </w:rPr>
        <w:t>评标原则：</w:t>
      </w:r>
    </w:p>
    <w:p w14:paraId="54F710BA">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1、坚持公开、公平、公正、适用合理原则。</w:t>
      </w:r>
    </w:p>
    <w:p w14:paraId="78F3973F">
      <w:pPr>
        <w:keepNext w:val="0"/>
        <w:keepLines w:val="0"/>
        <w:pageBreakBefore w:val="0"/>
        <w:widowControl w:val="0"/>
        <w:tabs>
          <w:tab w:val="left" w:pos="1440"/>
        </w:tabs>
        <w:kinsoku/>
        <w:wordWrap/>
        <w:overflowPunct/>
        <w:topLinePunct w:val="0"/>
        <w:autoSpaceDE/>
        <w:autoSpaceDN/>
        <w:bidi w:val="0"/>
        <w:adjustRightInd/>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val="en-US" w:eastAsia="zh-CN"/>
        </w:rPr>
        <w:t>开标前</w:t>
      </w:r>
      <w:r>
        <w:rPr>
          <w:rFonts w:hint="eastAsia" w:asciiTheme="minorEastAsia" w:hAnsiTheme="minorEastAsia" w:eastAsiaTheme="minorEastAsia" w:cstheme="minorEastAsia"/>
          <w:color w:val="auto"/>
          <w:sz w:val="21"/>
          <w:szCs w:val="21"/>
          <w:highlight w:val="none"/>
        </w:rPr>
        <w:t>由</w:t>
      </w:r>
      <w:r>
        <w:rPr>
          <w:rFonts w:hint="eastAsia" w:asciiTheme="minorEastAsia" w:hAnsiTheme="minorEastAsia" w:eastAsiaTheme="minorEastAsia" w:cstheme="minorEastAsia"/>
          <w:color w:val="auto"/>
          <w:sz w:val="21"/>
          <w:szCs w:val="21"/>
          <w:highlight w:val="none"/>
          <w:lang w:val="en-US" w:eastAsia="zh-CN"/>
        </w:rPr>
        <w:t>采购代理机构在广西政采云平台广西评审专家库</w:t>
      </w:r>
      <w:r>
        <w:rPr>
          <w:rFonts w:hint="eastAsia" w:asciiTheme="minorEastAsia" w:hAnsiTheme="minorEastAsia" w:eastAsiaTheme="minorEastAsia" w:cstheme="minorEastAsia"/>
          <w:color w:val="auto"/>
          <w:sz w:val="21"/>
          <w:szCs w:val="21"/>
          <w:highlight w:val="none"/>
        </w:rPr>
        <w:t>中随机抽取的评标专家组成。评标小组为3人，其中，采购</w:t>
      </w:r>
      <w:r>
        <w:rPr>
          <w:rFonts w:hint="eastAsia" w:asciiTheme="minorEastAsia" w:hAnsiTheme="minorEastAsia" w:eastAsiaTheme="minorEastAsia" w:cstheme="minorEastAsia"/>
          <w:color w:val="auto"/>
          <w:sz w:val="21"/>
          <w:szCs w:val="21"/>
          <w:highlight w:val="none"/>
          <w:lang w:eastAsia="zh-CN"/>
        </w:rPr>
        <w:t>人</w:t>
      </w:r>
      <w:r>
        <w:rPr>
          <w:rFonts w:hint="eastAsia" w:asciiTheme="minorEastAsia" w:hAnsiTheme="minorEastAsia" w:eastAsiaTheme="minorEastAsia" w:cstheme="minorEastAsia"/>
          <w:color w:val="auto"/>
          <w:sz w:val="21"/>
          <w:szCs w:val="21"/>
          <w:highlight w:val="none"/>
        </w:rPr>
        <w:t>评标代表1人，评标专家库中随机抽取2人。</w:t>
      </w:r>
      <w:r>
        <w:rPr>
          <w:rFonts w:hint="eastAsia" w:asciiTheme="minorEastAsia" w:hAnsiTheme="minorEastAsia" w:eastAsiaTheme="minorEastAsia" w:cstheme="minorEastAsia"/>
          <w:color w:val="auto"/>
          <w:sz w:val="21"/>
          <w:szCs w:val="21"/>
          <w:highlight w:val="none"/>
          <w:lang w:eastAsia="zh-CN"/>
        </w:rPr>
        <w:t>磋商</w:t>
      </w:r>
      <w:r>
        <w:rPr>
          <w:rFonts w:hint="eastAsia" w:asciiTheme="minorEastAsia" w:hAnsiTheme="minorEastAsia" w:eastAsiaTheme="minorEastAsia" w:cstheme="minorEastAsia"/>
          <w:color w:val="auto"/>
          <w:sz w:val="21"/>
          <w:szCs w:val="21"/>
          <w:highlight w:val="none"/>
        </w:rPr>
        <w:t>小组以</w:t>
      </w:r>
      <w:r>
        <w:rPr>
          <w:rFonts w:hint="eastAsia" w:asciiTheme="minorEastAsia" w:hAnsiTheme="minorEastAsia" w:eastAsiaTheme="minorEastAsia" w:cstheme="minorEastAsia"/>
          <w:color w:val="auto"/>
          <w:sz w:val="21"/>
          <w:szCs w:val="21"/>
          <w:highlight w:val="none"/>
          <w:lang w:eastAsia="zh-CN"/>
        </w:rPr>
        <w:t>《竞争性磋商文件》</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eastAsia="zh-CN"/>
        </w:rPr>
        <w:t>《响应文件》</w:t>
      </w:r>
      <w:r>
        <w:rPr>
          <w:rFonts w:hint="eastAsia" w:asciiTheme="minorEastAsia" w:hAnsiTheme="minorEastAsia" w:eastAsiaTheme="minorEastAsia" w:cstheme="minorEastAsia"/>
          <w:color w:val="auto"/>
          <w:sz w:val="21"/>
          <w:szCs w:val="21"/>
          <w:highlight w:val="none"/>
        </w:rPr>
        <w:t>为评标依据，本项目采用</w:t>
      </w:r>
      <w:r>
        <w:rPr>
          <w:rFonts w:hint="eastAsia" w:asciiTheme="minorEastAsia" w:hAnsiTheme="minorEastAsia" w:eastAsiaTheme="minorEastAsia" w:cstheme="minorEastAsia"/>
          <w:b/>
          <w:bCs/>
          <w:color w:val="auto"/>
          <w:sz w:val="21"/>
          <w:szCs w:val="21"/>
          <w:highlight w:val="none"/>
          <w:u w:val="single"/>
        </w:rPr>
        <w:t>综合评分法</w:t>
      </w:r>
      <w:r>
        <w:rPr>
          <w:rFonts w:hint="eastAsia" w:asciiTheme="minorEastAsia" w:hAnsiTheme="minorEastAsia" w:eastAsiaTheme="minorEastAsia" w:cstheme="minorEastAsia"/>
          <w:bCs/>
          <w:color w:val="auto"/>
          <w:sz w:val="21"/>
          <w:szCs w:val="21"/>
          <w:highlight w:val="none"/>
        </w:rPr>
        <w:t>进行</w:t>
      </w:r>
      <w:r>
        <w:rPr>
          <w:rFonts w:hint="eastAsia" w:asciiTheme="minorEastAsia" w:hAnsiTheme="minorEastAsia" w:eastAsiaTheme="minorEastAsia" w:cstheme="minorEastAsia"/>
          <w:color w:val="auto"/>
          <w:sz w:val="21"/>
          <w:szCs w:val="21"/>
          <w:highlight w:val="none"/>
        </w:rPr>
        <w:t>评标。</w:t>
      </w:r>
    </w:p>
    <w:p w14:paraId="1852CB22">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eastAsia="zh-CN"/>
        </w:rPr>
        <w:t>二、</w:t>
      </w:r>
      <w:r>
        <w:rPr>
          <w:rFonts w:hint="eastAsia" w:asciiTheme="minorEastAsia" w:hAnsiTheme="minorEastAsia" w:eastAsiaTheme="minorEastAsia" w:cstheme="minorEastAsia"/>
          <w:b/>
          <w:color w:val="auto"/>
          <w:sz w:val="21"/>
          <w:szCs w:val="21"/>
          <w:highlight w:val="none"/>
        </w:rPr>
        <w:t>评标次序：</w:t>
      </w:r>
    </w:p>
    <w:p w14:paraId="3139CF39">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sz w:val="21"/>
          <w:szCs w:val="21"/>
          <w:highlight w:val="none"/>
        </w:rPr>
        <w:t>1、资格审查：</w:t>
      </w:r>
      <w:r>
        <w:rPr>
          <w:rFonts w:hint="eastAsia" w:asciiTheme="minorEastAsia" w:hAnsiTheme="minorEastAsia" w:eastAsiaTheme="minorEastAsia" w:cstheme="minorEastAsia"/>
          <w:color w:val="auto"/>
          <w:sz w:val="21"/>
          <w:szCs w:val="21"/>
          <w:highlight w:val="none"/>
        </w:rPr>
        <w:t>本项目采用资格后审方式进行资格审查，参加本次</w:t>
      </w:r>
      <w:r>
        <w:rPr>
          <w:rFonts w:hint="eastAsia" w:asciiTheme="minorEastAsia" w:hAnsiTheme="minorEastAsia" w:eastAsiaTheme="minorEastAsia" w:cstheme="minorEastAsia"/>
          <w:color w:val="auto"/>
          <w:sz w:val="21"/>
          <w:szCs w:val="21"/>
          <w:highlight w:val="none"/>
          <w:lang w:eastAsia="zh-CN"/>
        </w:rPr>
        <w:t>磋商</w:t>
      </w:r>
      <w:r>
        <w:rPr>
          <w:rFonts w:hint="eastAsia" w:asciiTheme="minorEastAsia" w:hAnsiTheme="minorEastAsia" w:eastAsiaTheme="minorEastAsia" w:cstheme="minorEastAsia"/>
          <w:color w:val="auto"/>
          <w:sz w:val="21"/>
          <w:szCs w:val="21"/>
          <w:highlight w:val="none"/>
        </w:rPr>
        <w:t>的单位均要通过资格后审才能获得</w:t>
      </w:r>
      <w:r>
        <w:rPr>
          <w:rFonts w:hint="eastAsia" w:asciiTheme="minorEastAsia" w:hAnsiTheme="minorEastAsia" w:eastAsiaTheme="minorEastAsia" w:cstheme="minorEastAsia"/>
          <w:color w:val="auto"/>
          <w:sz w:val="21"/>
          <w:szCs w:val="21"/>
          <w:highlight w:val="none"/>
          <w:lang w:eastAsia="zh-CN"/>
        </w:rPr>
        <w:t>磋商</w:t>
      </w:r>
      <w:r>
        <w:rPr>
          <w:rFonts w:hint="eastAsia" w:asciiTheme="minorEastAsia" w:hAnsiTheme="minorEastAsia" w:eastAsiaTheme="minorEastAsia" w:cstheme="minorEastAsia"/>
          <w:color w:val="auto"/>
          <w:sz w:val="21"/>
          <w:szCs w:val="21"/>
          <w:highlight w:val="none"/>
        </w:rPr>
        <w:t>资格。资格审查内容为：见评标办法前附表。</w:t>
      </w:r>
    </w:p>
    <w:p w14:paraId="599F1B0A">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color w:val="auto"/>
          <w:sz w:val="21"/>
          <w:szCs w:val="21"/>
          <w:highlight w:val="none"/>
        </w:rPr>
        <w:t>2、</w:t>
      </w:r>
      <w:r>
        <w:rPr>
          <w:rFonts w:hint="eastAsia" w:asciiTheme="minorEastAsia" w:hAnsiTheme="minorEastAsia" w:eastAsiaTheme="minorEastAsia" w:cstheme="minorEastAsia"/>
          <w:b/>
          <w:bCs/>
          <w:color w:val="auto"/>
          <w:sz w:val="21"/>
          <w:szCs w:val="21"/>
          <w:highlight w:val="none"/>
        </w:rPr>
        <w:t>详细评审（即综合评审）</w:t>
      </w:r>
    </w:p>
    <w:p w14:paraId="44465AB7">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各评委根据评标办法中相应的要求进行科学评分。在进行</w:t>
      </w:r>
      <w:r>
        <w:rPr>
          <w:rFonts w:hint="eastAsia" w:asciiTheme="minorEastAsia" w:hAnsiTheme="minorEastAsia" w:eastAsiaTheme="minorEastAsia" w:cstheme="minorEastAsia"/>
          <w:color w:val="auto"/>
          <w:sz w:val="21"/>
          <w:szCs w:val="21"/>
          <w:highlight w:val="none"/>
          <w:lang w:val="en-US" w:eastAsia="zh-CN"/>
        </w:rPr>
        <w:t>施工组织设计</w:t>
      </w:r>
      <w:r>
        <w:rPr>
          <w:rFonts w:hint="eastAsia" w:asciiTheme="minorEastAsia" w:hAnsiTheme="minorEastAsia" w:eastAsiaTheme="minorEastAsia" w:cstheme="minorEastAsia"/>
          <w:color w:val="auto"/>
          <w:sz w:val="21"/>
          <w:szCs w:val="21"/>
          <w:highlight w:val="none"/>
        </w:rPr>
        <w:t>方案文件的评审时，各评委评分的算术平均值为该</w:t>
      </w:r>
      <w:r>
        <w:rPr>
          <w:rFonts w:hint="eastAsia" w:asciiTheme="minorEastAsia" w:hAnsiTheme="minorEastAsia" w:eastAsiaTheme="minorEastAsia" w:cstheme="minorEastAsia"/>
          <w:color w:val="auto"/>
          <w:sz w:val="21"/>
          <w:szCs w:val="21"/>
          <w:highlight w:val="none"/>
          <w:lang w:eastAsia="zh-CN"/>
        </w:rPr>
        <w:t>磋商供应商</w:t>
      </w:r>
      <w:r>
        <w:rPr>
          <w:rFonts w:hint="eastAsia" w:asciiTheme="minorEastAsia" w:hAnsiTheme="minorEastAsia" w:eastAsiaTheme="minorEastAsia" w:cstheme="minorEastAsia"/>
          <w:color w:val="auto"/>
          <w:sz w:val="21"/>
          <w:szCs w:val="21"/>
          <w:highlight w:val="none"/>
        </w:rPr>
        <w:t>的最终得分。</w:t>
      </w:r>
    </w:p>
    <w:p w14:paraId="7677263B">
      <w:pPr>
        <w:keepNext w:val="0"/>
        <w:keepLines w:val="0"/>
        <w:pageBreakBefore w:val="0"/>
        <w:widowControl w:val="0"/>
        <w:tabs>
          <w:tab w:val="left" w:pos="180"/>
        </w:tabs>
        <w:kinsoku/>
        <w:wordWrap/>
        <w:overflowPunct/>
        <w:topLinePunct w:val="0"/>
        <w:autoSpaceDE/>
        <w:autoSpaceDN/>
        <w:bidi w:val="0"/>
        <w:adjustRightInd/>
        <w:snapToGrid w:val="0"/>
        <w:spacing w:line="400" w:lineRule="exact"/>
        <w:ind w:firstLine="420" w:firstLineChars="20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3、</w:t>
      </w:r>
      <w:r>
        <w:rPr>
          <w:rFonts w:hint="eastAsia" w:asciiTheme="minorEastAsia" w:hAnsiTheme="minorEastAsia" w:eastAsiaTheme="minorEastAsia" w:cstheme="minorEastAsia"/>
          <w:b/>
          <w:bCs/>
          <w:color w:val="auto"/>
          <w:sz w:val="21"/>
          <w:szCs w:val="21"/>
          <w:highlight w:val="none"/>
          <w:lang w:eastAsia="zh-CN"/>
        </w:rPr>
        <w:t>《响应文件》</w:t>
      </w:r>
      <w:r>
        <w:rPr>
          <w:rFonts w:hint="eastAsia" w:asciiTheme="minorEastAsia" w:hAnsiTheme="minorEastAsia" w:eastAsiaTheme="minorEastAsia" w:cstheme="minorEastAsia"/>
          <w:b/>
          <w:bCs/>
          <w:color w:val="auto"/>
          <w:sz w:val="21"/>
          <w:szCs w:val="21"/>
          <w:highlight w:val="none"/>
        </w:rPr>
        <w:t>的澄清与修正</w:t>
      </w:r>
    </w:p>
    <w:p w14:paraId="098A27B4">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3.1为了有助于</w:t>
      </w:r>
      <w:r>
        <w:rPr>
          <w:rFonts w:hint="eastAsia" w:asciiTheme="minorEastAsia" w:hAnsiTheme="minorEastAsia" w:eastAsiaTheme="minorEastAsia" w:cstheme="minorEastAsia"/>
          <w:color w:val="auto"/>
          <w:sz w:val="21"/>
          <w:szCs w:val="21"/>
          <w:highlight w:val="none"/>
          <w:lang w:eastAsia="zh-CN"/>
        </w:rPr>
        <w:t>《响应文件》</w:t>
      </w:r>
      <w:r>
        <w:rPr>
          <w:rFonts w:hint="eastAsia" w:asciiTheme="minorEastAsia" w:hAnsiTheme="minorEastAsia" w:eastAsiaTheme="minorEastAsia" w:cstheme="minorEastAsia"/>
          <w:color w:val="auto"/>
          <w:sz w:val="21"/>
          <w:szCs w:val="21"/>
          <w:highlight w:val="none"/>
        </w:rPr>
        <w:t>的审查、评价和比较，</w:t>
      </w:r>
      <w:r>
        <w:rPr>
          <w:rFonts w:hint="eastAsia" w:asciiTheme="minorEastAsia" w:hAnsiTheme="minorEastAsia" w:eastAsiaTheme="minorEastAsia" w:cstheme="minorEastAsia"/>
          <w:color w:val="auto"/>
          <w:sz w:val="21"/>
          <w:szCs w:val="21"/>
          <w:highlight w:val="none"/>
          <w:lang w:eastAsia="zh-CN"/>
        </w:rPr>
        <w:t>磋商小组</w:t>
      </w:r>
      <w:r>
        <w:rPr>
          <w:rFonts w:hint="eastAsia" w:asciiTheme="minorEastAsia" w:hAnsiTheme="minorEastAsia" w:eastAsiaTheme="minorEastAsia" w:cstheme="minorEastAsia"/>
          <w:color w:val="auto"/>
          <w:sz w:val="21"/>
          <w:szCs w:val="21"/>
          <w:highlight w:val="none"/>
        </w:rPr>
        <w:t>可以要求</w:t>
      </w:r>
      <w:r>
        <w:rPr>
          <w:rFonts w:hint="eastAsia" w:asciiTheme="minorEastAsia" w:hAnsiTheme="minorEastAsia" w:eastAsiaTheme="minorEastAsia" w:cstheme="minorEastAsia"/>
          <w:color w:val="auto"/>
          <w:sz w:val="21"/>
          <w:szCs w:val="21"/>
          <w:highlight w:val="none"/>
          <w:lang w:eastAsia="zh-CN"/>
        </w:rPr>
        <w:t>磋商供应商</w:t>
      </w:r>
      <w:r>
        <w:rPr>
          <w:rFonts w:hint="eastAsia" w:asciiTheme="minorEastAsia" w:hAnsiTheme="minorEastAsia" w:eastAsiaTheme="minorEastAsia" w:cstheme="minorEastAsia"/>
          <w:color w:val="auto"/>
          <w:sz w:val="21"/>
          <w:szCs w:val="21"/>
          <w:highlight w:val="none"/>
        </w:rPr>
        <w:t>澄清其</w:t>
      </w:r>
      <w:r>
        <w:rPr>
          <w:rFonts w:hint="eastAsia" w:asciiTheme="minorEastAsia" w:hAnsiTheme="minorEastAsia" w:eastAsiaTheme="minorEastAsia" w:cstheme="minorEastAsia"/>
          <w:color w:val="auto"/>
          <w:sz w:val="21"/>
          <w:szCs w:val="21"/>
          <w:highlight w:val="none"/>
          <w:lang w:eastAsia="zh-CN"/>
        </w:rPr>
        <w:t>《响应文件》</w:t>
      </w:r>
      <w:r>
        <w:rPr>
          <w:rFonts w:hint="eastAsia" w:asciiTheme="minorEastAsia" w:hAnsiTheme="minorEastAsia" w:eastAsiaTheme="minorEastAsia" w:cstheme="minorEastAsia"/>
          <w:color w:val="auto"/>
          <w:sz w:val="21"/>
          <w:szCs w:val="21"/>
          <w:highlight w:val="none"/>
        </w:rPr>
        <w:t>。有关澄清的要求与答复，应以书面形式进行。</w:t>
      </w:r>
      <w:r>
        <w:rPr>
          <w:rFonts w:hint="eastAsia" w:asciiTheme="minorEastAsia" w:hAnsiTheme="minorEastAsia" w:eastAsiaTheme="minorEastAsia" w:cstheme="minorEastAsia"/>
          <w:bCs/>
          <w:color w:val="auto"/>
          <w:sz w:val="21"/>
          <w:szCs w:val="21"/>
          <w:highlight w:val="none"/>
        </w:rPr>
        <w:t>不按</w:t>
      </w:r>
      <w:r>
        <w:rPr>
          <w:rFonts w:hint="eastAsia" w:asciiTheme="minorEastAsia" w:hAnsiTheme="minorEastAsia" w:eastAsiaTheme="minorEastAsia" w:cstheme="minorEastAsia"/>
          <w:bCs/>
          <w:color w:val="auto"/>
          <w:sz w:val="21"/>
          <w:szCs w:val="21"/>
          <w:highlight w:val="none"/>
          <w:lang w:eastAsia="zh-CN"/>
        </w:rPr>
        <w:t>磋商小组</w:t>
      </w:r>
      <w:r>
        <w:rPr>
          <w:rFonts w:hint="eastAsia" w:asciiTheme="minorEastAsia" w:hAnsiTheme="minorEastAsia" w:eastAsiaTheme="minorEastAsia" w:cstheme="minorEastAsia"/>
          <w:bCs/>
          <w:color w:val="auto"/>
          <w:sz w:val="21"/>
          <w:szCs w:val="21"/>
          <w:highlight w:val="none"/>
        </w:rPr>
        <w:t>要求澄清、说明或补正的，</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作废标处理。</w:t>
      </w:r>
    </w:p>
    <w:p w14:paraId="01284412">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3.2 </w:t>
      </w:r>
      <w:r>
        <w:rPr>
          <w:rFonts w:hint="eastAsia" w:asciiTheme="minorEastAsia" w:hAnsiTheme="minorEastAsia" w:eastAsiaTheme="minorEastAsia" w:cstheme="minorEastAsia"/>
          <w:color w:val="auto"/>
          <w:sz w:val="21"/>
          <w:szCs w:val="21"/>
          <w:highlight w:val="none"/>
          <w:lang w:eastAsia="zh-CN"/>
        </w:rPr>
        <w:t>《响应文件》</w:t>
      </w:r>
      <w:r>
        <w:rPr>
          <w:rFonts w:hint="eastAsia" w:asciiTheme="minorEastAsia" w:hAnsiTheme="minorEastAsia" w:eastAsiaTheme="minorEastAsia" w:cstheme="minorEastAsia"/>
          <w:color w:val="auto"/>
          <w:sz w:val="21"/>
          <w:szCs w:val="21"/>
          <w:highlight w:val="none"/>
        </w:rPr>
        <w:t>计算错误的修正</w:t>
      </w:r>
    </w:p>
    <w:p w14:paraId="24124AA6">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3.2.1 </w:t>
      </w:r>
      <w:r>
        <w:rPr>
          <w:rFonts w:hint="eastAsia" w:asciiTheme="minorEastAsia" w:hAnsiTheme="minorEastAsia" w:eastAsiaTheme="minorEastAsia" w:cstheme="minorEastAsia"/>
          <w:bCs/>
          <w:color w:val="auto"/>
          <w:sz w:val="21"/>
          <w:szCs w:val="21"/>
          <w:highlight w:val="none"/>
          <w:lang w:eastAsia="zh-CN"/>
        </w:rPr>
        <w:t>磋商小组</w:t>
      </w:r>
      <w:r>
        <w:rPr>
          <w:rFonts w:hint="eastAsia" w:asciiTheme="minorEastAsia" w:hAnsiTheme="minorEastAsia" w:eastAsiaTheme="minorEastAsia" w:cstheme="minorEastAsia"/>
          <w:color w:val="auto"/>
          <w:sz w:val="21"/>
          <w:szCs w:val="21"/>
          <w:highlight w:val="none"/>
        </w:rPr>
        <w:t>将对确定为实质上响应</w:t>
      </w:r>
      <w:r>
        <w:rPr>
          <w:rFonts w:hint="eastAsia" w:asciiTheme="minorEastAsia" w:hAnsiTheme="minorEastAsia" w:eastAsiaTheme="minorEastAsia" w:cstheme="minorEastAsia"/>
          <w:color w:val="auto"/>
          <w:sz w:val="21"/>
          <w:szCs w:val="21"/>
          <w:highlight w:val="none"/>
          <w:lang w:eastAsia="zh-CN"/>
        </w:rPr>
        <w:t>《竞争性磋商文件》</w:t>
      </w:r>
      <w:r>
        <w:rPr>
          <w:rFonts w:hint="eastAsia" w:asciiTheme="minorEastAsia" w:hAnsiTheme="minorEastAsia" w:eastAsiaTheme="minorEastAsia" w:cstheme="minorEastAsia"/>
          <w:color w:val="auto"/>
          <w:sz w:val="21"/>
          <w:szCs w:val="21"/>
          <w:highlight w:val="none"/>
        </w:rPr>
        <w:t>要求的</w:t>
      </w:r>
      <w:r>
        <w:rPr>
          <w:rFonts w:hint="eastAsia" w:asciiTheme="minorEastAsia" w:hAnsiTheme="minorEastAsia" w:eastAsiaTheme="minorEastAsia" w:cstheme="minorEastAsia"/>
          <w:color w:val="auto"/>
          <w:sz w:val="21"/>
          <w:szCs w:val="21"/>
          <w:highlight w:val="none"/>
          <w:lang w:eastAsia="zh-CN"/>
        </w:rPr>
        <w:t>《响应文件》</w:t>
      </w:r>
      <w:r>
        <w:rPr>
          <w:rFonts w:hint="eastAsia" w:asciiTheme="minorEastAsia" w:hAnsiTheme="minorEastAsia" w:eastAsiaTheme="minorEastAsia" w:cstheme="minorEastAsia"/>
          <w:color w:val="auto"/>
          <w:sz w:val="21"/>
          <w:szCs w:val="21"/>
          <w:highlight w:val="none"/>
        </w:rPr>
        <w:t>进行校核，看其是否有计算或表达上的错误，修正错误的原则如下：</w:t>
      </w:r>
    </w:p>
    <w:p w14:paraId="3E2BF04C">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如果数字表示的金额和用文字表示的金额不一致时，应以文字表示的金额为准；</w:t>
      </w:r>
    </w:p>
    <w:p w14:paraId="18F3BD83">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3.2.2 按上述修正错误的原则及方法调整或修正</w:t>
      </w:r>
      <w:r>
        <w:rPr>
          <w:rFonts w:hint="eastAsia" w:asciiTheme="minorEastAsia" w:hAnsiTheme="minorEastAsia" w:eastAsiaTheme="minorEastAsia" w:cstheme="minorEastAsia"/>
          <w:color w:val="auto"/>
          <w:sz w:val="21"/>
          <w:szCs w:val="21"/>
          <w:highlight w:val="none"/>
          <w:lang w:eastAsia="zh-CN"/>
        </w:rPr>
        <w:t>《响应文件》</w:t>
      </w:r>
      <w:r>
        <w:rPr>
          <w:rFonts w:hint="eastAsia" w:asciiTheme="minorEastAsia" w:hAnsiTheme="minorEastAsia" w:eastAsiaTheme="minorEastAsia" w:cstheme="minorEastAsia"/>
          <w:color w:val="auto"/>
          <w:sz w:val="21"/>
          <w:szCs w:val="21"/>
          <w:highlight w:val="none"/>
        </w:rPr>
        <w:t>的投标报价，在</w:t>
      </w:r>
      <w:r>
        <w:rPr>
          <w:rFonts w:hint="eastAsia" w:asciiTheme="minorEastAsia" w:hAnsiTheme="minorEastAsia" w:eastAsiaTheme="minorEastAsia" w:cstheme="minorEastAsia"/>
          <w:color w:val="auto"/>
          <w:sz w:val="21"/>
          <w:szCs w:val="21"/>
          <w:highlight w:val="none"/>
          <w:lang w:eastAsia="zh-CN"/>
        </w:rPr>
        <w:t>磋商供应商</w:t>
      </w:r>
      <w:r>
        <w:rPr>
          <w:rFonts w:hint="eastAsia" w:asciiTheme="minorEastAsia" w:hAnsiTheme="minorEastAsia" w:eastAsiaTheme="minorEastAsia" w:cstheme="minorEastAsia"/>
          <w:color w:val="auto"/>
          <w:sz w:val="21"/>
          <w:szCs w:val="21"/>
          <w:highlight w:val="none"/>
        </w:rPr>
        <w:t>确认后，调整或修正后的磋商报价对</w:t>
      </w:r>
      <w:r>
        <w:rPr>
          <w:rFonts w:hint="eastAsia" w:asciiTheme="minorEastAsia" w:hAnsiTheme="minorEastAsia" w:eastAsiaTheme="minorEastAsia" w:cstheme="minorEastAsia"/>
          <w:color w:val="auto"/>
          <w:sz w:val="21"/>
          <w:szCs w:val="21"/>
          <w:highlight w:val="none"/>
          <w:lang w:eastAsia="zh-CN"/>
        </w:rPr>
        <w:t>磋商供应商</w:t>
      </w:r>
      <w:r>
        <w:rPr>
          <w:rFonts w:hint="eastAsia" w:asciiTheme="minorEastAsia" w:hAnsiTheme="minorEastAsia" w:eastAsiaTheme="minorEastAsia" w:cstheme="minorEastAsia"/>
          <w:color w:val="auto"/>
          <w:sz w:val="21"/>
          <w:szCs w:val="21"/>
          <w:highlight w:val="none"/>
        </w:rPr>
        <w:t>起约束作用。如果</w:t>
      </w:r>
      <w:r>
        <w:rPr>
          <w:rFonts w:hint="eastAsia" w:asciiTheme="minorEastAsia" w:hAnsiTheme="minorEastAsia" w:eastAsiaTheme="minorEastAsia" w:cstheme="minorEastAsia"/>
          <w:color w:val="auto"/>
          <w:sz w:val="21"/>
          <w:szCs w:val="21"/>
          <w:highlight w:val="none"/>
          <w:lang w:eastAsia="zh-CN"/>
        </w:rPr>
        <w:t>磋商供应商</w:t>
      </w:r>
      <w:r>
        <w:rPr>
          <w:rFonts w:hint="eastAsia" w:asciiTheme="minorEastAsia" w:hAnsiTheme="minorEastAsia" w:eastAsiaTheme="minorEastAsia" w:cstheme="minorEastAsia"/>
          <w:color w:val="auto"/>
          <w:sz w:val="21"/>
          <w:szCs w:val="21"/>
          <w:highlight w:val="none"/>
        </w:rPr>
        <w:t>不接受调整或修正后的报价，则其</w:t>
      </w:r>
      <w:r>
        <w:rPr>
          <w:rFonts w:hint="eastAsia" w:asciiTheme="minorEastAsia" w:hAnsiTheme="minorEastAsia" w:eastAsiaTheme="minorEastAsia" w:cstheme="minorEastAsia"/>
          <w:color w:val="auto"/>
          <w:sz w:val="21"/>
          <w:szCs w:val="21"/>
          <w:highlight w:val="none"/>
          <w:lang w:eastAsia="zh-CN"/>
        </w:rPr>
        <w:t>《响应文件》</w:t>
      </w:r>
      <w:r>
        <w:rPr>
          <w:rFonts w:hint="eastAsia" w:asciiTheme="minorEastAsia" w:hAnsiTheme="minorEastAsia" w:eastAsiaTheme="minorEastAsia" w:cstheme="minorEastAsia"/>
          <w:color w:val="auto"/>
          <w:sz w:val="21"/>
          <w:szCs w:val="21"/>
          <w:highlight w:val="none"/>
        </w:rPr>
        <w:t>将被拒绝并且其磋商保证金也将被没收，并不影响评标工作。</w:t>
      </w:r>
    </w:p>
    <w:p w14:paraId="0DD5F1A4">
      <w:pPr>
        <w:keepNext w:val="0"/>
        <w:keepLines w:val="0"/>
        <w:pageBreakBefore w:val="0"/>
        <w:widowControl w:val="0"/>
        <w:tabs>
          <w:tab w:val="left" w:pos="180"/>
        </w:tabs>
        <w:kinsoku/>
        <w:wordWrap/>
        <w:overflowPunct/>
        <w:topLinePunct w:val="0"/>
        <w:autoSpaceDE/>
        <w:autoSpaceDN/>
        <w:bidi w:val="0"/>
        <w:adjustRightInd/>
        <w:snapToGrid w:val="0"/>
        <w:spacing w:line="400" w:lineRule="exact"/>
        <w:ind w:firstLine="420" w:firstLineChars="200"/>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4</w:t>
      </w:r>
      <w:r>
        <w:rPr>
          <w:rFonts w:hint="eastAsia" w:asciiTheme="minorEastAsia" w:hAnsiTheme="minorEastAsia" w:eastAsiaTheme="minorEastAsia" w:cstheme="minorEastAsia"/>
          <w:b/>
          <w:bCs/>
          <w:color w:val="auto"/>
          <w:sz w:val="21"/>
          <w:szCs w:val="21"/>
          <w:highlight w:val="none"/>
        </w:rPr>
        <w:t>、</w:t>
      </w:r>
      <w:r>
        <w:rPr>
          <w:rFonts w:hint="eastAsia" w:asciiTheme="minorEastAsia" w:hAnsiTheme="minorEastAsia" w:eastAsiaTheme="minorEastAsia" w:cstheme="minorEastAsia"/>
          <w:b/>
          <w:bCs/>
          <w:color w:val="auto"/>
          <w:sz w:val="21"/>
          <w:szCs w:val="21"/>
          <w:highlight w:val="none"/>
          <w:lang w:val="en-US" w:eastAsia="zh-CN"/>
        </w:rPr>
        <w:t>异常低价设置：</w:t>
      </w:r>
    </w:p>
    <w:p w14:paraId="4B95E4BC">
      <w:pPr>
        <w:ind w:firstLine="420" w:firstLineChars="200"/>
        <w:rPr>
          <w:rFonts w:hint="eastAsia" w:ascii="宋体" w:hAnsi="宋体" w:cs="宋体"/>
          <w:b w:val="0"/>
          <w:bCs w:val="0"/>
          <w:kern w:val="0"/>
          <w:sz w:val="21"/>
          <w:szCs w:val="21"/>
          <w:lang w:val="en-US" w:eastAsia="zh-CN"/>
        </w:rPr>
      </w:pPr>
      <w:r>
        <w:rPr>
          <w:rFonts w:hint="eastAsia" w:asciiTheme="minorEastAsia" w:hAnsiTheme="minorEastAsia" w:eastAsiaTheme="minorEastAsia" w:cstheme="minorEastAsia"/>
          <w:b/>
          <w:bCs/>
          <w:color w:val="auto"/>
          <w:sz w:val="21"/>
          <w:szCs w:val="21"/>
          <w:highlight w:val="none"/>
          <w:lang w:val="en-US" w:eastAsia="zh-CN"/>
        </w:rPr>
        <w:t xml:space="preserve">   </w:t>
      </w:r>
      <w:r>
        <w:rPr>
          <w:rFonts w:hint="default" w:ascii="宋体" w:hAnsi="宋体" w:cs="宋体"/>
          <w:b w:val="0"/>
          <w:bCs w:val="0"/>
          <w:kern w:val="0"/>
          <w:sz w:val="21"/>
          <w:szCs w:val="21"/>
          <w:lang w:val="en-US" w:eastAsia="zh-CN"/>
        </w:rPr>
        <w:t>异常低价审核程序启用情形</w:t>
      </w:r>
      <w:r>
        <w:rPr>
          <w:rFonts w:hint="eastAsia" w:ascii="宋体" w:hAnsi="宋体" w:cs="宋体"/>
          <w:b w:val="0"/>
          <w:bCs w:val="0"/>
          <w:kern w:val="0"/>
          <w:sz w:val="21"/>
          <w:szCs w:val="21"/>
          <w:lang w:val="en-US" w:eastAsia="zh-CN"/>
        </w:rPr>
        <w:t>：政府采购评审中出现下列情形之一的，评审委员会应当启动异常低价投标（响应) 审查程序：</w:t>
      </w:r>
    </w:p>
    <w:p w14:paraId="2382DBA3">
      <w:pPr>
        <w:numPr>
          <w:ilvl w:val="0"/>
          <w:numId w:val="0"/>
        </w:numPr>
        <w:ind w:firstLine="630" w:firstLineChars="300"/>
        <w:rPr>
          <w:rFonts w:hint="eastAsia" w:ascii="宋体" w:hAnsi="宋体" w:cs="宋体"/>
          <w:b w:val="0"/>
          <w:bCs w:val="0"/>
          <w:kern w:val="0"/>
          <w:sz w:val="21"/>
          <w:szCs w:val="21"/>
          <w:lang w:val="en-US" w:eastAsia="zh-CN"/>
        </w:rPr>
      </w:pPr>
      <w:r>
        <w:rPr>
          <w:rFonts w:hint="eastAsia" w:ascii="宋体" w:hAnsi="宋体" w:cs="宋体"/>
          <w:b w:val="0"/>
          <w:bCs w:val="0"/>
          <w:kern w:val="0"/>
          <w:sz w:val="21"/>
          <w:szCs w:val="21"/>
          <w:lang w:val="en-US" w:eastAsia="zh-CN"/>
        </w:rPr>
        <w:t>4.1投标(响应)报价低于全部通过符合性审查供应商投标(响应)报价「平均值」50%</w:t>
      </w:r>
    </w:p>
    <w:p w14:paraId="69469B38">
      <w:pPr>
        <w:numPr>
          <w:ilvl w:val="0"/>
          <w:numId w:val="0"/>
        </w:numPr>
        <w:ind w:firstLine="630" w:firstLineChars="300"/>
        <w:rPr>
          <w:rFonts w:hint="default" w:ascii="宋体" w:hAnsi="宋体" w:cs="宋体"/>
          <w:b w:val="0"/>
          <w:bCs w:val="0"/>
          <w:kern w:val="0"/>
          <w:sz w:val="21"/>
          <w:szCs w:val="21"/>
          <w:lang w:val="en-US" w:eastAsia="zh-CN"/>
        </w:rPr>
      </w:pPr>
      <w:r>
        <w:rPr>
          <w:rFonts w:hint="eastAsia" w:ascii="宋体" w:hAnsi="宋体" w:cs="宋体"/>
          <w:b w:val="0"/>
          <w:bCs w:val="0"/>
          <w:kern w:val="0"/>
          <w:sz w:val="21"/>
          <w:szCs w:val="21"/>
          <w:lang w:val="en-US" w:eastAsia="zh-CN"/>
        </w:rPr>
        <w:t>4.2</w:t>
      </w:r>
      <w:r>
        <w:rPr>
          <w:rFonts w:hint="default" w:ascii="宋体" w:hAnsi="宋体" w:cs="宋体"/>
          <w:b w:val="0"/>
          <w:bCs w:val="0"/>
          <w:kern w:val="0"/>
          <w:sz w:val="21"/>
          <w:szCs w:val="21"/>
          <w:lang w:val="en-US" w:eastAsia="zh-CN"/>
        </w:rPr>
        <w:t>投标(响应)报价低于通过符合性审查的「次低报价」供应商投标(响应)报价</w:t>
      </w:r>
      <w:r>
        <w:rPr>
          <w:rFonts w:hint="eastAsia" w:ascii="宋体" w:hAnsi="宋体" w:cs="宋体"/>
          <w:b w:val="0"/>
          <w:bCs w:val="0"/>
          <w:kern w:val="0"/>
          <w:sz w:val="21"/>
          <w:szCs w:val="21"/>
          <w:lang w:val="en-US" w:eastAsia="zh-CN"/>
        </w:rPr>
        <w:t>50%</w:t>
      </w:r>
    </w:p>
    <w:p w14:paraId="223B65CD">
      <w:pPr>
        <w:keepNext w:val="0"/>
        <w:keepLines w:val="0"/>
        <w:widowControl/>
        <w:suppressLineNumbers w:val="0"/>
        <w:ind w:firstLine="630" w:firstLineChars="300"/>
        <w:jc w:val="left"/>
        <w:rPr>
          <w:sz w:val="21"/>
          <w:szCs w:val="21"/>
        </w:rPr>
      </w:pPr>
      <w:r>
        <w:rPr>
          <w:rFonts w:hint="eastAsia" w:ascii="宋体" w:hAnsi="宋体" w:eastAsia="宋体" w:cs="宋体"/>
          <w:color w:val="333333"/>
          <w:kern w:val="0"/>
          <w:sz w:val="21"/>
          <w:szCs w:val="21"/>
          <w:lang w:val="en-US" w:eastAsia="zh-CN" w:bidi="ar"/>
        </w:rPr>
        <w:t>4.3</w:t>
      </w:r>
      <w:r>
        <w:rPr>
          <w:rFonts w:ascii="宋体" w:hAnsi="宋体" w:eastAsia="宋体" w:cs="宋体"/>
          <w:color w:val="333333"/>
          <w:kern w:val="0"/>
          <w:sz w:val="21"/>
          <w:szCs w:val="21"/>
          <w:lang w:val="en-US" w:eastAsia="zh-CN" w:bidi="ar"/>
        </w:rPr>
        <w:t>投标(响应)报价低于采购项目「最高限价」</w:t>
      </w:r>
      <w:r>
        <w:rPr>
          <w:rFonts w:hint="eastAsia" w:ascii="宋体" w:hAnsi="宋体" w:cs="宋体"/>
          <w:b w:val="0"/>
          <w:bCs w:val="0"/>
          <w:kern w:val="0"/>
          <w:sz w:val="21"/>
          <w:szCs w:val="21"/>
          <w:lang w:val="en-US" w:eastAsia="zh-CN"/>
        </w:rPr>
        <w:t>45%</w:t>
      </w:r>
    </w:p>
    <w:p w14:paraId="0F34FD21">
      <w:pPr>
        <w:numPr>
          <w:ilvl w:val="0"/>
          <w:numId w:val="0"/>
        </w:numPr>
        <w:ind w:firstLine="630" w:firstLineChars="300"/>
        <w:rPr>
          <w:rFonts w:hint="eastAsia" w:asciiTheme="minorEastAsia" w:hAnsiTheme="minorEastAsia" w:eastAsiaTheme="minorEastAsia" w:cstheme="minorEastAsia"/>
          <w:color w:val="auto"/>
          <w:sz w:val="21"/>
          <w:szCs w:val="21"/>
          <w:highlight w:val="none"/>
        </w:rPr>
      </w:pPr>
      <w:r>
        <w:rPr>
          <w:rFonts w:hint="eastAsia" w:ascii="宋体" w:hAnsi="宋体" w:cs="宋体"/>
          <w:b w:val="0"/>
          <w:bCs w:val="0"/>
          <w:kern w:val="0"/>
          <w:sz w:val="21"/>
          <w:szCs w:val="21"/>
          <w:lang w:val="en-US" w:eastAsia="zh-CN"/>
        </w:rPr>
        <w:t>4.4</w:t>
      </w:r>
      <w:r>
        <w:rPr>
          <w:rFonts w:hint="default" w:ascii="宋体" w:hAnsi="宋体" w:cs="宋体"/>
          <w:b w:val="0"/>
          <w:bCs w:val="0"/>
          <w:kern w:val="0"/>
          <w:sz w:val="21"/>
          <w:szCs w:val="21"/>
          <w:lang w:val="en-US" w:eastAsia="zh-CN"/>
        </w:rPr>
        <w:t>评审委员会基于专业判断，认为供应商报价过低，有可能影响产品质量或者不能诚信履约的其他情形。</w:t>
      </w:r>
    </w:p>
    <w:p w14:paraId="0667AC99">
      <w:pPr>
        <w:keepNext w:val="0"/>
        <w:keepLines w:val="0"/>
        <w:pageBreakBefore w:val="0"/>
        <w:widowControl w:val="0"/>
        <w:tabs>
          <w:tab w:val="left" w:pos="180"/>
        </w:tabs>
        <w:kinsoku/>
        <w:wordWrap/>
        <w:overflowPunct/>
        <w:topLinePunct w:val="0"/>
        <w:autoSpaceDE/>
        <w:autoSpaceDN/>
        <w:bidi w:val="0"/>
        <w:adjustRightInd/>
        <w:snapToGrid w:val="0"/>
        <w:spacing w:line="400" w:lineRule="exact"/>
        <w:ind w:firstLine="420" w:firstLineChars="200"/>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eastAsia="zh-CN"/>
        </w:rPr>
        <w:t>三、</w:t>
      </w:r>
      <w:r>
        <w:rPr>
          <w:rFonts w:hint="eastAsia" w:asciiTheme="minorEastAsia" w:hAnsiTheme="minorEastAsia" w:eastAsiaTheme="minorEastAsia" w:cstheme="minorEastAsia"/>
          <w:b/>
          <w:bCs/>
          <w:color w:val="auto"/>
          <w:sz w:val="21"/>
          <w:szCs w:val="21"/>
          <w:highlight w:val="none"/>
          <w:lang w:val="en-US" w:eastAsia="zh-CN"/>
        </w:rPr>
        <w:t>推荐成交候选供应商原则</w:t>
      </w:r>
    </w:p>
    <w:bookmarkEnd w:id="1301"/>
    <w:p w14:paraId="68AA3850">
      <w:pPr>
        <w:widowControl w:val="0"/>
        <w:tabs>
          <w:tab w:val="left" w:pos="4214"/>
        </w:tabs>
        <w:spacing w:line="500" w:lineRule="exact"/>
        <w:ind w:firstLine="420" w:firstLineChars="200"/>
        <w:jc w:val="both"/>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磋商小组将根据总得分由高到低排列次序并推荐成交候选供应商。（总得分相同的，按照最后报价由低到高的顺序推荐。总得分且最后报价相同的，则按供应商的施工组织设计等方面综合评价择优确定成交候选供应商）。</w:t>
      </w:r>
    </w:p>
    <w:p w14:paraId="25B9250C">
      <w:pPr>
        <w:widowControl w:val="0"/>
        <w:tabs>
          <w:tab w:val="left" w:pos="4214"/>
        </w:tabs>
        <w:spacing w:line="500" w:lineRule="exact"/>
        <w:ind w:firstLine="420" w:firstLineChars="200"/>
        <w:jc w:val="both"/>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2、磋商小组确定排名第一的成交候选供应商为成交供应商。</w:t>
      </w:r>
    </w:p>
    <w:p w14:paraId="614D0467">
      <w:pPr>
        <w:widowControl w:val="0"/>
        <w:spacing w:line="500" w:lineRule="exact"/>
        <w:ind w:firstLine="420"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bidi="ar-SA"/>
        </w:rPr>
        <w:t>3、排名第一的成交候选供应商放弃成交、因不可抗力提出不能履行合同，或者磋商文件规定应当提交履约保证金而在规定的期限内未能提交的，采购单位可以确定排名第二的成交候选供应商为成交供应商。第二成交候选供应商因前款规定的同样原因不能签订合同的，采购单位可以确定排名第三的成交候选供应商为成交供应商。</w:t>
      </w:r>
    </w:p>
    <w:sectPr>
      <w:headerReference r:id="rId10" w:type="default"/>
      <w:footerReference r:id="rId11" w:type="default"/>
      <w:pgSz w:w="11850" w:h="16783"/>
      <w:pgMar w:top="1247" w:right="964" w:bottom="1247" w:left="964" w:header="851" w:footer="890" w:gutter="0"/>
      <w:pgNumType w:fmt="decimal"/>
      <w:cols w:space="72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1" w:csb1="00000000"/>
  </w:font>
  <w:font w:name="??">
    <w:altName w:val="Verdana"/>
    <w:panose1 w:val="00000000000000000000"/>
    <w:charset w:val="CC"/>
    <w:family w:val="auto"/>
    <w:pitch w:val="default"/>
    <w:sig w:usb0="00000000" w:usb1="00000000" w:usb2="00000000" w:usb3="00000000" w:csb0="00000005" w:csb1="00000000"/>
  </w:font>
  <w:font w:name="Verdana">
    <w:panose1 w:val="020B0604030504040204"/>
    <w:charset w:val="00"/>
    <w:family w:val="auto"/>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0A2BF">
    <w:pPr>
      <w:pStyle w:val="13"/>
      <w:ind w:right="90"/>
      <w:jc w:val="right"/>
      <w:rPr>
        <w:rFonts w:hint="eastAsia" w:ascii="宋体" w:hAnsi="宋体" w:eastAsia="宋体" w:cs="Times New Roman"/>
        <w:sz w:val="21"/>
        <w:szCs w:val="21"/>
        <w:u w:val="single"/>
      </w:rPr>
    </w:pPr>
    <w:r>
      <w:rPr>
        <w:rFonts w:hint="eastAsia" w:ascii="宋体" w:hAnsi="宋体" w:cs="Times New Roman"/>
        <w:lang w:eastAsia="zh-CN"/>
      </w:rPr>
      <w:t>广西桂林华禹水利水电工程咨询有限公司</w:t>
    </w:r>
    <w:r>
      <w:rPr>
        <w:rFonts w:hint="eastAsia" w:ascii="宋体" w:hAnsi="宋体" w:eastAsia="宋体" w:cs="Times New Roman"/>
      </w:rPr>
      <w:t>编制</w:t>
    </w:r>
    <w:r>
      <w:rPr>
        <w:rFonts w:hint="eastAsia" w:ascii="宋体" w:hAnsi="宋体" w:eastAsia="宋体" w:cs="Times New Roman"/>
        <w:sz w:val="21"/>
        <w:szCs w:val="21"/>
        <w:u w:val="single"/>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EB72F">
    <w:pPr>
      <w:pStyle w:val="13"/>
      <w:framePr w:wrap="around" w:vAnchor="text" w:hAnchor="margin" w:xAlign="right" w:y="1"/>
      <w:rPr>
        <w:rStyle w:val="23"/>
        <w:rFonts w:ascii="Times New Roman" w:hAnsi="Times New Roman" w:eastAsia="宋体" w:cs="Times New Roman"/>
      </w:rPr>
    </w:pPr>
    <w:r>
      <w:rPr>
        <w:rFonts w:ascii="Times New Roman" w:hAnsi="Times New Roman" w:eastAsia="宋体" w:cs="Times New Roman"/>
      </w:rPr>
      <w:fldChar w:fldCharType="begin"/>
    </w:r>
    <w:r>
      <w:rPr>
        <w:rStyle w:val="23"/>
        <w:rFonts w:ascii="Times New Roman" w:hAnsi="Times New Roman" w:eastAsia="宋体" w:cs="Times New Roman"/>
      </w:rPr>
      <w:instrText xml:space="preserve">PAGE  </w:instrText>
    </w:r>
    <w:r>
      <w:rPr>
        <w:rFonts w:ascii="Times New Roman" w:hAnsi="Times New Roman" w:eastAsia="宋体" w:cs="Times New Roman"/>
      </w:rPr>
      <w:fldChar w:fldCharType="end"/>
    </w:r>
  </w:p>
  <w:p w14:paraId="0B3320B0">
    <w:pPr>
      <w:pStyle w:val="13"/>
      <w:ind w:right="360"/>
      <w:rPr>
        <w:rFonts w:ascii="Times New Roman" w:hAnsi="Times New Roman" w:eastAsia="宋体"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4D59F">
    <w:pPr>
      <w:widowControl/>
      <w:kinsoku w:val="0"/>
      <w:autoSpaceDE w:val="0"/>
      <w:autoSpaceDN w:val="0"/>
      <w:adjustRightInd w:val="0"/>
      <w:snapToGrid w:val="0"/>
      <w:spacing w:line="120" w:lineRule="exact"/>
      <w:jc w:val="left"/>
      <w:textAlignment w:val="baseline"/>
      <w:rPr>
        <w:rFonts w:ascii="宋体" w:hAnsi="宋体" w:eastAsia="宋体" w:cs="宋体"/>
        <w:snapToGrid w:val="0"/>
        <w:color w:val="000000"/>
        <w:kern w:val="0"/>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8DBCC8">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88DBCC8">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11F8E">
    <w:pPr>
      <w:pStyle w:val="13"/>
      <w:ind w:right="90"/>
      <w:jc w:val="right"/>
      <w:rPr>
        <w:rFonts w:hint="eastAsia" w:ascii="宋体" w:hAnsi="宋体" w:eastAsia="宋体" w:cs="Times New Roman"/>
        <w:sz w:val="21"/>
        <w:szCs w:val="21"/>
        <w:u w:val="single"/>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379FD9">
                          <w:pPr>
                            <w:pStyle w:val="13"/>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B379FD9">
                    <w:pPr>
                      <w:pStyle w:val="13"/>
                    </w:pPr>
                    <w:r>
                      <w:fldChar w:fldCharType="begin"/>
                    </w:r>
                    <w:r>
                      <w:instrText xml:space="preserve"> PAGE  \* MERGEFORMAT </w:instrText>
                    </w:r>
                    <w:r>
                      <w:fldChar w:fldCharType="separate"/>
                    </w:r>
                    <w:r>
                      <w:t>68</w:t>
                    </w:r>
                    <w:r>
                      <w:fldChar w:fldCharType="end"/>
                    </w:r>
                  </w:p>
                </w:txbxContent>
              </v:textbox>
            </v:shape>
          </w:pict>
        </mc:Fallback>
      </mc:AlternateContent>
    </w:r>
    <w:r>
      <w:rPr>
        <w:rFonts w:hint="eastAsia" w:ascii="宋体" w:hAnsi="宋体" w:cs="Times New Roman"/>
        <w:sz w:val="21"/>
        <w:szCs w:val="21"/>
        <w:lang w:eastAsia="zh-CN"/>
      </w:rPr>
      <w:t>广西桂林华禹水利水电工程咨询有限公司</w:t>
    </w:r>
    <w:r>
      <w:rPr>
        <w:rFonts w:hint="eastAsia" w:ascii="宋体" w:hAnsi="宋体" w:eastAsia="宋体" w:cs="Times New Roman"/>
        <w:sz w:val="21"/>
        <w:szCs w:val="21"/>
      </w:rPr>
      <w:t>编制</w:t>
    </w:r>
    <w:r>
      <w:rPr>
        <w:rFonts w:hint="eastAsia" w:ascii="宋体" w:hAnsi="宋体" w:eastAsia="宋体" w:cs="Times New Roman"/>
        <w:sz w:val="21"/>
        <w:szCs w:val="21"/>
        <w:u w:val="single"/>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5B1C9">
    <w:pPr>
      <w:pStyle w:val="14"/>
      <w:jc w:val="left"/>
      <w:rPr>
        <w:rFonts w:hint="eastAsia" w:cs="Times New Roman"/>
        <w:sz w:val="21"/>
        <w:szCs w:val="21"/>
        <w:lang w:val="en-US" w:eastAsia="zh-CN"/>
      </w:rPr>
    </w:pPr>
    <w:r>
      <w:rPr>
        <w:rFonts w:hint="eastAsia" w:ascii="Times New Roman" w:hAnsi="Times New Roman" w:eastAsia="宋体" w:cs="Times New Roman"/>
        <w:sz w:val="21"/>
        <w:szCs w:val="21"/>
      </w:rPr>
      <w:t>项目名称：</w:t>
    </w:r>
    <w:r>
      <w:rPr>
        <w:rFonts w:hint="eastAsia" w:cs="Times New Roman"/>
        <w:sz w:val="21"/>
        <w:szCs w:val="21"/>
        <w:lang w:eastAsia="zh-CN"/>
      </w:rPr>
      <w:t>昭平县走马镇污水处理厂配套管网工程(二期)工程项目</w:t>
    </w:r>
    <w:r>
      <w:rPr>
        <w:rFonts w:hint="eastAsia" w:ascii="Times New Roman" w:hAnsi="Times New Roman" w:eastAsia="宋体" w:cs="Times New Roman"/>
        <w:sz w:val="21"/>
        <w:szCs w:val="21"/>
        <w:lang w:val="en-US" w:eastAsia="zh-CN"/>
      </w:rPr>
      <w:t xml:space="preserve"> </w:t>
    </w:r>
    <w:r>
      <w:rPr>
        <w:rFonts w:hint="eastAsia" w:cs="Times New Roman"/>
        <w:sz w:val="21"/>
        <w:szCs w:val="21"/>
        <w:lang w:val="en-US" w:eastAsia="zh-CN"/>
      </w:rPr>
      <w:t xml:space="preserve">   </w:t>
    </w:r>
  </w:p>
  <w:p w14:paraId="6B355D6B">
    <w:pPr>
      <w:pStyle w:val="14"/>
      <w:jc w:val="left"/>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highlight w:val="none"/>
      </w:rPr>
      <w:t>项目编号：</w:t>
    </w:r>
    <w:r>
      <w:rPr>
        <w:rFonts w:hint="eastAsia" w:cs="Times New Roman"/>
        <w:sz w:val="21"/>
        <w:szCs w:val="21"/>
        <w:highlight w:val="none"/>
        <w:lang w:eastAsia="zh-CN"/>
      </w:rPr>
      <w:t>HZZC2026-C2-210032-GLHY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2B7D6">
    <w:pPr>
      <w:pStyle w:val="14"/>
      <w:rPr>
        <w:rFonts w:ascii="Times New Roman" w:hAnsi="Times New Roman" w:eastAsia="宋体"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E8D78">
    <w:pPr>
      <w:pStyle w:val="14"/>
      <w:pBdr>
        <w:bottom w:val="none" w:color="auto" w:sz="0" w:space="1"/>
      </w:pBdr>
      <w:rPr>
        <w:rFonts w:ascii="Times New Roman" w:hAnsi="Times New Roman" w:eastAsia="宋体"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1217C">
    <w:pPr>
      <w:pStyle w:val="14"/>
      <w:jc w:val="left"/>
      <w:rPr>
        <w:rFonts w:ascii="宋体" w:hAnsi="宋体" w:eastAsia="宋体" w:cs="宋体"/>
        <w:snapToGrid w:val="0"/>
        <w:color w:val="000000"/>
        <w:kern w:val="0"/>
        <w:sz w:val="18"/>
        <w:szCs w:val="18"/>
      </w:rPr>
    </w:pPr>
    <w:r>
      <w:rPr>
        <w:rFonts w:hint="eastAsia" w:ascii="Times New Roman" w:hAnsi="Times New Roman" w:eastAsia="宋体" w:cs="Times New Roman"/>
        <w:sz w:val="21"/>
        <w:szCs w:val="21"/>
      </w:rPr>
      <w:t>项目名称：</w:t>
    </w:r>
    <w:r>
      <w:rPr>
        <w:rFonts w:hint="eastAsia" w:cs="Times New Roman"/>
        <w:sz w:val="21"/>
        <w:szCs w:val="21"/>
        <w:lang w:val="en-US" w:eastAsia="zh-CN"/>
      </w:rPr>
      <w:t>昭平县木格乡花会冲八角基地产业路项目</w:t>
    </w:r>
    <w:r>
      <w:rPr>
        <w:rFonts w:hint="eastAsia" w:ascii="Times New Roman" w:hAnsi="Times New Roman" w:eastAsia="宋体" w:cs="Times New Roman"/>
        <w:sz w:val="21"/>
        <w:szCs w:val="21"/>
        <w:lang w:val="en-US" w:eastAsia="zh-CN"/>
      </w:rPr>
      <w:t xml:space="preserve"> </w:t>
    </w:r>
    <w:r>
      <w:rPr>
        <w:rFonts w:hint="eastAsia" w:cs="Times New Roman"/>
        <w:sz w:val="21"/>
        <w:szCs w:val="21"/>
        <w:lang w:val="en-US" w:eastAsia="zh-CN"/>
      </w:rPr>
      <w:t xml:space="preserve">      </w:t>
    </w:r>
    <w:r>
      <w:rPr>
        <w:rFonts w:hint="eastAsia" w:ascii="Times New Roman" w:hAnsi="Times New Roman" w:eastAsia="宋体" w:cs="Times New Roman"/>
        <w:sz w:val="21"/>
        <w:szCs w:val="21"/>
        <w:highlight w:val="none"/>
      </w:rPr>
      <w:t>项目编号：</w:t>
    </w:r>
    <w:r>
      <w:rPr>
        <w:rFonts w:hint="eastAsia" w:cs="Times New Roman"/>
        <w:sz w:val="21"/>
        <w:szCs w:val="21"/>
        <w:highlight w:val="none"/>
        <w:lang w:eastAsia="zh-CN"/>
      </w:rPr>
      <w:t>HZZC2026-C2-210032-GLHY</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DCACE">
    <w:pPr>
      <w:pStyle w:val="14"/>
      <w:jc w:val="left"/>
      <w:rPr>
        <w:rFonts w:ascii="宋体" w:hAnsi="宋体" w:eastAsia="宋体" w:cs="宋体"/>
        <w:snapToGrid w:val="0"/>
        <w:color w:val="000000"/>
        <w:kern w:val="0"/>
        <w:sz w:val="18"/>
        <w:szCs w:val="18"/>
      </w:rPr>
    </w:pPr>
    <w:r>
      <w:rPr>
        <w:rFonts w:hint="eastAsia" w:ascii="Times New Roman" w:hAnsi="Times New Roman" w:eastAsia="宋体" w:cs="Times New Roman"/>
        <w:sz w:val="21"/>
        <w:szCs w:val="21"/>
      </w:rPr>
      <w:t>项目名称：</w:t>
    </w:r>
    <w:r>
      <w:rPr>
        <w:rFonts w:hint="eastAsia" w:cs="Times New Roman"/>
        <w:sz w:val="21"/>
        <w:szCs w:val="21"/>
        <w:lang w:eastAsia="zh-CN"/>
      </w:rPr>
      <w:t>昭平县木格乡花会冲八角基地产业路项目</w:t>
    </w:r>
    <w:r>
      <w:rPr>
        <w:rFonts w:hint="eastAsia" w:cs="Times New Roman"/>
        <w:sz w:val="21"/>
        <w:szCs w:val="21"/>
        <w:lang w:val="en-US" w:eastAsia="zh-CN"/>
      </w:rPr>
      <w:t xml:space="preserve">       </w:t>
    </w:r>
    <w:r>
      <w:rPr>
        <w:rFonts w:hint="eastAsia" w:ascii="Times New Roman" w:hAnsi="Times New Roman" w:eastAsia="宋体" w:cs="Times New Roman"/>
        <w:sz w:val="21"/>
        <w:szCs w:val="21"/>
        <w:highlight w:val="none"/>
      </w:rPr>
      <w:t>项目编号：</w:t>
    </w:r>
    <w:r>
      <w:rPr>
        <w:rFonts w:hint="eastAsia" w:cs="Times New Roman"/>
        <w:sz w:val="21"/>
        <w:szCs w:val="21"/>
        <w:highlight w:val="none"/>
        <w:lang w:eastAsia="zh-CN"/>
      </w:rPr>
      <w:t>HZZC2026-C2-210032-GLHY</w:t>
    </w:r>
  </w:p>
  <w:p w14:paraId="5D6C74C8">
    <w:pPr>
      <w:tabs>
        <w:tab w:val="left" w:pos="973"/>
      </w:tabs>
      <w:spacing w:line="237" w:lineRule="auto"/>
      <w:rPr>
        <w:rFonts w:ascii="宋体" w:hAnsi="宋体" w:eastAsia="宋体" w:cs="宋体"/>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CB960E"/>
    <w:multiLevelType w:val="singleLevel"/>
    <w:tmpl w:val="85CB960E"/>
    <w:lvl w:ilvl="0" w:tentative="0">
      <w:start w:val="7"/>
      <w:numFmt w:val="chineseCounting"/>
      <w:suff w:val="nothing"/>
      <w:lvlText w:val="%1、"/>
      <w:lvlJc w:val="left"/>
      <w:rPr>
        <w:rFonts w:hint="eastAsia"/>
      </w:rPr>
    </w:lvl>
  </w:abstractNum>
  <w:abstractNum w:abstractNumId="1">
    <w:nsid w:val="93077562"/>
    <w:multiLevelType w:val="singleLevel"/>
    <w:tmpl w:val="93077562"/>
    <w:lvl w:ilvl="0" w:tentative="0">
      <w:start w:val="4"/>
      <w:numFmt w:val="chineseCounting"/>
      <w:suff w:val="space"/>
      <w:lvlText w:val="第%1章"/>
      <w:lvlJc w:val="left"/>
      <w:rPr>
        <w:rFonts w:hint="eastAsia"/>
      </w:rPr>
    </w:lvl>
  </w:abstractNum>
  <w:abstractNum w:abstractNumId="2">
    <w:nsid w:val="B2FD2B48"/>
    <w:multiLevelType w:val="singleLevel"/>
    <w:tmpl w:val="B2FD2B48"/>
    <w:lvl w:ilvl="0" w:tentative="0">
      <w:start w:val="1"/>
      <w:numFmt w:val="decimal"/>
      <w:suff w:val="nothing"/>
      <w:lvlText w:val="（%1）"/>
      <w:lvlJc w:val="left"/>
    </w:lvl>
  </w:abstractNum>
  <w:abstractNum w:abstractNumId="3">
    <w:nsid w:val="C932187E"/>
    <w:multiLevelType w:val="singleLevel"/>
    <w:tmpl w:val="C932187E"/>
    <w:lvl w:ilvl="0" w:tentative="0">
      <w:start w:val="1"/>
      <w:numFmt w:val="chineseCounting"/>
      <w:suff w:val="space"/>
      <w:lvlText w:val="第%1章"/>
      <w:lvlJc w:val="left"/>
      <w:rPr>
        <w:rFonts w:hint="eastAsia"/>
      </w:rPr>
    </w:lvl>
  </w:abstractNum>
  <w:abstractNum w:abstractNumId="4">
    <w:nsid w:val="CF5733CA"/>
    <w:multiLevelType w:val="singleLevel"/>
    <w:tmpl w:val="CF5733CA"/>
    <w:lvl w:ilvl="0" w:tentative="0">
      <w:start w:val="4"/>
      <w:numFmt w:val="chineseCounting"/>
      <w:suff w:val="nothing"/>
      <w:lvlText w:val="%1、"/>
      <w:lvlJc w:val="left"/>
      <w:rPr>
        <w:rFonts w:hint="eastAsia"/>
      </w:rPr>
    </w:lvl>
  </w:abstractNum>
  <w:abstractNum w:abstractNumId="5">
    <w:nsid w:val="2C031271"/>
    <w:multiLevelType w:val="singleLevel"/>
    <w:tmpl w:val="2C031271"/>
    <w:lvl w:ilvl="0" w:tentative="0">
      <w:start w:val="1"/>
      <w:numFmt w:val="decimal"/>
      <w:lvlText w:val="%1."/>
      <w:lvlJc w:val="left"/>
      <w:pPr>
        <w:tabs>
          <w:tab w:val="left" w:pos="312"/>
        </w:tabs>
      </w:pPr>
    </w:lvl>
  </w:abstractNum>
  <w:abstractNum w:abstractNumId="6">
    <w:nsid w:val="4E1E67FD"/>
    <w:multiLevelType w:val="singleLevel"/>
    <w:tmpl w:val="4E1E67FD"/>
    <w:lvl w:ilvl="0" w:tentative="0">
      <w:start w:val="1"/>
      <w:numFmt w:val="decimal"/>
      <w:lvlText w:val="(%1)"/>
      <w:lvlJc w:val="left"/>
      <w:pPr>
        <w:tabs>
          <w:tab w:val="left" w:pos="312"/>
        </w:tabs>
      </w:pPr>
    </w:lvl>
  </w:abstractNum>
  <w:abstractNum w:abstractNumId="7">
    <w:nsid w:val="621B027D"/>
    <w:multiLevelType w:val="multilevel"/>
    <w:tmpl w:val="621B027D"/>
    <w:lvl w:ilvl="0" w:tentative="0">
      <w:start w:val="1"/>
      <w:numFmt w:val="decimal"/>
      <w:lvlText w:val="(%1)"/>
      <w:lvlJc w:val="left"/>
      <w:pPr>
        <w:tabs>
          <w:tab w:val="left" w:pos="840"/>
        </w:tabs>
        <w:ind w:left="840" w:hanging="420"/>
      </w:pPr>
      <w:rPr>
        <w:rFonts w:hint="eastAsia"/>
        <w:sz w:val="21"/>
        <w:szCs w:val="21"/>
      </w:rPr>
    </w:lvl>
    <w:lvl w:ilvl="1" w:tentative="0">
      <w:start w:val="1"/>
      <w:numFmt w:val="decimal"/>
      <w:lvlText w:val="%2、"/>
      <w:lvlJc w:val="left"/>
      <w:pPr>
        <w:tabs>
          <w:tab w:val="left" w:pos="1200"/>
        </w:tabs>
        <w:ind w:left="1200" w:hanging="360"/>
      </w:pPr>
      <w:rPr>
        <w:rFonts w:hint="default"/>
      </w:rPr>
    </w:lvl>
    <w:lvl w:ilvl="2" w:tentative="0">
      <w:start w:val="16"/>
      <w:numFmt w:val="bullet"/>
      <w:lvlText w:val="★"/>
      <w:lvlJc w:val="left"/>
      <w:pPr>
        <w:tabs>
          <w:tab w:val="left" w:pos="1620"/>
        </w:tabs>
        <w:ind w:left="1620" w:hanging="360"/>
      </w:pPr>
      <w:rPr>
        <w:rFonts w:hint="eastAsia" w:ascii="宋体" w:hAnsi="宋体" w:eastAsia="宋体" w:cs="Times New Roman"/>
      </w:r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8">
    <w:nsid w:val="6EDD6597"/>
    <w:multiLevelType w:val="singleLevel"/>
    <w:tmpl w:val="6EDD6597"/>
    <w:lvl w:ilvl="0" w:tentative="0">
      <w:start w:val="2"/>
      <w:numFmt w:val="decimal"/>
      <w:suff w:val="space"/>
      <w:lvlText w:val="%1."/>
      <w:lvlJc w:val="left"/>
    </w:lvl>
  </w:abstractNum>
  <w:num w:numId="1">
    <w:abstractNumId w:val="3"/>
  </w:num>
  <w:num w:numId="2">
    <w:abstractNumId w:val="0"/>
  </w:num>
  <w:num w:numId="3">
    <w:abstractNumId w:val="5"/>
  </w:num>
  <w:num w:numId="4">
    <w:abstractNumId w:val="2"/>
  </w:num>
  <w:num w:numId="5">
    <w:abstractNumId w:val="7"/>
  </w:num>
  <w:num w:numId="6">
    <w:abstractNumId w:val="6"/>
  </w:num>
  <w:num w:numId="7">
    <w:abstractNumId w:val="8"/>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431B3150"/>
    <w:rsid w:val="00147173"/>
    <w:rsid w:val="00916D2E"/>
    <w:rsid w:val="0094732E"/>
    <w:rsid w:val="009F276B"/>
    <w:rsid w:val="00AD6E3B"/>
    <w:rsid w:val="00B32339"/>
    <w:rsid w:val="00B66CA6"/>
    <w:rsid w:val="01025669"/>
    <w:rsid w:val="010F43CF"/>
    <w:rsid w:val="010F5FE2"/>
    <w:rsid w:val="013E6345"/>
    <w:rsid w:val="01510D91"/>
    <w:rsid w:val="015E1378"/>
    <w:rsid w:val="01712B58"/>
    <w:rsid w:val="01732FB3"/>
    <w:rsid w:val="018E7F8D"/>
    <w:rsid w:val="01A74145"/>
    <w:rsid w:val="020C3C09"/>
    <w:rsid w:val="021B4271"/>
    <w:rsid w:val="021E110F"/>
    <w:rsid w:val="021F0ED1"/>
    <w:rsid w:val="0228604D"/>
    <w:rsid w:val="02511B73"/>
    <w:rsid w:val="025B30F8"/>
    <w:rsid w:val="02732751"/>
    <w:rsid w:val="02901E05"/>
    <w:rsid w:val="02910441"/>
    <w:rsid w:val="02945D66"/>
    <w:rsid w:val="02A75804"/>
    <w:rsid w:val="02AA2995"/>
    <w:rsid w:val="02B37ED6"/>
    <w:rsid w:val="02CB6880"/>
    <w:rsid w:val="02CF2660"/>
    <w:rsid w:val="02D752BA"/>
    <w:rsid w:val="02DB1135"/>
    <w:rsid w:val="02F60B92"/>
    <w:rsid w:val="030229A5"/>
    <w:rsid w:val="03073BD8"/>
    <w:rsid w:val="034E0278"/>
    <w:rsid w:val="038A0F5C"/>
    <w:rsid w:val="038F0666"/>
    <w:rsid w:val="03994F4E"/>
    <w:rsid w:val="03A52EF2"/>
    <w:rsid w:val="03B52281"/>
    <w:rsid w:val="03BD679A"/>
    <w:rsid w:val="03E513A6"/>
    <w:rsid w:val="04025A79"/>
    <w:rsid w:val="04453E55"/>
    <w:rsid w:val="047948EC"/>
    <w:rsid w:val="047E311D"/>
    <w:rsid w:val="0488552C"/>
    <w:rsid w:val="04C23D52"/>
    <w:rsid w:val="050B1812"/>
    <w:rsid w:val="051518EF"/>
    <w:rsid w:val="0521531D"/>
    <w:rsid w:val="05577D8B"/>
    <w:rsid w:val="05875732"/>
    <w:rsid w:val="05BD29CF"/>
    <w:rsid w:val="060C2EBB"/>
    <w:rsid w:val="06415C54"/>
    <w:rsid w:val="06595497"/>
    <w:rsid w:val="06C95EDE"/>
    <w:rsid w:val="06FD746A"/>
    <w:rsid w:val="072C591E"/>
    <w:rsid w:val="075E5314"/>
    <w:rsid w:val="076D0ECF"/>
    <w:rsid w:val="077568E0"/>
    <w:rsid w:val="077A560F"/>
    <w:rsid w:val="07963C8B"/>
    <w:rsid w:val="07A94B5D"/>
    <w:rsid w:val="07B74FC8"/>
    <w:rsid w:val="07BC46FF"/>
    <w:rsid w:val="07BC49C1"/>
    <w:rsid w:val="07C27992"/>
    <w:rsid w:val="07CB5F01"/>
    <w:rsid w:val="07D93375"/>
    <w:rsid w:val="07F8505E"/>
    <w:rsid w:val="080374BA"/>
    <w:rsid w:val="08415506"/>
    <w:rsid w:val="08553CEE"/>
    <w:rsid w:val="0860559E"/>
    <w:rsid w:val="087728B5"/>
    <w:rsid w:val="08804629"/>
    <w:rsid w:val="08A54CD2"/>
    <w:rsid w:val="08E144CF"/>
    <w:rsid w:val="09150178"/>
    <w:rsid w:val="093056E2"/>
    <w:rsid w:val="09656872"/>
    <w:rsid w:val="098C3ADE"/>
    <w:rsid w:val="098C576A"/>
    <w:rsid w:val="09981DD6"/>
    <w:rsid w:val="09EB2195"/>
    <w:rsid w:val="0A203224"/>
    <w:rsid w:val="0A323A7B"/>
    <w:rsid w:val="0A421BF4"/>
    <w:rsid w:val="0A4B25DC"/>
    <w:rsid w:val="0AA70ADC"/>
    <w:rsid w:val="0AD57C4B"/>
    <w:rsid w:val="0ADE7A8F"/>
    <w:rsid w:val="0B0333A3"/>
    <w:rsid w:val="0B0A635A"/>
    <w:rsid w:val="0B144F2B"/>
    <w:rsid w:val="0B1536C0"/>
    <w:rsid w:val="0B296D13"/>
    <w:rsid w:val="0B4E39F7"/>
    <w:rsid w:val="0B643590"/>
    <w:rsid w:val="0B66416A"/>
    <w:rsid w:val="0B7314D5"/>
    <w:rsid w:val="0BB07C71"/>
    <w:rsid w:val="0BEE5A66"/>
    <w:rsid w:val="0BF9008B"/>
    <w:rsid w:val="0BFA6FD1"/>
    <w:rsid w:val="0C373216"/>
    <w:rsid w:val="0C3E7E08"/>
    <w:rsid w:val="0C406B21"/>
    <w:rsid w:val="0C6915E0"/>
    <w:rsid w:val="0CD4338D"/>
    <w:rsid w:val="0CE41149"/>
    <w:rsid w:val="0CEE7400"/>
    <w:rsid w:val="0CFA5152"/>
    <w:rsid w:val="0D1462F4"/>
    <w:rsid w:val="0D1C2527"/>
    <w:rsid w:val="0D324D94"/>
    <w:rsid w:val="0D553128"/>
    <w:rsid w:val="0D6B65F8"/>
    <w:rsid w:val="0DB40D43"/>
    <w:rsid w:val="0DB71BE3"/>
    <w:rsid w:val="0DB86AB6"/>
    <w:rsid w:val="0DBC70F1"/>
    <w:rsid w:val="0DFF3918"/>
    <w:rsid w:val="0E0722AE"/>
    <w:rsid w:val="0E0D2B89"/>
    <w:rsid w:val="0E44027A"/>
    <w:rsid w:val="0E53028D"/>
    <w:rsid w:val="0E5D3349"/>
    <w:rsid w:val="0E7D2A40"/>
    <w:rsid w:val="0E857647"/>
    <w:rsid w:val="0E905815"/>
    <w:rsid w:val="0EA271EC"/>
    <w:rsid w:val="0EA71A05"/>
    <w:rsid w:val="0ECD528C"/>
    <w:rsid w:val="0EE61D33"/>
    <w:rsid w:val="0EE70E8E"/>
    <w:rsid w:val="0EE81876"/>
    <w:rsid w:val="0F0A282B"/>
    <w:rsid w:val="0F2976AF"/>
    <w:rsid w:val="0F470702"/>
    <w:rsid w:val="0F515C5A"/>
    <w:rsid w:val="0F6D3AD1"/>
    <w:rsid w:val="0F824033"/>
    <w:rsid w:val="0FA42666"/>
    <w:rsid w:val="0FD2057A"/>
    <w:rsid w:val="0FD571EC"/>
    <w:rsid w:val="0FF4142D"/>
    <w:rsid w:val="108522C5"/>
    <w:rsid w:val="109C55C2"/>
    <w:rsid w:val="10A36CEB"/>
    <w:rsid w:val="10FF5343"/>
    <w:rsid w:val="11240204"/>
    <w:rsid w:val="1134195C"/>
    <w:rsid w:val="1182633E"/>
    <w:rsid w:val="11A23E24"/>
    <w:rsid w:val="11AF3192"/>
    <w:rsid w:val="11D44407"/>
    <w:rsid w:val="11F4325E"/>
    <w:rsid w:val="12042129"/>
    <w:rsid w:val="122B23DB"/>
    <w:rsid w:val="12432BED"/>
    <w:rsid w:val="128A57C3"/>
    <w:rsid w:val="12921F42"/>
    <w:rsid w:val="12B2792E"/>
    <w:rsid w:val="12C33517"/>
    <w:rsid w:val="12D45BC9"/>
    <w:rsid w:val="12E5148C"/>
    <w:rsid w:val="13375F7C"/>
    <w:rsid w:val="133B072C"/>
    <w:rsid w:val="138B448A"/>
    <w:rsid w:val="139A144D"/>
    <w:rsid w:val="13CD6B47"/>
    <w:rsid w:val="13D80628"/>
    <w:rsid w:val="13E62DBC"/>
    <w:rsid w:val="141C07D5"/>
    <w:rsid w:val="14237CCA"/>
    <w:rsid w:val="14505136"/>
    <w:rsid w:val="146F1A40"/>
    <w:rsid w:val="14776EFE"/>
    <w:rsid w:val="147B5855"/>
    <w:rsid w:val="14904A9F"/>
    <w:rsid w:val="14AD2FB9"/>
    <w:rsid w:val="14B4689D"/>
    <w:rsid w:val="14DA11D6"/>
    <w:rsid w:val="14E375A4"/>
    <w:rsid w:val="14FA43F4"/>
    <w:rsid w:val="15312467"/>
    <w:rsid w:val="153E5864"/>
    <w:rsid w:val="15442DDA"/>
    <w:rsid w:val="157A4E72"/>
    <w:rsid w:val="15801337"/>
    <w:rsid w:val="159C20F2"/>
    <w:rsid w:val="15A14DEA"/>
    <w:rsid w:val="15A52288"/>
    <w:rsid w:val="15B37428"/>
    <w:rsid w:val="15C16A04"/>
    <w:rsid w:val="15D17694"/>
    <w:rsid w:val="15F455B0"/>
    <w:rsid w:val="15FC2035"/>
    <w:rsid w:val="16065428"/>
    <w:rsid w:val="16094D85"/>
    <w:rsid w:val="162006D2"/>
    <w:rsid w:val="162114BD"/>
    <w:rsid w:val="163B35AF"/>
    <w:rsid w:val="16497123"/>
    <w:rsid w:val="16593E44"/>
    <w:rsid w:val="16676900"/>
    <w:rsid w:val="166A27F4"/>
    <w:rsid w:val="169541A1"/>
    <w:rsid w:val="16AD1488"/>
    <w:rsid w:val="16DF0663"/>
    <w:rsid w:val="170279F1"/>
    <w:rsid w:val="170711DD"/>
    <w:rsid w:val="170B0EBC"/>
    <w:rsid w:val="174357EB"/>
    <w:rsid w:val="177D1E82"/>
    <w:rsid w:val="17830C7D"/>
    <w:rsid w:val="179B2596"/>
    <w:rsid w:val="17A16409"/>
    <w:rsid w:val="17EB2521"/>
    <w:rsid w:val="17FC09DB"/>
    <w:rsid w:val="18410550"/>
    <w:rsid w:val="184A630F"/>
    <w:rsid w:val="18902AC0"/>
    <w:rsid w:val="189B5D8E"/>
    <w:rsid w:val="18A36F04"/>
    <w:rsid w:val="18C633D3"/>
    <w:rsid w:val="18F92709"/>
    <w:rsid w:val="190711B8"/>
    <w:rsid w:val="1929549B"/>
    <w:rsid w:val="193713E3"/>
    <w:rsid w:val="19446B85"/>
    <w:rsid w:val="195C7B85"/>
    <w:rsid w:val="19CC7E03"/>
    <w:rsid w:val="19D86A17"/>
    <w:rsid w:val="19DA3387"/>
    <w:rsid w:val="19F4305A"/>
    <w:rsid w:val="19FD64D2"/>
    <w:rsid w:val="1A1C02B0"/>
    <w:rsid w:val="1A4354AD"/>
    <w:rsid w:val="1A53371E"/>
    <w:rsid w:val="1A580897"/>
    <w:rsid w:val="1A59708B"/>
    <w:rsid w:val="1A5C344B"/>
    <w:rsid w:val="1A761580"/>
    <w:rsid w:val="1A886D43"/>
    <w:rsid w:val="1AC54D70"/>
    <w:rsid w:val="1AEB6070"/>
    <w:rsid w:val="1AFB42ED"/>
    <w:rsid w:val="1B1656CF"/>
    <w:rsid w:val="1B1A4796"/>
    <w:rsid w:val="1B1A5B25"/>
    <w:rsid w:val="1B677C92"/>
    <w:rsid w:val="1B803B6F"/>
    <w:rsid w:val="1B837D67"/>
    <w:rsid w:val="1BA5625C"/>
    <w:rsid w:val="1BCD65A0"/>
    <w:rsid w:val="1BD04F59"/>
    <w:rsid w:val="1C127C1D"/>
    <w:rsid w:val="1C2E4F86"/>
    <w:rsid w:val="1C393EA0"/>
    <w:rsid w:val="1C3B6CE8"/>
    <w:rsid w:val="1C526437"/>
    <w:rsid w:val="1C751ABE"/>
    <w:rsid w:val="1C7840B1"/>
    <w:rsid w:val="1C8745E6"/>
    <w:rsid w:val="1C8E3E2E"/>
    <w:rsid w:val="1C8F7072"/>
    <w:rsid w:val="1C92728F"/>
    <w:rsid w:val="1CB74342"/>
    <w:rsid w:val="1CBC5B9E"/>
    <w:rsid w:val="1CC70E5A"/>
    <w:rsid w:val="1CC826ED"/>
    <w:rsid w:val="1CC858AA"/>
    <w:rsid w:val="1CE4446C"/>
    <w:rsid w:val="1CFB6772"/>
    <w:rsid w:val="1D012DC8"/>
    <w:rsid w:val="1D473FC4"/>
    <w:rsid w:val="1D4808AE"/>
    <w:rsid w:val="1D7F206E"/>
    <w:rsid w:val="1DA55ED4"/>
    <w:rsid w:val="1DC87107"/>
    <w:rsid w:val="1DCB31D3"/>
    <w:rsid w:val="1DCD16C2"/>
    <w:rsid w:val="1DD1681C"/>
    <w:rsid w:val="1DEA1AED"/>
    <w:rsid w:val="1DEC7B59"/>
    <w:rsid w:val="1E044C13"/>
    <w:rsid w:val="1E132584"/>
    <w:rsid w:val="1E1D1B02"/>
    <w:rsid w:val="1E211AF4"/>
    <w:rsid w:val="1E2D414F"/>
    <w:rsid w:val="1E7C3880"/>
    <w:rsid w:val="1E9E542D"/>
    <w:rsid w:val="1EA3020C"/>
    <w:rsid w:val="1EC428AC"/>
    <w:rsid w:val="1EEB6780"/>
    <w:rsid w:val="1F0F1A50"/>
    <w:rsid w:val="1F3E237B"/>
    <w:rsid w:val="1F3F4D79"/>
    <w:rsid w:val="1F9312FF"/>
    <w:rsid w:val="1FA928B8"/>
    <w:rsid w:val="1FAF33D0"/>
    <w:rsid w:val="1FE97514"/>
    <w:rsid w:val="200A5C3C"/>
    <w:rsid w:val="203370CC"/>
    <w:rsid w:val="2042635B"/>
    <w:rsid w:val="204949D4"/>
    <w:rsid w:val="20567420"/>
    <w:rsid w:val="205E116D"/>
    <w:rsid w:val="2069588E"/>
    <w:rsid w:val="20786BE9"/>
    <w:rsid w:val="208257CE"/>
    <w:rsid w:val="208A1D0B"/>
    <w:rsid w:val="208C4B5A"/>
    <w:rsid w:val="20A03B82"/>
    <w:rsid w:val="20B3324D"/>
    <w:rsid w:val="20B74704"/>
    <w:rsid w:val="2122049F"/>
    <w:rsid w:val="21251B33"/>
    <w:rsid w:val="21437AE8"/>
    <w:rsid w:val="214D0AB3"/>
    <w:rsid w:val="2167743F"/>
    <w:rsid w:val="217A0435"/>
    <w:rsid w:val="218775AB"/>
    <w:rsid w:val="2188729D"/>
    <w:rsid w:val="21B77545"/>
    <w:rsid w:val="21BA022A"/>
    <w:rsid w:val="21BD48B9"/>
    <w:rsid w:val="21C42C5D"/>
    <w:rsid w:val="21CE69EC"/>
    <w:rsid w:val="21D431C3"/>
    <w:rsid w:val="21D75B28"/>
    <w:rsid w:val="21E1157B"/>
    <w:rsid w:val="21E9116E"/>
    <w:rsid w:val="21F33F8B"/>
    <w:rsid w:val="22047B62"/>
    <w:rsid w:val="220C503A"/>
    <w:rsid w:val="22637F74"/>
    <w:rsid w:val="22673393"/>
    <w:rsid w:val="227350E1"/>
    <w:rsid w:val="227A2DCD"/>
    <w:rsid w:val="227D3355"/>
    <w:rsid w:val="22811AD1"/>
    <w:rsid w:val="228150C7"/>
    <w:rsid w:val="22851D24"/>
    <w:rsid w:val="22996C92"/>
    <w:rsid w:val="22CD66D0"/>
    <w:rsid w:val="22DF6B31"/>
    <w:rsid w:val="230A1F70"/>
    <w:rsid w:val="23111068"/>
    <w:rsid w:val="231153E3"/>
    <w:rsid w:val="23242C16"/>
    <w:rsid w:val="233B32F2"/>
    <w:rsid w:val="23417E1B"/>
    <w:rsid w:val="23427B85"/>
    <w:rsid w:val="23503C84"/>
    <w:rsid w:val="238846BF"/>
    <w:rsid w:val="239D4909"/>
    <w:rsid w:val="23A3588C"/>
    <w:rsid w:val="23AA7239"/>
    <w:rsid w:val="23BB3004"/>
    <w:rsid w:val="23C7681E"/>
    <w:rsid w:val="24082174"/>
    <w:rsid w:val="24145594"/>
    <w:rsid w:val="24381C76"/>
    <w:rsid w:val="24513B95"/>
    <w:rsid w:val="24531BE4"/>
    <w:rsid w:val="245E60EA"/>
    <w:rsid w:val="24945841"/>
    <w:rsid w:val="249F3629"/>
    <w:rsid w:val="24CF6BB0"/>
    <w:rsid w:val="24EC0746"/>
    <w:rsid w:val="25060596"/>
    <w:rsid w:val="250879C8"/>
    <w:rsid w:val="25097325"/>
    <w:rsid w:val="25292606"/>
    <w:rsid w:val="25580E26"/>
    <w:rsid w:val="255A75F4"/>
    <w:rsid w:val="25A062B3"/>
    <w:rsid w:val="25F95738"/>
    <w:rsid w:val="261521C7"/>
    <w:rsid w:val="261D222D"/>
    <w:rsid w:val="263C430E"/>
    <w:rsid w:val="26562782"/>
    <w:rsid w:val="26584507"/>
    <w:rsid w:val="26A61651"/>
    <w:rsid w:val="26B13B60"/>
    <w:rsid w:val="26CA20A0"/>
    <w:rsid w:val="26CC4D9A"/>
    <w:rsid w:val="26CF5C04"/>
    <w:rsid w:val="26DC7985"/>
    <w:rsid w:val="26E8451F"/>
    <w:rsid w:val="26FE033B"/>
    <w:rsid w:val="271B54EF"/>
    <w:rsid w:val="2723127F"/>
    <w:rsid w:val="27330B47"/>
    <w:rsid w:val="2735298E"/>
    <w:rsid w:val="27654176"/>
    <w:rsid w:val="27796A8A"/>
    <w:rsid w:val="277E4600"/>
    <w:rsid w:val="278860CF"/>
    <w:rsid w:val="27B524BB"/>
    <w:rsid w:val="27C873ED"/>
    <w:rsid w:val="27DB0EE6"/>
    <w:rsid w:val="27F33DF7"/>
    <w:rsid w:val="27F65AFB"/>
    <w:rsid w:val="27F83A99"/>
    <w:rsid w:val="283A5429"/>
    <w:rsid w:val="28450962"/>
    <w:rsid w:val="284A1F5D"/>
    <w:rsid w:val="284B7EE7"/>
    <w:rsid w:val="28605BD0"/>
    <w:rsid w:val="28664D86"/>
    <w:rsid w:val="286E51BD"/>
    <w:rsid w:val="287A1C4C"/>
    <w:rsid w:val="28E1506C"/>
    <w:rsid w:val="292C4BDC"/>
    <w:rsid w:val="293B15CF"/>
    <w:rsid w:val="293D6CCD"/>
    <w:rsid w:val="295807BB"/>
    <w:rsid w:val="296D189C"/>
    <w:rsid w:val="2990340C"/>
    <w:rsid w:val="299443E4"/>
    <w:rsid w:val="299D7047"/>
    <w:rsid w:val="29A06D51"/>
    <w:rsid w:val="29B20CE7"/>
    <w:rsid w:val="29CF7CBC"/>
    <w:rsid w:val="2A040E61"/>
    <w:rsid w:val="2A0B7E6D"/>
    <w:rsid w:val="2A13200D"/>
    <w:rsid w:val="2A221ED3"/>
    <w:rsid w:val="2A3B381A"/>
    <w:rsid w:val="2A860653"/>
    <w:rsid w:val="2A8736BE"/>
    <w:rsid w:val="2A882016"/>
    <w:rsid w:val="2A93499D"/>
    <w:rsid w:val="2AC603DE"/>
    <w:rsid w:val="2AE6082F"/>
    <w:rsid w:val="2AF20769"/>
    <w:rsid w:val="2B010556"/>
    <w:rsid w:val="2B026E96"/>
    <w:rsid w:val="2B1321DC"/>
    <w:rsid w:val="2B30560E"/>
    <w:rsid w:val="2B400334"/>
    <w:rsid w:val="2B445780"/>
    <w:rsid w:val="2B4C758A"/>
    <w:rsid w:val="2B633D6E"/>
    <w:rsid w:val="2B6C4A0B"/>
    <w:rsid w:val="2BDB4391"/>
    <w:rsid w:val="2BE92768"/>
    <w:rsid w:val="2BED16F8"/>
    <w:rsid w:val="2C1C5587"/>
    <w:rsid w:val="2C1D027F"/>
    <w:rsid w:val="2C405F01"/>
    <w:rsid w:val="2C4767E2"/>
    <w:rsid w:val="2C6D4CDD"/>
    <w:rsid w:val="2C6F5E1F"/>
    <w:rsid w:val="2C755243"/>
    <w:rsid w:val="2C7C4EE5"/>
    <w:rsid w:val="2C876C23"/>
    <w:rsid w:val="2CDC497D"/>
    <w:rsid w:val="2CE72985"/>
    <w:rsid w:val="2CFB5B68"/>
    <w:rsid w:val="2D1C4591"/>
    <w:rsid w:val="2D286ADB"/>
    <w:rsid w:val="2D8B0FF1"/>
    <w:rsid w:val="2DE971E2"/>
    <w:rsid w:val="2E116E66"/>
    <w:rsid w:val="2E1D6EDE"/>
    <w:rsid w:val="2E2A3561"/>
    <w:rsid w:val="2E2D5F9E"/>
    <w:rsid w:val="2E3B6C3B"/>
    <w:rsid w:val="2E50759F"/>
    <w:rsid w:val="2EC66A23"/>
    <w:rsid w:val="2ECE06FE"/>
    <w:rsid w:val="2F1B08F5"/>
    <w:rsid w:val="2F334578"/>
    <w:rsid w:val="2F5109A4"/>
    <w:rsid w:val="2F5E6B8C"/>
    <w:rsid w:val="2F631BC5"/>
    <w:rsid w:val="2F6B042A"/>
    <w:rsid w:val="2F700DF1"/>
    <w:rsid w:val="2F916997"/>
    <w:rsid w:val="2FB601D0"/>
    <w:rsid w:val="2FBF4699"/>
    <w:rsid w:val="2FE573AB"/>
    <w:rsid w:val="301471FC"/>
    <w:rsid w:val="30245D01"/>
    <w:rsid w:val="30265D71"/>
    <w:rsid w:val="304D7130"/>
    <w:rsid w:val="30682984"/>
    <w:rsid w:val="306D2235"/>
    <w:rsid w:val="30780656"/>
    <w:rsid w:val="30896BCA"/>
    <w:rsid w:val="309F2E19"/>
    <w:rsid w:val="30EF2A10"/>
    <w:rsid w:val="30F019A9"/>
    <w:rsid w:val="31132550"/>
    <w:rsid w:val="313F4D9A"/>
    <w:rsid w:val="314A36B4"/>
    <w:rsid w:val="3161595D"/>
    <w:rsid w:val="3184602D"/>
    <w:rsid w:val="319C6943"/>
    <w:rsid w:val="31AD66FD"/>
    <w:rsid w:val="31B21D95"/>
    <w:rsid w:val="31B567F2"/>
    <w:rsid w:val="31B96AA6"/>
    <w:rsid w:val="31DF34F0"/>
    <w:rsid w:val="31EE0D17"/>
    <w:rsid w:val="31FC7ADB"/>
    <w:rsid w:val="3221596B"/>
    <w:rsid w:val="32222E7F"/>
    <w:rsid w:val="322272D6"/>
    <w:rsid w:val="322F17B7"/>
    <w:rsid w:val="325A6FC8"/>
    <w:rsid w:val="32976A23"/>
    <w:rsid w:val="3300502A"/>
    <w:rsid w:val="3306169A"/>
    <w:rsid w:val="33255513"/>
    <w:rsid w:val="33283607"/>
    <w:rsid w:val="336A17DF"/>
    <w:rsid w:val="33762B88"/>
    <w:rsid w:val="338565A5"/>
    <w:rsid w:val="33AD0AAD"/>
    <w:rsid w:val="33FC056B"/>
    <w:rsid w:val="34133F4C"/>
    <w:rsid w:val="34176FDD"/>
    <w:rsid w:val="34186F72"/>
    <w:rsid w:val="34195674"/>
    <w:rsid w:val="34246EDC"/>
    <w:rsid w:val="346C5CA1"/>
    <w:rsid w:val="34A04E07"/>
    <w:rsid w:val="34B04582"/>
    <w:rsid w:val="34DB1E65"/>
    <w:rsid w:val="34E24C33"/>
    <w:rsid w:val="34F3029F"/>
    <w:rsid w:val="34F74832"/>
    <w:rsid w:val="351013A8"/>
    <w:rsid w:val="351940B0"/>
    <w:rsid w:val="3531020B"/>
    <w:rsid w:val="35364074"/>
    <w:rsid w:val="355E4683"/>
    <w:rsid w:val="35A07E22"/>
    <w:rsid w:val="35E53C1A"/>
    <w:rsid w:val="360302A9"/>
    <w:rsid w:val="36170E17"/>
    <w:rsid w:val="361976C3"/>
    <w:rsid w:val="362463DF"/>
    <w:rsid w:val="3638711E"/>
    <w:rsid w:val="36572F64"/>
    <w:rsid w:val="365C63E8"/>
    <w:rsid w:val="36685110"/>
    <w:rsid w:val="36BF73D0"/>
    <w:rsid w:val="36C6691A"/>
    <w:rsid w:val="36DA22D7"/>
    <w:rsid w:val="36EB5BF2"/>
    <w:rsid w:val="36ED79DE"/>
    <w:rsid w:val="371A1ED1"/>
    <w:rsid w:val="3729787B"/>
    <w:rsid w:val="372D4055"/>
    <w:rsid w:val="374A73ED"/>
    <w:rsid w:val="374C74AC"/>
    <w:rsid w:val="37596EB2"/>
    <w:rsid w:val="37641FEB"/>
    <w:rsid w:val="376E1EFB"/>
    <w:rsid w:val="37CF0FD9"/>
    <w:rsid w:val="37E015A8"/>
    <w:rsid w:val="37E971B1"/>
    <w:rsid w:val="37F073C9"/>
    <w:rsid w:val="381559D1"/>
    <w:rsid w:val="381C1B69"/>
    <w:rsid w:val="381C6932"/>
    <w:rsid w:val="386023AC"/>
    <w:rsid w:val="38B8462D"/>
    <w:rsid w:val="38C33D5C"/>
    <w:rsid w:val="38C43921"/>
    <w:rsid w:val="38CB2C57"/>
    <w:rsid w:val="38D00D0D"/>
    <w:rsid w:val="38DA4D96"/>
    <w:rsid w:val="38DD1BC1"/>
    <w:rsid w:val="38F511B0"/>
    <w:rsid w:val="38F864C1"/>
    <w:rsid w:val="390E7336"/>
    <w:rsid w:val="391336F3"/>
    <w:rsid w:val="396D4CB7"/>
    <w:rsid w:val="39CA407F"/>
    <w:rsid w:val="39DD67E6"/>
    <w:rsid w:val="3A126618"/>
    <w:rsid w:val="3A4D15EB"/>
    <w:rsid w:val="3A876423"/>
    <w:rsid w:val="3AB421E7"/>
    <w:rsid w:val="3AC43A1F"/>
    <w:rsid w:val="3AC64035"/>
    <w:rsid w:val="3AD47F64"/>
    <w:rsid w:val="3B060213"/>
    <w:rsid w:val="3B0931F8"/>
    <w:rsid w:val="3B097A32"/>
    <w:rsid w:val="3B30693B"/>
    <w:rsid w:val="3B4C32CD"/>
    <w:rsid w:val="3B5E1D06"/>
    <w:rsid w:val="3BAA25AB"/>
    <w:rsid w:val="3BCC48C7"/>
    <w:rsid w:val="3BCD08D5"/>
    <w:rsid w:val="3BD97860"/>
    <w:rsid w:val="3BF97445"/>
    <w:rsid w:val="3C0D6F5C"/>
    <w:rsid w:val="3C28777B"/>
    <w:rsid w:val="3C2C5F84"/>
    <w:rsid w:val="3C463DED"/>
    <w:rsid w:val="3C775FC8"/>
    <w:rsid w:val="3CC022CE"/>
    <w:rsid w:val="3CE225EA"/>
    <w:rsid w:val="3CE24EAA"/>
    <w:rsid w:val="3CF03D27"/>
    <w:rsid w:val="3CF4761C"/>
    <w:rsid w:val="3D004621"/>
    <w:rsid w:val="3D122352"/>
    <w:rsid w:val="3D192AA5"/>
    <w:rsid w:val="3D484466"/>
    <w:rsid w:val="3D4E79E6"/>
    <w:rsid w:val="3D5F10D2"/>
    <w:rsid w:val="3D695218"/>
    <w:rsid w:val="3D7E1270"/>
    <w:rsid w:val="3D957D7E"/>
    <w:rsid w:val="3DAB5207"/>
    <w:rsid w:val="3DC212DD"/>
    <w:rsid w:val="3DCE1AC2"/>
    <w:rsid w:val="3DD03B65"/>
    <w:rsid w:val="3DD37FEC"/>
    <w:rsid w:val="3DF5283C"/>
    <w:rsid w:val="3DFF292D"/>
    <w:rsid w:val="3E236E55"/>
    <w:rsid w:val="3E34322F"/>
    <w:rsid w:val="3E4A0A14"/>
    <w:rsid w:val="3E5324BC"/>
    <w:rsid w:val="3E734463"/>
    <w:rsid w:val="3E8B48B1"/>
    <w:rsid w:val="3E991E30"/>
    <w:rsid w:val="3EC74FD8"/>
    <w:rsid w:val="3F440D32"/>
    <w:rsid w:val="3F4C2599"/>
    <w:rsid w:val="3F7A30D9"/>
    <w:rsid w:val="3FCB386C"/>
    <w:rsid w:val="3FE10A2A"/>
    <w:rsid w:val="3FEB3166"/>
    <w:rsid w:val="4005779A"/>
    <w:rsid w:val="40363A3A"/>
    <w:rsid w:val="403657E9"/>
    <w:rsid w:val="40410D61"/>
    <w:rsid w:val="407006C4"/>
    <w:rsid w:val="40880BFA"/>
    <w:rsid w:val="40AA542D"/>
    <w:rsid w:val="40D46C24"/>
    <w:rsid w:val="40D5031E"/>
    <w:rsid w:val="40DD11B1"/>
    <w:rsid w:val="40EA0F95"/>
    <w:rsid w:val="40EC23F8"/>
    <w:rsid w:val="41070804"/>
    <w:rsid w:val="411E1BAD"/>
    <w:rsid w:val="41246C1D"/>
    <w:rsid w:val="41417D67"/>
    <w:rsid w:val="41556D77"/>
    <w:rsid w:val="415F78F5"/>
    <w:rsid w:val="418A48B7"/>
    <w:rsid w:val="419304EB"/>
    <w:rsid w:val="41A47355"/>
    <w:rsid w:val="41AB0C0C"/>
    <w:rsid w:val="41AC3D91"/>
    <w:rsid w:val="41C51421"/>
    <w:rsid w:val="41CA23CD"/>
    <w:rsid w:val="41E23D2A"/>
    <w:rsid w:val="422C0F9B"/>
    <w:rsid w:val="422E3F0C"/>
    <w:rsid w:val="424E187E"/>
    <w:rsid w:val="42653193"/>
    <w:rsid w:val="4296640B"/>
    <w:rsid w:val="42BC71DD"/>
    <w:rsid w:val="42EB5D13"/>
    <w:rsid w:val="431B161F"/>
    <w:rsid w:val="431B3150"/>
    <w:rsid w:val="432D0F3D"/>
    <w:rsid w:val="43716B39"/>
    <w:rsid w:val="43A62258"/>
    <w:rsid w:val="43C52CE9"/>
    <w:rsid w:val="43C542E7"/>
    <w:rsid w:val="43CC36D3"/>
    <w:rsid w:val="44053A18"/>
    <w:rsid w:val="440C2621"/>
    <w:rsid w:val="44217E1F"/>
    <w:rsid w:val="44286EF0"/>
    <w:rsid w:val="444A60D6"/>
    <w:rsid w:val="444A6201"/>
    <w:rsid w:val="446E3444"/>
    <w:rsid w:val="44722AC8"/>
    <w:rsid w:val="447F2700"/>
    <w:rsid w:val="44902D8A"/>
    <w:rsid w:val="44F34738"/>
    <w:rsid w:val="450C30C1"/>
    <w:rsid w:val="450F36BC"/>
    <w:rsid w:val="453440B9"/>
    <w:rsid w:val="45380EEC"/>
    <w:rsid w:val="458E1756"/>
    <w:rsid w:val="45BA1C5F"/>
    <w:rsid w:val="45DB00D9"/>
    <w:rsid w:val="45DF1A0C"/>
    <w:rsid w:val="45E2649C"/>
    <w:rsid w:val="45EC2CDD"/>
    <w:rsid w:val="45F624B2"/>
    <w:rsid w:val="46026227"/>
    <w:rsid w:val="46044B25"/>
    <w:rsid w:val="460E6BC6"/>
    <w:rsid w:val="462D0958"/>
    <w:rsid w:val="463C4B2E"/>
    <w:rsid w:val="464D1332"/>
    <w:rsid w:val="466220A0"/>
    <w:rsid w:val="46B571C0"/>
    <w:rsid w:val="46D7781C"/>
    <w:rsid w:val="46E70B37"/>
    <w:rsid w:val="46E90904"/>
    <w:rsid w:val="46FD31FB"/>
    <w:rsid w:val="470B2D93"/>
    <w:rsid w:val="470F3619"/>
    <w:rsid w:val="472D2B16"/>
    <w:rsid w:val="472F5E58"/>
    <w:rsid w:val="473B5852"/>
    <w:rsid w:val="475435DB"/>
    <w:rsid w:val="4754407A"/>
    <w:rsid w:val="47755093"/>
    <w:rsid w:val="479A7B66"/>
    <w:rsid w:val="479A7EA7"/>
    <w:rsid w:val="47B41CA6"/>
    <w:rsid w:val="47B91D87"/>
    <w:rsid w:val="47C00C39"/>
    <w:rsid w:val="47C47222"/>
    <w:rsid w:val="47CE6195"/>
    <w:rsid w:val="47D22736"/>
    <w:rsid w:val="47E81C34"/>
    <w:rsid w:val="4812452D"/>
    <w:rsid w:val="482E426D"/>
    <w:rsid w:val="4839166B"/>
    <w:rsid w:val="4841673B"/>
    <w:rsid w:val="48894FF4"/>
    <w:rsid w:val="48FE1C8E"/>
    <w:rsid w:val="490E61A1"/>
    <w:rsid w:val="491D50F4"/>
    <w:rsid w:val="494A0352"/>
    <w:rsid w:val="49C06738"/>
    <w:rsid w:val="49CF0180"/>
    <w:rsid w:val="49D70D45"/>
    <w:rsid w:val="49F13853"/>
    <w:rsid w:val="49F9518C"/>
    <w:rsid w:val="4A3661D0"/>
    <w:rsid w:val="4A4857B3"/>
    <w:rsid w:val="4A506F08"/>
    <w:rsid w:val="4A54254B"/>
    <w:rsid w:val="4A5B122B"/>
    <w:rsid w:val="4AAF0D17"/>
    <w:rsid w:val="4AC7490F"/>
    <w:rsid w:val="4AEC19C9"/>
    <w:rsid w:val="4B0C7BF8"/>
    <w:rsid w:val="4B3913B6"/>
    <w:rsid w:val="4B6F00E6"/>
    <w:rsid w:val="4B6F6273"/>
    <w:rsid w:val="4B7033C1"/>
    <w:rsid w:val="4B7A2E73"/>
    <w:rsid w:val="4BA318E2"/>
    <w:rsid w:val="4BB113E9"/>
    <w:rsid w:val="4BB71830"/>
    <w:rsid w:val="4BFC452E"/>
    <w:rsid w:val="4C421637"/>
    <w:rsid w:val="4C450062"/>
    <w:rsid w:val="4C7344BE"/>
    <w:rsid w:val="4C7A5A5B"/>
    <w:rsid w:val="4C810159"/>
    <w:rsid w:val="4C8F6EBF"/>
    <w:rsid w:val="4C990605"/>
    <w:rsid w:val="4CB46ABA"/>
    <w:rsid w:val="4CB86758"/>
    <w:rsid w:val="4CC97F4D"/>
    <w:rsid w:val="4CF318E9"/>
    <w:rsid w:val="4D0E60AF"/>
    <w:rsid w:val="4D197F32"/>
    <w:rsid w:val="4D2D7466"/>
    <w:rsid w:val="4D561DD3"/>
    <w:rsid w:val="4D5D426D"/>
    <w:rsid w:val="4D5E468E"/>
    <w:rsid w:val="4D801A08"/>
    <w:rsid w:val="4D890873"/>
    <w:rsid w:val="4D9E2669"/>
    <w:rsid w:val="4DAE7DBE"/>
    <w:rsid w:val="4DBA440F"/>
    <w:rsid w:val="4DC82B8E"/>
    <w:rsid w:val="4DFC001D"/>
    <w:rsid w:val="4E390CA3"/>
    <w:rsid w:val="4E432638"/>
    <w:rsid w:val="4E4522EF"/>
    <w:rsid w:val="4E6C58CE"/>
    <w:rsid w:val="4E6E18E4"/>
    <w:rsid w:val="4E736BEF"/>
    <w:rsid w:val="4E8407C0"/>
    <w:rsid w:val="4EB90B45"/>
    <w:rsid w:val="4EBF730A"/>
    <w:rsid w:val="4EDC1728"/>
    <w:rsid w:val="4EE567C8"/>
    <w:rsid w:val="4EF15467"/>
    <w:rsid w:val="4EF23FB1"/>
    <w:rsid w:val="4F3C67C6"/>
    <w:rsid w:val="4F3E388E"/>
    <w:rsid w:val="4F5B1333"/>
    <w:rsid w:val="4F93582B"/>
    <w:rsid w:val="4F9B578A"/>
    <w:rsid w:val="4FA841F2"/>
    <w:rsid w:val="4FB25A88"/>
    <w:rsid w:val="4FD20AA0"/>
    <w:rsid w:val="4FE42133"/>
    <w:rsid w:val="5007249F"/>
    <w:rsid w:val="500E2412"/>
    <w:rsid w:val="501200D5"/>
    <w:rsid w:val="50156172"/>
    <w:rsid w:val="503304DD"/>
    <w:rsid w:val="50541E93"/>
    <w:rsid w:val="50717643"/>
    <w:rsid w:val="509B494D"/>
    <w:rsid w:val="50B9474C"/>
    <w:rsid w:val="50DE7355"/>
    <w:rsid w:val="50E96E23"/>
    <w:rsid w:val="512978FE"/>
    <w:rsid w:val="51502F0F"/>
    <w:rsid w:val="51752176"/>
    <w:rsid w:val="517B6174"/>
    <w:rsid w:val="519E0C6D"/>
    <w:rsid w:val="51B5269E"/>
    <w:rsid w:val="51B85C65"/>
    <w:rsid w:val="51BA22D2"/>
    <w:rsid w:val="51BB1571"/>
    <w:rsid w:val="51CF7F71"/>
    <w:rsid w:val="51DC0CC0"/>
    <w:rsid w:val="51F24178"/>
    <w:rsid w:val="51F81AE0"/>
    <w:rsid w:val="521006CF"/>
    <w:rsid w:val="521273EF"/>
    <w:rsid w:val="522154D7"/>
    <w:rsid w:val="525400C3"/>
    <w:rsid w:val="52546215"/>
    <w:rsid w:val="525E72CD"/>
    <w:rsid w:val="52AE43C7"/>
    <w:rsid w:val="52B8235F"/>
    <w:rsid w:val="52C63793"/>
    <w:rsid w:val="52D96C12"/>
    <w:rsid w:val="52EC56F1"/>
    <w:rsid w:val="52FE69C4"/>
    <w:rsid w:val="53055FDE"/>
    <w:rsid w:val="534B3E00"/>
    <w:rsid w:val="53526694"/>
    <w:rsid w:val="53620E89"/>
    <w:rsid w:val="536B5C0C"/>
    <w:rsid w:val="539219AD"/>
    <w:rsid w:val="53FC3441"/>
    <w:rsid w:val="54095716"/>
    <w:rsid w:val="5425170C"/>
    <w:rsid w:val="54333A58"/>
    <w:rsid w:val="54473660"/>
    <w:rsid w:val="54475507"/>
    <w:rsid w:val="5453362B"/>
    <w:rsid w:val="545B53B5"/>
    <w:rsid w:val="54617825"/>
    <w:rsid w:val="546C70C7"/>
    <w:rsid w:val="547A03C3"/>
    <w:rsid w:val="54BE7CEF"/>
    <w:rsid w:val="54F90306"/>
    <w:rsid w:val="55027786"/>
    <w:rsid w:val="55165BD1"/>
    <w:rsid w:val="557800F9"/>
    <w:rsid w:val="5590336F"/>
    <w:rsid w:val="55A80492"/>
    <w:rsid w:val="55B20C5C"/>
    <w:rsid w:val="55C34A96"/>
    <w:rsid w:val="55EC58B0"/>
    <w:rsid w:val="55F45560"/>
    <w:rsid w:val="564C4930"/>
    <w:rsid w:val="56552601"/>
    <w:rsid w:val="565F7902"/>
    <w:rsid w:val="566762DA"/>
    <w:rsid w:val="56705F15"/>
    <w:rsid w:val="56951840"/>
    <w:rsid w:val="569A0457"/>
    <w:rsid w:val="56AD149F"/>
    <w:rsid w:val="56AD3DDC"/>
    <w:rsid w:val="56DF222E"/>
    <w:rsid w:val="56E228AD"/>
    <w:rsid w:val="57210593"/>
    <w:rsid w:val="5724302A"/>
    <w:rsid w:val="57635A67"/>
    <w:rsid w:val="576C2BE7"/>
    <w:rsid w:val="576F7780"/>
    <w:rsid w:val="57760786"/>
    <w:rsid w:val="577C5E86"/>
    <w:rsid w:val="57950D74"/>
    <w:rsid w:val="579E01EB"/>
    <w:rsid w:val="57A97082"/>
    <w:rsid w:val="57DC0ABA"/>
    <w:rsid w:val="57F14DE1"/>
    <w:rsid w:val="582B308E"/>
    <w:rsid w:val="583078E1"/>
    <w:rsid w:val="583D4A6D"/>
    <w:rsid w:val="58482CED"/>
    <w:rsid w:val="585F108A"/>
    <w:rsid w:val="589208FF"/>
    <w:rsid w:val="58EC2414"/>
    <w:rsid w:val="590654F0"/>
    <w:rsid w:val="59814FD1"/>
    <w:rsid w:val="598F6338"/>
    <w:rsid w:val="599C0C57"/>
    <w:rsid w:val="59B00DE5"/>
    <w:rsid w:val="59F17B06"/>
    <w:rsid w:val="5A022307"/>
    <w:rsid w:val="5A0F1BE8"/>
    <w:rsid w:val="5A25561B"/>
    <w:rsid w:val="5A2A6B6D"/>
    <w:rsid w:val="5A336AC1"/>
    <w:rsid w:val="5A516919"/>
    <w:rsid w:val="5A543883"/>
    <w:rsid w:val="5AAA53CF"/>
    <w:rsid w:val="5AB3442C"/>
    <w:rsid w:val="5AD51D83"/>
    <w:rsid w:val="5AF06F6D"/>
    <w:rsid w:val="5AF4287F"/>
    <w:rsid w:val="5B0E53A3"/>
    <w:rsid w:val="5B255C05"/>
    <w:rsid w:val="5B285DB7"/>
    <w:rsid w:val="5B457607"/>
    <w:rsid w:val="5B733364"/>
    <w:rsid w:val="5B973E6D"/>
    <w:rsid w:val="5BB11FDB"/>
    <w:rsid w:val="5BC3190F"/>
    <w:rsid w:val="5BCE70F4"/>
    <w:rsid w:val="5BF00DEA"/>
    <w:rsid w:val="5C13534D"/>
    <w:rsid w:val="5C1860DA"/>
    <w:rsid w:val="5C2A5C11"/>
    <w:rsid w:val="5C6863F1"/>
    <w:rsid w:val="5C8303EE"/>
    <w:rsid w:val="5C855502"/>
    <w:rsid w:val="5CC30ADE"/>
    <w:rsid w:val="5CF60E57"/>
    <w:rsid w:val="5D0F4FED"/>
    <w:rsid w:val="5D2050CC"/>
    <w:rsid w:val="5D952C65"/>
    <w:rsid w:val="5DB4234F"/>
    <w:rsid w:val="5E3E2ABA"/>
    <w:rsid w:val="5E493832"/>
    <w:rsid w:val="5E724EDA"/>
    <w:rsid w:val="5E8F4115"/>
    <w:rsid w:val="5E935F5E"/>
    <w:rsid w:val="5E9B2C46"/>
    <w:rsid w:val="5EC25FFA"/>
    <w:rsid w:val="5ED35614"/>
    <w:rsid w:val="5EF746FA"/>
    <w:rsid w:val="5F1F713C"/>
    <w:rsid w:val="5F680CFA"/>
    <w:rsid w:val="5F6C7267"/>
    <w:rsid w:val="5F8A3587"/>
    <w:rsid w:val="5FAA393B"/>
    <w:rsid w:val="5FBA1A15"/>
    <w:rsid w:val="5FD25BA0"/>
    <w:rsid w:val="5FE0127C"/>
    <w:rsid w:val="5FED17BB"/>
    <w:rsid w:val="5FFE3770"/>
    <w:rsid w:val="601F5C42"/>
    <w:rsid w:val="60256599"/>
    <w:rsid w:val="602E614B"/>
    <w:rsid w:val="60922C1B"/>
    <w:rsid w:val="60952B14"/>
    <w:rsid w:val="609B0963"/>
    <w:rsid w:val="609B64E7"/>
    <w:rsid w:val="60AA2973"/>
    <w:rsid w:val="60B31FF5"/>
    <w:rsid w:val="60C22BBA"/>
    <w:rsid w:val="60D619A0"/>
    <w:rsid w:val="60E01C98"/>
    <w:rsid w:val="611676B3"/>
    <w:rsid w:val="61303A07"/>
    <w:rsid w:val="613B51F2"/>
    <w:rsid w:val="616422DF"/>
    <w:rsid w:val="61A33053"/>
    <w:rsid w:val="61A70E98"/>
    <w:rsid w:val="61C95FF5"/>
    <w:rsid w:val="61D90263"/>
    <w:rsid w:val="622A5C26"/>
    <w:rsid w:val="624A3B38"/>
    <w:rsid w:val="624C1159"/>
    <w:rsid w:val="625306BE"/>
    <w:rsid w:val="625F6307"/>
    <w:rsid w:val="62671915"/>
    <w:rsid w:val="627955F6"/>
    <w:rsid w:val="62796FF0"/>
    <w:rsid w:val="62B960CF"/>
    <w:rsid w:val="62D54C81"/>
    <w:rsid w:val="62E17600"/>
    <w:rsid w:val="62EA2BFF"/>
    <w:rsid w:val="63084A49"/>
    <w:rsid w:val="6337664F"/>
    <w:rsid w:val="63383ED6"/>
    <w:rsid w:val="6338494C"/>
    <w:rsid w:val="633C7337"/>
    <w:rsid w:val="63775C96"/>
    <w:rsid w:val="638929FF"/>
    <w:rsid w:val="63A11ED6"/>
    <w:rsid w:val="63A60F1D"/>
    <w:rsid w:val="63D320AC"/>
    <w:rsid w:val="64011BAD"/>
    <w:rsid w:val="64061DE2"/>
    <w:rsid w:val="642E732A"/>
    <w:rsid w:val="64471DF2"/>
    <w:rsid w:val="645A7DDA"/>
    <w:rsid w:val="646F3B94"/>
    <w:rsid w:val="6490034D"/>
    <w:rsid w:val="649C5180"/>
    <w:rsid w:val="64CC7CAA"/>
    <w:rsid w:val="64D43A01"/>
    <w:rsid w:val="64D67A48"/>
    <w:rsid w:val="64F06AB3"/>
    <w:rsid w:val="65137EA5"/>
    <w:rsid w:val="65276BAC"/>
    <w:rsid w:val="656578F0"/>
    <w:rsid w:val="65845966"/>
    <w:rsid w:val="65A438ED"/>
    <w:rsid w:val="65DF7E31"/>
    <w:rsid w:val="65FE0525"/>
    <w:rsid w:val="660F6F92"/>
    <w:rsid w:val="661C2807"/>
    <w:rsid w:val="661C540A"/>
    <w:rsid w:val="66494E5D"/>
    <w:rsid w:val="664D393D"/>
    <w:rsid w:val="665C09B1"/>
    <w:rsid w:val="666B0F2C"/>
    <w:rsid w:val="668A6A2F"/>
    <w:rsid w:val="66CB5C45"/>
    <w:rsid w:val="66E665C4"/>
    <w:rsid w:val="66E7279B"/>
    <w:rsid w:val="66F1525C"/>
    <w:rsid w:val="66F238E5"/>
    <w:rsid w:val="6729363F"/>
    <w:rsid w:val="677C44FA"/>
    <w:rsid w:val="67941E94"/>
    <w:rsid w:val="67B607E5"/>
    <w:rsid w:val="67DC6C2E"/>
    <w:rsid w:val="67EA67B6"/>
    <w:rsid w:val="67EE44B5"/>
    <w:rsid w:val="67FC16DF"/>
    <w:rsid w:val="68120C2B"/>
    <w:rsid w:val="684F79E5"/>
    <w:rsid w:val="68545E49"/>
    <w:rsid w:val="688C1198"/>
    <w:rsid w:val="68AA7102"/>
    <w:rsid w:val="68B857EF"/>
    <w:rsid w:val="69256781"/>
    <w:rsid w:val="694718A7"/>
    <w:rsid w:val="69775CB8"/>
    <w:rsid w:val="699C40E5"/>
    <w:rsid w:val="69A57FAE"/>
    <w:rsid w:val="69BC2EF1"/>
    <w:rsid w:val="6A0D0646"/>
    <w:rsid w:val="6A21047C"/>
    <w:rsid w:val="6A2E1E58"/>
    <w:rsid w:val="6A5A799B"/>
    <w:rsid w:val="6A643167"/>
    <w:rsid w:val="6A687450"/>
    <w:rsid w:val="6A6D3B27"/>
    <w:rsid w:val="6A7560B4"/>
    <w:rsid w:val="6A7E1064"/>
    <w:rsid w:val="6A81571E"/>
    <w:rsid w:val="6A815C41"/>
    <w:rsid w:val="6A922CD0"/>
    <w:rsid w:val="6AA643DB"/>
    <w:rsid w:val="6AAE32C5"/>
    <w:rsid w:val="6ABF313F"/>
    <w:rsid w:val="6AD71D71"/>
    <w:rsid w:val="6ADE3ED8"/>
    <w:rsid w:val="6AEB2741"/>
    <w:rsid w:val="6B052A8D"/>
    <w:rsid w:val="6B0B0382"/>
    <w:rsid w:val="6B240C57"/>
    <w:rsid w:val="6B256EDB"/>
    <w:rsid w:val="6B4B4300"/>
    <w:rsid w:val="6B4D2B9D"/>
    <w:rsid w:val="6B5D7821"/>
    <w:rsid w:val="6B9668DB"/>
    <w:rsid w:val="6BA07A01"/>
    <w:rsid w:val="6BC1736F"/>
    <w:rsid w:val="6BC32D7C"/>
    <w:rsid w:val="6BEA3A98"/>
    <w:rsid w:val="6BFC153C"/>
    <w:rsid w:val="6C035B55"/>
    <w:rsid w:val="6C041BF9"/>
    <w:rsid w:val="6C133380"/>
    <w:rsid w:val="6C472EBA"/>
    <w:rsid w:val="6C4C7015"/>
    <w:rsid w:val="6C5775A1"/>
    <w:rsid w:val="6C6E2EBB"/>
    <w:rsid w:val="6C923F25"/>
    <w:rsid w:val="6C954167"/>
    <w:rsid w:val="6CA47FE8"/>
    <w:rsid w:val="6CA50FD0"/>
    <w:rsid w:val="6CA755E2"/>
    <w:rsid w:val="6CC044DE"/>
    <w:rsid w:val="6CC16398"/>
    <w:rsid w:val="6CE02419"/>
    <w:rsid w:val="6D277E96"/>
    <w:rsid w:val="6D436A1C"/>
    <w:rsid w:val="6D520B87"/>
    <w:rsid w:val="6D916F74"/>
    <w:rsid w:val="6DAD13C7"/>
    <w:rsid w:val="6DBF6021"/>
    <w:rsid w:val="6DCE3FFB"/>
    <w:rsid w:val="6DD04340"/>
    <w:rsid w:val="6E036133"/>
    <w:rsid w:val="6E0E695B"/>
    <w:rsid w:val="6E2378A8"/>
    <w:rsid w:val="6E2C49CC"/>
    <w:rsid w:val="6E440EBF"/>
    <w:rsid w:val="6E4826E9"/>
    <w:rsid w:val="6E676263"/>
    <w:rsid w:val="6E6F1E80"/>
    <w:rsid w:val="6E96065E"/>
    <w:rsid w:val="6E961113"/>
    <w:rsid w:val="6E9F16FC"/>
    <w:rsid w:val="6EA90888"/>
    <w:rsid w:val="6EBE77EF"/>
    <w:rsid w:val="6ECD68F9"/>
    <w:rsid w:val="6F273508"/>
    <w:rsid w:val="6F323823"/>
    <w:rsid w:val="6F3F30A0"/>
    <w:rsid w:val="6F621109"/>
    <w:rsid w:val="6F756E95"/>
    <w:rsid w:val="6F8A056E"/>
    <w:rsid w:val="6F8E0354"/>
    <w:rsid w:val="6F992D47"/>
    <w:rsid w:val="70024364"/>
    <w:rsid w:val="70147F6A"/>
    <w:rsid w:val="70755073"/>
    <w:rsid w:val="70A0793D"/>
    <w:rsid w:val="70BC38E2"/>
    <w:rsid w:val="70E81B75"/>
    <w:rsid w:val="70F040E3"/>
    <w:rsid w:val="70F93A3F"/>
    <w:rsid w:val="71105D50"/>
    <w:rsid w:val="71167CDC"/>
    <w:rsid w:val="71286862"/>
    <w:rsid w:val="712F6F39"/>
    <w:rsid w:val="713E2FDB"/>
    <w:rsid w:val="71475E96"/>
    <w:rsid w:val="71841A31"/>
    <w:rsid w:val="71D441C2"/>
    <w:rsid w:val="71E45372"/>
    <w:rsid w:val="71E60E06"/>
    <w:rsid w:val="7208644C"/>
    <w:rsid w:val="721A5D7C"/>
    <w:rsid w:val="723E74DE"/>
    <w:rsid w:val="72490994"/>
    <w:rsid w:val="7262525F"/>
    <w:rsid w:val="7280060B"/>
    <w:rsid w:val="72E40A66"/>
    <w:rsid w:val="72F82D65"/>
    <w:rsid w:val="731C5316"/>
    <w:rsid w:val="732153F5"/>
    <w:rsid w:val="73247F8A"/>
    <w:rsid w:val="736E5061"/>
    <w:rsid w:val="73937ABF"/>
    <w:rsid w:val="73940EC5"/>
    <w:rsid w:val="73CE337C"/>
    <w:rsid w:val="73F75328"/>
    <w:rsid w:val="74071884"/>
    <w:rsid w:val="742931A7"/>
    <w:rsid w:val="74580668"/>
    <w:rsid w:val="74727EA0"/>
    <w:rsid w:val="74932E66"/>
    <w:rsid w:val="74946305"/>
    <w:rsid w:val="74A108F6"/>
    <w:rsid w:val="74C42E49"/>
    <w:rsid w:val="74DB38A2"/>
    <w:rsid w:val="74DE788B"/>
    <w:rsid w:val="74EA0AA2"/>
    <w:rsid w:val="74EB5CFC"/>
    <w:rsid w:val="74F7099B"/>
    <w:rsid w:val="750B1EBE"/>
    <w:rsid w:val="751B3609"/>
    <w:rsid w:val="75225626"/>
    <w:rsid w:val="75476EDC"/>
    <w:rsid w:val="754C4F37"/>
    <w:rsid w:val="7562261A"/>
    <w:rsid w:val="756B4AEC"/>
    <w:rsid w:val="75822DE6"/>
    <w:rsid w:val="759C70AE"/>
    <w:rsid w:val="75A12DD8"/>
    <w:rsid w:val="75E3729E"/>
    <w:rsid w:val="75EC2BEE"/>
    <w:rsid w:val="75F65D3C"/>
    <w:rsid w:val="75F96328"/>
    <w:rsid w:val="76007311"/>
    <w:rsid w:val="7615617D"/>
    <w:rsid w:val="76200A04"/>
    <w:rsid w:val="762C165D"/>
    <w:rsid w:val="76C76D5F"/>
    <w:rsid w:val="76F048AC"/>
    <w:rsid w:val="76FB77D4"/>
    <w:rsid w:val="77064A55"/>
    <w:rsid w:val="772C0D98"/>
    <w:rsid w:val="774C45E8"/>
    <w:rsid w:val="77817AE3"/>
    <w:rsid w:val="77876814"/>
    <w:rsid w:val="77E45FFB"/>
    <w:rsid w:val="77F32441"/>
    <w:rsid w:val="780C2D25"/>
    <w:rsid w:val="78103ADF"/>
    <w:rsid w:val="783570B9"/>
    <w:rsid w:val="78357142"/>
    <w:rsid w:val="783B4535"/>
    <w:rsid w:val="783D2440"/>
    <w:rsid w:val="785307C2"/>
    <w:rsid w:val="787E1BD1"/>
    <w:rsid w:val="78A22999"/>
    <w:rsid w:val="78B478CC"/>
    <w:rsid w:val="78B7255D"/>
    <w:rsid w:val="78D41419"/>
    <w:rsid w:val="79230630"/>
    <w:rsid w:val="793047C6"/>
    <w:rsid w:val="794848CA"/>
    <w:rsid w:val="796F2C63"/>
    <w:rsid w:val="797101BF"/>
    <w:rsid w:val="798A2292"/>
    <w:rsid w:val="79995BEF"/>
    <w:rsid w:val="799C385C"/>
    <w:rsid w:val="79A11744"/>
    <w:rsid w:val="79D13260"/>
    <w:rsid w:val="79ED66DD"/>
    <w:rsid w:val="79F62358"/>
    <w:rsid w:val="79FF0349"/>
    <w:rsid w:val="7A1D796C"/>
    <w:rsid w:val="7A2D2E71"/>
    <w:rsid w:val="7ABB5F10"/>
    <w:rsid w:val="7ACB24DC"/>
    <w:rsid w:val="7B213550"/>
    <w:rsid w:val="7B343BA1"/>
    <w:rsid w:val="7B3B7ACA"/>
    <w:rsid w:val="7B43477D"/>
    <w:rsid w:val="7B4B7E21"/>
    <w:rsid w:val="7B52062B"/>
    <w:rsid w:val="7B646217"/>
    <w:rsid w:val="7B677A53"/>
    <w:rsid w:val="7B7349BF"/>
    <w:rsid w:val="7BA62B82"/>
    <w:rsid w:val="7BA7113F"/>
    <w:rsid w:val="7BB16327"/>
    <w:rsid w:val="7BB44BEA"/>
    <w:rsid w:val="7BCA0CD8"/>
    <w:rsid w:val="7C187734"/>
    <w:rsid w:val="7C2A1162"/>
    <w:rsid w:val="7C401F8B"/>
    <w:rsid w:val="7C5067D3"/>
    <w:rsid w:val="7C64659D"/>
    <w:rsid w:val="7C743ED1"/>
    <w:rsid w:val="7C8A46D7"/>
    <w:rsid w:val="7C8B3DE6"/>
    <w:rsid w:val="7C9D2FD9"/>
    <w:rsid w:val="7CA07B9A"/>
    <w:rsid w:val="7CA3358D"/>
    <w:rsid w:val="7CAC3111"/>
    <w:rsid w:val="7CE135E6"/>
    <w:rsid w:val="7D0C2EEC"/>
    <w:rsid w:val="7D116942"/>
    <w:rsid w:val="7D1538EC"/>
    <w:rsid w:val="7D2037EF"/>
    <w:rsid w:val="7D3C3E1F"/>
    <w:rsid w:val="7D6E3C91"/>
    <w:rsid w:val="7D926B23"/>
    <w:rsid w:val="7DD13227"/>
    <w:rsid w:val="7DFA5352"/>
    <w:rsid w:val="7E0A4C45"/>
    <w:rsid w:val="7E2F6A34"/>
    <w:rsid w:val="7E3D5BCF"/>
    <w:rsid w:val="7E416E12"/>
    <w:rsid w:val="7E495F64"/>
    <w:rsid w:val="7E4E03E1"/>
    <w:rsid w:val="7E51148B"/>
    <w:rsid w:val="7E5B62D2"/>
    <w:rsid w:val="7E6009C6"/>
    <w:rsid w:val="7E734E0F"/>
    <w:rsid w:val="7EC07962"/>
    <w:rsid w:val="7F196B89"/>
    <w:rsid w:val="7F405101"/>
    <w:rsid w:val="7F4D3E60"/>
    <w:rsid w:val="7F555DCE"/>
    <w:rsid w:val="7F6F5B80"/>
    <w:rsid w:val="7F8B0C20"/>
    <w:rsid w:val="7FC83C0D"/>
    <w:rsid w:val="7FF153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3"/>
    <w:qFormat/>
    <w:uiPriority w:val="0"/>
    <w:pPr>
      <w:keepNext/>
      <w:keepLines/>
      <w:widowControl w:val="0"/>
      <w:spacing w:before="340" w:after="330" w:line="578" w:lineRule="auto"/>
      <w:jc w:val="both"/>
      <w:outlineLvl w:val="0"/>
    </w:pPr>
    <w:rPr>
      <w:rFonts w:ascii="Times New Roman" w:hAnsi="Times New Roman" w:eastAsia="宋体" w:cs="Times New Roman"/>
      <w:b/>
      <w:bCs/>
      <w:kern w:val="44"/>
      <w:sz w:val="44"/>
      <w:szCs w:val="44"/>
      <w:lang w:val="en-US" w:eastAsia="zh-CN" w:bidi="ar-SA"/>
    </w:rPr>
  </w:style>
  <w:style w:type="paragraph" w:styleId="3">
    <w:name w:val="heading 2"/>
    <w:basedOn w:val="1"/>
    <w:next w:val="1"/>
    <w:qFormat/>
    <w:uiPriority w:val="0"/>
    <w:pPr>
      <w:keepNext/>
      <w:keepLines/>
      <w:widowControl w:val="0"/>
      <w:spacing w:before="260" w:after="260" w:line="413" w:lineRule="auto"/>
      <w:jc w:val="center"/>
      <w:outlineLvl w:val="1"/>
    </w:pPr>
    <w:rPr>
      <w:rFonts w:ascii="Arial" w:hAnsi="Arial" w:eastAsia="黑体" w:cs="Times New Roman"/>
      <w:b/>
      <w:kern w:val="2"/>
      <w:sz w:val="44"/>
      <w:szCs w:val="20"/>
      <w:lang w:val="en-US" w:eastAsia="zh-CN" w:bidi="ar-SA"/>
    </w:rPr>
  </w:style>
  <w:style w:type="paragraph" w:styleId="4">
    <w:name w:val="heading 4"/>
    <w:basedOn w:val="1"/>
    <w:next w:val="1"/>
    <w:qFormat/>
    <w:uiPriority w:val="0"/>
    <w:pPr>
      <w:keepNext/>
      <w:keepLines/>
      <w:widowControl/>
      <w:spacing w:before="120" w:beforeLines="0" w:after="120" w:afterLines="0" w:line="360" w:lineRule="auto"/>
      <w:jc w:val="center"/>
      <w:outlineLvl w:val="3"/>
    </w:pPr>
    <w:rPr>
      <w:rFonts w:ascii="Arial" w:hAnsi="Arial" w:eastAsia="黑体"/>
      <w:kern w:val="0"/>
      <w:sz w:val="28"/>
      <w:szCs w:val="20"/>
    </w:rPr>
  </w:style>
  <w:style w:type="paragraph" w:styleId="5">
    <w:name w:val="heading 5"/>
    <w:basedOn w:val="1"/>
    <w:next w:val="1"/>
    <w:qFormat/>
    <w:uiPriority w:val="0"/>
    <w:pPr>
      <w:keepNext/>
      <w:keepLines/>
      <w:spacing w:before="280" w:beforeLines="0" w:after="290" w:afterLines="0" w:line="372" w:lineRule="auto"/>
      <w:outlineLvl w:val="4"/>
    </w:pPr>
    <w:rPr>
      <w:b/>
      <w:bCs/>
      <w:sz w:val="28"/>
      <w:szCs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6">
    <w:name w:val="Normal Indent"/>
    <w:basedOn w:val="1"/>
    <w:next w:val="1"/>
    <w:qFormat/>
    <w:uiPriority w:val="0"/>
    <w:pPr>
      <w:widowControl/>
      <w:ind w:firstLine="420"/>
      <w:jc w:val="left"/>
    </w:pPr>
    <w:rPr>
      <w:sz w:val="20"/>
    </w:rPr>
  </w:style>
  <w:style w:type="paragraph" w:styleId="7">
    <w:name w:val="annotation text"/>
    <w:basedOn w:val="1"/>
    <w:qFormat/>
    <w:uiPriority w:val="0"/>
    <w:pPr>
      <w:jc w:val="left"/>
    </w:pPr>
  </w:style>
  <w:style w:type="paragraph" w:styleId="8">
    <w:name w:val="Body Text"/>
    <w:basedOn w:val="1"/>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9">
    <w:name w:val="Body Text Indent"/>
    <w:basedOn w:val="1"/>
    <w:qFormat/>
    <w:uiPriority w:val="0"/>
    <w:pPr>
      <w:widowControl w:val="0"/>
      <w:spacing w:line="200" w:lineRule="exact"/>
      <w:ind w:firstLine="301"/>
      <w:jc w:val="both"/>
    </w:pPr>
    <w:rPr>
      <w:rFonts w:ascii="宋体" w:hAnsi="Courier New" w:eastAsia="宋体" w:cs="Times New Roman"/>
      <w:spacing w:val="-4"/>
      <w:kern w:val="2"/>
      <w:sz w:val="18"/>
      <w:szCs w:val="20"/>
      <w:lang w:val="en-US" w:eastAsia="zh-CN" w:bidi="ar-SA"/>
    </w:rPr>
  </w:style>
  <w:style w:type="paragraph" w:styleId="10">
    <w:name w:val="toc 3"/>
    <w:basedOn w:val="1"/>
    <w:next w:val="1"/>
    <w:qFormat/>
    <w:uiPriority w:val="0"/>
    <w:pPr>
      <w:ind w:left="840" w:leftChars="400"/>
    </w:pPr>
  </w:style>
  <w:style w:type="paragraph" w:styleId="11">
    <w:name w:val="Plain Text"/>
    <w:basedOn w:val="1"/>
    <w:next w:val="12"/>
    <w:qFormat/>
    <w:uiPriority w:val="0"/>
    <w:pPr>
      <w:widowControl w:val="0"/>
      <w:jc w:val="both"/>
    </w:pPr>
    <w:rPr>
      <w:rFonts w:ascii="宋体" w:hAnsi="Courier New" w:eastAsia="宋体" w:cs="Times New Roman"/>
      <w:kern w:val="2"/>
      <w:sz w:val="21"/>
      <w:szCs w:val="20"/>
      <w:lang w:val="en-US" w:eastAsia="zh-CN" w:bidi="ar-SA"/>
    </w:rPr>
  </w:style>
  <w:style w:type="paragraph" w:styleId="12">
    <w:name w:val="Date"/>
    <w:basedOn w:val="1"/>
    <w:next w:val="1"/>
    <w:qFormat/>
    <w:uiPriority w:val="0"/>
    <w:pPr>
      <w:ind w:left="100" w:leftChars="2500"/>
    </w:pPr>
  </w:style>
  <w:style w:type="paragraph" w:styleId="13">
    <w:name w:val="footer"/>
    <w:next w:val="1"/>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14">
    <w:name w:val="header"/>
    <w:basedOn w:val="1"/>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15">
    <w:name w:val="toc 1"/>
    <w:basedOn w:val="1"/>
    <w:next w:val="1"/>
    <w:unhideWhenUsed/>
    <w:qFormat/>
    <w:uiPriority w:val="39"/>
    <w:pPr>
      <w:widowControl/>
      <w:tabs>
        <w:tab w:val="left" w:pos="0"/>
        <w:tab w:val="right" w:leader="dot" w:pos="9435"/>
      </w:tabs>
      <w:spacing w:line="440" w:lineRule="exact"/>
      <w:jc w:val="left"/>
    </w:pPr>
    <w:rPr>
      <w:rFonts w:ascii="Calibri" w:hAnsi="Calibri" w:eastAsia="宋体" w:cs="Times New Roman"/>
      <w:kern w:val="0"/>
      <w:sz w:val="22"/>
      <w:szCs w:val="22"/>
      <w:lang w:val="en-US" w:eastAsia="zh-CN" w:bidi="ar-SA"/>
    </w:rPr>
  </w:style>
  <w:style w:type="paragraph" w:styleId="16">
    <w:name w:val="toc 2"/>
    <w:next w:val="1"/>
    <w:unhideWhenUsed/>
    <w:qFormat/>
    <w:uiPriority w:val="39"/>
    <w:pPr>
      <w:widowControl/>
      <w:spacing w:after="100" w:line="276" w:lineRule="auto"/>
      <w:ind w:left="220"/>
      <w:jc w:val="left"/>
    </w:pPr>
    <w:rPr>
      <w:rFonts w:ascii="Calibri" w:hAnsi="Calibri" w:eastAsia="宋体" w:cs="Times New Roman"/>
      <w:kern w:val="0"/>
      <w:sz w:val="22"/>
      <w:szCs w:val="22"/>
      <w:lang w:val="en-US" w:eastAsia="zh-CN" w:bidi="ar-SA"/>
    </w:rPr>
  </w:style>
  <w:style w:type="paragraph" w:styleId="1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8">
    <w:name w:val="Body Text First Indent"/>
    <w:basedOn w:val="8"/>
    <w:next w:val="1"/>
    <w:qFormat/>
    <w:uiPriority w:val="0"/>
    <w:pPr>
      <w:spacing w:after="120" w:afterLines="0"/>
      <w:ind w:firstLine="420" w:firstLineChars="1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page number"/>
    <w:qFormat/>
    <w:uiPriority w:val="0"/>
  </w:style>
  <w:style w:type="character" w:styleId="24">
    <w:name w:val="FollowedHyperlink"/>
    <w:basedOn w:val="21"/>
    <w:qFormat/>
    <w:uiPriority w:val="0"/>
    <w:rPr>
      <w:color w:val="800080"/>
      <w:u w:val="none"/>
    </w:rPr>
  </w:style>
  <w:style w:type="character" w:styleId="25">
    <w:name w:val="HTML Definition"/>
    <w:basedOn w:val="21"/>
    <w:qFormat/>
    <w:uiPriority w:val="0"/>
  </w:style>
  <w:style w:type="character" w:styleId="26">
    <w:name w:val="HTML Typewriter"/>
    <w:basedOn w:val="21"/>
    <w:qFormat/>
    <w:uiPriority w:val="0"/>
    <w:rPr>
      <w:rFonts w:hint="default" w:ascii="monospace" w:hAnsi="monospace" w:eastAsia="monospace" w:cs="monospace"/>
      <w:sz w:val="20"/>
    </w:rPr>
  </w:style>
  <w:style w:type="character" w:styleId="27">
    <w:name w:val="HTML Acronym"/>
    <w:basedOn w:val="21"/>
    <w:qFormat/>
    <w:uiPriority w:val="0"/>
  </w:style>
  <w:style w:type="character" w:styleId="28">
    <w:name w:val="HTML Variable"/>
    <w:basedOn w:val="21"/>
    <w:qFormat/>
    <w:uiPriority w:val="0"/>
  </w:style>
  <w:style w:type="character" w:styleId="29">
    <w:name w:val="Hyperlink"/>
    <w:unhideWhenUsed/>
    <w:qFormat/>
    <w:uiPriority w:val="99"/>
    <w:rPr>
      <w:color w:val="3B5998"/>
      <w:u w:val="none"/>
    </w:rPr>
  </w:style>
  <w:style w:type="character" w:styleId="30">
    <w:name w:val="HTML Code"/>
    <w:basedOn w:val="21"/>
    <w:qFormat/>
    <w:uiPriority w:val="0"/>
    <w:rPr>
      <w:rFonts w:hint="default" w:ascii="monospace" w:hAnsi="monospace" w:eastAsia="monospace" w:cs="monospace"/>
      <w:sz w:val="20"/>
    </w:rPr>
  </w:style>
  <w:style w:type="character" w:styleId="31">
    <w:name w:val="annotation reference"/>
    <w:qFormat/>
    <w:uiPriority w:val="0"/>
    <w:rPr>
      <w:sz w:val="21"/>
      <w:szCs w:val="21"/>
    </w:rPr>
  </w:style>
  <w:style w:type="character" w:styleId="32">
    <w:name w:val="HTML Cite"/>
    <w:basedOn w:val="21"/>
    <w:qFormat/>
    <w:uiPriority w:val="0"/>
  </w:style>
  <w:style w:type="character" w:styleId="33">
    <w:name w:val="HTML Keyboard"/>
    <w:basedOn w:val="21"/>
    <w:qFormat/>
    <w:uiPriority w:val="0"/>
    <w:rPr>
      <w:rFonts w:ascii="monospace" w:hAnsi="monospace" w:eastAsia="monospace" w:cs="monospace"/>
      <w:sz w:val="20"/>
    </w:rPr>
  </w:style>
  <w:style w:type="character" w:styleId="34">
    <w:name w:val="HTML Sample"/>
    <w:basedOn w:val="21"/>
    <w:qFormat/>
    <w:uiPriority w:val="0"/>
    <w:rPr>
      <w:rFonts w:hint="default" w:ascii="monospace" w:hAnsi="monospace" w:eastAsia="monospace" w:cs="monospace"/>
    </w:rPr>
  </w:style>
  <w:style w:type="paragraph" w:customStyle="1" w:styleId="35">
    <w:name w:val="Default"/>
    <w:next w:val="36"/>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6">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37">
    <w:name w:val="1"/>
    <w:next w:val="11"/>
    <w:qFormat/>
    <w:uiPriority w:val="0"/>
    <w:pPr>
      <w:widowControl w:val="0"/>
      <w:jc w:val="both"/>
    </w:pPr>
    <w:rPr>
      <w:rFonts w:ascii="宋体" w:hAnsi="Courier New" w:eastAsia="宋体" w:cs="Times New Roman"/>
      <w:kern w:val="2"/>
      <w:sz w:val="21"/>
      <w:szCs w:val="20"/>
      <w:lang w:val="en-US" w:eastAsia="zh-CN" w:bidi="ar-SA"/>
    </w:rPr>
  </w:style>
  <w:style w:type="paragraph" w:customStyle="1" w:styleId="38">
    <w:name w:val="Body Text First Indent 21"/>
    <w:basedOn w:val="39"/>
    <w:qFormat/>
    <w:uiPriority w:val="0"/>
    <w:pPr>
      <w:widowControl w:val="0"/>
      <w:ind w:firstLine="420"/>
      <w:jc w:val="both"/>
    </w:pPr>
    <w:rPr>
      <w:rFonts w:ascii="Times New Roman" w:hAnsi="Times New Roman" w:eastAsia="宋体" w:cs="Times New Roman"/>
      <w:kern w:val="2"/>
      <w:sz w:val="28"/>
      <w:szCs w:val="24"/>
      <w:lang w:val="en-US" w:eastAsia="zh-CN" w:bidi="ar-SA"/>
    </w:rPr>
  </w:style>
  <w:style w:type="paragraph" w:customStyle="1" w:styleId="39">
    <w:name w:val="Body Text Indent1"/>
    <w:qFormat/>
    <w:uiPriority w:val="0"/>
    <w:pPr>
      <w:widowControl w:val="0"/>
      <w:jc w:val="both"/>
    </w:pPr>
    <w:rPr>
      <w:rFonts w:ascii="Times New Roman" w:hAnsi="Times New Roman" w:eastAsia="宋体" w:cs="Times New Roman"/>
      <w:bCs/>
      <w:kern w:val="2"/>
      <w:sz w:val="28"/>
      <w:szCs w:val="24"/>
      <w:lang w:val="en-US" w:eastAsia="zh-CN" w:bidi="ar-SA"/>
    </w:rPr>
  </w:style>
  <w:style w:type="paragraph" w:styleId="40">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Normal_0"/>
    <w:qFormat/>
    <w:uiPriority w:val="0"/>
    <w:rPr>
      <w:rFonts w:ascii="Times New Roman" w:hAnsi="Times New Roman" w:eastAsia="Times New Roman" w:cs="Times New Roman"/>
      <w:sz w:val="24"/>
      <w:szCs w:val="24"/>
    </w:rPr>
  </w:style>
  <w:style w:type="paragraph" w:customStyle="1" w:styleId="42">
    <w:name w:val="段落1"/>
    <w:basedOn w:val="1"/>
    <w:qFormat/>
    <w:uiPriority w:val="0"/>
    <w:pPr>
      <w:spacing w:line="360" w:lineRule="auto"/>
      <w:ind w:firstLine="480" w:firstLineChars="200"/>
    </w:pPr>
    <w:rPr>
      <w:sz w:val="24"/>
      <w:szCs w:val="20"/>
    </w:rPr>
  </w:style>
  <w:style w:type="paragraph" w:customStyle="1" w:styleId="43">
    <w:name w:val="Table Paragraph"/>
    <w:basedOn w:val="1"/>
    <w:qFormat/>
    <w:uiPriority w:val="0"/>
    <w:pPr>
      <w:autoSpaceDE w:val="0"/>
      <w:autoSpaceDN w:val="0"/>
      <w:adjustRightInd w:val="0"/>
      <w:jc w:val="left"/>
    </w:pPr>
    <w:rPr>
      <w:kern w:val="0"/>
      <w:sz w:val="24"/>
    </w:rPr>
  </w:style>
  <w:style w:type="paragraph" w:customStyle="1" w:styleId="44">
    <w:name w:val="List Paragraph"/>
    <w:basedOn w:val="1"/>
    <w:qFormat/>
    <w:uiPriority w:val="0"/>
    <w:pPr>
      <w:ind w:firstLine="420" w:firstLineChars="200"/>
    </w:pPr>
  </w:style>
  <w:style w:type="paragraph" w:customStyle="1" w:styleId="45">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6">
    <w:name w:val="layui-layer-tabnow"/>
    <w:basedOn w:val="21"/>
    <w:qFormat/>
    <w:uiPriority w:val="0"/>
    <w:rPr>
      <w:bdr w:val="single" w:color="CCCCCC" w:sz="6" w:space="0"/>
      <w:shd w:val="clear" w:fill="FFFFFF"/>
    </w:rPr>
  </w:style>
  <w:style w:type="character" w:customStyle="1" w:styleId="47">
    <w:name w:val="first-child"/>
    <w:basedOn w:val="21"/>
    <w:qFormat/>
    <w:uiPriority w:val="0"/>
  </w:style>
  <w:style w:type="paragraph" w:customStyle="1" w:styleId="48">
    <w:name w:val="Body text|1"/>
    <w:basedOn w:val="1"/>
    <w:qFormat/>
    <w:uiPriority w:val="0"/>
    <w:pPr>
      <w:widowControl w:val="0"/>
      <w:shd w:val="clear" w:color="auto" w:fill="auto"/>
      <w:spacing w:line="360" w:lineRule="auto"/>
      <w:ind w:firstLine="400"/>
    </w:pPr>
    <w:rPr>
      <w:rFonts w:ascii="宋体" w:hAnsi="宋体" w:eastAsia="宋体" w:cs="宋体"/>
      <w:sz w:val="20"/>
      <w:szCs w:val="20"/>
      <w:u w:val="none"/>
      <w:shd w:val="clear" w:color="auto" w:fill="auto"/>
      <w:lang w:val="zh-CN" w:eastAsia="zh-CN" w:bidi="zh-CN"/>
    </w:rPr>
  </w:style>
  <w:style w:type="paragraph" w:customStyle="1" w:styleId="49">
    <w:name w:val="Other|1"/>
    <w:basedOn w:val="1"/>
    <w:qFormat/>
    <w:uiPriority w:val="0"/>
    <w:pPr>
      <w:spacing w:line="360" w:lineRule="auto"/>
      <w:ind w:firstLine="400"/>
    </w:pPr>
    <w:rPr>
      <w:rFonts w:ascii="宋体" w:hAnsi="宋体" w:eastAsia="宋体" w:cs="宋体"/>
      <w:sz w:val="20"/>
      <w:szCs w:val="20"/>
      <w:lang w:val="zh-CN" w:eastAsia="zh-CN" w:bidi="zh-CN"/>
    </w:rPr>
  </w:style>
  <w:style w:type="paragraph" w:customStyle="1" w:styleId="50">
    <w:name w:val="Body text|2"/>
    <w:basedOn w:val="1"/>
    <w:qFormat/>
    <w:uiPriority w:val="0"/>
    <w:pPr>
      <w:spacing w:after="30"/>
      <w:ind w:firstLine="420"/>
    </w:pPr>
    <w:rPr>
      <w:sz w:val="20"/>
      <w:szCs w:val="20"/>
    </w:rPr>
  </w:style>
  <w:style w:type="character" w:customStyle="1" w:styleId="51">
    <w:name w:val="正文_3 Char"/>
    <w:link w:val="52"/>
    <w:qFormat/>
    <w:uiPriority w:val="0"/>
    <w:rPr>
      <w:rFonts w:ascii="Calibri" w:hAnsi="Calibri" w:eastAsia="宋体" w:cs="Times New Roman"/>
      <w:kern w:val="2"/>
      <w:sz w:val="21"/>
      <w:szCs w:val="22"/>
      <w:lang w:val="en-US" w:eastAsia="zh-CN" w:bidi="ar-SA"/>
    </w:rPr>
  </w:style>
  <w:style w:type="paragraph" w:customStyle="1" w:styleId="52">
    <w:name w:val="正文_3"/>
    <w:link w:val="5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3">
    <w:name w:val="标题 1 Char"/>
    <w:link w:val="2"/>
    <w:qFormat/>
    <w:uiPriority w:val="0"/>
    <w:rPr>
      <w:rFonts w:ascii="Times New Roman" w:hAnsi="Times New Roman" w:eastAsia="宋体" w:cs="Times New Roman"/>
      <w:b/>
      <w:bCs/>
      <w:kern w:val="44"/>
      <w:sz w:val="44"/>
      <w:szCs w:val="44"/>
      <w:lang w:val="en-US" w:eastAsia="zh-CN" w:bidi="ar-SA"/>
    </w:rPr>
  </w:style>
  <w:style w:type="paragraph" w:customStyle="1" w:styleId="54">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
    <w:name w:val="正文_3_0"/>
    <w:basedOn w:val="5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
    <w:name w:val="正文_4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7">
    <w:name w:val="正文_4"/>
    <w:qFormat/>
    <w:uiPriority w:val="0"/>
    <w:pPr>
      <w:widowControl w:val="0"/>
      <w:jc w:val="both"/>
    </w:pPr>
    <w:rPr>
      <w:rFonts w:ascii="Calibri" w:hAnsi="Calibri" w:eastAsia="宋体" w:cs="Times New Roman"/>
      <w:kern w:val="2"/>
      <w:sz w:val="21"/>
      <w:szCs w:val="22"/>
      <w:lang w:val="en-US" w:eastAsia="zh-CN" w:bidi="ar-SA"/>
    </w:rPr>
  </w:style>
  <w:style w:type="table" w:customStyle="1" w:styleId="58">
    <w:name w:val="Table Normal"/>
    <w:semiHidden/>
    <w:unhideWhenUsed/>
    <w:qFormat/>
    <w:uiPriority w:val="0"/>
    <w:tblPr>
      <w:tblCellMar>
        <w:top w:w="0" w:type="dxa"/>
        <w:left w:w="0" w:type="dxa"/>
        <w:bottom w:w="0" w:type="dxa"/>
        <w:right w:w="0" w:type="dxa"/>
      </w:tblCellMar>
    </w:tblPr>
  </w:style>
  <w:style w:type="paragraph" w:customStyle="1" w:styleId="59">
    <w:name w:val="目录 1_1"/>
    <w:basedOn w:val="52"/>
    <w:next w:val="52"/>
    <w:autoRedefine/>
    <w:qFormat/>
    <w:uiPriority w:val="0"/>
    <w:pPr>
      <w:tabs>
        <w:tab w:val="right" w:leader="dot" w:pos="8296"/>
      </w:tabs>
    </w:pPr>
    <w:rPr>
      <w:rFonts w:ascii="宋体" w:hAnsi="Times New Roman" w:eastAsia="楷体_GB2312" w:cs="TimesNewRomanPSMT"/>
      <w:b/>
      <w:kern w:val="0"/>
      <w:sz w:val="28"/>
      <w:szCs w:val="20"/>
    </w:rPr>
  </w:style>
  <w:style w:type="paragraph" w:customStyle="1" w:styleId="60">
    <w:name w:val="正文_5"/>
    <w:next w:val="6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
    <w:name w:val="正文文本_2"/>
    <w:basedOn w:val="60"/>
    <w:next w:val="60"/>
    <w:autoRedefine/>
    <w:qFormat/>
    <w:uiPriority w:val="99"/>
    <w:pPr>
      <w:adjustRightInd w:val="0"/>
      <w:spacing w:after="60" w:line="360" w:lineRule="atLeast"/>
      <w:ind w:left="72" w:leftChars="30" w:right="30" w:rightChars="30"/>
      <w:jc w:val="center"/>
      <w:textAlignment w:val="baseline"/>
    </w:pPr>
    <w:rPr>
      <w:kern w:val="0"/>
      <w:sz w:val="20"/>
      <w:szCs w:val="20"/>
    </w:rPr>
  </w:style>
  <w:style w:type="paragraph" w:customStyle="1" w:styleId="62">
    <w:name w:val="正文_0_1"/>
    <w:basedOn w:val="63"/>
    <w:autoRedefine/>
    <w:qFormat/>
    <w:uiPriority w:val="0"/>
    <w:pPr>
      <w:widowControl w:val="0"/>
      <w:jc w:val="both"/>
    </w:pPr>
    <w:rPr>
      <w:rFonts w:ascii="Calibri" w:hAnsi="Calibri"/>
      <w:kern w:val="2"/>
      <w:sz w:val="21"/>
      <w:szCs w:val="22"/>
      <w:lang w:val="en-US" w:eastAsia="zh-CN" w:bidi="ar-SA"/>
    </w:rPr>
  </w:style>
  <w:style w:type="paragraph" w:customStyle="1" w:styleId="63">
    <w:name w:val="正文_2_0"/>
    <w:basedOn w:val="55"/>
    <w:next w:val="64"/>
    <w:autoRedefine/>
    <w:qFormat/>
    <w:uiPriority w:val="99"/>
  </w:style>
  <w:style w:type="paragraph" w:customStyle="1" w:styleId="64">
    <w:name w:val="正文文本_1_0"/>
    <w:basedOn w:val="63"/>
    <w:autoRedefine/>
    <w:qFormat/>
    <w:uiPriority w:val="99"/>
    <w:pPr>
      <w:adjustRightInd w:val="0"/>
      <w:spacing w:after="60" w:line="360" w:lineRule="atLeast"/>
      <w:ind w:left="72" w:leftChars="30" w:right="30" w:rightChars="30"/>
      <w:jc w:val="center"/>
      <w:textAlignment w:val="baseline"/>
    </w:pPr>
    <w:rPr>
      <w:rFonts w:ascii="Times New Roman" w:hAnsi="Times New Roman"/>
    </w:rPr>
  </w:style>
  <w:style w:type="paragraph" w:customStyle="1" w:styleId="65">
    <w:name w:val="正文_0"/>
    <w:basedOn w:val="54"/>
    <w:autoRedefine/>
    <w:qFormat/>
    <w:uiPriority w:val="99"/>
    <w:rPr>
      <w:rFonts w:ascii="??" w:hAnsi="Times New Roman" w:eastAsia="Times New Roman" w:c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123</Pages>
  <Words>5842</Words>
  <Characters>6364</Characters>
  <Lines>0</Lines>
  <Paragraphs>0</Paragraphs>
  <TotalTime>6</TotalTime>
  <ScaleCrop>false</ScaleCrop>
  <LinksUpToDate>false</LinksUpToDate>
  <CharactersWithSpaces>6529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2021-02-01T03:14:00Z</dcterms:created>
  <dc:creator>Mrs.</dc:creator>
  <cp:lastModifiedBy>桂林华禹招标</cp:lastModifiedBy>
  <cp:lastPrinted>2024-12-09T07:57:00Z</cp:lastPrinted>
  <dcterms:modified xsi:type="dcterms:W3CDTF">2026-05-21T13:58:03Z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F77EC3CA9C7E4B6A929D308D080777CF_13</vt:lpwstr>
  </property>
  <property fmtid="{D5CDD505-2E9C-101B-9397-08002B2CF9AE}" pid="4" name="KSOTemplateDocerSaveRecord">
    <vt:lpwstr>eyJoZGlkIjoiZTA4NzIyN2MxYTlmMzQ1NGE2MjU5NWRkMjhlOGMxYTAiLCJ1c2VySWQiOiIzNjgzNDEzMzAifQ==</vt:lpwstr>
  </property>
</Properties>
</file>