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0C72D0">
      <w:pPr>
        <w:widowControl w:val="0"/>
        <w:suppressAutoHyphens/>
        <w:kinsoku/>
        <w:autoSpaceDE/>
        <w:autoSpaceDN/>
        <w:adjustRightInd/>
        <w:snapToGrid/>
        <w:spacing w:line="360" w:lineRule="auto"/>
        <w:jc w:val="center"/>
        <w:textAlignment w:val="auto"/>
        <w:rPr>
          <w:rFonts w:ascii="仿宋" w:hAnsi="仿宋" w:eastAsia="仿宋" w:cs="仿宋"/>
          <w:snapToGrid/>
          <w:color w:val="auto"/>
          <w:kern w:val="2"/>
          <w:sz w:val="72"/>
          <w:szCs w:val="72"/>
          <w:highlight w:val="none"/>
          <w:lang w:eastAsia="zh-CN"/>
        </w:rPr>
      </w:pPr>
    </w:p>
    <w:p w14:paraId="6BA7974B">
      <w:pPr>
        <w:spacing w:line="480" w:lineRule="auto"/>
        <w:jc w:val="center"/>
        <w:rPr>
          <w:rFonts w:ascii="仿宋" w:hAnsi="仿宋" w:eastAsia="仿宋" w:cs="仿宋"/>
          <w:color w:val="auto"/>
          <w:spacing w:val="21"/>
          <w:sz w:val="69"/>
          <w:szCs w:val="69"/>
          <w:highlight w:val="none"/>
        </w:rPr>
      </w:pPr>
    </w:p>
    <w:p w14:paraId="1201FB07">
      <w:pPr>
        <w:spacing w:line="480" w:lineRule="auto"/>
        <w:jc w:val="center"/>
        <w:rPr>
          <w:rFonts w:ascii="方正小标宋_GBK" w:hAnsi="方正小标宋_GBK" w:eastAsia="方正小标宋_GBK" w:cs="方正小标宋_GBK"/>
          <w:color w:val="auto"/>
          <w:spacing w:val="21"/>
          <w:sz w:val="72"/>
          <w:szCs w:val="72"/>
          <w:highlight w:val="none"/>
          <w:lang w:eastAsia="zh-CN"/>
        </w:rPr>
      </w:pPr>
      <w:r>
        <w:rPr>
          <w:rFonts w:hint="eastAsia" w:ascii="方正小标宋_GBK" w:hAnsi="方正小标宋_GBK" w:eastAsia="方正小标宋_GBK" w:cs="方正小标宋_GBK"/>
          <w:color w:val="auto"/>
          <w:spacing w:val="21"/>
          <w:sz w:val="72"/>
          <w:szCs w:val="72"/>
          <w:highlight w:val="none"/>
          <w:lang w:eastAsia="zh-CN"/>
        </w:rPr>
        <w:t>竞争性磋商文件</w:t>
      </w:r>
    </w:p>
    <w:p w14:paraId="26994F28">
      <w:pPr>
        <w:spacing w:line="480" w:lineRule="auto"/>
        <w:jc w:val="center"/>
        <w:rPr>
          <w:rFonts w:ascii="仿宋" w:hAnsi="仿宋" w:eastAsia="仿宋" w:cs="仿宋"/>
          <w:color w:val="auto"/>
          <w:sz w:val="30"/>
          <w:szCs w:val="30"/>
          <w:highlight w:val="none"/>
          <w:lang w:eastAsia="zh-CN"/>
        </w:rPr>
      </w:pPr>
      <w:r>
        <w:rPr>
          <w:rFonts w:hint="eastAsia" w:ascii="仿宋" w:hAnsi="仿宋" w:eastAsia="仿宋" w:cs="仿宋"/>
          <w:color w:val="auto"/>
          <w:spacing w:val="21"/>
          <w:sz w:val="30"/>
          <w:szCs w:val="30"/>
          <w:highlight w:val="none"/>
          <w:lang w:eastAsia="zh-CN"/>
        </w:rPr>
        <w:t>(远程异地全流程电子化评标)</w:t>
      </w:r>
    </w:p>
    <w:p w14:paraId="4CD1CA06">
      <w:pPr>
        <w:pStyle w:val="34"/>
        <w:widowControl w:val="0"/>
        <w:suppressAutoHyphens/>
        <w:kinsoku/>
        <w:autoSpaceDE/>
        <w:autoSpaceDN/>
        <w:adjustRightInd/>
        <w:spacing w:line="360" w:lineRule="auto"/>
        <w:jc w:val="both"/>
        <w:textAlignment w:val="auto"/>
        <w:rPr>
          <w:rFonts w:ascii="仿宋" w:hAnsi="仿宋" w:eastAsia="仿宋" w:cs="仿宋"/>
          <w:b/>
          <w:bCs/>
          <w:snapToGrid/>
          <w:color w:val="auto"/>
          <w:sz w:val="30"/>
          <w:szCs w:val="30"/>
          <w:highlight w:val="none"/>
          <w:lang w:eastAsia="zh-CN"/>
        </w:rPr>
      </w:pPr>
    </w:p>
    <w:p w14:paraId="27EA37AE">
      <w:pPr>
        <w:pStyle w:val="34"/>
        <w:widowControl w:val="0"/>
        <w:suppressAutoHyphens/>
        <w:kinsoku/>
        <w:autoSpaceDE/>
        <w:autoSpaceDN/>
        <w:adjustRightInd/>
        <w:spacing w:line="360" w:lineRule="auto"/>
        <w:jc w:val="both"/>
        <w:textAlignment w:val="auto"/>
        <w:rPr>
          <w:rFonts w:ascii="仿宋" w:hAnsi="仿宋" w:eastAsia="仿宋" w:cs="仿宋"/>
          <w:b/>
          <w:bCs/>
          <w:snapToGrid/>
          <w:color w:val="auto"/>
          <w:spacing w:val="-17"/>
          <w:sz w:val="30"/>
          <w:szCs w:val="30"/>
          <w:highlight w:val="none"/>
          <w:lang w:eastAsia="zh-CN"/>
        </w:rPr>
      </w:pPr>
      <w:r>
        <w:rPr>
          <w:rFonts w:hint="eastAsia" w:ascii="仿宋" w:hAnsi="仿宋" w:eastAsia="仿宋" w:cs="仿宋"/>
          <w:b/>
          <w:bCs/>
          <w:snapToGrid/>
          <w:color w:val="auto"/>
          <w:sz w:val="30"/>
          <w:szCs w:val="30"/>
          <w:highlight w:val="none"/>
          <w:lang w:eastAsia="zh-CN"/>
        </w:rPr>
        <w:t>项目名称：</w:t>
      </w:r>
      <w:r>
        <w:rPr>
          <w:rFonts w:hint="eastAsia" w:ascii="仿宋" w:hAnsi="仿宋" w:eastAsia="仿宋" w:cs="仿宋"/>
          <w:b/>
          <w:bCs/>
          <w:snapToGrid/>
          <w:color w:val="auto"/>
          <w:spacing w:val="-17"/>
          <w:sz w:val="30"/>
          <w:szCs w:val="30"/>
          <w:highlight w:val="none"/>
          <w:lang w:eastAsia="zh-CN"/>
        </w:rPr>
        <w:t>崇左市江州区左州镇、那隆镇污水处理厂运营服务项目</w:t>
      </w:r>
    </w:p>
    <w:p w14:paraId="735742C3">
      <w:pPr>
        <w:pStyle w:val="34"/>
        <w:widowControl w:val="0"/>
        <w:suppressAutoHyphens/>
        <w:kinsoku/>
        <w:autoSpaceDE/>
        <w:autoSpaceDN/>
        <w:adjustRightInd/>
        <w:spacing w:line="360" w:lineRule="auto"/>
        <w:jc w:val="both"/>
        <w:textAlignment w:val="auto"/>
        <w:rPr>
          <w:rFonts w:ascii="仿宋" w:hAnsi="仿宋" w:eastAsia="仿宋" w:cs="仿宋"/>
          <w:b/>
          <w:bCs/>
          <w:snapToGrid/>
          <w:color w:val="auto"/>
          <w:sz w:val="30"/>
          <w:szCs w:val="30"/>
          <w:highlight w:val="none"/>
          <w:lang w:eastAsia="zh-CN"/>
        </w:rPr>
      </w:pPr>
      <w:r>
        <w:rPr>
          <w:rFonts w:hint="eastAsia" w:ascii="仿宋" w:hAnsi="仿宋" w:eastAsia="仿宋" w:cs="仿宋"/>
          <w:b/>
          <w:bCs/>
          <w:snapToGrid/>
          <w:color w:val="auto"/>
          <w:sz w:val="30"/>
          <w:szCs w:val="30"/>
          <w:highlight w:val="none"/>
          <w:lang w:eastAsia="zh-CN"/>
        </w:rPr>
        <w:t>项目编号：CZZC2026-C3-020041-HLZJ</w:t>
      </w:r>
    </w:p>
    <w:p w14:paraId="06E1898A">
      <w:pPr>
        <w:pStyle w:val="34"/>
        <w:widowControl w:val="0"/>
        <w:suppressAutoHyphens/>
        <w:kinsoku/>
        <w:autoSpaceDE/>
        <w:autoSpaceDN/>
        <w:adjustRightInd/>
        <w:spacing w:line="360" w:lineRule="auto"/>
        <w:ind w:firstLine="1193"/>
        <w:jc w:val="both"/>
        <w:textAlignment w:val="auto"/>
        <w:rPr>
          <w:rFonts w:ascii="仿宋" w:hAnsi="仿宋" w:eastAsia="仿宋" w:cs="仿宋"/>
          <w:b/>
          <w:bCs/>
          <w:snapToGrid/>
          <w:color w:val="auto"/>
          <w:sz w:val="30"/>
          <w:szCs w:val="30"/>
          <w:highlight w:val="none"/>
          <w:lang w:eastAsia="zh-CN"/>
        </w:rPr>
      </w:pPr>
    </w:p>
    <w:p w14:paraId="407FBD02">
      <w:pPr>
        <w:pStyle w:val="34"/>
        <w:widowControl w:val="0"/>
        <w:suppressAutoHyphens/>
        <w:kinsoku/>
        <w:autoSpaceDE/>
        <w:autoSpaceDN/>
        <w:adjustRightInd/>
        <w:spacing w:line="360" w:lineRule="auto"/>
        <w:jc w:val="both"/>
        <w:textAlignment w:val="auto"/>
        <w:rPr>
          <w:rFonts w:ascii="仿宋" w:hAnsi="仿宋" w:eastAsia="仿宋" w:cs="仿宋"/>
          <w:b/>
          <w:bCs/>
          <w:snapToGrid/>
          <w:color w:val="auto"/>
          <w:sz w:val="30"/>
          <w:szCs w:val="30"/>
          <w:highlight w:val="none"/>
          <w:lang w:eastAsia="zh-CN"/>
        </w:rPr>
      </w:pPr>
    </w:p>
    <w:p w14:paraId="3BBE7F13">
      <w:pPr>
        <w:pStyle w:val="34"/>
        <w:widowControl w:val="0"/>
        <w:suppressAutoHyphens/>
        <w:kinsoku/>
        <w:autoSpaceDE/>
        <w:autoSpaceDN/>
        <w:adjustRightInd/>
        <w:spacing w:line="360" w:lineRule="auto"/>
        <w:ind w:firstLine="1193"/>
        <w:jc w:val="both"/>
        <w:textAlignment w:val="auto"/>
        <w:rPr>
          <w:rFonts w:ascii="仿宋" w:hAnsi="仿宋" w:eastAsia="仿宋" w:cs="仿宋"/>
          <w:b/>
          <w:bCs/>
          <w:snapToGrid/>
          <w:color w:val="auto"/>
          <w:sz w:val="30"/>
          <w:szCs w:val="30"/>
          <w:highlight w:val="none"/>
          <w:lang w:eastAsia="zh-CN"/>
        </w:rPr>
      </w:pPr>
    </w:p>
    <w:p w14:paraId="313F52AB">
      <w:pPr>
        <w:pStyle w:val="34"/>
        <w:widowControl w:val="0"/>
        <w:suppressAutoHyphens/>
        <w:kinsoku/>
        <w:autoSpaceDE/>
        <w:autoSpaceDN/>
        <w:adjustRightInd/>
        <w:spacing w:line="360" w:lineRule="auto"/>
        <w:ind w:firstLine="1205" w:firstLineChars="400"/>
        <w:jc w:val="both"/>
        <w:textAlignment w:val="auto"/>
        <w:rPr>
          <w:rFonts w:ascii="仿宋" w:hAnsi="仿宋" w:eastAsia="仿宋" w:cs="仿宋"/>
          <w:b/>
          <w:bCs/>
          <w:snapToGrid/>
          <w:color w:val="auto"/>
          <w:sz w:val="30"/>
          <w:szCs w:val="30"/>
          <w:highlight w:val="none"/>
          <w:lang w:eastAsia="zh-CN"/>
        </w:rPr>
      </w:pPr>
    </w:p>
    <w:p w14:paraId="2C252009">
      <w:pPr>
        <w:pStyle w:val="34"/>
        <w:widowControl w:val="0"/>
        <w:suppressAutoHyphens/>
        <w:kinsoku/>
        <w:autoSpaceDE/>
        <w:autoSpaceDN/>
        <w:adjustRightInd/>
        <w:spacing w:line="360" w:lineRule="auto"/>
        <w:ind w:firstLine="1205" w:firstLineChars="400"/>
        <w:jc w:val="both"/>
        <w:textAlignment w:val="auto"/>
        <w:rPr>
          <w:rFonts w:ascii="仿宋" w:hAnsi="仿宋" w:eastAsia="仿宋" w:cs="仿宋"/>
          <w:b/>
          <w:bCs/>
          <w:snapToGrid/>
          <w:color w:val="auto"/>
          <w:sz w:val="30"/>
          <w:szCs w:val="30"/>
          <w:highlight w:val="none"/>
          <w:lang w:eastAsia="zh-CN"/>
        </w:rPr>
      </w:pPr>
    </w:p>
    <w:p w14:paraId="369023F2">
      <w:pPr>
        <w:pStyle w:val="34"/>
        <w:widowControl w:val="0"/>
        <w:suppressAutoHyphens/>
        <w:kinsoku/>
        <w:autoSpaceDE/>
        <w:autoSpaceDN/>
        <w:adjustRightInd/>
        <w:spacing w:line="360" w:lineRule="auto"/>
        <w:ind w:firstLine="1205" w:firstLineChars="400"/>
        <w:jc w:val="both"/>
        <w:textAlignment w:val="auto"/>
        <w:rPr>
          <w:rFonts w:ascii="仿宋" w:hAnsi="仿宋" w:eastAsia="仿宋" w:cs="仿宋"/>
          <w:b/>
          <w:bCs/>
          <w:snapToGrid/>
          <w:color w:val="auto"/>
          <w:sz w:val="30"/>
          <w:szCs w:val="30"/>
          <w:highlight w:val="none"/>
          <w:lang w:eastAsia="zh-CN"/>
        </w:rPr>
      </w:pPr>
      <w:r>
        <w:rPr>
          <w:rFonts w:hint="eastAsia" w:ascii="仿宋" w:hAnsi="仿宋" w:eastAsia="仿宋" w:cs="仿宋"/>
          <w:b/>
          <w:bCs/>
          <w:snapToGrid/>
          <w:color w:val="auto"/>
          <w:sz w:val="30"/>
          <w:szCs w:val="30"/>
          <w:highlight w:val="none"/>
          <w:lang w:eastAsia="zh-CN"/>
        </w:rPr>
        <w:t>采购人：崇左市江州区住房和城乡建设局</w:t>
      </w:r>
    </w:p>
    <w:p w14:paraId="48CFC1A4">
      <w:pPr>
        <w:pStyle w:val="34"/>
        <w:widowControl w:val="0"/>
        <w:suppressAutoHyphens/>
        <w:kinsoku/>
        <w:autoSpaceDE/>
        <w:autoSpaceDN/>
        <w:adjustRightInd/>
        <w:spacing w:line="360" w:lineRule="auto"/>
        <w:ind w:firstLine="1205" w:firstLineChars="400"/>
        <w:jc w:val="both"/>
        <w:textAlignment w:val="auto"/>
        <w:rPr>
          <w:rFonts w:ascii="仿宋" w:hAnsi="仿宋" w:eastAsia="仿宋" w:cs="仿宋"/>
          <w:b/>
          <w:bCs/>
          <w:snapToGrid/>
          <w:color w:val="auto"/>
          <w:sz w:val="30"/>
          <w:szCs w:val="30"/>
          <w:highlight w:val="none"/>
          <w:lang w:eastAsia="zh-CN"/>
        </w:rPr>
      </w:pPr>
      <w:r>
        <w:rPr>
          <w:rFonts w:hint="eastAsia" w:ascii="仿宋" w:hAnsi="仿宋" w:eastAsia="仿宋" w:cs="仿宋"/>
          <w:b/>
          <w:bCs/>
          <w:snapToGrid/>
          <w:color w:val="auto"/>
          <w:sz w:val="30"/>
          <w:szCs w:val="30"/>
          <w:highlight w:val="none"/>
          <w:lang w:eastAsia="zh-CN"/>
        </w:rPr>
        <w:t>采购代理机构：华伦中建建设股份有限公司</w:t>
      </w:r>
    </w:p>
    <w:p w14:paraId="1E2B2C81">
      <w:pPr>
        <w:pStyle w:val="34"/>
        <w:widowControl w:val="0"/>
        <w:suppressAutoHyphens/>
        <w:kinsoku/>
        <w:autoSpaceDE/>
        <w:autoSpaceDN/>
        <w:adjustRightInd/>
        <w:spacing w:line="360" w:lineRule="auto"/>
        <w:jc w:val="center"/>
        <w:textAlignment w:val="auto"/>
        <w:rPr>
          <w:rFonts w:ascii="仿宋" w:hAnsi="仿宋" w:eastAsia="仿宋" w:cs="仿宋"/>
          <w:b/>
          <w:bCs/>
          <w:snapToGrid/>
          <w:color w:val="auto"/>
          <w:sz w:val="30"/>
          <w:szCs w:val="30"/>
          <w:highlight w:val="none"/>
          <w:lang w:eastAsia="zh-CN"/>
        </w:rPr>
      </w:pPr>
      <w:r>
        <w:rPr>
          <w:rFonts w:hint="eastAsia" w:ascii="仿宋" w:hAnsi="仿宋" w:eastAsia="仿宋" w:cs="仿宋"/>
          <w:b/>
          <w:bCs/>
          <w:snapToGrid/>
          <w:color w:val="auto"/>
          <w:sz w:val="30"/>
          <w:szCs w:val="30"/>
          <w:highlight w:val="none"/>
          <w:lang w:eastAsia="zh-CN"/>
        </w:rPr>
        <w:t>2026年</w:t>
      </w:r>
      <w:r>
        <w:rPr>
          <w:rFonts w:hint="eastAsia" w:ascii="仿宋" w:hAnsi="仿宋" w:eastAsia="仿宋" w:cs="仿宋"/>
          <w:b/>
          <w:bCs/>
          <w:snapToGrid/>
          <w:color w:val="auto"/>
          <w:sz w:val="30"/>
          <w:szCs w:val="30"/>
          <w:highlight w:val="none"/>
          <w:lang w:val="en-US" w:eastAsia="zh-CN"/>
        </w:rPr>
        <w:t>7</w:t>
      </w:r>
      <w:r>
        <w:rPr>
          <w:rFonts w:hint="eastAsia" w:ascii="仿宋" w:hAnsi="仿宋" w:eastAsia="仿宋" w:cs="仿宋"/>
          <w:b/>
          <w:bCs/>
          <w:snapToGrid/>
          <w:color w:val="auto"/>
          <w:sz w:val="30"/>
          <w:szCs w:val="30"/>
          <w:highlight w:val="none"/>
          <w:lang w:eastAsia="zh-CN"/>
        </w:rPr>
        <w:t>月</w:t>
      </w:r>
      <w:r>
        <w:rPr>
          <w:rFonts w:hint="eastAsia" w:ascii="仿宋" w:hAnsi="仿宋" w:eastAsia="仿宋" w:cs="仿宋"/>
          <w:b/>
          <w:bCs/>
          <w:snapToGrid/>
          <w:color w:val="auto"/>
          <w:sz w:val="30"/>
          <w:szCs w:val="30"/>
          <w:highlight w:val="none"/>
          <w:lang w:val="en-US" w:eastAsia="zh-CN"/>
        </w:rPr>
        <w:t>15</w:t>
      </w:r>
      <w:r>
        <w:rPr>
          <w:rFonts w:hint="eastAsia" w:ascii="仿宋" w:hAnsi="仿宋" w:eastAsia="仿宋" w:cs="仿宋"/>
          <w:b/>
          <w:bCs/>
          <w:snapToGrid/>
          <w:color w:val="auto"/>
          <w:sz w:val="30"/>
          <w:szCs w:val="30"/>
          <w:highlight w:val="none"/>
          <w:lang w:eastAsia="zh-CN"/>
        </w:rPr>
        <w:t>日</w:t>
      </w:r>
    </w:p>
    <w:p w14:paraId="412F9DA0">
      <w:pPr>
        <w:spacing w:line="460" w:lineRule="exact"/>
        <w:ind w:firstLine="600" w:firstLineChars="200"/>
        <w:rPr>
          <w:rFonts w:ascii="仿宋" w:hAnsi="仿宋" w:eastAsia="仿宋" w:cs="仿宋"/>
          <w:color w:val="auto"/>
          <w:sz w:val="30"/>
          <w:szCs w:val="30"/>
          <w:highlight w:val="none"/>
        </w:rPr>
        <w:sectPr>
          <w:pgSz w:w="11910" w:h="16830"/>
          <w:pgMar w:top="1247" w:right="1655" w:bottom="0" w:left="1650" w:header="0" w:footer="0" w:gutter="0"/>
          <w:cols w:space="720" w:num="1"/>
        </w:sectPr>
      </w:pPr>
    </w:p>
    <w:sdt>
      <w:sdtPr>
        <w:rPr>
          <w:rFonts w:hint="eastAsia" w:ascii="仿宋" w:hAnsi="仿宋" w:eastAsia="仿宋" w:cs="仿宋"/>
          <w:color w:val="auto"/>
          <w:highlight w:val="none"/>
        </w:rPr>
        <w:id w:val="147480988"/>
        <w15:color w:val="DBDBDB"/>
        <w:docPartObj>
          <w:docPartGallery w:val="Table of Contents"/>
          <w:docPartUnique/>
        </w:docPartObj>
      </w:sdtPr>
      <w:sdtEndPr>
        <w:rPr>
          <w:rFonts w:hint="eastAsia" w:ascii="仿宋" w:hAnsi="仿宋" w:eastAsia="仿宋" w:cs="仿宋"/>
          <w:color w:val="auto"/>
          <w:szCs w:val="27"/>
          <w:highlight w:val="none"/>
        </w:rPr>
      </w:sdtEndPr>
      <w:sdtContent>
        <w:p w14:paraId="1FCC4697">
          <w:pPr>
            <w:jc w:val="center"/>
            <w:rPr>
              <w:rFonts w:ascii="仿宋" w:hAnsi="仿宋" w:eastAsia="仿宋" w:cs="仿宋"/>
              <w:color w:val="auto"/>
              <w:highlight w:val="none"/>
            </w:rPr>
          </w:pPr>
          <w:r>
            <w:rPr>
              <w:rFonts w:hint="eastAsia" w:ascii="仿宋" w:hAnsi="仿宋" w:eastAsia="仿宋" w:cs="仿宋"/>
              <w:color w:val="auto"/>
              <w:highlight w:val="none"/>
            </w:rPr>
            <w:t>目录</w:t>
          </w:r>
        </w:p>
        <w:p w14:paraId="58ABA2A3">
          <w:pPr>
            <w:pStyle w:val="18"/>
            <w:tabs>
              <w:tab w:val="right" w:leader="dot" w:pos="9574"/>
            </w:tabs>
            <w:rPr>
              <w:rFonts w:ascii="仿宋" w:hAnsi="仿宋" w:eastAsia="仿宋" w:cs="仿宋"/>
              <w:color w:val="auto"/>
              <w:highlight w:val="none"/>
            </w:rPr>
          </w:pPr>
          <w:r>
            <w:rPr>
              <w:rFonts w:hint="eastAsia" w:ascii="仿宋" w:hAnsi="仿宋" w:eastAsia="仿宋" w:cs="仿宋"/>
              <w:color w:val="auto"/>
              <w:sz w:val="27"/>
              <w:szCs w:val="27"/>
              <w:highlight w:val="none"/>
            </w:rPr>
            <w:fldChar w:fldCharType="begin"/>
          </w:r>
          <w:r>
            <w:rPr>
              <w:rFonts w:hint="eastAsia" w:ascii="仿宋" w:hAnsi="仿宋" w:eastAsia="仿宋" w:cs="仿宋"/>
              <w:color w:val="auto"/>
              <w:sz w:val="27"/>
              <w:szCs w:val="27"/>
              <w:highlight w:val="none"/>
            </w:rPr>
            <w:instrText xml:space="preserve">TOC \o "1-3" \h \u </w:instrText>
          </w:r>
          <w:r>
            <w:rPr>
              <w:rFonts w:hint="eastAsia" w:ascii="仿宋" w:hAnsi="仿宋" w:eastAsia="仿宋" w:cs="仿宋"/>
              <w:color w:val="auto"/>
              <w:sz w:val="27"/>
              <w:szCs w:val="27"/>
              <w:highlight w:val="none"/>
            </w:rPr>
            <w:fldChar w:fldCharType="separate"/>
          </w:r>
          <w:r>
            <w:rPr>
              <w:color w:val="auto"/>
              <w:highlight w:val="none"/>
            </w:rPr>
            <w:fldChar w:fldCharType="begin"/>
          </w:r>
          <w:r>
            <w:rPr>
              <w:color w:val="auto"/>
              <w:highlight w:val="none"/>
            </w:rPr>
            <w:instrText xml:space="preserve"> HYPERLINK \l "_Toc15075" </w:instrText>
          </w:r>
          <w:r>
            <w:rPr>
              <w:color w:val="auto"/>
              <w:highlight w:val="none"/>
            </w:rPr>
            <w:fldChar w:fldCharType="separate"/>
          </w:r>
          <w:r>
            <w:rPr>
              <w:rFonts w:hint="eastAsia" w:ascii="仿宋" w:hAnsi="仿宋" w:eastAsia="仿宋" w:cs="仿宋"/>
              <w:bCs/>
              <w:color w:val="auto"/>
              <w:spacing w:val="24"/>
              <w:szCs w:val="44"/>
              <w:highlight w:val="none"/>
            </w:rPr>
            <w:t>第一章竞争性磋商公告</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_Toc15075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B01220C">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"_Toc14813" </w:instrText>
          </w:r>
          <w:r>
            <w:rPr>
              <w:color w:val="auto"/>
              <w:highlight w:val="none"/>
            </w:rPr>
            <w:fldChar w:fldCharType="separate"/>
          </w:r>
          <w:r>
            <w:rPr>
              <w:rFonts w:hint="eastAsia" w:ascii="仿宋" w:hAnsi="仿宋" w:eastAsia="仿宋" w:cs="仿宋"/>
              <w:color w:val="auto"/>
              <w:spacing w:val="17"/>
              <w:highlight w:val="none"/>
            </w:rPr>
            <w:t>一、项目基本情况</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_Toc14813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B2B49D8">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"_Toc24829" </w:instrText>
          </w:r>
          <w:r>
            <w:rPr>
              <w:color w:val="auto"/>
              <w:highlight w:val="none"/>
            </w:rPr>
            <w:fldChar w:fldCharType="separate"/>
          </w:r>
          <w:r>
            <w:rPr>
              <w:rFonts w:hint="eastAsia" w:ascii="仿宋" w:hAnsi="仿宋" w:eastAsia="仿宋" w:cs="仿宋"/>
              <w:bCs/>
              <w:color w:val="auto"/>
              <w:spacing w:val="24"/>
              <w:highlight w:val="none"/>
            </w:rPr>
            <w:t>二</w:t>
          </w:r>
          <w:r>
            <w:rPr>
              <w:rFonts w:hint="eastAsia" w:ascii="仿宋" w:hAnsi="仿宋" w:eastAsia="仿宋" w:cs="仿宋"/>
              <w:color w:val="auto"/>
              <w:spacing w:val="-33"/>
              <w:highlight w:val="none"/>
            </w:rPr>
            <w:t xml:space="preserve"> </w:t>
          </w:r>
          <w:r>
            <w:rPr>
              <w:rFonts w:hint="eastAsia" w:ascii="仿宋" w:hAnsi="仿宋" w:eastAsia="仿宋" w:cs="仿宋"/>
              <w:bCs/>
              <w:color w:val="auto"/>
              <w:spacing w:val="24"/>
              <w:highlight w:val="none"/>
            </w:rPr>
            <w:t>、申请人的资格要求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_Toc24829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9A64962">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"_Toc11550" </w:instrText>
          </w:r>
          <w:r>
            <w:rPr>
              <w:color w:val="auto"/>
              <w:highlight w:val="none"/>
            </w:rPr>
            <w:fldChar w:fldCharType="separate"/>
          </w:r>
          <w:r>
            <w:rPr>
              <w:rFonts w:hint="eastAsia" w:ascii="仿宋" w:hAnsi="仿宋" w:eastAsia="仿宋" w:cs="仿宋"/>
              <w:bCs/>
              <w:color w:val="auto"/>
              <w:spacing w:val="16"/>
              <w:highlight w:val="none"/>
            </w:rPr>
            <w:t>三、获取采购文件</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_Toc11550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A886A1C">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"_Toc15145" </w:instrText>
          </w:r>
          <w:r>
            <w:rPr>
              <w:color w:val="auto"/>
              <w:highlight w:val="none"/>
            </w:rPr>
            <w:fldChar w:fldCharType="separate"/>
          </w:r>
          <w:r>
            <w:rPr>
              <w:rFonts w:hint="eastAsia" w:ascii="仿宋" w:hAnsi="仿宋" w:eastAsia="仿宋" w:cs="仿宋"/>
              <w:bCs/>
              <w:color w:val="auto"/>
              <w:spacing w:val="16"/>
              <w:highlight w:val="none"/>
            </w:rPr>
            <w:t>四、响应文件提交</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_Toc15145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312D2FD">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"_Toc21745" </w:instrText>
          </w:r>
          <w:r>
            <w:rPr>
              <w:color w:val="auto"/>
              <w:highlight w:val="none"/>
            </w:rPr>
            <w:fldChar w:fldCharType="separate"/>
          </w:r>
          <w:r>
            <w:rPr>
              <w:rFonts w:hint="eastAsia" w:ascii="仿宋" w:hAnsi="仿宋" w:eastAsia="仿宋" w:cs="仿宋"/>
              <w:bCs/>
              <w:color w:val="auto"/>
              <w:spacing w:val="16"/>
              <w:highlight w:val="none"/>
            </w:rPr>
            <w:t>五、响应文件开启</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_Toc21745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2FF1AC0">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"_Toc10829" </w:instrText>
          </w:r>
          <w:r>
            <w:rPr>
              <w:color w:val="auto"/>
              <w:highlight w:val="none"/>
            </w:rPr>
            <w:fldChar w:fldCharType="separate"/>
          </w:r>
          <w:r>
            <w:rPr>
              <w:rFonts w:hint="eastAsia" w:ascii="仿宋" w:hAnsi="仿宋" w:eastAsia="仿宋" w:cs="仿宋"/>
              <w:bCs/>
              <w:color w:val="auto"/>
              <w:spacing w:val="16"/>
              <w:highlight w:val="none"/>
            </w:rPr>
            <w:t>六 、公告期限</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_Toc10829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62B0148">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"_Toc14025" </w:instrText>
          </w:r>
          <w:r>
            <w:rPr>
              <w:color w:val="auto"/>
              <w:highlight w:val="none"/>
            </w:rPr>
            <w:fldChar w:fldCharType="separate"/>
          </w:r>
          <w:r>
            <w:rPr>
              <w:rFonts w:hint="eastAsia" w:ascii="仿宋" w:hAnsi="仿宋" w:eastAsia="仿宋" w:cs="仿宋"/>
              <w:bCs/>
              <w:color w:val="auto"/>
              <w:spacing w:val="16"/>
              <w:highlight w:val="none"/>
            </w:rPr>
            <w:t>七、其他补充事宜</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_Toc14025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2A4155A">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"_Toc19863" </w:instrText>
          </w:r>
          <w:r>
            <w:rPr>
              <w:color w:val="auto"/>
              <w:highlight w:val="none"/>
            </w:rPr>
            <w:fldChar w:fldCharType="separate"/>
          </w:r>
          <w:r>
            <w:rPr>
              <w:rFonts w:hint="eastAsia" w:ascii="仿宋" w:hAnsi="仿宋" w:eastAsia="仿宋" w:cs="仿宋"/>
              <w:bCs/>
              <w:color w:val="auto"/>
              <w:spacing w:val="23"/>
              <w:highlight w:val="none"/>
            </w:rPr>
            <w:t>八</w:t>
          </w:r>
          <w:r>
            <w:rPr>
              <w:rFonts w:hint="eastAsia" w:ascii="仿宋" w:hAnsi="仿宋" w:eastAsia="仿宋" w:cs="仿宋"/>
              <w:color w:val="auto"/>
              <w:spacing w:val="-22"/>
              <w:highlight w:val="none"/>
            </w:rPr>
            <w:t xml:space="preserve"> </w:t>
          </w:r>
          <w:r>
            <w:rPr>
              <w:rFonts w:hint="eastAsia" w:ascii="仿宋" w:hAnsi="仿宋" w:eastAsia="仿宋" w:cs="仿宋"/>
              <w:bCs/>
              <w:color w:val="auto"/>
              <w:spacing w:val="23"/>
              <w:highlight w:val="none"/>
            </w:rPr>
            <w:t>、凡对本次采购提出询问，请按以下方式联系。</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_Toc19863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9ADF24A">
          <w:pPr>
            <w:pStyle w:val="18"/>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"_Toc28315" </w:instrText>
          </w:r>
          <w:r>
            <w:rPr>
              <w:color w:val="auto"/>
              <w:highlight w:val="none"/>
            </w:rPr>
            <w:fldChar w:fldCharType="separate"/>
          </w:r>
          <w:r>
            <w:rPr>
              <w:rFonts w:hint="eastAsia" w:ascii="仿宋" w:hAnsi="仿宋" w:eastAsia="仿宋" w:cs="仿宋"/>
              <w:bCs/>
              <w:snapToGrid/>
              <w:color w:val="auto"/>
              <w:kern w:val="2"/>
              <w:szCs w:val="36"/>
              <w:highlight w:val="none"/>
              <w:lang w:eastAsia="zh-CN"/>
            </w:rPr>
            <w:t>第二章  供应商须知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_Toc28315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5C65600">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"_Toc19638" </w:instrText>
          </w:r>
          <w:r>
            <w:rPr>
              <w:color w:val="auto"/>
              <w:highlight w:val="none"/>
            </w:rPr>
            <w:fldChar w:fldCharType="separate"/>
          </w:r>
          <w:r>
            <w:rPr>
              <w:rFonts w:hint="eastAsia" w:ascii="仿宋" w:hAnsi="仿宋" w:eastAsia="仿宋" w:cs="仿宋"/>
              <w:snapToGrid/>
              <w:color w:val="auto"/>
              <w:kern w:val="2"/>
              <w:szCs w:val="30"/>
              <w:highlight w:val="none"/>
              <w:lang w:eastAsia="zh-CN"/>
            </w:rPr>
            <w:t>供应商须知前附表</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_Toc19638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202D0C1">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"_Toc23199" </w:instrText>
          </w:r>
          <w:r>
            <w:rPr>
              <w:color w:val="auto"/>
              <w:highlight w:val="none"/>
            </w:rPr>
            <w:fldChar w:fldCharType="separate"/>
          </w:r>
          <w:r>
            <w:rPr>
              <w:rFonts w:hint="eastAsia" w:ascii="仿宋" w:hAnsi="仿宋" w:eastAsia="仿宋" w:cs="仿宋"/>
              <w:snapToGrid/>
              <w:color w:val="auto"/>
              <w:kern w:val="2"/>
              <w:szCs w:val="30"/>
              <w:highlight w:val="none"/>
              <w:lang w:eastAsia="zh-CN"/>
            </w:rPr>
            <w:t>供应商须知正文</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_Toc23199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CDF5625">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"_Toc13607" </w:instrText>
          </w:r>
          <w:r>
            <w:rPr>
              <w:color w:val="auto"/>
              <w:highlight w:val="none"/>
            </w:rPr>
            <w:fldChar w:fldCharType="separate"/>
          </w:r>
          <w:r>
            <w:rPr>
              <w:rFonts w:hint="eastAsia" w:ascii="仿宋" w:hAnsi="仿宋" w:eastAsia="仿宋" w:cs="仿宋"/>
              <w:snapToGrid/>
              <w:color w:val="auto"/>
              <w:kern w:val="2"/>
              <w:szCs w:val="24"/>
              <w:highlight w:val="none"/>
              <w:lang w:eastAsia="zh-CN"/>
            </w:rPr>
            <w:t>一、总则</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_Toc13607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7D0B0B3">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"_Toc25084"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二</w:t>
          </w:r>
          <w:r>
            <w:rPr>
              <w:rFonts w:hint="eastAsia" w:ascii="仿宋" w:hAnsi="仿宋" w:eastAsia="仿宋" w:cs="仿宋"/>
              <w:snapToGrid/>
              <w:color w:val="auto"/>
              <w:kern w:val="2"/>
              <w:szCs w:val="24"/>
              <w:highlight w:val="none"/>
              <w:lang w:eastAsia="zh-CN"/>
            </w:rPr>
            <w:t>、磋商文件</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_Toc25084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C26C0ED">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"_Toc2720"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三、响应文件的编制</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_Toc2720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1DF9E27">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"_Toc5623"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四、评审及磋商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_Toc5623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20</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ED488DA">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"_Toc27679"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崇左市线上“政采贷”政策告知函</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_Toc27679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F932A04">
          <w:pPr>
            <w:pStyle w:val="18"/>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"_Toc10577" </w:instrText>
          </w:r>
          <w:r>
            <w:rPr>
              <w:color w:val="auto"/>
              <w:highlight w:val="none"/>
            </w:rPr>
            <w:fldChar w:fldCharType="separate"/>
          </w:r>
          <w:r>
            <w:rPr>
              <w:rFonts w:hint="eastAsia" w:ascii="仿宋" w:hAnsi="仿宋" w:eastAsia="仿宋" w:cs="仿宋"/>
              <w:bCs/>
              <w:color w:val="auto"/>
              <w:spacing w:val="18"/>
              <w:szCs w:val="32"/>
              <w:highlight w:val="none"/>
            </w:rPr>
            <w:t>第</w:t>
          </w:r>
          <w:r>
            <w:rPr>
              <w:rFonts w:hint="eastAsia" w:ascii="仿宋" w:hAnsi="仿宋" w:eastAsia="仿宋" w:cs="仿宋"/>
              <w:bCs/>
              <w:color w:val="auto"/>
              <w:spacing w:val="18"/>
              <w:szCs w:val="32"/>
              <w:highlight w:val="none"/>
              <w:lang w:eastAsia="zh-CN"/>
            </w:rPr>
            <w:t>三</w:t>
          </w:r>
          <w:r>
            <w:rPr>
              <w:rFonts w:hint="eastAsia" w:ascii="仿宋" w:hAnsi="仿宋" w:eastAsia="仿宋" w:cs="仿宋"/>
              <w:bCs/>
              <w:color w:val="auto"/>
              <w:spacing w:val="18"/>
              <w:szCs w:val="32"/>
              <w:highlight w:val="none"/>
            </w:rPr>
            <w:t>章采购需求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_Toc10577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B95AA21">
          <w:pPr>
            <w:pStyle w:val="18"/>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"_Toc31274" </w:instrText>
          </w:r>
          <w:r>
            <w:rPr>
              <w:color w:val="auto"/>
              <w:highlight w:val="none"/>
            </w:rPr>
            <w:fldChar w:fldCharType="separate"/>
          </w:r>
          <w:r>
            <w:rPr>
              <w:rFonts w:hint="eastAsia" w:ascii="仿宋" w:hAnsi="仿宋" w:eastAsia="仿宋" w:cs="仿宋"/>
              <w:bCs/>
              <w:color w:val="auto"/>
              <w:spacing w:val="-5"/>
              <w:szCs w:val="44"/>
              <w:highlight w:val="none"/>
            </w:rPr>
            <w:t>第四章</w:t>
          </w:r>
          <w:r>
            <w:rPr>
              <w:rFonts w:hint="eastAsia" w:ascii="仿宋" w:hAnsi="仿宋" w:eastAsia="仿宋" w:cs="仿宋"/>
              <w:color w:val="auto"/>
              <w:spacing w:val="-5"/>
              <w:szCs w:val="44"/>
              <w:highlight w:val="none"/>
            </w:rPr>
            <w:t xml:space="preserve">  </w:t>
          </w:r>
          <w:r>
            <w:rPr>
              <w:rFonts w:hint="eastAsia" w:ascii="仿宋" w:hAnsi="仿宋" w:eastAsia="仿宋" w:cs="仿宋"/>
              <w:bCs/>
              <w:color w:val="auto"/>
              <w:spacing w:val="-5"/>
              <w:szCs w:val="44"/>
              <w:highlight w:val="none"/>
            </w:rPr>
            <w:t>评审程序、评审方法和评审标准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_Toc31274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D844821">
          <w:pPr>
            <w:pStyle w:val="18"/>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"_Toc22532" </w:instrText>
          </w:r>
          <w:r>
            <w:rPr>
              <w:color w:val="auto"/>
              <w:highlight w:val="none"/>
            </w:rPr>
            <w:fldChar w:fldCharType="separate"/>
          </w:r>
          <w:r>
            <w:rPr>
              <w:rFonts w:hint="eastAsia" w:ascii="仿宋" w:hAnsi="仿宋" w:eastAsia="仿宋" w:cs="仿宋"/>
              <w:bCs/>
              <w:color w:val="auto"/>
              <w:spacing w:val="16"/>
              <w:szCs w:val="44"/>
              <w:highlight w:val="none"/>
            </w:rPr>
            <w:t>第五章响应文件格式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_Toc22532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54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FA80190">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"_Toc20536" </w:instrText>
          </w:r>
          <w:r>
            <w:rPr>
              <w:color w:val="auto"/>
              <w:highlight w:val="none"/>
            </w:rPr>
            <w:fldChar w:fldCharType="separate"/>
          </w:r>
          <w:r>
            <w:rPr>
              <w:rFonts w:hint="eastAsia" w:ascii="仿宋" w:hAnsi="仿宋" w:eastAsia="仿宋" w:cs="仿宋"/>
              <w:snapToGrid/>
              <w:color w:val="auto"/>
              <w:kern w:val="2"/>
              <w:szCs w:val="28"/>
              <w:highlight w:val="none"/>
              <w:lang w:eastAsia="zh-CN"/>
            </w:rPr>
            <w:t>一、资格证明文件格式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_Toc20536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55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21AC871">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"_Toc27008" </w:instrText>
          </w:r>
          <w:r>
            <w:rPr>
              <w:color w:val="auto"/>
              <w:highlight w:val="none"/>
            </w:rPr>
            <w:fldChar w:fldCharType="separate"/>
          </w:r>
          <w:r>
            <w:rPr>
              <w:rFonts w:hint="eastAsia" w:ascii="仿宋" w:hAnsi="仿宋" w:eastAsia="仿宋" w:cs="仿宋"/>
              <w:snapToGrid/>
              <w:color w:val="auto"/>
              <w:kern w:val="2"/>
              <w:szCs w:val="24"/>
              <w:highlight w:val="none"/>
              <w:lang w:eastAsia="zh-CN"/>
            </w:rPr>
            <w:t>1.资格证明文件封面格式：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_Toc27008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55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A83CC11">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"_Toc12909" </w:instrText>
          </w:r>
          <w:r>
            <w:rPr>
              <w:color w:val="auto"/>
              <w:highlight w:val="none"/>
            </w:rPr>
            <w:fldChar w:fldCharType="separate"/>
          </w:r>
          <w:r>
            <w:rPr>
              <w:rFonts w:hint="eastAsia" w:ascii="仿宋" w:hAnsi="仿宋" w:eastAsia="仿宋" w:cs="仿宋"/>
              <w:snapToGrid/>
              <w:color w:val="auto"/>
              <w:kern w:val="2"/>
              <w:szCs w:val="24"/>
              <w:highlight w:val="none"/>
              <w:lang w:eastAsia="zh-CN"/>
            </w:rPr>
            <w:t>2.资格证明文件目录</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_Toc12909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56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C710FF6">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"_Toc2568" </w:instrText>
          </w:r>
          <w:r>
            <w:rPr>
              <w:color w:val="auto"/>
              <w:highlight w:val="none"/>
            </w:rPr>
            <w:fldChar w:fldCharType="separate"/>
          </w:r>
          <w:r>
            <w:rPr>
              <w:rFonts w:hint="eastAsia" w:ascii="仿宋" w:hAnsi="仿宋" w:eastAsia="仿宋" w:cs="仿宋"/>
              <w:snapToGrid/>
              <w:color w:val="auto"/>
              <w:kern w:val="2"/>
              <w:szCs w:val="24"/>
              <w:highlight w:val="none"/>
              <w:lang w:eastAsia="zh-CN"/>
            </w:rPr>
            <w:t>3.崇左市政府采购供应商信用承诺函</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_Toc2568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57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739A3A2">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"_Toc23040" </w:instrText>
          </w:r>
          <w:r>
            <w:rPr>
              <w:color w:val="auto"/>
              <w:highlight w:val="none"/>
            </w:rPr>
            <w:fldChar w:fldCharType="separate"/>
          </w:r>
          <w:r>
            <w:rPr>
              <w:rFonts w:hint="eastAsia" w:ascii="仿宋" w:hAnsi="仿宋" w:eastAsia="仿宋" w:cs="仿宋"/>
              <w:snapToGrid/>
              <w:color w:val="auto"/>
              <w:kern w:val="2"/>
              <w:szCs w:val="24"/>
              <w:highlight w:val="none"/>
              <w:lang w:eastAsia="zh-CN"/>
            </w:rPr>
            <w:t>4.供应商直接控股、管理关系信息表</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_Toc23040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58</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02D190A">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"_Toc23536" </w:instrText>
          </w:r>
          <w:r>
            <w:rPr>
              <w:color w:val="auto"/>
              <w:highlight w:val="none"/>
            </w:rPr>
            <w:fldChar w:fldCharType="separate"/>
          </w:r>
          <w:r>
            <w:rPr>
              <w:rFonts w:hint="eastAsia" w:ascii="仿宋" w:hAnsi="仿宋" w:eastAsia="仿宋" w:cs="仿宋"/>
              <w:snapToGrid/>
              <w:color w:val="auto"/>
              <w:kern w:val="2"/>
              <w:szCs w:val="24"/>
              <w:highlight w:val="none"/>
              <w:lang w:eastAsia="zh-CN"/>
            </w:rPr>
            <w:t>5.竞标声明</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_Toc23536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60</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ED3E981">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"_Toc24069" </w:instrText>
          </w:r>
          <w:r>
            <w:rPr>
              <w:color w:val="auto"/>
              <w:highlight w:val="none"/>
            </w:rPr>
            <w:fldChar w:fldCharType="separate"/>
          </w:r>
          <w:r>
            <w:rPr>
              <w:rFonts w:hint="eastAsia" w:ascii="仿宋" w:hAnsi="仿宋" w:eastAsia="仿宋" w:cs="仿宋"/>
              <w:snapToGrid/>
              <w:color w:val="auto"/>
              <w:kern w:val="2"/>
              <w:szCs w:val="28"/>
              <w:highlight w:val="none"/>
              <w:lang w:eastAsia="zh-CN"/>
            </w:rPr>
            <w:t>二、报价文件格式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_Toc24069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792FDE2">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"_Toc26565" </w:instrText>
          </w:r>
          <w:r>
            <w:rPr>
              <w:color w:val="auto"/>
              <w:highlight w:val="none"/>
            </w:rPr>
            <w:fldChar w:fldCharType="separate"/>
          </w:r>
          <w:r>
            <w:rPr>
              <w:rFonts w:hint="eastAsia" w:ascii="仿宋" w:hAnsi="仿宋" w:eastAsia="仿宋" w:cs="仿宋"/>
              <w:snapToGrid/>
              <w:color w:val="auto"/>
              <w:kern w:val="2"/>
              <w:szCs w:val="24"/>
              <w:highlight w:val="none"/>
              <w:lang w:eastAsia="zh-CN"/>
            </w:rPr>
            <w:t>1.报价文件封面格式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_Toc26565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F527834">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"_Toc25469"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2.报价文件目录</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_Toc25469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9FAFB8C">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"_Toc2718"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3.竞标报价表</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_Toc2718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04F0590">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"_Toc22222" </w:instrText>
          </w:r>
          <w:r>
            <w:rPr>
              <w:color w:val="auto"/>
              <w:highlight w:val="none"/>
            </w:rPr>
            <w:fldChar w:fldCharType="separate"/>
          </w:r>
          <w:r>
            <w:rPr>
              <w:rFonts w:hint="eastAsia" w:ascii="仿宋" w:hAnsi="仿宋" w:eastAsia="仿宋" w:cs="仿宋"/>
              <w:snapToGrid/>
              <w:color w:val="auto"/>
              <w:kern w:val="2"/>
              <w:szCs w:val="28"/>
              <w:highlight w:val="none"/>
              <w:lang w:eastAsia="zh-CN"/>
            </w:rPr>
            <w:t>三、商务技术文件格式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_Toc22222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9CD914C">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"_Toc15412" </w:instrText>
          </w:r>
          <w:r>
            <w:rPr>
              <w:color w:val="auto"/>
              <w:highlight w:val="none"/>
            </w:rPr>
            <w:fldChar w:fldCharType="separate"/>
          </w:r>
          <w:r>
            <w:rPr>
              <w:rFonts w:hint="eastAsia" w:ascii="仿宋" w:hAnsi="仿宋" w:eastAsia="仿宋" w:cs="仿宋"/>
              <w:snapToGrid/>
              <w:color w:val="auto"/>
              <w:kern w:val="2"/>
              <w:szCs w:val="24"/>
              <w:highlight w:val="none"/>
              <w:lang w:eastAsia="zh-CN"/>
            </w:rPr>
            <w:t>1.商务技术文件封面格式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_Toc15412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8FE5007">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"_Toc16915"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2.商务技术文件目录</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_Toc16915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D5F629A">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"_Toc4718"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3.无串通竞标行为的承诺函</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_Toc4718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EEC235E">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"_Toc12011" </w:instrText>
          </w:r>
          <w:r>
            <w:rPr>
              <w:color w:val="auto"/>
              <w:highlight w:val="none"/>
            </w:rPr>
            <w:fldChar w:fldCharType="separate"/>
          </w:r>
          <w:r>
            <w:rPr>
              <w:rFonts w:hint="eastAsia" w:ascii="仿宋" w:hAnsi="仿宋" w:eastAsia="仿宋" w:cs="仿宋"/>
              <w:snapToGrid/>
              <w:color w:val="auto"/>
              <w:kern w:val="2"/>
              <w:szCs w:val="24"/>
              <w:highlight w:val="none"/>
              <w:lang w:eastAsia="zh-CN"/>
            </w:rPr>
            <w:t>4.法定代表人证明书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_Toc12011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68</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6D1E1E2">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"_Toc22138"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5.授权委托书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_Toc22138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69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1C99840">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"_Toc14247"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6.商务要求偏离表</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_Toc14247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2339662">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"_Toc24511" </w:instrText>
          </w:r>
          <w:r>
            <w:rPr>
              <w:color w:val="auto"/>
              <w:highlight w:val="none"/>
            </w:rPr>
            <w:fldChar w:fldCharType="separate"/>
          </w:r>
          <w:r>
            <w:rPr>
              <w:rFonts w:hint="eastAsia" w:ascii="仿宋" w:hAnsi="仿宋" w:eastAsia="仿宋" w:cs="仿宋"/>
              <w:snapToGrid/>
              <w:color w:val="auto"/>
              <w:kern w:val="2"/>
              <w:szCs w:val="24"/>
              <w:highlight w:val="none"/>
              <w:lang w:eastAsia="zh-CN"/>
            </w:rPr>
            <w:t>7.技术要求偏离表</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_Toc24511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02141F5">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"_Toc19213"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8.项目实施人员一览表格式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_Toc19213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73</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0531F9C">
          <w:pPr>
            <w:pStyle w:val="19"/>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"_Toc19224"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四、其他文书、文件格式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_Toc19224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3A09B48">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"_Toc32517"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1.中小企业声明函（服务）</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_Toc32517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B755BFC">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"_Toc6465"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2.残疾人福利性单位声明函</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_Toc6465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4CBDDAD">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"_Toc29169" </w:instrText>
          </w:r>
          <w:r>
            <w:rPr>
              <w:color w:val="auto"/>
              <w:highlight w:val="none"/>
            </w:rPr>
            <w:fldChar w:fldCharType="separate"/>
          </w:r>
          <w:r>
            <w:rPr>
              <w:rFonts w:hint="eastAsia" w:ascii="仿宋" w:hAnsi="仿宋" w:eastAsia="仿宋" w:cs="仿宋"/>
              <w:bCs/>
              <w:snapToGrid/>
              <w:color w:val="auto"/>
              <w:kern w:val="2"/>
              <w:szCs w:val="24"/>
              <w:highlight w:val="none"/>
              <w:lang w:eastAsia="zh-CN" w:bidi="ar"/>
            </w:rPr>
            <w:t>3.关于符合本国产品标准的声明函的格式：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_Toc29169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2031A3A">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"_Toc21858"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4.质疑函（格式）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_Toc21858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1BB1C3E">
          <w:pPr>
            <w:pStyle w:val="13"/>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"_Toc30591" </w:instrText>
          </w:r>
          <w:r>
            <w:rPr>
              <w:color w:val="auto"/>
              <w:highlight w:val="none"/>
            </w:rPr>
            <w:fldChar w:fldCharType="separate"/>
          </w:r>
          <w:r>
            <w:rPr>
              <w:rFonts w:hint="eastAsia" w:ascii="仿宋" w:hAnsi="仿宋" w:eastAsia="仿宋" w:cs="仿宋"/>
              <w:bCs/>
              <w:snapToGrid/>
              <w:color w:val="auto"/>
              <w:kern w:val="2"/>
              <w:szCs w:val="24"/>
              <w:highlight w:val="none"/>
              <w:lang w:eastAsia="zh-CN"/>
            </w:rPr>
            <w:t>4.投诉书（格式）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_Toc30591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79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29E0DDD">
          <w:pPr>
            <w:pStyle w:val="18"/>
            <w:tabs>
              <w:tab w:val="right" w:leader="dot" w:pos="9574"/>
            </w:tabs>
            <w:rPr>
              <w:rFonts w:ascii="仿宋" w:hAnsi="仿宋" w:eastAsia="仿宋" w:cs="仿宋"/>
              <w:color w:val="auto"/>
              <w:highlight w:val="none"/>
            </w:rPr>
          </w:pPr>
          <w:r>
            <w:rPr>
              <w:color w:val="auto"/>
              <w:highlight w:val="none"/>
            </w:rPr>
            <w:fldChar w:fldCharType="begin"/>
          </w:r>
          <w:r>
            <w:rPr>
              <w:color w:val="auto"/>
              <w:highlight w:val="none"/>
            </w:rPr>
            <w:instrText xml:space="preserve"> HYPERLINK \l "_Toc11531" </w:instrText>
          </w:r>
          <w:r>
            <w:rPr>
              <w:color w:val="auto"/>
              <w:highlight w:val="none"/>
            </w:rPr>
            <w:fldChar w:fldCharType="separate"/>
          </w:r>
          <w:r>
            <w:rPr>
              <w:rFonts w:hint="eastAsia" w:ascii="仿宋" w:hAnsi="仿宋" w:eastAsia="仿宋" w:cs="仿宋"/>
              <w:bCs/>
              <w:snapToGrid/>
              <w:color w:val="auto"/>
              <w:kern w:val="2"/>
              <w:szCs w:val="36"/>
              <w:highlight w:val="none"/>
              <w:lang w:eastAsia="zh-CN"/>
            </w:rPr>
            <w:t>第六章  合同文本</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_Toc11531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81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EC54A3B">
          <w:pPr>
            <w:spacing w:line="460" w:lineRule="exact"/>
            <w:ind w:firstLine="420" w:firstLineChars="200"/>
            <w:rPr>
              <w:rFonts w:ascii="仿宋" w:hAnsi="仿宋" w:eastAsia="仿宋" w:cs="仿宋"/>
              <w:color w:val="auto"/>
              <w:szCs w:val="27"/>
              <w:highlight w:val="none"/>
            </w:rPr>
          </w:pPr>
          <w:r>
            <w:rPr>
              <w:rFonts w:hint="eastAsia" w:ascii="仿宋" w:hAnsi="仿宋" w:eastAsia="仿宋" w:cs="仿宋"/>
              <w:color w:val="auto"/>
              <w:szCs w:val="27"/>
              <w:highlight w:val="none"/>
            </w:rPr>
            <w:fldChar w:fldCharType="end"/>
          </w:r>
        </w:p>
      </w:sdtContent>
    </w:sdt>
    <w:p w14:paraId="059A1AB4">
      <w:pPr>
        <w:pStyle w:val="4"/>
        <w:rPr>
          <w:rFonts w:ascii="仿宋" w:hAnsi="仿宋" w:eastAsia="仿宋" w:cs="仿宋"/>
          <w:color w:val="auto"/>
          <w:highlight w:val="none"/>
        </w:rPr>
      </w:pPr>
    </w:p>
    <w:p w14:paraId="794AD1AE">
      <w:pPr>
        <w:rPr>
          <w:rFonts w:ascii="仿宋" w:hAnsi="仿宋" w:eastAsia="仿宋" w:cs="仿宋"/>
          <w:color w:val="auto"/>
          <w:highlight w:val="none"/>
        </w:rPr>
      </w:pPr>
    </w:p>
    <w:p w14:paraId="6FA71863">
      <w:pPr>
        <w:rPr>
          <w:rFonts w:ascii="仿宋" w:hAnsi="仿宋" w:eastAsia="仿宋" w:cs="仿宋"/>
          <w:color w:val="auto"/>
          <w:highlight w:val="none"/>
        </w:rPr>
      </w:pPr>
    </w:p>
    <w:p w14:paraId="4AE39B4A">
      <w:pPr>
        <w:tabs>
          <w:tab w:val="left" w:pos="6932"/>
        </w:tabs>
        <w:rPr>
          <w:rFonts w:ascii="仿宋" w:hAnsi="仿宋" w:eastAsia="仿宋" w:cs="仿宋"/>
          <w:color w:val="auto"/>
          <w:highlight w:val="none"/>
          <w:lang w:eastAsia="zh-CN"/>
        </w:rPr>
        <w:sectPr>
          <w:pgSz w:w="11910" w:h="16830"/>
          <w:pgMar w:top="1165" w:right="1176" w:bottom="0" w:left="1160" w:header="0" w:footer="0" w:gutter="0"/>
          <w:cols w:space="720" w:num="1"/>
        </w:sectPr>
      </w:pPr>
      <w:r>
        <w:rPr>
          <w:rFonts w:hint="eastAsia" w:ascii="仿宋" w:hAnsi="仿宋" w:eastAsia="仿宋" w:cs="仿宋"/>
          <w:color w:val="auto"/>
          <w:highlight w:val="none"/>
          <w:lang w:eastAsia="zh-CN"/>
        </w:rPr>
        <w:tab/>
      </w:r>
    </w:p>
    <w:p w14:paraId="6D4C519E">
      <w:pPr>
        <w:spacing w:line="460" w:lineRule="exact"/>
        <w:ind w:firstLine="979" w:firstLineChars="200"/>
        <w:jc w:val="center"/>
        <w:outlineLvl w:val="0"/>
        <w:rPr>
          <w:rFonts w:ascii="仿宋" w:hAnsi="仿宋" w:eastAsia="仿宋" w:cs="仿宋"/>
          <w:b/>
          <w:bCs/>
          <w:color w:val="auto"/>
          <w:spacing w:val="24"/>
          <w:sz w:val="44"/>
          <w:szCs w:val="44"/>
          <w:highlight w:val="none"/>
        </w:rPr>
      </w:pPr>
      <w:bookmarkStart w:id="0" w:name="_Toc15075"/>
      <w:r>
        <w:rPr>
          <w:rFonts w:hint="eastAsia" w:ascii="仿宋" w:hAnsi="仿宋" w:eastAsia="仿宋" w:cs="仿宋"/>
          <w:b/>
          <w:bCs/>
          <w:color w:val="auto"/>
          <w:spacing w:val="24"/>
          <w:sz w:val="44"/>
          <w:szCs w:val="44"/>
          <w:highlight w:val="none"/>
        </w:rPr>
        <w:t>第一章竞争性磋商公告</w:t>
      </w:r>
      <w:bookmarkEnd w:id="0"/>
    </w:p>
    <w:p w14:paraId="26CDAE14">
      <w:pPr>
        <w:spacing w:line="460" w:lineRule="exact"/>
        <w:ind w:firstLine="979" w:firstLineChars="200"/>
        <w:jc w:val="center"/>
        <w:rPr>
          <w:rFonts w:ascii="仿宋" w:hAnsi="仿宋" w:eastAsia="仿宋" w:cs="仿宋"/>
          <w:b/>
          <w:bCs/>
          <w:color w:val="auto"/>
          <w:spacing w:val="24"/>
          <w:sz w:val="44"/>
          <w:szCs w:val="44"/>
          <w:highlight w:val="none"/>
        </w:rPr>
      </w:pPr>
    </w:p>
    <w:tbl>
      <w:tblPr>
        <w:tblStyle w:val="31"/>
        <w:tblW w:w="9920"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920"/>
      </w:tblGrid>
      <w:tr w14:paraId="7086B98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510" w:hRule="atLeast"/>
        </w:trPr>
        <w:tc>
          <w:tcPr>
            <w:tcW w:w="9920" w:type="dxa"/>
          </w:tcPr>
          <w:p w14:paraId="3660FA97">
            <w:pPr>
              <w:pStyle w:val="32"/>
              <w:spacing w:line="460" w:lineRule="exact"/>
              <w:ind w:firstLine="488"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项目概况</w:t>
            </w:r>
          </w:p>
          <w:p w14:paraId="4BDFEB49">
            <w:pPr>
              <w:pStyle w:val="32"/>
              <w:spacing w:line="460" w:lineRule="exact"/>
              <w:ind w:firstLine="484" w:firstLineChars="200"/>
              <w:jc w:val="both"/>
              <w:rPr>
                <w:rFonts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u w:val="single"/>
                <w:lang w:eastAsia="zh-CN"/>
              </w:rPr>
              <w:t>崇左市江州区左州镇、那隆镇污水处理厂运营服务项目</w:t>
            </w:r>
            <w:r>
              <w:rPr>
                <w:rFonts w:hint="eastAsia" w:ascii="仿宋" w:hAnsi="仿宋" w:eastAsia="仿宋" w:cs="仿宋"/>
                <w:color w:val="auto"/>
                <w:sz w:val="24"/>
                <w:szCs w:val="24"/>
                <w:highlight w:val="none"/>
                <w:lang w:eastAsia="zh-CN"/>
              </w:rPr>
              <w:t>的潜在供应商应在广西政府采购云平台(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hint="eastAsia" w:ascii="仿宋" w:hAnsi="仿宋" w:eastAsia="仿宋" w:cs="仿宋"/>
                <w:color w:val="auto"/>
                <w:sz w:val="24"/>
                <w:szCs w:val="24"/>
                <w:highlight w:val="none"/>
                <w:lang w:eastAsia="zh-CN"/>
              </w:rPr>
              <w:t>https://www.gcy.zfcg.gxzf.gov.cn/</w:t>
            </w:r>
            <w:r>
              <w:rPr>
                <w:rFonts w:hint="eastAsia" w:ascii="仿宋" w:hAnsi="仿宋" w:eastAsia="仿宋" w:cs="仿宋"/>
                <w:color w:val="auto"/>
                <w:sz w:val="24"/>
                <w:szCs w:val="24"/>
                <w:highlight w:val="none"/>
                <w:lang w:eastAsia="zh-CN"/>
              </w:rPr>
              <w:fldChar w:fldCharType="end"/>
            </w:r>
            <w:r>
              <w:rPr>
                <w:rFonts w:hint="eastAsia" w:ascii="仿宋" w:hAnsi="仿宋" w:eastAsia="仿宋" w:cs="仿宋"/>
                <w:color w:val="auto"/>
                <w:sz w:val="24"/>
                <w:szCs w:val="24"/>
                <w:highlight w:val="none"/>
                <w:lang w:eastAsia="zh-CN"/>
              </w:rPr>
              <w:t>)获取采购文件，并于2026年</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eastAsia="zh-CN"/>
              </w:rPr>
              <w:t>月</w:t>
            </w:r>
            <w:r>
              <w:rPr>
                <w:rFonts w:hint="eastAsia" w:ascii="仿宋" w:hAnsi="仿宋" w:eastAsia="仿宋" w:cs="仿宋"/>
                <w:color w:val="auto"/>
                <w:sz w:val="24"/>
                <w:szCs w:val="24"/>
                <w:highlight w:val="none"/>
                <w:lang w:val="en-US" w:eastAsia="zh-CN"/>
              </w:rPr>
              <w:t>27</w:t>
            </w:r>
            <w:r>
              <w:rPr>
                <w:rFonts w:hint="eastAsia" w:ascii="仿宋" w:hAnsi="仿宋" w:eastAsia="仿宋" w:cs="仿宋"/>
                <w:color w:val="auto"/>
                <w:sz w:val="24"/>
                <w:szCs w:val="24"/>
                <w:highlight w:val="none"/>
                <w:lang w:eastAsia="zh-CN"/>
              </w:rPr>
              <w:t>日09时30分(北京</w:t>
            </w:r>
            <w:r>
              <w:rPr>
                <w:rFonts w:hint="eastAsia" w:ascii="仿宋" w:hAnsi="仿宋" w:eastAsia="仿宋" w:cs="仿宋"/>
                <w:color w:val="auto"/>
                <w:spacing w:val="-1"/>
                <w:sz w:val="24"/>
                <w:szCs w:val="24"/>
                <w:highlight w:val="none"/>
                <w:lang w:eastAsia="zh-CN"/>
              </w:rPr>
              <w:t>时间)前提交响应文件。</w:t>
            </w:r>
          </w:p>
        </w:tc>
      </w:tr>
    </w:tbl>
    <w:p w14:paraId="6D569824">
      <w:pPr>
        <w:spacing w:line="460" w:lineRule="exact"/>
        <w:ind w:firstLine="548" w:firstLineChars="200"/>
        <w:outlineLvl w:val="1"/>
        <w:rPr>
          <w:rFonts w:ascii="仿宋" w:hAnsi="仿宋" w:eastAsia="仿宋" w:cs="仿宋"/>
          <w:color w:val="auto"/>
          <w:sz w:val="24"/>
          <w:szCs w:val="24"/>
          <w:highlight w:val="none"/>
          <w:lang w:eastAsia="zh-CN"/>
        </w:rPr>
      </w:pPr>
      <w:bookmarkStart w:id="1" w:name="_Toc14813"/>
      <w:r>
        <w:rPr>
          <w:rFonts w:hint="eastAsia" w:ascii="仿宋" w:hAnsi="仿宋" w:eastAsia="仿宋" w:cs="仿宋"/>
          <w:color w:val="auto"/>
          <w:spacing w:val="17"/>
          <w:sz w:val="24"/>
          <w:szCs w:val="24"/>
          <w:highlight w:val="none"/>
          <w:lang w:eastAsia="zh-CN"/>
        </w:rPr>
        <w:t>一、项目基本情况</w:t>
      </w:r>
      <w:bookmarkEnd w:id="1"/>
    </w:p>
    <w:p w14:paraId="38730CA1">
      <w:pPr>
        <w:spacing w:line="460" w:lineRule="exact"/>
        <w:ind w:firstLine="476"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项目编号：CZZC2026-C3-020041-HLZJ</w:t>
      </w:r>
    </w:p>
    <w:p w14:paraId="733F724B">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项目名称：崇左市江州区左州镇、那隆镇污水处理厂运营服务项目</w:t>
      </w:r>
    </w:p>
    <w:p w14:paraId="458472CF">
      <w:pPr>
        <w:spacing w:line="460" w:lineRule="exact"/>
        <w:ind w:firstLine="504"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6"/>
          <w:sz w:val="24"/>
          <w:szCs w:val="24"/>
          <w:highlight w:val="none"/>
          <w:lang w:eastAsia="zh-CN"/>
        </w:rPr>
        <w:t>预算金额：262.56万元。</w:t>
      </w:r>
    </w:p>
    <w:p w14:paraId="7CF57A51">
      <w:pPr>
        <w:spacing w:line="460" w:lineRule="exact"/>
        <w:ind w:firstLine="552"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18"/>
          <w:sz w:val="24"/>
          <w:szCs w:val="24"/>
          <w:highlight w:val="none"/>
          <w:lang w:eastAsia="zh-CN"/>
        </w:rPr>
        <w:t>最高限价(如有):</w:t>
      </w:r>
      <w:r>
        <w:rPr>
          <w:rFonts w:hint="eastAsia" w:ascii="仿宋" w:hAnsi="仿宋" w:eastAsia="仿宋" w:cs="仿宋"/>
          <w:color w:val="auto"/>
          <w:spacing w:val="6"/>
          <w:sz w:val="24"/>
          <w:szCs w:val="24"/>
          <w:highlight w:val="none"/>
          <w:lang w:eastAsia="zh-CN"/>
        </w:rPr>
        <w:t>262.56万元</w:t>
      </w:r>
    </w:p>
    <w:p w14:paraId="01AF387C">
      <w:pPr>
        <w:spacing w:line="460" w:lineRule="exact"/>
        <w:ind w:firstLine="504" w:firstLineChars="200"/>
        <w:rPr>
          <w:rFonts w:ascii="仿宋" w:hAnsi="仿宋" w:eastAsia="仿宋" w:cs="仿宋"/>
          <w:color w:val="auto"/>
          <w:spacing w:val="6"/>
          <w:sz w:val="24"/>
          <w:szCs w:val="24"/>
          <w:highlight w:val="none"/>
          <w:lang w:eastAsia="zh-CN"/>
        </w:rPr>
      </w:pPr>
      <w:r>
        <w:rPr>
          <w:rFonts w:hint="eastAsia" w:ascii="仿宋" w:hAnsi="仿宋" w:eastAsia="仿宋" w:cs="仿宋"/>
          <w:color w:val="auto"/>
          <w:spacing w:val="6"/>
          <w:sz w:val="24"/>
          <w:szCs w:val="24"/>
          <w:highlight w:val="none"/>
          <w:lang w:eastAsia="zh-CN"/>
        </w:rPr>
        <w:t>采购需求：</w:t>
      </w:r>
      <w:r>
        <w:rPr>
          <w:rFonts w:hint="eastAsia" w:ascii="仿宋" w:hAnsi="仿宋" w:eastAsia="仿宋" w:cs="仿宋"/>
          <w:color w:val="auto"/>
          <w:spacing w:val="1"/>
          <w:sz w:val="24"/>
          <w:szCs w:val="24"/>
          <w:highlight w:val="none"/>
          <w:lang w:eastAsia="zh-CN"/>
        </w:rPr>
        <w:t>崇左市江州区左州镇、那隆镇污水处理厂运营服务项目</w:t>
      </w:r>
      <w:r>
        <w:rPr>
          <w:rFonts w:hint="eastAsia" w:ascii="仿宋" w:hAnsi="仿宋" w:eastAsia="仿宋" w:cs="仿宋"/>
          <w:color w:val="auto"/>
          <w:spacing w:val="6"/>
          <w:sz w:val="24"/>
          <w:szCs w:val="24"/>
          <w:highlight w:val="none"/>
          <w:lang w:eastAsia="zh-CN"/>
        </w:rPr>
        <w:t>1项，如需进一步了 解详细内容，详见竞争性磋商文件第三章采购需求。</w:t>
      </w:r>
    </w:p>
    <w:p w14:paraId="68B6799F">
      <w:pPr>
        <w:spacing w:line="460" w:lineRule="exact"/>
        <w:ind w:firstLine="480" w:firstLineChars="200"/>
        <w:rPr>
          <w:rFonts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 xml:space="preserve">合同履行期限：自签订合同之日起3年。 </w:t>
      </w:r>
    </w:p>
    <w:p w14:paraId="352DC80D">
      <w:pPr>
        <w:spacing w:line="460" w:lineRule="exact"/>
        <w:ind w:firstLine="512"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8"/>
          <w:sz w:val="24"/>
          <w:szCs w:val="24"/>
          <w:highlight w:val="none"/>
          <w:lang w:eastAsia="zh-CN"/>
        </w:rPr>
        <w:t>本项目(是/否)接受联合体：□是/</w:t>
      </w:r>
      <w:r>
        <w:rPr>
          <w:rFonts w:hint="eastAsia" w:ascii="仿宋" w:hAnsi="仿宋" w:eastAsia="仿宋" w:cs="仿宋"/>
          <w:b/>
          <w:bCs/>
          <w:color w:val="auto"/>
          <w:spacing w:val="8"/>
          <w:sz w:val="24"/>
          <w:szCs w:val="24"/>
          <w:highlight w:val="none"/>
          <w:lang w:eastAsia="zh-CN"/>
        </w:rPr>
        <w:t>☑否。</w:t>
      </w:r>
    </w:p>
    <w:p w14:paraId="415F79BA">
      <w:pPr>
        <w:spacing w:line="460" w:lineRule="exact"/>
        <w:ind w:firstLine="578" w:firstLineChars="200"/>
        <w:outlineLvl w:val="1"/>
        <w:rPr>
          <w:rFonts w:ascii="仿宋" w:hAnsi="仿宋" w:eastAsia="仿宋" w:cs="仿宋"/>
          <w:color w:val="auto"/>
          <w:sz w:val="24"/>
          <w:szCs w:val="24"/>
          <w:highlight w:val="none"/>
          <w:lang w:eastAsia="zh-CN"/>
        </w:rPr>
      </w:pPr>
      <w:bookmarkStart w:id="2" w:name="_Toc24829"/>
      <w:r>
        <w:rPr>
          <w:rFonts w:hint="eastAsia" w:ascii="仿宋" w:hAnsi="仿宋" w:eastAsia="仿宋" w:cs="仿宋"/>
          <w:b/>
          <w:bCs/>
          <w:color w:val="auto"/>
          <w:spacing w:val="24"/>
          <w:sz w:val="24"/>
          <w:szCs w:val="24"/>
          <w:highlight w:val="none"/>
          <w:lang w:eastAsia="zh-CN"/>
        </w:rPr>
        <w:t>二</w:t>
      </w:r>
      <w:r>
        <w:rPr>
          <w:rFonts w:hint="eastAsia" w:ascii="仿宋" w:hAnsi="仿宋" w:eastAsia="仿宋" w:cs="仿宋"/>
          <w:color w:val="auto"/>
          <w:spacing w:val="-33"/>
          <w:sz w:val="24"/>
          <w:szCs w:val="24"/>
          <w:highlight w:val="none"/>
          <w:lang w:eastAsia="zh-CN"/>
        </w:rPr>
        <w:t xml:space="preserve"> </w:t>
      </w:r>
      <w:r>
        <w:rPr>
          <w:rFonts w:hint="eastAsia" w:ascii="仿宋" w:hAnsi="仿宋" w:eastAsia="仿宋" w:cs="仿宋"/>
          <w:b/>
          <w:bCs/>
          <w:color w:val="auto"/>
          <w:spacing w:val="24"/>
          <w:sz w:val="24"/>
          <w:szCs w:val="24"/>
          <w:highlight w:val="none"/>
          <w:lang w:eastAsia="zh-CN"/>
        </w:rPr>
        <w:t>、申请人的资格要求</w:t>
      </w:r>
      <w:bookmarkEnd w:id="2"/>
    </w:p>
    <w:p w14:paraId="45B600D4">
      <w:pPr>
        <w:spacing w:line="460" w:lineRule="exact"/>
        <w:ind w:firstLine="476"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1.满足《中华人民共和国政府采购法》第二十二条规定；</w:t>
      </w:r>
    </w:p>
    <w:p w14:paraId="47B4375C">
      <w:pPr>
        <w:spacing w:line="460" w:lineRule="exact"/>
        <w:ind w:firstLine="480" w:firstLineChars="200"/>
        <w:rPr>
          <w:rFonts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2.落实政府采购政策需满足的资格要求：本项目为专门面向中小型企业采购的项</w:t>
      </w:r>
      <w:r>
        <w:rPr>
          <w:rFonts w:hint="eastAsia" w:ascii="仿宋" w:hAnsi="仿宋" w:eastAsia="仿宋" w:cs="仿宋"/>
          <w:color w:val="auto"/>
          <w:spacing w:val="-1"/>
          <w:sz w:val="24"/>
          <w:szCs w:val="24"/>
          <w:highlight w:val="none"/>
          <w:lang w:eastAsia="zh-CN"/>
        </w:rPr>
        <w:t>目。供应商必须提供</w:t>
      </w:r>
      <w:r>
        <w:rPr>
          <w:rFonts w:hint="eastAsia" w:ascii="仿宋" w:hAnsi="仿宋" w:eastAsia="仿宋" w:cs="仿宋"/>
          <w:color w:val="auto"/>
          <w:sz w:val="24"/>
          <w:szCs w:val="24"/>
          <w:highlight w:val="none"/>
          <w:lang w:eastAsia="zh-CN"/>
        </w:rPr>
        <w:t xml:space="preserve"> </w:t>
      </w:r>
      <w:r>
        <w:rPr>
          <w:rFonts w:hint="eastAsia" w:ascii="仿宋" w:hAnsi="仿宋" w:eastAsia="仿宋" w:cs="仿宋"/>
          <w:color w:val="auto"/>
          <w:spacing w:val="4"/>
          <w:sz w:val="24"/>
          <w:szCs w:val="24"/>
          <w:highlight w:val="none"/>
          <w:lang w:eastAsia="zh-CN"/>
        </w:rPr>
        <w:t>中小企业声明函或者残疾人福利性单位声明函(格式后附)或者供应商属于监狱企业的需提供由省级以上</w:t>
      </w:r>
      <w:r>
        <w:rPr>
          <w:rFonts w:hint="eastAsia" w:ascii="仿宋" w:hAnsi="仿宋" w:eastAsia="仿宋" w:cs="仿宋"/>
          <w:color w:val="auto"/>
          <w:spacing w:val="6"/>
          <w:sz w:val="24"/>
          <w:szCs w:val="24"/>
          <w:highlight w:val="none"/>
          <w:lang w:eastAsia="zh-CN"/>
        </w:rPr>
        <w:t>监狱管理局、戒毒管理局(含新疆生产建设兵团)出具的属于监狱企业的证明文件。</w:t>
      </w:r>
    </w:p>
    <w:p w14:paraId="0748840B">
      <w:pPr>
        <w:spacing w:line="460" w:lineRule="exact"/>
        <w:ind w:firstLine="480" w:firstLineChars="200"/>
        <w:rPr>
          <w:rFonts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3.本项目的特定资格要求：无。</w:t>
      </w:r>
    </w:p>
    <w:p w14:paraId="7A9D4556">
      <w:pPr>
        <w:spacing w:line="460" w:lineRule="exact"/>
        <w:ind w:firstLine="546" w:firstLineChars="200"/>
        <w:outlineLvl w:val="1"/>
        <w:rPr>
          <w:rFonts w:ascii="仿宋" w:hAnsi="仿宋" w:eastAsia="仿宋" w:cs="仿宋"/>
          <w:color w:val="auto"/>
          <w:sz w:val="24"/>
          <w:szCs w:val="24"/>
          <w:highlight w:val="none"/>
          <w:lang w:eastAsia="zh-CN"/>
        </w:rPr>
      </w:pPr>
      <w:bookmarkStart w:id="3" w:name="_Toc11550"/>
      <w:r>
        <w:rPr>
          <w:rFonts w:hint="eastAsia" w:ascii="仿宋" w:hAnsi="仿宋" w:eastAsia="仿宋" w:cs="仿宋"/>
          <w:b/>
          <w:bCs/>
          <w:color w:val="auto"/>
          <w:spacing w:val="16"/>
          <w:sz w:val="24"/>
          <w:szCs w:val="24"/>
          <w:highlight w:val="none"/>
          <w:lang w:eastAsia="zh-CN"/>
        </w:rPr>
        <w:t>三、获取采购文件</w:t>
      </w:r>
      <w:bookmarkEnd w:id="3"/>
    </w:p>
    <w:p w14:paraId="19E405F4">
      <w:pPr>
        <w:spacing w:line="460" w:lineRule="exact"/>
        <w:ind w:firstLine="592" w:firstLineChars="200"/>
        <w:rPr>
          <w:rFonts w:ascii="仿宋" w:hAnsi="仿宋" w:eastAsia="仿宋" w:cs="仿宋"/>
          <w:color w:val="auto"/>
          <w:spacing w:val="6"/>
          <w:sz w:val="24"/>
          <w:szCs w:val="24"/>
          <w:highlight w:val="none"/>
          <w:lang w:eastAsia="zh-CN"/>
        </w:rPr>
      </w:pPr>
      <w:r>
        <w:rPr>
          <w:rFonts w:hint="eastAsia" w:ascii="仿宋" w:hAnsi="仿宋" w:eastAsia="仿宋" w:cs="仿宋"/>
          <w:color w:val="auto"/>
          <w:spacing w:val="28"/>
          <w:sz w:val="24"/>
          <w:szCs w:val="24"/>
          <w:highlight w:val="none"/>
          <w:lang w:eastAsia="zh-CN"/>
        </w:rPr>
        <w:t>时间：</w:t>
      </w:r>
      <w:r>
        <w:rPr>
          <w:rFonts w:hint="eastAsia" w:ascii="仿宋" w:hAnsi="仿宋" w:eastAsia="仿宋" w:cs="仿宋"/>
          <w:color w:val="auto"/>
          <w:spacing w:val="28"/>
          <w:sz w:val="24"/>
          <w:szCs w:val="24"/>
          <w:highlight w:val="none"/>
          <w:u w:val="single"/>
          <w:lang w:eastAsia="zh-CN"/>
        </w:rPr>
        <w:t>2026年</w:t>
      </w:r>
      <w:r>
        <w:rPr>
          <w:rFonts w:hint="eastAsia" w:ascii="仿宋" w:hAnsi="仿宋" w:eastAsia="仿宋" w:cs="仿宋"/>
          <w:color w:val="auto"/>
          <w:spacing w:val="28"/>
          <w:sz w:val="24"/>
          <w:szCs w:val="24"/>
          <w:highlight w:val="none"/>
          <w:u w:val="single"/>
          <w:lang w:val="en-US" w:eastAsia="zh-CN"/>
        </w:rPr>
        <w:t>7</w:t>
      </w:r>
      <w:r>
        <w:rPr>
          <w:rFonts w:hint="eastAsia" w:ascii="仿宋" w:hAnsi="仿宋" w:eastAsia="仿宋" w:cs="仿宋"/>
          <w:color w:val="auto"/>
          <w:spacing w:val="28"/>
          <w:sz w:val="24"/>
          <w:szCs w:val="24"/>
          <w:highlight w:val="none"/>
          <w:u w:val="single"/>
          <w:lang w:eastAsia="zh-CN"/>
        </w:rPr>
        <w:t>月</w:t>
      </w:r>
      <w:r>
        <w:rPr>
          <w:rFonts w:hint="eastAsia" w:ascii="仿宋" w:hAnsi="仿宋" w:eastAsia="仿宋" w:cs="仿宋"/>
          <w:color w:val="auto"/>
          <w:spacing w:val="28"/>
          <w:sz w:val="24"/>
          <w:szCs w:val="24"/>
          <w:highlight w:val="none"/>
          <w:u w:val="single"/>
          <w:lang w:val="en-US" w:eastAsia="zh-CN"/>
        </w:rPr>
        <w:t>15</w:t>
      </w:r>
      <w:r>
        <w:rPr>
          <w:rFonts w:hint="eastAsia" w:ascii="仿宋" w:hAnsi="仿宋" w:eastAsia="仿宋" w:cs="仿宋"/>
          <w:color w:val="auto"/>
          <w:spacing w:val="28"/>
          <w:sz w:val="24"/>
          <w:szCs w:val="24"/>
          <w:highlight w:val="none"/>
          <w:u w:val="single"/>
          <w:lang w:eastAsia="zh-CN"/>
        </w:rPr>
        <w:t>日至2026年</w:t>
      </w:r>
      <w:r>
        <w:rPr>
          <w:rFonts w:hint="eastAsia" w:ascii="仿宋" w:hAnsi="仿宋" w:eastAsia="仿宋" w:cs="仿宋"/>
          <w:color w:val="auto"/>
          <w:spacing w:val="28"/>
          <w:sz w:val="24"/>
          <w:szCs w:val="24"/>
          <w:highlight w:val="none"/>
          <w:u w:val="single"/>
          <w:lang w:val="en-US" w:eastAsia="zh-CN"/>
        </w:rPr>
        <w:t>7</w:t>
      </w:r>
      <w:r>
        <w:rPr>
          <w:rFonts w:hint="eastAsia" w:ascii="仿宋" w:hAnsi="仿宋" w:eastAsia="仿宋" w:cs="仿宋"/>
          <w:color w:val="auto"/>
          <w:spacing w:val="28"/>
          <w:sz w:val="24"/>
          <w:szCs w:val="24"/>
          <w:highlight w:val="none"/>
          <w:u w:val="single"/>
          <w:lang w:eastAsia="zh-CN"/>
        </w:rPr>
        <w:t>月</w:t>
      </w:r>
      <w:r>
        <w:rPr>
          <w:rFonts w:hint="eastAsia" w:ascii="仿宋" w:hAnsi="仿宋" w:eastAsia="仿宋" w:cs="仿宋"/>
          <w:color w:val="auto"/>
          <w:spacing w:val="28"/>
          <w:sz w:val="24"/>
          <w:szCs w:val="24"/>
          <w:highlight w:val="none"/>
          <w:u w:val="single"/>
          <w:lang w:val="en-US" w:eastAsia="zh-CN"/>
        </w:rPr>
        <w:t>22</w:t>
      </w:r>
      <w:r>
        <w:rPr>
          <w:rFonts w:hint="eastAsia" w:ascii="仿宋" w:hAnsi="仿宋" w:eastAsia="仿宋" w:cs="仿宋"/>
          <w:color w:val="auto"/>
          <w:spacing w:val="28"/>
          <w:sz w:val="24"/>
          <w:szCs w:val="24"/>
          <w:highlight w:val="none"/>
          <w:u w:val="single"/>
          <w:lang w:eastAsia="zh-CN"/>
        </w:rPr>
        <w:t>日</w:t>
      </w:r>
      <w:r>
        <w:rPr>
          <w:rFonts w:hint="eastAsia" w:ascii="仿宋" w:hAnsi="仿宋" w:eastAsia="仿宋" w:cs="仿宋"/>
          <w:color w:val="auto"/>
          <w:spacing w:val="28"/>
          <w:sz w:val="24"/>
          <w:szCs w:val="24"/>
          <w:highlight w:val="none"/>
          <w:lang w:eastAsia="zh-CN"/>
        </w:rPr>
        <w:t>，</w:t>
      </w:r>
      <w:r>
        <w:rPr>
          <w:rFonts w:hint="eastAsia" w:ascii="仿宋" w:hAnsi="仿宋" w:eastAsia="仿宋" w:cs="仿宋"/>
          <w:color w:val="auto"/>
          <w:spacing w:val="-51"/>
          <w:sz w:val="24"/>
          <w:szCs w:val="24"/>
          <w:highlight w:val="none"/>
          <w:lang w:eastAsia="zh-CN"/>
        </w:rPr>
        <w:t xml:space="preserve"> </w:t>
      </w:r>
      <w:r>
        <w:rPr>
          <w:rFonts w:hint="eastAsia" w:ascii="仿宋" w:hAnsi="仿宋" w:eastAsia="仿宋" w:cs="仿宋"/>
          <w:color w:val="auto"/>
          <w:spacing w:val="28"/>
          <w:sz w:val="24"/>
          <w:szCs w:val="24"/>
          <w:highlight w:val="none"/>
          <w:lang w:eastAsia="zh-CN"/>
        </w:rPr>
        <w:t>每天上午00:00至11:59,下午12:00至23:59</w:t>
      </w:r>
      <w:r>
        <w:rPr>
          <w:rFonts w:hint="eastAsia" w:ascii="仿宋" w:hAnsi="仿宋" w:eastAsia="仿宋" w:cs="仿宋"/>
          <w:color w:val="auto"/>
          <w:sz w:val="24"/>
          <w:szCs w:val="24"/>
          <w:highlight w:val="none"/>
          <w:lang w:eastAsia="zh-CN"/>
        </w:rPr>
        <w:t xml:space="preserve"> </w:t>
      </w:r>
      <w:r>
        <w:rPr>
          <w:rFonts w:hint="eastAsia" w:ascii="仿宋" w:hAnsi="仿宋" w:eastAsia="仿宋" w:cs="仿宋"/>
          <w:color w:val="auto"/>
          <w:spacing w:val="6"/>
          <w:sz w:val="24"/>
          <w:szCs w:val="24"/>
          <w:highlight w:val="none"/>
          <w:lang w:eastAsia="zh-CN"/>
        </w:rPr>
        <w:t>(北京时间，法定节假日除外)。</w:t>
      </w:r>
    </w:p>
    <w:p w14:paraId="0315022A">
      <w:pPr>
        <w:spacing w:line="460" w:lineRule="exact"/>
        <w:ind w:firstLine="592" w:firstLineChars="200"/>
        <w:rPr>
          <w:rFonts w:ascii="仿宋" w:hAnsi="仿宋" w:eastAsia="仿宋" w:cs="仿宋"/>
          <w:color w:val="auto"/>
          <w:spacing w:val="28"/>
          <w:sz w:val="24"/>
          <w:szCs w:val="24"/>
          <w:highlight w:val="none"/>
          <w:lang w:eastAsia="zh-CN"/>
        </w:rPr>
      </w:pPr>
      <w:r>
        <w:rPr>
          <w:rFonts w:hint="eastAsia" w:ascii="仿宋" w:hAnsi="仿宋" w:eastAsia="仿宋" w:cs="仿宋"/>
          <w:color w:val="auto"/>
          <w:spacing w:val="28"/>
          <w:sz w:val="24"/>
          <w:szCs w:val="24"/>
          <w:highlight w:val="none"/>
          <w:lang w:eastAsia="zh-CN"/>
        </w:rPr>
        <w:t>地点：广西政府采购云平台 (</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hint="eastAsia" w:ascii="仿宋" w:hAnsi="仿宋" w:eastAsia="仿宋" w:cs="仿宋"/>
          <w:color w:val="auto"/>
          <w:spacing w:val="28"/>
          <w:sz w:val="24"/>
          <w:szCs w:val="24"/>
          <w:highlight w:val="none"/>
          <w:lang w:eastAsia="zh-CN"/>
        </w:rPr>
        <w:t>https://www.gcy.zfcg.gxzf.gov.cn/)</w:t>
      </w:r>
      <w:r>
        <w:rPr>
          <w:rFonts w:hint="eastAsia" w:ascii="仿宋" w:hAnsi="仿宋" w:eastAsia="仿宋" w:cs="仿宋"/>
          <w:color w:val="auto"/>
          <w:spacing w:val="28"/>
          <w:sz w:val="24"/>
          <w:szCs w:val="24"/>
          <w:highlight w:val="none"/>
          <w:lang w:eastAsia="zh-CN"/>
        </w:rPr>
        <w:fldChar w:fldCharType="end"/>
      </w:r>
    </w:p>
    <w:p w14:paraId="75022566">
      <w:pPr>
        <w:spacing w:line="460" w:lineRule="exact"/>
        <w:ind w:firstLine="592" w:firstLineChars="200"/>
        <w:rPr>
          <w:rFonts w:ascii="仿宋" w:hAnsi="仿宋" w:eastAsia="仿宋" w:cs="仿宋"/>
          <w:color w:val="auto"/>
          <w:spacing w:val="28"/>
          <w:sz w:val="24"/>
          <w:szCs w:val="24"/>
          <w:highlight w:val="none"/>
          <w:lang w:eastAsia="zh-CN"/>
        </w:rPr>
      </w:pPr>
      <w:r>
        <w:rPr>
          <w:rFonts w:hint="eastAsia" w:ascii="仿宋" w:hAnsi="仿宋" w:eastAsia="仿宋" w:cs="仿宋"/>
          <w:color w:val="auto"/>
          <w:spacing w:val="28"/>
          <w:sz w:val="24"/>
          <w:szCs w:val="24"/>
          <w:highlight w:val="none"/>
          <w:lang w:eastAsia="zh-CN"/>
        </w:rPr>
        <w:t>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获取的采购文件编制。</w:t>
      </w:r>
    </w:p>
    <w:p w14:paraId="24CD51E5">
      <w:pPr>
        <w:spacing w:line="460" w:lineRule="exact"/>
        <w:ind w:firstLine="592" w:firstLineChars="200"/>
        <w:rPr>
          <w:rFonts w:ascii="仿宋" w:hAnsi="仿宋" w:eastAsia="仿宋" w:cs="仿宋"/>
          <w:color w:val="auto"/>
          <w:spacing w:val="28"/>
          <w:sz w:val="24"/>
          <w:szCs w:val="24"/>
          <w:highlight w:val="none"/>
          <w:lang w:eastAsia="zh-CN"/>
        </w:rPr>
      </w:pPr>
      <w:r>
        <w:rPr>
          <w:rFonts w:hint="eastAsia" w:ascii="仿宋" w:hAnsi="仿宋" w:eastAsia="仿宋" w:cs="仿宋"/>
          <w:color w:val="auto"/>
          <w:spacing w:val="28"/>
          <w:sz w:val="24"/>
          <w:szCs w:val="24"/>
          <w:highlight w:val="none"/>
          <w:lang w:eastAsia="zh-CN"/>
        </w:rPr>
        <w:t>售价：人民币0元。</w:t>
      </w:r>
    </w:p>
    <w:p w14:paraId="2962EC49">
      <w:pPr>
        <w:spacing w:line="460" w:lineRule="exact"/>
        <w:ind w:firstLine="546" w:firstLineChars="200"/>
        <w:outlineLvl w:val="1"/>
        <w:rPr>
          <w:rFonts w:ascii="仿宋" w:hAnsi="仿宋" w:eastAsia="仿宋" w:cs="仿宋"/>
          <w:color w:val="auto"/>
          <w:sz w:val="24"/>
          <w:szCs w:val="24"/>
          <w:highlight w:val="none"/>
          <w:lang w:eastAsia="zh-CN"/>
        </w:rPr>
      </w:pPr>
      <w:bookmarkStart w:id="4" w:name="bookmark8"/>
      <w:bookmarkEnd w:id="4"/>
      <w:bookmarkStart w:id="5" w:name="_Toc15145"/>
      <w:r>
        <w:rPr>
          <w:rFonts w:hint="eastAsia" w:ascii="仿宋" w:hAnsi="仿宋" w:eastAsia="仿宋" w:cs="仿宋"/>
          <w:b/>
          <w:bCs/>
          <w:color w:val="auto"/>
          <w:spacing w:val="16"/>
          <w:sz w:val="24"/>
          <w:szCs w:val="24"/>
          <w:highlight w:val="none"/>
          <w:lang w:eastAsia="zh-CN"/>
        </w:rPr>
        <w:t>四、响应文件提交</w:t>
      </w:r>
      <w:bookmarkEnd w:id="5"/>
    </w:p>
    <w:p w14:paraId="5103EE2C">
      <w:pPr>
        <w:spacing w:line="460" w:lineRule="exact"/>
        <w:ind w:firstLine="476"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1.截止时间：</w:t>
      </w:r>
      <w:r>
        <w:rPr>
          <w:rFonts w:hint="eastAsia" w:ascii="仿宋" w:hAnsi="仿宋" w:eastAsia="仿宋" w:cs="仿宋"/>
          <w:color w:val="auto"/>
          <w:spacing w:val="28"/>
          <w:sz w:val="24"/>
          <w:szCs w:val="24"/>
          <w:highlight w:val="none"/>
          <w:u w:val="single"/>
          <w:lang w:eastAsia="zh-CN"/>
        </w:rPr>
        <w:t>2026年</w:t>
      </w:r>
      <w:r>
        <w:rPr>
          <w:rFonts w:hint="eastAsia" w:ascii="仿宋" w:hAnsi="仿宋" w:eastAsia="仿宋" w:cs="仿宋"/>
          <w:color w:val="auto"/>
          <w:spacing w:val="28"/>
          <w:sz w:val="24"/>
          <w:szCs w:val="24"/>
          <w:highlight w:val="none"/>
          <w:u w:val="single"/>
          <w:lang w:val="en-US" w:eastAsia="zh-CN"/>
        </w:rPr>
        <w:t>7</w:t>
      </w:r>
      <w:r>
        <w:rPr>
          <w:rFonts w:hint="eastAsia" w:ascii="仿宋" w:hAnsi="仿宋" w:eastAsia="仿宋" w:cs="仿宋"/>
          <w:color w:val="auto"/>
          <w:spacing w:val="28"/>
          <w:sz w:val="24"/>
          <w:szCs w:val="24"/>
          <w:highlight w:val="none"/>
          <w:u w:val="single"/>
          <w:lang w:eastAsia="zh-CN"/>
        </w:rPr>
        <w:t>月</w:t>
      </w:r>
      <w:r>
        <w:rPr>
          <w:rFonts w:hint="eastAsia" w:ascii="仿宋" w:hAnsi="仿宋" w:eastAsia="仿宋" w:cs="仿宋"/>
          <w:color w:val="auto"/>
          <w:spacing w:val="28"/>
          <w:sz w:val="24"/>
          <w:szCs w:val="24"/>
          <w:highlight w:val="none"/>
          <w:u w:val="single"/>
          <w:lang w:val="en-US" w:eastAsia="zh-CN"/>
        </w:rPr>
        <w:t>27</w:t>
      </w:r>
      <w:r>
        <w:rPr>
          <w:rFonts w:hint="eastAsia" w:ascii="仿宋" w:hAnsi="仿宋" w:eastAsia="仿宋" w:cs="仿宋"/>
          <w:color w:val="auto"/>
          <w:spacing w:val="34"/>
          <w:sz w:val="24"/>
          <w:szCs w:val="24"/>
          <w:highlight w:val="none"/>
          <w:u w:val="single"/>
          <w:lang w:eastAsia="zh-CN"/>
        </w:rPr>
        <w:t>日9时30分</w:t>
      </w:r>
      <w:r>
        <w:rPr>
          <w:rFonts w:hint="eastAsia" w:ascii="仿宋" w:hAnsi="仿宋" w:eastAsia="仿宋" w:cs="仿宋"/>
          <w:color w:val="auto"/>
          <w:spacing w:val="34"/>
          <w:sz w:val="24"/>
          <w:szCs w:val="24"/>
          <w:highlight w:val="none"/>
          <w:lang w:eastAsia="zh-CN"/>
        </w:rPr>
        <w:t>(北京时间)</w:t>
      </w:r>
    </w:p>
    <w:p w14:paraId="2FFADC5C">
      <w:pPr>
        <w:spacing w:line="460" w:lineRule="exact"/>
        <w:ind w:firstLine="500"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2.地点（网址）：请登录广西政府采购云平台投标客户端投标</w:t>
      </w:r>
      <w:r>
        <w:rPr>
          <w:rFonts w:hint="eastAsia" w:ascii="仿宋" w:hAnsi="仿宋" w:eastAsia="仿宋" w:cs="仿宋"/>
          <w:color w:val="auto"/>
          <w:spacing w:val="8"/>
          <w:sz w:val="24"/>
          <w:szCs w:val="24"/>
          <w:highlight w:val="none"/>
          <w:lang w:eastAsia="zh-CN"/>
        </w:rPr>
        <w:t>。</w:t>
      </w:r>
    </w:p>
    <w:p w14:paraId="0E47B3B1">
      <w:pPr>
        <w:spacing w:line="460" w:lineRule="exact"/>
        <w:ind w:firstLine="546" w:firstLineChars="200"/>
        <w:outlineLvl w:val="1"/>
        <w:rPr>
          <w:rFonts w:ascii="仿宋" w:hAnsi="仿宋" w:eastAsia="仿宋" w:cs="仿宋"/>
          <w:b/>
          <w:bCs/>
          <w:color w:val="auto"/>
          <w:spacing w:val="16"/>
          <w:sz w:val="24"/>
          <w:szCs w:val="24"/>
          <w:highlight w:val="none"/>
          <w:lang w:eastAsia="zh-CN"/>
        </w:rPr>
      </w:pPr>
      <w:bookmarkStart w:id="6" w:name="_Toc21745"/>
      <w:r>
        <w:rPr>
          <w:rFonts w:hint="eastAsia" w:ascii="仿宋" w:hAnsi="仿宋" w:eastAsia="仿宋" w:cs="仿宋"/>
          <w:b/>
          <w:bCs/>
          <w:color w:val="auto"/>
          <w:spacing w:val="16"/>
          <w:sz w:val="24"/>
          <w:szCs w:val="24"/>
          <w:highlight w:val="none"/>
          <w:lang w:eastAsia="zh-CN"/>
        </w:rPr>
        <w:t>五、响应文件开启</w:t>
      </w:r>
      <w:bookmarkEnd w:id="6"/>
    </w:p>
    <w:p w14:paraId="74FD631B">
      <w:pPr>
        <w:spacing w:line="460" w:lineRule="exact"/>
        <w:ind w:firstLine="600"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30"/>
          <w:sz w:val="24"/>
          <w:szCs w:val="24"/>
          <w:highlight w:val="none"/>
          <w:lang w:eastAsia="zh-CN"/>
        </w:rPr>
        <w:t>开启时间：</w:t>
      </w:r>
      <w:r>
        <w:rPr>
          <w:rFonts w:hint="eastAsia" w:ascii="仿宋" w:hAnsi="仿宋" w:eastAsia="仿宋" w:cs="仿宋"/>
          <w:color w:val="auto"/>
          <w:spacing w:val="28"/>
          <w:sz w:val="24"/>
          <w:szCs w:val="24"/>
          <w:highlight w:val="none"/>
          <w:u w:val="single"/>
          <w:lang w:eastAsia="zh-CN"/>
        </w:rPr>
        <w:t>2026年</w:t>
      </w:r>
      <w:r>
        <w:rPr>
          <w:rFonts w:hint="eastAsia" w:ascii="仿宋" w:hAnsi="仿宋" w:eastAsia="仿宋" w:cs="仿宋"/>
          <w:color w:val="auto"/>
          <w:spacing w:val="28"/>
          <w:sz w:val="24"/>
          <w:szCs w:val="24"/>
          <w:highlight w:val="none"/>
          <w:u w:val="single"/>
          <w:lang w:val="en-US" w:eastAsia="zh-CN"/>
        </w:rPr>
        <w:t>7</w:t>
      </w:r>
      <w:r>
        <w:rPr>
          <w:rFonts w:hint="eastAsia" w:ascii="仿宋" w:hAnsi="仿宋" w:eastAsia="仿宋" w:cs="仿宋"/>
          <w:color w:val="auto"/>
          <w:spacing w:val="28"/>
          <w:sz w:val="24"/>
          <w:szCs w:val="24"/>
          <w:highlight w:val="none"/>
          <w:u w:val="single"/>
          <w:lang w:eastAsia="zh-CN"/>
        </w:rPr>
        <w:t>月</w:t>
      </w:r>
      <w:r>
        <w:rPr>
          <w:rFonts w:hint="eastAsia" w:ascii="仿宋" w:hAnsi="仿宋" w:eastAsia="仿宋" w:cs="仿宋"/>
          <w:color w:val="auto"/>
          <w:spacing w:val="28"/>
          <w:sz w:val="24"/>
          <w:szCs w:val="24"/>
          <w:highlight w:val="none"/>
          <w:u w:val="single"/>
          <w:lang w:val="en-US" w:eastAsia="zh-CN"/>
        </w:rPr>
        <w:t>27</w:t>
      </w:r>
      <w:r>
        <w:rPr>
          <w:rFonts w:hint="eastAsia" w:ascii="仿宋" w:hAnsi="仿宋" w:eastAsia="仿宋" w:cs="仿宋"/>
          <w:color w:val="auto"/>
          <w:spacing w:val="28"/>
          <w:sz w:val="24"/>
          <w:szCs w:val="24"/>
          <w:highlight w:val="none"/>
          <w:u w:val="single"/>
          <w:lang w:eastAsia="zh-CN"/>
        </w:rPr>
        <w:t>日</w:t>
      </w:r>
      <w:r>
        <w:rPr>
          <w:rFonts w:hint="eastAsia" w:ascii="仿宋" w:hAnsi="仿宋" w:eastAsia="仿宋" w:cs="仿宋"/>
          <w:color w:val="auto"/>
          <w:spacing w:val="30"/>
          <w:sz w:val="24"/>
          <w:szCs w:val="24"/>
          <w:highlight w:val="none"/>
          <w:u w:val="single"/>
          <w:lang w:eastAsia="zh-CN"/>
        </w:rPr>
        <w:t>9时30分</w:t>
      </w:r>
      <w:r>
        <w:rPr>
          <w:rFonts w:hint="eastAsia" w:ascii="仿宋" w:hAnsi="仿宋" w:eastAsia="仿宋" w:cs="仿宋"/>
          <w:color w:val="auto"/>
          <w:spacing w:val="-53"/>
          <w:sz w:val="24"/>
          <w:szCs w:val="24"/>
          <w:highlight w:val="none"/>
          <w:lang w:eastAsia="zh-CN"/>
        </w:rPr>
        <w:t xml:space="preserve"> </w:t>
      </w:r>
      <w:r>
        <w:rPr>
          <w:rFonts w:hint="eastAsia" w:ascii="仿宋" w:hAnsi="仿宋" w:eastAsia="仿宋" w:cs="仿宋"/>
          <w:color w:val="auto"/>
          <w:spacing w:val="30"/>
          <w:sz w:val="24"/>
          <w:szCs w:val="24"/>
          <w:highlight w:val="none"/>
          <w:lang w:eastAsia="zh-CN"/>
        </w:rPr>
        <w:t>(北</w:t>
      </w:r>
      <w:r>
        <w:rPr>
          <w:rFonts w:hint="eastAsia" w:ascii="仿宋" w:hAnsi="仿宋" w:eastAsia="仿宋" w:cs="仿宋"/>
          <w:color w:val="auto"/>
          <w:spacing w:val="29"/>
          <w:sz w:val="24"/>
          <w:szCs w:val="24"/>
          <w:highlight w:val="none"/>
          <w:lang w:eastAsia="zh-CN"/>
        </w:rPr>
        <w:t>京时间)</w:t>
      </w:r>
    </w:p>
    <w:p w14:paraId="6DFE260A">
      <w:pPr>
        <w:spacing w:line="460" w:lineRule="exact"/>
        <w:ind w:firstLine="600" w:firstLineChars="200"/>
        <w:rPr>
          <w:rFonts w:ascii="仿宋" w:hAnsi="仿宋" w:eastAsia="仿宋" w:cs="仿宋"/>
          <w:color w:val="auto"/>
          <w:spacing w:val="30"/>
          <w:sz w:val="24"/>
          <w:szCs w:val="24"/>
          <w:highlight w:val="none"/>
          <w:lang w:eastAsia="zh-CN"/>
        </w:rPr>
      </w:pPr>
      <w:r>
        <w:rPr>
          <w:rFonts w:hint="eastAsia" w:ascii="仿宋" w:hAnsi="仿宋" w:eastAsia="仿宋" w:cs="仿宋"/>
          <w:color w:val="auto"/>
          <w:spacing w:val="30"/>
          <w:sz w:val="24"/>
          <w:szCs w:val="24"/>
          <w:highlight w:val="none"/>
          <w:lang w:eastAsia="zh-CN"/>
        </w:rPr>
        <w:t>地点：</w:t>
      </w:r>
      <w:r>
        <w:rPr>
          <w:rFonts w:hint="eastAsia" w:ascii="仿宋" w:hAnsi="仿宋" w:eastAsia="仿宋" w:cs="仿宋"/>
          <w:color w:val="auto"/>
          <w:spacing w:val="28"/>
          <w:sz w:val="24"/>
          <w:szCs w:val="24"/>
          <w:highlight w:val="none"/>
          <w:lang w:eastAsia="zh-CN"/>
        </w:rPr>
        <w:t>广西政府采购云平台</w:t>
      </w:r>
      <w:r>
        <w:rPr>
          <w:rFonts w:hint="eastAsia" w:ascii="仿宋" w:hAnsi="仿宋" w:eastAsia="仿宋" w:cs="仿宋"/>
          <w:color w:val="auto"/>
          <w:spacing w:val="30"/>
          <w:sz w:val="24"/>
          <w:szCs w:val="24"/>
          <w:highlight w:val="none"/>
          <w:lang w:eastAsia="zh-CN"/>
        </w:rPr>
        <w:t>。 </w:t>
      </w:r>
    </w:p>
    <w:p w14:paraId="2A744182">
      <w:pPr>
        <w:spacing w:line="460" w:lineRule="exact"/>
        <w:ind w:firstLine="546" w:firstLineChars="200"/>
        <w:outlineLvl w:val="1"/>
        <w:rPr>
          <w:rFonts w:ascii="仿宋" w:hAnsi="仿宋" w:eastAsia="仿宋" w:cs="仿宋"/>
          <w:b/>
          <w:bCs/>
          <w:color w:val="auto"/>
          <w:spacing w:val="16"/>
          <w:sz w:val="24"/>
          <w:szCs w:val="24"/>
          <w:highlight w:val="none"/>
          <w:lang w:eastAsia="zh-CN"/>
        </w:rPr>
      </w:pPr>
      <w:bookmarkStart w:id="7" w:name="_Toc10829"/>
      <w:r>
        <w:rPr>
          <w:rFonts w:hint="eastAsia" w:ascii="仿宋" w:hAnsi="仿宋" w:eastAsia="仿宋" w:cs="仿宋"/>
          <w:b/>
          <w:bCs/>
          <w:color w:val="auto"/>
          <w:spacing w:val="16"/>
          <w:sz w:val="24"/>
          <w:szCs w:val="24"/>
          <w:highlight w:val="none"/>
          <w:lang w:eastAsia="zh-CN"/>
        </w:rPr>
        <w:t>六 、公告期限</w:t>
      </w:r>
      <w:bookmarkEnd w:id="7"/>
    </w:p>
    <w:p w14:paraId="1133027D">
      <w:pPr>
        <w:spacing w:line="460" w:lineRule="exact"/>
        <w:ind w:firstLine="500"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自本公告发布之日起5个工作日。</w:t>
      </w:r>
    </w:p>
    <w:p w14:paraId="7AC7C8CE">
      <w:pPr>
        <w:spacing w:line="460" w:lineRule="exact"/>
        <w:ind w:firstLine="546" w:firstLineChars="200"/>
        <w:outlineLvl w:val="1"/>
        <w:rPr>
          <w:rFonts w:ascii="仿宋" w:hAnsi="仿宋" w:eastAsia="仿宋" w:cs="仿宋"/>
          <w:b/>
          <w:bCs/>
          <w:color w:val="auto"/>
          <w:spacing w:val="16"/>
          <w:sz w:val="24"/>
          <w:szCs w:val="24"/>
          <w:highlight w:val="none"/>
          <w:lang w:eastAsia="zh-CN"/>
        </w:rPr>
      </w:pPr>
      <w:bookmarkStart w:id="8" w:name="_Toc14025"/>
      <w:r>
        <w:rPr>
          <w:rFonts w:hint="eastAsia" w:ascii="仿宋" w:hAnsi="仿宋" w:eastAsia="仿宋" w:cs="仿宋"/>
          <w:b/>
          <w:bCs/>
          <w:color w:val="auto"/>
          <w:spacing w:val="16"/>
          <w:sz w:val="24"/>
          <w:szCs w:val="24"/>
          <w:highlight w:val="none"/>
          <w:lang w:eastAsia="zh-CN"/>
        </w:rPr>
        <w:t>七、其他补充事宜</w:t>
      </w:r>
      <w:bookmarkEnd w:id="8"/>
    </w:p>
    <w:p w14:paraId="021EAF4E">
      <w:pPr>
        <w:spacing w:line="460" w:lineRule="exact"/>
        <w:ind w:firstLine="476"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1.本项目不收取磋商保证金</w:t>
      </w:r>
      <w:r>
        <w:rPr>
          <w:rFonts w:hint="eastAsia" w:ascii="仿宋" w:hAnsi="仿宋" w:eastAsia="仿宋" w:cs="仿宋"/>
          <w:b/>
          <w:bCs/>
          <w:color w:val="auto"/>
          <w:spacing w:val="-1"/>
          <w:sz w:val="24"/>
          <w:szCs w:val="24"/>
          <w:highlight w:val="none"/>
          <w:lang w:eastAsia="zh-CN"/>
        </w:rPr>
        <w:t>。</w:t>
      </w:r>
    </w:p>
    <w:p w14:paraId="43779BE3">
      <w:pPr>
        <w:spacing w:line="460" w:lineRule="exact"/>
        <w:ind w:firstLine="484"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rPr>
        <w:t>2.网上查询地址：www.ccgp.gov.cn（中国政府采购网）、https://zfcg.gxzf.gov.cn（广西壮族自治区政府采购网）</w:t>
      </w:r>
      <w:r>
        <w:rPr>
          <w:rFonts w:hint="eastAsia" w:ascii="仿宋" w:hAnsi="仿宋" w:eastAsia="仿宋" w:cs="仿宋"/>
          <w:color w:val="auto"/>
          <w:spacing w:val="1"/>
          <w:sz w:val="24"/>
          <w:szCs w:val="24"/>
          <w:highlight w:val="none"/>
          <w:lang w:eastAsia="zh-CN"/>
        </w:rPr>
        <w:t>。</w:t>
      </w:r>
    </w:p>
    <w:p w14:paraId="2D21DA49">
      <w:pPr>
        <w:spacing w:line="460" w:lineRule="exact"/>
        <w:ind w:firstLine="420" w:firstLineChars="200"/>
        <w:rPr>
          <w:rFonts w:ascii="仿宋" w:hAnsi="仿宋" w:eastAsia="仿宋" w:cs="仿宋"/>
          <w:color w:val="auto"/>
          <w:sz w:val="24"/>
          <w:szCs w:val="24"/>
          <w:highlight w:val="none"/>
          <w:lang w:eastAsia="zh-CN"/>
        </w:rPr>
      </w:pPr>
      <w:r>
        <w:rPr>
          <w:color w:val="auto"/>
          <w:highlight w:val="none"/>
        </w:rPr>
        <w:fldChar w:fldCharType="begin"/>
      </w:r>
      <w:r>
        <w:rPr>
          <w:color w:val="auto"/>
          <w:highlight w:val="none"/>
        </w:rPr>
        <w:instrText xml:space="preserve"> HYPERLINK "http://ggzy.jgswj.gxzf.gov.cn/bsggzy/)。3" </w:instrText>
      </w:r>
      <w:r>
        <w:rPr>
          <w:color w:val="auto"/>
          <w:highlight w:val="none"/>
        </w:rPr>
        <w:fldChar w:fldCharType="separate"/>
      </w:r>
      <w:r>
        <w:rPr>
          <w:rFonts w:hint="eastAsia" w:ascii="仿宋" w:hAnsi="仿宋" w:eastAsia="仿宋" w:cs="仿宋"/>
          <w:color w:val="auto"/>
          <w:spacing w:val="1"/>
          <w:sz w:val="24"/>
          <w:szCs w:val="24"/>
          <w:highlight w:val="none"/>
          <w:lang w:eastAsia="zh-CN"/>
        </w:rPr>
        <w:t>3</w:t>
      </w:r>
      <w:r>
        <w:rPr>
          <w:rFonts w:hint="eastAsia" w:ascii="仿宋" w:hAnsi="仿宋" w:eastAsia="仿宋" w:cs="仿宋"/>
          <w:color w:val="auto"/>
          <w:spacing w:val="1"/>
          <w:sz w:val="24"/>
          <w:szCs w:val="24"/>
          <w:highlight w:val="none"/>
          <w:lang w:eastAsia="zh-CN"/>
        </w:rPr>
        <w:fldChar w:fldCharType="end"/>
      </w:r>
      <w:r>
        <w:rPr>
          <w:rFonts w:hint="eastAsia" w:ascii="仿宋" w:hAnsi="仿宋" w:eastAsia="仿宋" w:cs="仿宋"/>
          <w:color w:val="auto"/>
          <w:spacing w:val="1"/>
          <w:sz w:val="24"/>
          <w:szCs w:val="24"/>
          <w:highlight w:val="none"/>
          <w:lang w:eastAsia="zh-CN"/>
        </w:rPr>
        <w:t>.本项目需要落实的政府采购政策</w:t>
      </w:r>
    </w:p>
    <w:p w14:paraId="4D26EAC8">
      <w:pPr>
        <w:spacing w:line="460" w:lineRule="exact"/>
        <w:ind w:firstLine="508"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(1)政府采购促进中小企业发展。</w:t>
      </w:r>
    </w:p>
    <w:p w14:paraId="43498CCD">
      <w:pPr>
        <w:spacing w:line="460" w:lineRule="exact"/>
        <w:ind w:firstLine="500"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5"/>
          <w:sz w:val="24"/>
          <w:szCs w:val="24"/>
          <w:highlight w:val="none"/>
          <w:lang w:eastAsia="zh-CN"/>
        </w:rPr>
        <w:t>(2)政府采购支持采用本国产品的政策。</w:t>
      </w:r>
    </w:p>
    <w:p w14:paraId="7A662910">
      <w:pPr>
        <w:spacing w:line="460" w:lineRule="exact"/>
        <w:ind w:firstLine="496"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4"/>
          <w:sz w:val="24"/>
          <w:szCs w:val="24"/>
          <w:highlight w:val="none"/>
          <w:lang w:eastAsia="zh-CN"/>
        </w:rPr>
        <w:t>(3)强制采购节能产品；优先采购节能产品、环境标志产品。</w:t>
      </w:r>
    </w:p>
    <w:p w14:paraId="55CB3FDF">
      <w:pPr>
        <w:spacing w:line="460" w:lineRule="exact"/>
        <w:ind w:firstLine="508"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(4)政府采购促进残疾人就业政策。</w:t>
      </w:r>
    </w:p>
    <w:p w14:paraId="200104D5">
      <w:pPr>
        <w:spacing w:line="460" w:lineRule="exact"/>
        <w:ind w:firstLine="504" w:firstLineChars="200"/>
        <w:rPr>
          <w:rFonts w:ascii="仿宋" w:hAnsi="仿宋" w:eastAsia="仿宋" w:cs="仿宋"/>
          <w:color w:val="auto"/>
          <w:spacing w:val="6"/>
          <w:sz w:val="24"/>
          <w:szCs w:val="24"/>
          <w:highlight w:val="none"/>
          <w:lang w:eastAsia="zh-CN"/>
        </w:rPr>
      </w:pPr>
      <w:r>
        <w:rPr>
          <w:rFonts w:hint="eastAsia" w:ascii="仿宋" w:hAnsi="仿宋" w:eastAsia="仿宋" w:cs="仿宋"/>
          <w:color w:val="auto"/>
          <w:spacing w:val="6"/>
          <w:sz w:val="24"/>
          <w:szCs w:val="24"/>
          <w:highlight w:val="none"/>
          <w:lang w:eastAsia="zh-CN"/>
        </w:rPr>
        <w:t>(5)政府采购支持监狱企业发展。</w:t>
      </w:r>
    </w:p>
    <w:p w14:paraId="120F6C73">
      <w:pPr>
        <w:spacing w:line="460" w:lineRule="exact"/>
        <w:ind w:firstLine="508"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7"/>
          <w:sz w:val="24"/>
          <w:szCs w:val="24"/>
          <w:highlight w:val="none"/>
          <w:lang w:eastAsia="zh-CN"/>
        </w:rPr>
        <w:t>(6)在政府采购中实施本国产品标准及相关政策</w:t>
      </w:r>
      <w:r>
        <w:rPr>
          <w:rFonts w:hint="eastAsia" w:ascii="仿宋" w:hAnsi="仿宋" w:eastAsia="仿宋" w:cs="仿宋"/>
          <w:color w:val="auto"/>
          <w:sz w:val="24"/>
          <w:szCs w:val="24"/>
          <w:highlight w:val="none"/>
          <w:lang w:eastAsia="zh-CN"/>
        </w:rPr>
        <w:t>。</w:t>
      </w:r>
    </w:p>
    <w:p w14:paraId="5F89BCF3">
      <w:pPr>
        <w:spacing w:line="460" w:lineRule="exact"/>
        <w:ind w:firstLine="480" w:firstLineChars="200"/>
        <w:rPr>
          <w:rFonts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BB5BB78">
      <w:pPr>
        <w:spacing w:line="460" w:lineRule="exact"/>
        <w:ind w:firstLine="480" w:firstLineChars="200"/>
        <w:rPr>
          <w:rFonts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F4C4831">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6.在线竞标响应（电子投标）说明</w:t>
      </w:r>
    </w:p>
    <w:p w14:paraId="40DA8E09">
      <w:pPr>
        <w:spacing w:line="460" w:lineRule="exact"/>
        <w:ind w:firstLine="484" w:firstLineChars="200"/>
        <w:rPr>
          <w:rFonts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1）响应文件提交方式：本项目为全流程电子化项目，通过广西政府采购云平台（https://www.gcy.zfcg.gxzf.gov.cn/）实行在线电子响应，供应商应先安装广西政府采购云平台新版客户端（新版客户端下载路径：广西政府采购网（访问地址http://zfcg.gxzf.gov.cn/）—办事</w:t>
      </w:r>
      <w:r>
        <w:rPr>
          <w:rFonts w:hint="eastAsia" w:ascii="仿宋" w:hAnsi="仿宋" w:eastAsia="仿宋" w:cs="仿宋"/>
          <w:color w:val="auto"/>
          <w:sz w:val="24"/>
          <w:szCs w:val="24"/>
          <w:highlight w:val="none"/>
          <w:lang w:eastAsia="zh-CN"/>
        </w:rPr>
        <w:t>指南</w:t>
      </w:r>
      <w:r>
        <w:rPr>
          <w:rFonts w:hint="eastAsia" w:ascii="仿宋" w:hAnsi="仿宋" w:eastAsia="仿宋" w:cs="仿宋"/>
          <w:color w:val="auto"/>
          <w:spacing w:val="1"/>
          <w:sz w:val="24"/>
          <w:szCs w:val="24"/>
          <w:highlight w:val="none"/>
        </w:rPr>
        <w:t>—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14:paraId="7F364583">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（2）未进行网上注册并办理数字证书（CA认证）的供应商将无法参与本项目政府采购活动，潜在供应商应当在首次响应文件提交截止时间前，完成电子交易平台上的CA数字证书办理及响应文件的提交</w:t>
      </w:r>
    </w:p>
    <w:p w14:paraId="285EFE02">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（3）为确保网上操作合法、有效和安全，请供应商确保在电子响应过程中能够对相关数据电文进行加密和使用电子签章，妥善保管CA数字证书并使用有效的CA数字证书参与整个采购活动。</w:t>
      </w:r>
    </w:p>
    <w:p w14:paraId="17020237">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注：供应商应当在首次响应文件提交截止时间前完成电子响应文件的上传、提交，响应文件提交截止时间前可以补充、修改或者撤回响应文件。补充或者修改响应文件的，应当先行撤回原文件，补充、修改后重新上传、提交。响应文件提交截止时间前未完成上传、提交的，视为撤回响应文件。响应文件提交截止时间以后上传提交的响应文件，广西政府采购云平台将予以拒收。</w:t>
      </w:r>
    </w:p>
    <w:p w14:paraId="0BC3AAA0">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（4）CA证书在线解密：首次响应文件开启时，需要供应商携带制作响应文件时用来加密的有效数字证书（CA认证）登录广西政府采购云平台电子开标大厅现场按规定时间对加密的响应文件进行解密。</w:t>
      </w:r>
    </w:p>
    <w:p w14:paraId="7D4571C8">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（5）供应商需要在具备有摄像头及语音功能且互联网网络状况良好的电脑登录广西政府采购云平台远程开标大厅参与本次磋商，否则后果自负。</w:t>
      </w:r>
    </w:p>
    <w:p w14:paraId="5927CF66">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7.为配合采购人进行政府采购项目执行和备案，未在广西政府采购云平台注册的供应商可在获取采购文件后登录广西政府采购云平台进行注册，如在操作过程中遇到问题或者需要技术支持，请致电广西政府采购云平台热线人工客服（工作时间：工作日08:00～20：00），咨询电话：95763。</w:t>
      </w:r>
    </w:p>
    <w:p w14:paraId="44CD7B54">
      <w:pPr>
        <w:spacing w:line="460" w:lineRule="exact"/>
        <w:ind w:firstLine="480"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kern w:val="2"/>
          <w:sz w:val="24"/>
          <w:szCs w:val="24"/>
          <w:highlight w:val="none"/>
          <w:lang w:eastAsia="zh-CN"/>
        </w:rPr>
        <w:t>8.</w:t>
      </w:r>
      <w:r>
        <w:rPr>
          <w:rFonts w:hint="eastAsia" w:ascii="仿宋" w:hAnsi="仿宋" w:eastAsia="仿宋" w:cs="仿宋"/>
          <w:color w:val="auto"/>
          <w:sz w:val="24"/>
          <w:szCs w:val="24"/>
          <w:highlight w:val="none"/>
          <w:lang w:eastAsia="zh-CN"/>
        </w:rPr>
        <w:t>银行、保险、石油石化、电力、电信等有行业特殊情况的，法人的分支机构经法人授权后可以分支机构的身份参加政府采购。如供应商为分支机构的，必须在</w:t>
      </w:r>
      <w:r>
        <w:rPr>
          <w:rFonts w:hint="eastAsia" w:ascii="仿宋" w:hAnsi="仿宋" w:eastAsia="仿宋" w:cs="仿宋"/>
          <w:color w:val="auto"/>
          <w:kern w:val="2"/>
          <w:sz w:val="24"/>
          <w:szCs w:val="24"/>
          <w:highlight w:val="none"/>
          <w:lang w:eastAsia="zh-CN"/>
        </w:rPr>
        <w:t>响应文件</w:t>
      </w:r>
      <w:r>
        <w:rPr>
          <w:rFonts w:hint="eastAsia" w:ascii="仿宋" w:hAnsi="仿宋" w:eastAsia="仿宋" w:cs="仿宋"/>
          <w:color w:val="auto"/>
          <w:sz w:val="24"/>
          <w:szCs w:val="24"/>
          <w:highlight w:val="none"/>
          <w:lang w:eastAsia="zh-CN"/>
        </w:rPr>
        <w:t>中同时提供经法人授权供应商以分支机构名义参加</w:t>
      </w:r>
      <w:r>
        <w:rPr>
          <w:rFonts w:hint="eastAsia" w:ascii="仿宋" w:hAnsi="仿宋" w:eastAsia="仿宋" w:cs="仿宋"/>
          <w:color w:val="auto"/>
          <w:kern w:val="2"/>
          <w:sz w:val="24"/>
          <w:szCs w:val="24"/>
          <w:highlight w:val="none"/>
          <w:lang w:eastAsia="zh-CN"/>
        </w:rPr>
        <w:t>竞标</w:t>
      </w:r>
      <w:r>
        <w:rPr>
          <w:rFonts w:hint="eastAsia" w:ascii="仿宋" w:hAnsi="仿宋" w:eastAsia="仿宋" w:cs="仿宋"/>
          <w:color w:val="auto"/>
          <w:sz w:val="24"/>
          <w:szCs w:val="24"/>
          <w:highlight w:val="none"/>
          <w:lang w:eastAsia="zh-CN"/>
        </w:rPr>
        <w:t>的授权委托书、法人营业执照及分支机构营业执照的复印件</w:t>
      </w:r>
      <w:r>
        <w:rPr>
          <w:rFonts w:hint="eastAsia" w:ascii="仿宋" w:hAnsi="仿宋" w:eastAsia="仿宋" w:cs="仿宋"/>
          <w:color w:val="auto"/>
          <w:kern w:val="2"/>
          <w:sz w:val="24"/>
          <w:szCs w:val="24"/>
          <w:highlight w:val="none"/>
          <w:lang w:eastAsia="zh-CN"/>
        </w:rPr>
        <w:t>。</w:t>
      </w:r>
    </w:p>
    <w:p w14:paraId="73230449">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9.根据《崇左市财政局关于进一步做好线上“政采贷”融资业务工作的通知》(崇财采〔2023〕10号),供应商可凭成交通知书、政府采购合同，通过中征应收账款融资服务平台向银行在线申请“政采贷”融资。(具体详见采购文件第二章供应商须知正文中关于“政采贷”相关信息)</w:t>
      </w:r>
    </w:p>
    <w:p w14:paraId="02B54345">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10.本项目采用远程异地评审。</w:t>
      </w:r>
      <w:r>
        <w:rPr>
          <w:rFonts w:hint="eastAsia" w:ascii="仿宋" w:hAnsi="仿宋" w:eastAsia="仿宋" w:cs="仿宋"/>
          <w:color w:val="auto"/>
          <w:spacing w:val="30"/>
          <w:sz w:val="24"/>
          <w:szCs w:val="24"/>
          <w:highlight w:val="none"/>
          <w:lang w:eastAsia="zh-CN"/>
        </w:rPr>
        <w:t>主会场地址：崇左市江州区花山路嘉苑小区S组团S15号；分会场地址：百色市右江区建通时代广场2号楼A座1单元18层05号。</w:t>
      </w:r>
      <w:r>
        <w:rPr>
          <w:rFonts w:hint="eastAsia" w:ascii="仿宋" w:hAnsi="仿宋" w:eastAsia="仿宋" w:cs="仿宋"/>
          <w:color w:val="auto"/>
          <w:spacing w:val="1"/>
          <w:sz w:val="24"/>
          <w:szCs w:val="24"/>
          <w:highlight w:val="none"/>
          <w:lang w:eastAsia="zh-CN"/>
        </w:rPr>
        <w:t>  </w:t>
      </w:r>
    </w:p>
    <w:p w14:paraId="4EDDF78A">
      <w:pPr>
        <w:spacing w:line="460" w:lineRule="exact"/>
        <w:ind w:firstLine="574" w:firstLineChars="200"/>
        <w:outlineLvl w:val="1"/>
        <w:rPr>
          <w:rFonts w:ascii="仿宋" w:hAnsi="仿宋" w:eastAsia="仿宋" w:cs="仿宋"/>
          <w:color w:val="auto"/>
          <w:sz w:val="24"/>
          <w:szCs w:val="24"/>
          <w:highlight w:val="none"/>
          <w:lang w:eastAsia="zh-CN"/>
        </w:rPr>
      </w:pPr>
      <w:bookmarkStart w:id="9" w:name="_Toc19863"/>
      <w:r>
        <w:rPr>
          <w:rFonts w:hint="eastAsia" w:ascii="仿宋" w:hAnsi="仿宋" w:eastAsia="仿宋" w:cs="仿宋"/>
          <w:b/>
          <w:bCs/>
          <w:color w:val="auto"/>
          <w:spacing w:val="23"/>
          <w:sz w:val="24"/>
          <w:szCs w:val="24"/>
          <w:highlight w:val="none"/>
          <w:lang w:eastAsia="zh-CN"/>
        </w:rPr>
        <w:t>八</w:t>
      </w:r>
      <w:r>
        <w:rPr>
          <w:rFonts w:hint="eastAsia" w:ascii="仿宋" w:hAnsi="仿宋" w:eastAsia="仿宋" w:cs="仿宋"/>
          <w:color w:val="auto"/>
          <w:spacing w:val="-22"/>
          <w:sz w:val="24"/>
          <w:szCs w:val="24"/>
          <w:highlight w:val="none"/>
          <w:lang w:eastAsia="zh-CN"/>
        </w:rPr>
        <w:t xml:space="preserve"> </w:t>
      </w:r>
      <w:r>
        <w:rPr>
          <w:rFonts w:hint="eastAsia" w:ascii="仿宋" w:hAnsi="仿宋" w:eastAsia="仿宋" w:cs="仿宋"/>
          <w:b/>
          <w:bCs/>
          <w:color w:val="auto"/>
          <w:spacing w:val="23"/>
          <w:sz w:val="24"/>
          <w:szCs w:val="24"/>
          <w:highlight w:val="none"/>
          <w:lang w:eastAsia="zh-CN"/>
        </w:rPr>
        <w:t>、凡对本次采购提出询问，请按以下方式联系。</w:t>
      </w:r>
      <w:bookmarkEnd w:id="9"/>
    </w:p>
    <w:p w14:paraId="759779A8">
      <w:pPr>
        <w:spacing w:line="460" w:lineRule="exact"/>
        <w:ind w:firstLine="476" w:firstLineChars="200"/>
        <w:rPr>
          <w:rFonts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1.采购人信息</w:t>
      </w:r>
    </w:p>
    <w:p w14:paraId="1F81AB59">
      <w:pPr>
        <w:spacing w:line="460" w:lineRule="exact"/>
        <w:ind w:firstLine="512" w:firstLineChars="200"/>
        <w:rPr>
          <w:rFonts w:ascii="仿宋" w:hAnsi="仿宋" w:eastAsia="仿宋" w:cs="仿宋"/>
          <w:color w:val="auto"/>
          <w:spacing w:val="8"/>
          <w:sz w:val="24"/>
          <w:szCs w:val="24"/>
          <w:highlight w:val="none"/>
          <w:lang w:eastAsia="zh-CN"/>
        </w:rPr>
      </w:pPr>
      <w:r>
        <w:rPr>
          <w:rFonts w:hint="eastAsia" w:ascii="仿宋" w:hAnsi="仿宋" w:eastAsia="仿宋" w:cs="仿宋"/>
          <w:color w:val="auto"/>
          <w:spacing w:val="8"/>
          <w:sz w:val="24"/>
          <w:szCs w:val="24"/>
          <w:highlight w:val="none"/>
          <w:lang w:eastAsia="zh-CN"/>
        </w:rPr>
        <w:t>名称：崇左市江州区住房和城乡建设局</w:t>
      </w:r>
    </w:p>
    <w:p w14:paraId="5B9FA555">
      <w:pPr>
        <w:spacing w:line="460" w:lineRule="exact"/>
        <w:ind w:firstLine="524" w:firstLineChars="200"/>
        <w:rPr>
          <w:rFonts w:ascii="仿宋" w:hAnsi="仿宋" w:eastAsia="仿宋" w:cs="仿宋"/>
          <w:color w:val="auto"/>
          <w:spacing w:val="11"/>
          <w:sz w:val="24"/>
          <w:szCs w:val="24"/>
          <w:highlight w:val="none"/>
          <w:lang w:eastAsia="zh-CN"/>
        </w:rPr>
      </w:pPr>
      <w:r>
        <w:rPr>
          <w:rFonts w:hint="eastAsia" w:ascii="仿宋" w:hAnsi="仿宋" w:eastAsia="仿宋" w:cs="仿宋"/>
          <w:color w:val="auto"/>
          <w:spacing w:val="11"/>
          <w:sz w:val="24"/>
          <w:szCs w:val="24"/>
          <w:highlight w:val="none"/>
          <w:lang w:eastAsia="zh-CN"/>
        </w:rPr>
        <w:t>地址：崇左市江州区建设路2号</w:t>
      </w:r>
    </w:p>
    <w:p w14:paraId="15AF3F96">
      <w:pPr>
        <w:spacing w:line="460" w:lineRule="exact"/>
        <w:ind w:firstLine="524" w:firstLineChars="200"/>
        <w:rPr>
          <w:rFonts w:ascii="仿宋" w:hAnsi="仿宋" w:eastAsia="仿宋" w:cs="仿宋"/>
          <w:color w:val="auto"/>
          <w:spacing w:val="11"/>
          <w:sz w:val="24"/>
          <w:szCs w:val="24"/>
          <w:highlight w:val="none"/>
          <w:lang w:eastAsia="zh-CN"/>
        </w:rPr>
      </w:pPr>
      <w:r>
        <w:rPr>
          <w:rFonts w:hint="eastAsia" w:ascii="仿宋" w:hAnsi="仿宋" w:eastAsia="仿宋" w:cs="仿宋"/>
          <w:color w:val="auto"/>
          <w:spacing w:val="11"/>
          <w:sz w:val="24"/>
          <w:szCs w:val="24"/>
          <w:highlight w:val="none"/>
          <w:lang w:eastAsia="zh-CN"/>
        </w:rPr>
        <w:t>联系人：陈雨思</w:t>
      </w:r>
    </w:p>
    <w:p w14:paraId="44550E4A">
      <w:pPr>
        <w:spacing w:line="460" w:lineRule="exact"/>
        <w:ind w:firstLine="476"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联系方式：0771-7826596</w:t>
      </w:r>
    </w:p>
    <w:p w14:paraId="685AC197">
      <w:pPr>
        <w:spacing w:line="460" w:lineRule="exact"/>
        <w:ind w:firstLine="480" w:firstLineChars="200"/>
        <w:rPr>
          <w:rFonts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2.采购代理机构信息</w:t>
      </w:r>
    </w:p>
    <w:p w14:paraId="389C3109">
      <w:pPr>
        <w:spacing w:line="460" w:lineRule="exact"/>
        <w:ind w:firstLine="512" w:firstLineChars="200"/>
        <w:rPr>
          <w:rFonts w:ascii="仿宋" w:hAnsi="仿宋" w:eastAsia="仿宋" w:cs="仿宋"/>
          <w:color w:val="auto"/>
          <w:spacing w:val="8"/>
          <w:sz w:val="24"/>
          <w:szCs w:val="24"/>
          <w:highlight w:val="none"/>
          <w:lang w:eastAsia="zh-CN"/>
        </w:rPr>
      </w:pPr>
      <w:r>
        <w:rPr>
          <w:rFonts w:hint="eastAsia" w:ascii="仿宋" w:hAnsi="仿宋" w:eastAsia="仿宋" w:cs="仿宋"/>
          <w:color w:val="auto"/>
          <w:spacing w:val="8"/>
          <w:sz w:val="24"/>
          <w:szCs w:val="24"/>
          <w:highlight w:val="none"/>
          <w:lang w:eastAsia="zh-CN"/>
        </w:rPr>
        <w:t>名 称：华伦中建建设股份有限公司</w:t>
      </w:r>
    </w:p>
    <w:p w14:paraId="58FB7B3F">
      <w:pPr>
        <w:spacing w:line="460" w:lineRule="exact"/>
        <w:ind w:firstLine="512" w:firstLineChars="200"/>
        <w:rPr>
          <w:rFonts w:ascii="仿宋" w:hAnsi="仿宋" w:eastAsia="仿宋" w:cs="仿宋"/>
          <w:color w:val="auto"/>
          <w:spacing w:val="8"/>
          <w:sz w:val="24"/>
          <w:szCs w:val="24"/>
          <w:highlight w:val="none"/>
          <w:lang w:eastAsia="zh-CN"/>
        </w:rPr>
      </w:pPr>
      <w:r>
        <w:rPr>
          <w:rFonts w:hint="eastAsia" w:ascii="仿宋" w:hAnsi="仿宋" w:eastAsia="仿宋" w:cs="仿宋"/>
          <w:color w:val="auto"/>
          <w:spacing w:val="8"/>
          <w:sz w:val="24"/>
          <w:szCs w:val="24"/>
          <w:highlight w:val="none"/>
          <w:lang w:eastAsia="zh-CN"/>
        </w:rPr>
        <w:t>地 址：崇左市江州区花山路嘉苑小区S组团S15号</w:t>
      </w:r>
    </w:p>
    <w:p w14:paraId="053ABFC6">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联系人：邓工</w:t>
      </w:r>
    </w:p>
    <w:p w14:paraId="5E476D19">
      <w:pPr>
        <w:spacing w:line="460" w:lineRule="exact"/>
        <w:ind w:firstLine="484" w:firstLineChars="200"/>
        <w:rPr>
          <w:rFonts w:ascii="仿宋" w:hAnsi="仿宋" w:eastAsia="仿宋" w:cs="仿宋"/>
          <w:color w:val="auto"/>
          <w:spacing w:val="1"/>
          <w:sz w:val="24"/>
          <w:szCs w:val="24"/>
          <w:highlight w:val="none"/>
          <w:lang w:eastAsia="zh-CN"/>
        </w:rPr>
      </w:pPr>
      <w:r>
        <w:rPr>
          <w:rFonts w:hint="eastAsia" w:ascii="仿宋" w:hAnsi="仿宋" w:eastAsia="仿宋" w:cs="仿宋"/>
          <w:color w:val="auto"/>
          <w:spacing w:val="1"/>
          <w:sz w:val="24"/>
          <w:szCs w:val="24"/>
          <w:highlight w:val="none"/>
          <w:lang w:eastAsia="zh-CN"/>
        </w:rPr>
        <w:t>电话：0771-6608288</w:t>
      </w:r>
    </w:p>
    <w:p w14:paraId="1CB1212E">
      <w:pPr>
        <w:rPr>
          <w:rFonts w:ascii="仿宋" w:hAnsi="仿宋" w:eastAsia="仿宋" w:cs="仿宋"/>
          <w:b/>
          <w:bCs/>
          <w:snapToGrid/>
          <w:color w:val="auto"/>
          <w:kern w:val="2"/>
          <w:sz w:val="36"/>
          <w:szCs w:val="36"/>
          <w:highlight w:val="none"/>
          <w:lang w:eastAsia="zh-CN"/>
        </w:rPr>
      </w:pPr>
      <w:bookmarkStart w:id="10" w:name="_Toc5999"/>
      <w:bookmarkStart w:id="11" w:name="_Toc28315"/>
      <w:bookmarkStart w:id="12" w:name="_Toc5465"/>
      <w:bookmarkStart w:id="13" w:name="_Toc74323457"/>
      <w:r>
        <w:rPr>
          <w:rFonts w:hint="eastAsia" w:ascii="仿宋" w:hAnsi="仿宋" w:eastAsia="仿宋" w:cs="仿宋"/>
          <w:b/>
          <w:bCs/>
          <w:snapToGrid/>
          <w:color w:val="auto"/>
          <w:kern w:val="2"/>
          <w:sz w:val="36"/>
          <w:szCs w:val="36"/>
          <w:highlight w:val="none"/>
          <w:lang w:eastAsia="zh-CN"/>
        </w:rPr>
        <w:br w:type="page"/>
      </w:r>
    </w:p>
    <w:p w14:paraId="14A4750F">
      <w:pPr>
        <w:widowControl w:val="0"/>
        <w:kinsoku/>
        <w:autoSpaceDE/>
        <w:autoSpaceDN/>
        <w:adjustRightInd/>
        <w:snapToGrid/>
        <w:spacing w:line="360" w:lineRule="auto"/>
        <w:jc w:val="center"/>
        <w:textAlignment w:val="auto"/>
        <w:outlineLvl w:val="0"/>
        <w:rPr>
          <w:rFonts w:ascii="仿宋" w:hAnsi="仿宋" w:eastAsia="仿宋" w:cs="仿宋"/>
          <w:b/>
          <w:bCs/>
          <w:snapToGrid/>
          <w:color w:val="auto"/>
          <w:kern w:val="2"/>
          <w:sz w:val="36"/>
          <w:szCs w:val="36"/>
          <w:highlight w:val="none"/>
          <w:lang w:eastAsia="zh-CN"/>
        </w:rPr>
      </w:pPr>
      <w:r>
        <w:rPr>
          <w:rFonts w:hint="eastAsia" w:ascii="仿宋" w:hAnsi="仿宋" w:eastAsia="仿宋" w:cs="仿宋"/>
          <w:b/>
          <w:bCs/>
          <w:snapToGrid/>
          <w:color w:val="auto"/>
          <w:kern w:val="2"/>
          <w:sz w:val="36"/>
          <w:szCs w:val="36"/>
          <w:highlight w:val="none"/>
          <w:lang w:eastAsia="zh-CN"/>
        </w:rPr>
        <w:t>第二章  供应商须知</w:t>
      </w:r>
      <w:bookmarkEnd w:id="10"/>
      <w:bookmarkEnd w:id="11"/>
      <w:bookmarkEnd w:id="12"/>
      <w:bookmarkEnd w:id="13"/>
    </w:p>
    <w:p w14:paraId="5987F73C">
      <w:pPr>
        <w:widowControl w:val="0"/>
        <w:kinsoku/>
        <w:autoSpaceDE/>
        <w:autoSpaceDN/>
        <w:adjustRightInd/>
        <w:snapToGrid/>
        <w:spacing w:line="360" w:lineRule="auto"/>
        <w:jc w:val="center"/>
        <w:textAlignment w:val="auto"/>
        <w:outlineLvl w:val="1"/>
        <w:rPr>
          <w:rFonts w:ascii="仿宋" w:hAnsi="仿宋" w:eastAsia="仿宋" w:cs="仿宋"/>
          <w:b/>
          <w:snapToGrid/>
          <w:color w:val="auto"/>
          <w:kern w:val="2"/>
          <w:sz w:val="24"/>
          <w:szCs w:val="24"/>
          <w:highlight w:val="none"/>
          <w:lang w:eastAsia="zh-CN"/>
        </w:rPr>
      </w:pPr>
      <w:bookmarkStart w:id="14" w:name="_Toc19638"/>
      <w:bookmarkStart w:id="15" w:name="_Toc9996"/>
      <w:bookmarkStart w:id="16" w:name="_Toc30063"/>
      <w:r>
        <w:rPr>
          <w:rFonts w:hint="eastAsia" w:ascii="仿宋" w:hAnsi="仿宋" w:eastAsia="仿宋" w:cs="仿宋"/>
          <w:b/>
          <w:snapToGrid/>
          <w:color w:val="auto"/>
          <w:kern w:val="2"/>
          <w:sz w:val="30"/>
          <w:szCs w:val="30"/>
          <w:highlight w:val="none"/>
          <w:lang w:eastAsia="zh-CN"/>
        </w:rPr>
        <w:t>供应商须知前附表</w:t>
      </w:r>
      <w:bookmarkEnd w:id="14"/>
      <w:bookmarkEnd w:id="15"/>
      <w:bookmarkEnd w:id="16"/>
    </w:p>
    <w:tbl>
      <w:tblPr>
        <w:tblStyle w:val="2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C998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jc w:val="center"/>
        </w:trPr>
        <w:tc>
          <w:tcPr>
            <w:tcW w:w="992" w:type="dxa"/>
            <w:vAlign w:val="center"/>
          </w:tcPr>
          <w:p w14:paraId="5C972270">
            <w:pPr>
              <w:widowControl w:val="0"/>
              <w:kinsoku/>
              <w:autoSpaceDE/>
              <w:autoSpaceDN/>
              <w:adjustRightInd/>
              <w:snapToGrid/>
              <w:jc w:val="center"/>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条款号</w:t>
            </w:r>
          </w:p>
        </w:tc>
        <w:tc>
          <w:tcPr>
            <w:tcW w:w="7912" w:type="dxa"/>
            <w:vAlign w:val="center"/>
          </w:tcPr>
          <w:p w14:paraId="314E53AF">
            <w:pPr>
              <w:widowControl w:val="0"/>
              <w:kinsoku/>
              <w:autoSpaceDE/>
              <w:autoSpaceDN/>
              <w:adjustRightInd/>
              <w:snapToGrid/>
              <w:jc w:val="center"/>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内    容</w:t>
            </w:r>
          </w:p>
        </w:tc>
      </w:tr>
      <w:tr w14:paraId="3F52E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78D4626">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w:t>
            </w:r>
          </w:p>
        </w:tc>
        <w:tc>
          <w:tcPr>
            <w:tcW w:w="7912" w:type="dxa"/>
            <w:vAlign w:val="center"/>
          </w:tcPr>
          <w:p w14:paraId="41412C9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bCs/>
                <w:snapToGrid/>
                <w:color w:val="auto"/>
                <w:kern w:val="2"/>
                <w:sz w:val="24"/>
                <w:szCs w:val="24"/>
                <w:highlight w:val="none"/>
                <w:lang w:eastAsia="zh-CN"/>
              </w:rPr>
              <w:t>1.供应商的资格条件</w:t>
            </w:r>
            <w:r>
              <w:rPr>
                <w:rFonts w:hint="eastAsia" w:ascii="仿宋" w:hAnsi="仿宋" w:eastAsia="仿宋" w:cs="仿宋"/>
                <w:snapToGrid/>
                <w:color w:val="auto"/>
                <w:kern w:val="2"/>
                <w:sz w:val="24"/>
                <w:szCs w:val="24"/>
                <w:highlight w:val="none"/>
                <w:lang w:eastAsia="zh-CN"/>
              </w:rPr>
              <w:t>：详见竞争性磋商公告</w:t>
            </w:r>
          </w:p>
          <w:p w14:paraId="6620F2A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w:t>
            </w:r>
            <w:r>
              <w:rPr>
                <w:rFonts w:hint="eastAsia" w:ascii="仿宋" w:hAnsi="仿宋" w:eastAsia="仿宋" w:cs="仿宋"/>
                <w:bCs/>
                <w:snapToGrid/>
                <w:color w:val="auto"/>
                <w:kern w:val="2"/>
                <w:sz w:val="24"/>
                <w:szCs w:val="24"/>
                <w:highlight w:val="none"/>
                <w:lang w:eastAsia="zh-CN"/>
              </w:rPr>
              <w:t>供应商</w:t>
            </w:r>
            <w:r>
              <w:rPr>
                <w:rFonts w:hint="eastAsia" w:ascii="仿宋" w:hAnsi="仿宋" w:eastAsia="仿宋" w:cs="仿宋"/>
                <w:snapToGrid/>
                <w:color w:val="auto"/>
                <w:kern w:val="2"/>
                <w:sz w:val="24"/>
                <w:szCs w:val="24"/>
                <w:highlight w:val="none"/>
                <w:lang w:eastAsia="zh-CN"/>
              </w:rPr>
              <w:t>出现下列情形之一的，不得参加政府采购活动：</w:t>
            </w:r>
          </w:p>
          <w:p w14:paraId="49ED7E1D">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10C9125">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2.2对在“信用中国”网站（www.creditchina.gov.cn）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tc>
      </w:tr>
      <w:tr w14:paraId="7CEF0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BA71038">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5.1</w:t>
            </w:r>
          </w:p>
        </w:tc>
        <w:tc>
          <w:tcPr>
            <w:tcW w:w="7912" w:type="dxa"/>
            <w:vAlign w:val="center"/>
          </w:tcPr>
          <w:p w14:paraId="22D5065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是否接受联合体竞标: 详见竞争性磋商公告或者邀请函</w:t>
            </w:r>
          </w:p>
        </w:tc>
      </w:tr>
      <w:tr w14:paraId="422F5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77442CC">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5.2</w:t>
            </w:r>
          </w:p>
        </w:tc>
        <w:tc>
          <w:tcPr>
            <w:tcW w:w="7912" w:type="dxa"/>
            <w:vAlign w:val="center"/>
          </w:tcPr>
          <w:p w14:paraId="08F2ACD5">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如接受联合体竞标，联合体竞标要求如下：本项目不接受联合体</w:t>
            </w:r>
          </w:p>
        </w:tc>
      </w:tr>
      <w:tr w14:paraId="50AEF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4B12492">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6.2</w:t>
            </w:r>
          </w:p>
        </w:tc>
        <w:tc>
          <w:tcPr>
            <w:tcW w:w="7912" w:type="dxa"/>
            <w:vAlign w:val="center"/>
          </w:tcPr>
          <w:p w14:paraId="7934E24D">
            <w:pPr>
              <w:pStyle w:val="8"/>
              <w:kinsoku/>
              <w:autoSpaceDE/>
              <w:autoSpaceDN/>
              <w:adjustRightInd/>
              <w:snapToGrid/>
              <w:spacing w:line="360" w:lineRule="auto"/>
              <w:ind w:firstLine="480" w:firstLineChars="200"/>
              <w:textAlignment w:val="auto"/>
              <w:rPr>
                <w:rFonts w:ascii="仿宋" w:hAnsi="仿宋" w:eastAsia="仿宋" w:cs="仿宋"/>
                <w:snapToGrid/>
                <w:color w:val="auto"/>
                <w:sz w:val="24"/>
                <w:highlight w:val="none"/>
              </w:rPr>
            </w:pPr>
            <w:r>
              <w:rPr>
                <w:rFonts w:hint="eastAsia" w:ascii="仿宋" w:hAnsi="仿宋" w:eastAsia="仿宋" w:cs="仿宋"/>
                <w:snapToGrid/>
                <w:color w:val="auto"/>
                <w:sz w:val="24"/>
                <w:highlight w:val="none"/>
              </w:rPr>
              <w:t>☑不允许分包</w:t>
            </w:r>
          </w:p>
          <w:p w14:paraId="18AF7AD8">
            <w:pPr>
              <w:pStyle w:val="8"/>
              <w:kinsoku/>
              <w:autoSpaceDE/>
              <w:autoSpaceDN/>
              <w:adjustRightInd/>
              <w:snapToGrid/>
              <w:spacing w:line="360" w:lineRule="auto"/>
              <w:ind w:firstLine="480" w:firstLineChars="200"/>
              <w:textAlignment w:val="auto"/>
              <w:rPr>
                <w:rFonts w:ascii="仿宋" w:hAnsi="仿宋" w:eastAsia="仿宋" w:cs="仿宋"/>
                <w:snapToGrid/>
                <w:color w:val="auto"/>
                <w:sz w:val="24"/>
                <w:highlight w:val="none"/>
              </w:rPr>
            </w:pPr>
            <w:r>
              <w:rPr>
                <w:rFonts w:hint="eastAsia" w:ascii="仿宋" w:hAnsi="仿宋" w:eastAsia="仿宋" w:cs="仿宋"/>
                <w:snapToGrid/>
                <w:color w:val="auto"/>
                <w:sz w:val="24"/>
                <w:highlight w:val="none"/>
              </w:rPr>
              <w:t>□允许分包</w:t>
            </w:r>
          </w:p>
          <w:p w14:paraId="42316126">
            <w:pPr>
              <w:pStyle w:val="8"/>
              <w:kinsoku/>
              <w:autoSpaceDE/>
              <w:autoSpaceDN/>
              <w:adjustRightInd/>
              <w:snapToGrid/>
              <w:spacing w:line="360" w:lineRule="auto"/>
              <w:ind w:firstLine="480" w:firstLineChars="200"/>
              <w:textAlignment w:val="auto"/>
              <w:rPr>
                <w:rFonts w:ascii="仿宋" w:hAnsi="仿宋" w:eastAsia="仿宋" w:cs="仿宋"/>
                <w:snapToGrid/>
                <w:color w:val="auto"/>
                <w:sz w:val="24"/>
                <w:highlight w:val="none"/>
              </w:rPr>
            </w:pPr>
            <w:r>
              <w:rPr>
                <w:rFonts w:hint="eastAsia" w:ascii="仿宋" w:hAnsi="仿宋" w:eastAsia="仿宋" w:cs="仿宋"/>
                <w:snapToGrid/>
                <w:color w:val="auto"/>
                <w:sz w:val="24"/>
                <w:highlight w:val="none"/>
              </w:rPr>
              <w:t>分包内容及分包金额或者比例：</w:t>
            </w:r>
            <w:r>
              <w:rPr>
                <w:rFonts w:hint="eastAsia" w:ascii="仿宋" w:hAnsi="仿宋" w:eastAsia="仿宋" w:cs="仿宋"/>
                <w:snapToGrid/>
                <w:color w:val="auto"/>
                <w:sz w:val="24"/>
                <w:highlight w:val="none"/>
                <w:u w:val="single"/>
              </w:rPr>
              <w:t>/</w:t>
            </w:r>
          </w:p>
        </w:tc>
      </w:tr>
      <w:tr w14:paraId="0A0F0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7112AE8">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12.1.1</w:t>
            </w:r>
          </w:p>
        </w:tc>
        <w:tc>
          <w:tcPr>
            <w:tcW w:w="7912" w:type="dxa"/>
            <w:vAlign w:val="center"/>
          </w:tcPr>
          <w:p w14:paraId="11341B3D">
            <w:pPr>
              <w:pStyle w:val="8"/>
              <w:kinsoku/>
              <w:autoSpaceDE/>
              <w:autoSpaceDN/>
              <w:adjustRightInd/>
              <w:snapToGrid/>
              <w:ind w:firstLine="482" w:firstLineChars="200"/>
              <w:textAlignment w:val="auto"/>
              <w:rPr>
                <w:rFonts w:ascii="仿宋" w:hAnsi="仿宋" w:eastAsia="仿宋" w:cs="仿宋"/>
                <w:b/>
                <w:snapToGrid/>
                <w:color w:val="auto"/>
                <w:sz w:val="24"/>
                <w:highlight w:val="none"/>
              </w:rPr>
            </w:pPr>
            <w:r>
              <w:rPr>
                <w:rFonts w:hint="eastAsia" w:ascii="仿宋" w:hAnsi="仿宋" w:eastAsia="仿宋" w:cs="仿宋"/>
                <w:b/>
                <w:snapToGrid/>
                <w:color w:val="auto"/>
                <w:sz w:val="24"/>
                <w:highlight w:val="none"/>
              </w:rPr>
              <w:t>资格文件</w:t>
            </w:r>
          </w:p>
          <w:p w14:paraId="74F97315">
            <w:pPr>
              <w:pStyle w:val="8"/>
              <w:kinsoku/>
              <w:autoSpaceDE/>
              <w:autoSpaceDN/>
              <w:adjustRightInd/>
              <w:snapToGrid/>
              <w:ind w:firstLine="480" w:firstLineChars="200"/>
              <w:textAlignment w:val="auto"/>
              <w:rPr>
                <w:rFonts w:ascii="仿宋" w:hAnsi="仿宋" w:eastAsia="仿宋" w:cs="仿宋"/>
                <w:snapToGrid/>
                <w:color w:val="auto"/>
                <w:sz w:val="24"/>
                <w:highlight w:val="none"/>
              </w:rPr>
            </w:pPr>
            <w:r>
              <w:rPr>
                <w:rFonts w:hint="eastAsia" w:ascii="仿宋" w:hAnsi="仿宋" w:eastAsia="仿宋" w:cs="仿宋"/>
                <w:snapToGrid/>
                <w:color w:val="auto"/>
                <w:sz w:val="24"/>
                <w:highlight w:val="none"/>
              </w:rPr>
              <w:t>1.崇左市政府采购供应商信用承诺函（按第五章响应文件格式填写）；</w:t>
            </w:r>
            <w:r>
              <w:rPr>
                <w:rFonts w:hint="eastAsia" w:ascii="仿宋" w:hAnsi="仿宋" w:eastAsia="仿宋" w:cs="仿宋"/>
                <w:b/>
                <w:bCs/>
                <w:snapToGrid/>
                <w:color w:val="auto"/>
                <w:sz w:val="24"/>
                <w:highlight w:val="none"/>
              </w:rPr>
              <w:t>（必须提供，否则响应文件按无效响应处理）</w:t>
            </w:r>
          </w:p>
          <w:p w14:paraId="7D2472A6">
            <w:pPr>
              <w:pStyle w:val="8"/>
              <w:kinsoku/>
              <w:autoSpaceDE/>
              <w:autoSpaceDN/>
              <w:adjustRightInd/>
              <w:snapToGrid/>
              <w:ind w:firstLine="480" w:firstLineChars="200"/>
              <w:textAlignment w:val="auto"/>
              <w:rPr>
                <w:rFonts w:ascii="仿宋" w:hAnsi="仿宋" w:eastAsia="仿宋" w:cs="仿宋"/>
                <w:snapToGrid/>
                <w:color w:val="auto"/>
                <w:sz w:val="24"/>
                <w:highlight w:val="none"/>
              </w:rPr>
            </w:pPr>
            <w:r>
              <w:rPr>
                <w:rFonts w:hint="eastAsia" w:ascii="仿宋" w:hAnsi="仿宋" w:eastAsia="仿宋" w:cs="仿宋"/>
                <w:snapToGrid/>
                <w:color w:val="auto"/>
                <w:sz w:val="24"/>
                <w:highlight w:val="none"/>
              </w:rPr>
              <w:t>2.供应商直接控股、管理关系信息表（格式后附）；（</w:t>
            </w:r>
            <w:r>
              <w:rPr>
                <w:rFonts w:hint="eastAsia" w:ascii="仿宋" w:hAnsi="仿宋" w:eastAsia="仿宋" w:cs="仿宋"/>
                <w:b/>
                <w:snapToGrid/>
                <w:color w:val="auto"/>
                <w:sz w:val="24"/>
                <w:highlight w:val="none"/>
              </w:rPr>
              <w:t>必须提供，否则响应文件按无效响应处理</w:t>
            </w:r>
            <w:r>
              <w:rPr>
                <w:rFonts w:hint="eastAsia" w:ascii="仿宋" w:hAnsi="仿宋" w:eastAsia="仿宋" w:cs="仿宋"/>
                <w:snapToGrid/>
                <w:color w:val="auto"/>
                <w:sz w:val="24"/>
                <w:highlight w:val="none"/>
              </w:rPr>
              <w:t>）</w:t>
            </w:r>
          </w:p>
          <w:p w14:paraId="6CD15994">
            <w:pPr>
              <w:pStyle w:val="8"/>
              <w:kinsoku/>
              <w:autoSpaceDE/>
              <w:autoSpaceDN/>
              <w:adjustRightInd/>
              <w:snapToGrid/>
              <w:ind w:firstLine="480" w:firstLineChars="200"/>
              <w:textAlignment w:val="auto"/>
              <w:rPr>
                <w:rFonts w:ascii="仿宋" w:hAnsi="仿宋" w:eastAsia="仿宋" w:cs="仿宋"/>
                <w:snapToGrid/>
                <w:color w:val="auto"/>
                <w:sz w:val="24"/>
                <w:highlight w:val="none"/>
              </w:rPr>
            </w:pPr>
            <w:r>
              <w:rPr>
                <w:rFonts w:hint="eastAsia" w:ascii="仿宋" w:hAnsi="仿宋" w:eastAsia="仿宋" w:cs="仿宋"/>
                <w:snapToGrid/>
                <w:color w:val="auto"/>
                <w:sz w:val="24"/>
                <w:highlight w:val="none"/>
              </w:rPr>
              <w:t>3.竞标声明（格式后附）；（</w:t>
            </w:r>
            <w:r>
              <w:rPr>
                <w:rFonts w:hint="eastAsia" w:ascii="仿宋" w:hAnsi="仿宋" w:eastAsia="仿宋" w:cs="仿宋"/>
                <w:b/>
                <w:snapToGrid/>
                <w:color w:val="auto"/>
                <w:sz w:val="24"/>
                <w:highlight w:val="none"/>
              </w:rPr>
              <w:t>必须提供，否则响应文件按无效响应处理</w:t>
            </w:r>
            <w:r>
              <w:rPr>
                <w:rFonts w:hint="eastAsia" w:ascii="仿宋" w:hAnsi="仿宋" w:eastAsia="仿宋" w:cs="仿宋"/>
                <w:snapToGrid/>
                <w:color w:val="auto"/>
                <w:sz w:val="24"/>
                <w:highlight w:val="none"/>
              </w:rPr>
              <w:t>）</w:t>
            </w:r>
          </w:p>
          <w:p w14:paraId="5265C5D5">
            <w:pPr>
              <w:pStyle w:val="8"/>
              <w:kinsoku/>
              <w:autoSpaceDE/>
              <w:autoSpaceDN/>
              <w:adjustRightInd/>
              <w:snapToGrid/>
              <w:ind w:firstLine="480" w:firstLineChars="200"/>
              <w:textAlignment w:val="auto"/>
              <w:rPr>
                <w:rFonts w:ascii="仿宋" w:hAnsi="仿宋" w:eastAsia="仿宋" w:cs="仿宋"/>
                <w:snapToGrid/>
                <w:color w:val="auto"/>
                <w:sz w:val="24"/>
                <w:highlight w:val="none"/>
              </w:rPr>
            </w:pPr>
            <w:r>
              <w:rPr>
                <w:rFonts w:hint="eastAsia" w:ascii="仿宋" w:hAnsi="仿宋" w:eastAsia="仿宋" w:cs="仿宋"/>
                <w:snapToGrid/>
                <w:color w:val="auto"/>
                <w:sz w:val="24"/>
                <w:highlight w:val="none"/>
              </w:rPr>
              <w:t>4.本项目的特定资格要求:无；（如有</w:t>
            </w:r>
            <w:r>
              <w:rPr>
                <w:rFonts w:hint="eastAsia" w:ascii="仿宋" w:hAnsi="仿宋" w:eastAsia="仿宋" w:cs="仿宋"/>
                <w:b/>
                <w:snapToGrid/>
                <w:color w:val="auto"/>
                <w:sz w:val="24"/>
                <w:highlight w:val="none"/>
              </w:rPr>
              <w:t>必须提供，否则响应文件按无效响应处理</w:t>
            </w:r>
            <w:r>
              <w:rPr>
                <w:rFonts w:hint="eastAsia" w:ascii="仿宋" w:hAnsi="仿宋" w:eastAsia="仿宋" w:cs="仿宋"/>
                <w:snapToGrid/>
                <w:color w:val="auto"/>
                <w:sz w:val="24"/>
                <w:highlight w:val="none"/>
              </w:rPr>
              <w:t>）</w:t>
            </w:r>
          </w:p>
          <w:p w14:paraId="0C935004">
            <w:pPr>
              <w:pStyle w:val="8"/>
              <w:kinsoku/>
              <w:autoSpaceDE/>
              <w:autoSpaceDN/>
              <w:adjustRightInd/>
              <w:snapToGrid/>
              <w:ind w:firstLine="480" w:firstLineChars="200"/>
              <w:textAlignment w:val="auto"/>
              <w:rPr>
                <w:rFonts w:ascii="仿宋" w:hAnsi="仿宋" w:eastAsia="仿宋" w:cs="仿宋"/>
                <w:snapToGrid/>
                <w:color w:val="auto"/>
                <w:sz w:val="24"/>
                <w:highlight w:val="none"/>
              </w:rPr>
            </w:pPr>
            <w:r>
              <w:rPr>
                <w:rFonts w:hint="eastAsia" w:ascii="仿宋" w:hAnsi="仿宋" w:eastAsia="仿宋" w:cs="仿宋"/>
                <w:snapToGrid/>
                <w:color w:val="auto"/>
                <w:sz w:val="24"/>
                <w:highlight w:val="none"/>
              </w:rPr>
              <w:t>5.中小企业声明函或者残疾人福利性单位声明函（格式后附）或者供应商属于监狱企业的，提供由省级以上监狱管理局、戒毒管理局（含新疆生产建设兵团）出具的属于监狱企业的证明文件；（</w:t>
            </w:r>
            <w:r>
              <w:rPr>
                <w:rFonts w:hint="eastAsia" w:ascii="仿宋" w:hAnsi="仿宋" w:eastAsia="仿宋" w:cs="仿宋"/>
                <w:b/>
                <w:snapToGrid/>
                <w:color w:val="auto"/>
                <w:sz w:val="24"/>
                <w:highlight w:val="none"/>
              </w:rPr>
              <w:t>必须提供，否则响应文件按无效响应处理</w:t>
            </w:r>
            <w:r>
              <w:rPr>
                <w:rFonts w:hint="eastAsia" w:ascii="仿宋" w:hAnsi="仿宋" w:eastAsia="仿宋" w:cs="仿宋"/>
                <w:snapToGrid/>
                <w:color w:val="auto"/>
                <w:sz w:val="24"/>
                <w:highlight w:val="none"/>
              </w:rPr>
              <w:t>）</w:t>
            </w:r>
          </w:p>
          <w:p w14:paraId="70E11782">
            <w:pPr>
              <w:pStyle w:val="8"/>
              <w:kinsoku/>
              <w:autoSpaceDE/>
              <w:autoSpaceDN/>
              <w:adjustRightInd/>
              <w:snapToGrid/>
              <w:ind w:firstLine="480" w:firstLineChars="200"/>
              <w:textAlignment w:val="auto"/>
              <w:rPr>
                <w:rFonts w:ascii="仿宋" w:hAnsi="仿宋" w:eastAsia="仿宋" w:cs="仿宋"/>
                <w:snapToGrid/>
                <w:color w:val="auto"/>
                <w:sz w:val="24"/>
                <w:highlight w:val="none"/>
              </w:rPr>
            </w:pPr>
            <w:r>
              <w:rPr>
                <w:rFonts w:hint="eastAsia" w:ascii="仿宋" w:hAnsi="仿宋" w:eastAsia="仿宋" w:cs="仿宋"/>
                <w:snapToGrid/>
                <w:color w:val="auto"/>
                <w:sz w:val="24"/>
                <w:highlight w:val="none"/>
              </w:rPr>
              <w:t>6.除磋商文件规定必须提供以外，供应商认为需要提供的其他证明材料；</w:t>
            </w:r>
          </w:p>
          <w:p w14:paraId="7F472FBD">
            <w:pPr>
              <w:pStyle w:val="8"/>
              <w:kinsoku/>
              <w:autoSpaceDE/>
              <w:autoSpaceDN/>
              <w:adjustRightInd/>
              <w:snapToGrid/>
              <w:ind w:firstLine="482" w:firstLineChars="200"/>
              <w:textAlignment w:val="auto"/>
              <w:rPr>
                <w:rFonts w:ascii="仿宋" w:hAnsi="仿宋" w:eastAsia="仿宋" w:cs="仿宋"/>
                <w:b/>
                <w:snapToGrid/>
                <w:color w:val="auto"/>
                <w:sz w:val="24"/>
                <w:highlight w:val="none"/>
              </w:rPr>
            </w:pPr>
            <w:r>
              <w:rPr>
                <w:rFonts w:hint="eastAsia" w:ascii="仿宋" w:hAnsi="仿宋" w:eastAsia="仿宋" w:cs="仿宋"/>
                <w:b/>
                <w:snapToGrid/>
                <w:color w:val="auto"/>
                <w:sz w:val="24"/>
                <w:highlight w:val="none"/>
              </w:rPr>
              <w:t>注：</w:t>
            </w:r>
          </w:p>
          <w:p w14:paraId="309D3235">
            <w:pPr>
              <w:pStyle w:val="8"/>
              <w:kinsoku/>
              <w:autoSpaceDE/>
              <w:autoSpaceDN/>
              <w:adjustRightInd/>
              <w:snapToGrid/>
              <w:ind w:firstLine="482" w:firstLineChars="200"/>
              <w:textAlignment w:val="auto"/>
              <w:rPr>
                <w:rFonts w:ascii="仿宋" w:hAnsi="仿宋" w:eastAsia="仿宋" w:cs="仿宋"/>
                <w:b/>
                <w:snapToGrid/>
                <w:color w:val="auto"/>
                <w:sz w:val="24"/>
                <w:highlight w:val="none"/>
              </w:rPr>
            </w:pPr>
            <w:r>
              <w:rPr>
                <w:rFonts w:hint="eastAsia" w:ascii="仿宋" w:hAnsi="仿宋" w:eastAsia="仿宋" w:cs="仿宋"/>
                <w:b/>
                <w:snapToGrid/>
                <w:color w:val="auto"/>
                <w:sz w:val="24"/>
                <w:highlight w:val="none"/>
              </w:rPr>
              <w:t>1.以上标明“必须提供”的材料属于复印件的，必须加盖供应商电子签章，否则响应文件按无效处理。</w:t>
            </w:r>
          </w:p>
          <w:p w14:paraId="137C3E5B">
            <w:pPr>
              <w:pStyle w:val="8"/>
              <w:kinsoku/>
              <w:autoSpaceDE/>
              <w:autoSpaceDN/>
              <w:adjustRightInd/>
              <w:snapToGrid/>
              <w:spacing w:line="360" w:lineRule="auto"/>
              <w:ind w:firstLine="482" w:firstLineChars="200"/>
              <w:textAlignment w:val="auto"/>
              <w:rPr>
                <w:rFonts w:ascii="仿宋" w:hAnsi="仿宋" w:eastAsia="仿宋" w:cs="仿宋"/>
                <w:b/>
                <w:snapToGrid/>
                <w:color w:val="auto"/>
                <w:sz w:val="24"/>
                <w:highlight w:val="none"/>
              </w:rPr>
            </w:pPr>
            <w:r>
              <w:rPr>
                <w:rFonts w:hint="eastAsia" w:ascii="仿宋" w:hAnsi="仿宋" w:eastAsia="仿宋" w:cs="仿宋"/>
                <w:b/>
                <w:snapToGrid/>
                <w:color w:val="auto"/>
                <w:sz w:val="24"/>
                <w:highlight w:val="none"/>
              </w:rPr>
              <w:t>2.联合体竞标时，第1-2项资格证明文件联合体各方均必须分别提供，并由联合体牵头人加盖电子签章，规定签字处签字</w:t>
            </w:r>
            <w:r>
              <w:rPr>
                <w:rFonts w:hint="eastAsia" w:ascii="仿宋" w:hAnsi="仿宋" w:eastAsia="仿宋" w:cs="仿宋"/>
                <w:b/>
                <w:bCs/>
                <w:snapToGrid/>
                <w:color w:val="auto"/>
                <w:sz w:val="24"/>
                <w:highlight w:val="none"/>
              </w:rPr>
              <w:t>（或者电子签名）</w:t>
            </w:r>
            <w:r>
              <w:rPr>
                <w:rFonts w:hint="eastAsia" w:ascii="仿宋" w:hAnsi="仿宋" w:eastAsia="仿宋" w:cs="仿宋"/>
                <w:b/>
                <w:snapToGrid/>
                <w:color w:val="auto"/>
                <w:sz w:val="24"/>
                <w:highlight w:val="none"/>
              </w:rPr>
              <w:t>，否则响应文件按无效处理。</w:t>
            </w:r>
          </w:p>
        </w:tc>
      </w:tr>
      <w:tr w14:paraId="57A18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F917FF">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12.1.2</w:t>
            </w:r>
          </w:p>
        </w:tc>
        <w:tc>
          <w:tcPr>
            <w:tcW w:w="7912" w:type="dxa"/>
            <w:vAlign w:val="center"/>
          </w:tcPr>
          <w:p w14:paraId="1B379C0D">
            <w:pPr>
              <w:widowControl w:val="0"/>
              <w:kinsoku/>
              <w:autoSpaceDE/>
              <w:autoSpaceDN/>
              <w:adjustRightInd/>
              <w:spacing w:line="360" w:lineRule="auto"/>
              <w:ind w:firstLine="482"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报价文件</w:t>
            </w:r>
          </w:p>
          <w:p w14:paraId="11BD10D1">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1.竞标报价表（格式后附）；（</w:t>
            </w:r>
            <w:r>
              <w:rPr>
                <w:rFonts w:hint="eastAsia" w:ascii="仿宋" w:hAnsi="仿宋" w:eastAsia="仿宋" w:cs="仿宋"/>
                <w:b/>
                <w:snapToGrid/>
                <w:color w:val="auto"/>
                <w:kern w:val="2"/>
                <w:sz w:val="24"/>
                <w:szCs w:val="24"/>
                <w:highlight w:val="none"/>
                <w:lang w:eastAsia="zh-CN"/>
              </w:rPr>
              <w:t>必须提供，否则响应文件按无效处理</w:t>
            </w:r>
            <w:r>
              <w:rPr>
                <w:rFonts w:hint="eastAsia" w:ascii="仿宋" w:hAnsi="仿宋" w:eastAsia="仿宋" w:cs="仿宋"/>
                <w:snapToGrid/>
                <w:color w:val="auto"/>
                <w:kern w:val="2"/>
                <w:sz w:val="24"/>
                <w:szCs w:val="24"/>
                <w:highlight w:val="none"/>
                <w:lang w:eastAsia="zh-CN"/>
              </w:rPr>
              <w:t>）</w:t>
            </w:r>
          </w:p>
          <w:p w14:paraId="25E1CDF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中小企业声明函或者残疾人福利性单位声明函（格式后附）或者供应商属于监狱企业的，提供由省级以上监狱管理局、戒毒管理局（含新疆生产建设兵团）出具的属于监狱企业的证明文件；（格式后附）；（如有请提供）</w:t>
            </w:r>
          </w:p>
          <w:p w14:paraId="6A95672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3.关于符合本国产品标准的声明函（格式后附）或财政部会同有关部门规定的有关证明文件；（如有请提供）</w:t>
            </w:r>
          </w:p>
          <w:p w14:paraId="0E12C806">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4.供应商认为需要提供的其他有关资料。</w:t>
            </w:r>
          </w:p>
        </w:tc>
      </w:tr>
      <w:tr w14:paraId="38C78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6F23F90">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12.1.3</w:t>
            </w:r>
          </w:p>
        </w:tc>
        <w:tc>
          <w:tcPr>
            <w:tcW w:w="7912" w:type="dxa"/>
            <w:vAlign w:val="center"/>
          </w:tcPr>
          <w:p w14:paraId="5F03D052">
            <w:pPr>
              <w:widowControl w:val="0"/>
              <w:kinsoku/>
              <w:autoSpaceDE/>
              <w:autoSpaceDN/>
              <w:adjustRightInd/>
              <w:snapToGrid/>
              <w:spacing w:line="360" w:lineRule="auto"/>
              <w:ind w:firstLine="482" w:firstLineChars="200"/>
              <w:textAlignment w:val="auto"/>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商务技术文件</w:t>
            </w:r>
          </w:p>
          <w:p w14:paraId="092A694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1.无串通竞标行为的承诺函（格式后附）；（</w:t>
            </w:r>
            <w:r>
              <w:rPr>
                <w:rFonts w:hint="eastAsia" w:ascii="仿宋" w:hAnsi="仿宋" w:eastAsia="仿宋" w:cs="仿宋"/>
                <w:b/>
                <w:snapToGrid/>
                <w:color w:val="auto"/>
                <w:kern w:val="2"/>
                <w:sz w:val="24"/>
                <w:szCs w:val="24"/>
                <w:highlight w:val="none"/>
                <w:lang w:eastAsia="zh-CN"/>
              </w:rPr>
              <w:t>必须提供，否则响应文件按无效响应处理</w:t>
            </w:r>
            <w:r>
              <w:rPr>
                <w:rFonts w:hint="eastAsia" w:ascii="仿宋" w:hAnsi="仿宋" w:eastAsia="仿宋" w:cs="仿宋"/>
                <w:snapToGrid/>
                <w:color w:val="auto"/>
                <w:kern w:val="2"/>
                <w:sz w:val="24"/>
                <w:szCs w:val="24"/>
                <w:highlight w:val="none"/>
                <w:lang w:eastAsia="zh-CN"/>
              </w:rPr>
              <w:t>）</w:t>
            </w:r>
          </w:p>
          <w:p w14:paraId="2212E079">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2.法定代表人身份证明书及法定代表人有效身份证正反面复印件（格式后附）；（</w:t>
            </w:r>
            <w:r>
              <w:rPr>
                <w:rFonts w:hint="eastAsia" w:ascii="仿宋" w:hAnsi="仿宋" w:eastAsia="仿宋" w:cs="仿宋"/>
                <w:b/>
                <w:bCs/>
                <w:snapToGrid/>
                <w:color w:val="auto"/>
                <w:kern w:val="2"/>
                <w:sz w:val="24"/>
                <w:szCs w:val="24"/>
                <w:highlight w:val="none"/>
                <w:lang w:eastAsia="zh-CN"/>
              </w:rPr>
              <w:t>除自然人竞标外</w:t>
            </w:r>
            <w:r>
              <w:rPr>
                <w:rFonts w:hint="eastAsia" w:ascii="仿宋" w:hAnsi="仿宋" w:eastAsia="仿宋" w:cs="仿宋"/>
                <w:b/>
                <w:snapToGrid/>
                <w:color w:val="auto"/>
                <w:kern w:val="2"/>
                <w:sz w:val="24"/>
                <w:szCs w:val="24"/>
                <w:highlight w:val="none"/>
                <w:lang w:eastAsia="zh-CN"/>
              </w:rPr>
              <w:t>必须提供，否则响应文件按无效响应处理</w:t>
            </w:r>
            <w:r>
              <w:rPr>
                <w:rFonts w:hint="eastAsia" w:ascii="仿宋" w:hAnsi="仿宋" w:eastAsia="仿宋" w:cs="仿宋"/>
                <w:snapToGrid/>
                <w:color w:val="auto"/>
                <w:kern w:val="2"/>
                <w:sz w:val="24"/>
                <w:szCs w:val="24"/>
                <w:highlight w:val="none"/>
                <w:lang w:eastAsia="zh-CN"/>
              </w:rPr>
              <w:t>）</w:t>
            </w:r>
          </w:p>
          <w:p w14:paraId="5E9307B9">
            <w:pPr>
              <w:widowControl w:val="0"/>
              <w:kinsoku/>
              <w:autoSpaceDE/>
              <w:autoSpaceDN/>
              <w:adjustRightInd/>
              <w:snapToGrid/>
              <w:spacing w:line="360" w:lineRule="auto"/>
              <w:ind w:firstLine="480"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3.授权委托书及委托代理人有效身份证正反面复印件（格式后附）；（</w:t>
            </w:r>
            <w:r>
              <w:rPr>
                <w:rFonts w:hint="eastAsia" w:ascii="仿宋" w:hAnsi="仿宋" w:eastAsia="仿宋" w:cs="仿宋"/>
                <w:b/>
                <w:snapToGrid/>
                <w:color w:val="auto"/>
                <w:kern w:val="2"/>
                <w:sz w:val="24"/>
                <w:szCs w:val="24"/>
                <w:highlight w:val="none"/>
                <w:lang w:eastAsia="zh-CN"/>
              </w:rPr>
              <w:t>委托时必须提供，否则响应文件按无效响应处理</w:t>
            </w:r>
            <w:r>
              <w:rPr>
                <w:rFonts w:hint="eastAsia" w:ascii="仿宋" w:hAnsi="仿宋" w:eastAsia="仿宋" w:cs="仿宋"/>
                <w:snapToGrid/>
                <w:color w:val="auto"/>
                <w:kern w:val="2"/>
                <w:sz w:val="24"/>
                <w:szCs w:val="24"/>
                <w:highlight w:val="none"/>
                <w:lang w:eastAsia="zh-CN"/>
              </w:rPr>
              <w:t>）</w:t>
            </w:r>
          </w:p>
          <w:p w14:paraId="36C682D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4.商务要求偏离表（格式后附）；（</w:t>
            </w:r>
            <w:r>
              <w:rPr>
                <w:rFonts w:hint="eastAsia" w:ascii="仿宋" w:hAnsi="仿宋" w:eastAsia="仿宋" w:cs="仿宋"/>
                <w:b/>
                <w:snapToGrid/>
                <w:color w:val="auto"/>
                <w:kern w:val="2"/>
                <w:sz w:val="24"/>
                <w:szCs w:val="24"/>
                <w:highlight w:val="none"/>
                <w:lang w:eastAsia="zh-CN"/>
              </w:rPr>
              <w:t>必须提供，否则响应文件按无效响应处理</w:t>
            </w:r>
            <w:r>
              <w:rPr>
                <w:rFonts w:hint="eastAsia" w:ascii="仿宋" w:hAnsi="仿宋" w:eastAsia="仿宋" w:cs="仿宋"/>
                <w:snapToGrid/>
                <w:color w:val="auto"/>
                <w:kern w:val="2"/>
                <w:sz w:val="24"/>
                <w:szCs w:val="24"/>
                <w:highlight w:val="none"/>
                <w:lang w:eastAsia="zh-CN"/>
              </w:rPr>
              <w:t>）</w:t>
            </w:r>
          </w:p>
          <w:p w14:paraId="7C991C8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5.技术要求偏离表（格式后附）；（</w:t>
            </w:r>
            <w:r>
              <w:rPr>
                <w:rFonts w:hint="eastAsia" w:ascii="仿宋" w:hAnsi="仿宋" w:eastAsia="仿宋" w:cs="仿宋"/>
                <w:b/>
                <w:snapToGrid/>
                <w:color w:val="auto"/>
                <w:kern w:val="2"/>
                <w:sz w:val="24"/>
                <w:szCs w:val="24"/>
                <w:highlight w:val="none"/>
                <w:lang w:eastAsia="zh-CN"/>
              </w:rPr>
              <w:t>必须提供，否则响应文件按无效响应处理</w:t>
            </w:r>
            <w:r>
              <w:rPr>
                <w:rFonts w:hint="eastAsia" w:ascii="仿宋" w:hAnsi="仿宋" w:eastAsia="仿宋" w:cs="仿宋"/>
                <w:snapToGrid/>
                <w:color w:val="auto"/>
                <w:kern w:val="2"/>
                <w:sz w:val="24"/>
                <w:szCs w:val="24"/>
                <w:highlight w:val="none"/>
                <w:lang w:eastAsia="zh-CN"/>
              </w:rPr>
              <w:t>）</w:t>
            </w:r>
          </w:p>
          <w:p w14:paraId="0F4FCD7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w:t>
            </w:r>
            <w:r>
              <w:rPr>
                <w:rFonts w:hint="eastAsia" w:ascii="仿宋" w:hAnsi="仿宋" w:eastAsia="仿宋" w:cs="仿宋"/>
                <w:bCs/>
                <w:snapToGrid/>
                <w:color w:val="auto"/>
                <w:sz w:val="24"/>
                <w:szCs w:val="24"/>
                <w:highlight w:val="none"/>
                <w:lang w:eastAsia="zh-CN"/>
              </w:rPr>
              <w:t>服务方案</w:t>
            </w:r>
            <w:r>
              <w:rPr>
                <w:rFonts w:hint="eastAsia" w:ascii="仿宋" w:hAnsi="仿宋" w:eastAsia="仿宋" w:cs="仿宋"/>
                <w:snapToGrid/>
                <w:color w:val="auto"/>
                <w:kern w:val="2"/>
                <w:sz w:val="24"/>
                <w:szCs w:val="24"/>
                <w:highlight w:val="none"/>
                <w:lang w:eastAsia="zh-CN"/>
              </w:rPr>
              <w:t>（请供应商根据“第三章 采购需求”及“第四章 评审程序、评审方法和评审标准”自行编写，格式自拟）；</w:t>
            </w:r>
          </w:p>
          <w:p w14:paraId="4628BDBC">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7.供应商类似业绩的证明文件；（格式自拟）</w:t>
            </w:r>
          </w:p>
          <w:p w14:paraId="74C2E166">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8.项目实施人员一览表（格式后附，如提供的格式不适合供应商的实际情况，可参照本表格式自行制表填写）；</w:t>
            </w:r>
          </w:p>
          <w:p w14:paraId="0A23E62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9.供应商认为需要提供的其他有关资料。</w:t>
            </w:r>
          </w:p>
          <w:p w14:paraId="48E0220A">
            <w:pPr>
              <w:widowControl w:val="0"/>
              <w:kinsoku/>
              <w:autoSpaceDE/>
              <w:autoSpaceDN/>
              <w:adjustRightInd/>
              <w:spacing w:line="360" w:lineRule="auto"/>
              <w:ind w:firstLine="482"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注：以上标明“必须提供”的材料属于复印件的，必须加盖供应商</w:t>
            </w:r>
            <w:r>
              <w:rPr>
                <w:rFonts w:hint="eastAsia" w:ascii="仿宋" w:hAnsi="仿宋" w:eastAsia="仿宋" w:cs="仿宋"/>
                <w:b/>
                <w:bCs/>
                <w:snapToGrid/>
                <w:color w:val="auto"/>
                <w:kern w:val="2"/>
                <w:sz w:val="24"/>
                <w:szCs w:val="24"/>
                <w:highlight w:val="none"/>
                <w:lang w:eastAsia="zh-CN"/>
              </w:rPr>
              <w:t>电子签章</w:t>
            </w:r>
            <w:r>
              <w:rPr>
                <w:rFonts w:hint="eastAsia" w:ascii="仿宋" w:hAnsi="仿宋" w:eastAsia="仿宋" w:cs="仿宋"/>
                <w:b/>
                <w:snapToGrid/>
                <w:color w:val="auto"/>
                <w:kern w:val="2"/>
                <w:sz w:val="24"/>
                <w:szCs w:val="24"/>
                <w:highlight w:val="none"/>
                <w:lang w:eastAsia="zh-CN"/>
              </w:rPr>
              <w:t>，否则响应文件按无效响应处理。</w:t>
            </w:r>
          </w:p>
        </w:tc>
      </w:tr>
      <w:tr w14:paraId="625BC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E9B4FA9">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15.2</w:t>
            </w:r>
          </w:p>
        </w:tc>
        <w:tc>
          <w:tcPr>
            <w:tcW w:w="7912" w:type="dxa"/>
            <w:vAlign w:val="center"/>
          </w:tcPr>
          <w:p w14:paraId="690FBBC4">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投标报价是满足全部采购需求所应提供的服务费用等。</w:t>
            </w:r>
          </w:p>
        </w:tc>
      </w:tr>
      <w:tr w14:paraId="1BE94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96A824E">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16.2</w:t>
            </w:r>
          </w:p>
        </w:tc>
        <w:tc>
          <w:tcPr>
            <w:tcW w:w="7912" w:type="dxa"/>
            <w:vAlign w:val="center"/>
          </w:tcPr>
          <w:p w14:paraId="08087FB0">
            <w:pPr>
              <w:pStyle w:val="6"/>
              <w:widowControl w:val="0"/>
              <w:numPr>
                <w:ilvl w:val="255"/>
                <w:numId w:val="0"/>
              </w:numPr>
              <w:tabs>
                <w:tab w:val="left" w:pos="720"/>
                <w:tab w:val="left" w:pos="840"/>
              </w:tabs>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竞标有效期：自首次响应文件提交截止之日起</w:t>
            </w:r>
            <w:r>
              <w:rPr>
                <w:rFonts w:hint="eastAsia" w:ascii="仿宋" w:hAnsi="仿宋" w:eastAsia="仿宋" w:cs="仿宋"/>
                <w:snapToGrid/>
                <w:color w:val="auto"/>
                <w:kern w:val="2"/>
                <w:sz w:val="24"/>
                <w:szCs w:val="24"/>
                <w:highlight w:val="none"/>
                <w:u w:val="single"/>
                <w:lang w:eastAsia="zh-CN"/>
              </w:rPr>
              <w:t>60</w:t>
            </w:r>
            <w:r>
              <w:rPr>
                <w:rFonts w:hint="eastAsia" w:ascii="仿宋" w:hAnsi="仿宋" w:eastAsia="仿宋" w:cs="仿宋"/>
                <w:snapToGrid/>
                <w:color w:val="auto"/>
                <w:kern w:val="2"/>
                <w:sz w:val="24"/>
                <w:szCs w:val="24"/>
                <w:highlight w:val="none"/>
                <w:lang w:eastAsia="zh-CN"/>
              </w:rPr>
              <w:t>日。</w:t>
            </w:r>
          </w:p>
        </w:tc>
      </w:tr>
      <w:tr w14:paraId="6D70F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41E32EF">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17.1</w:t>
            </w:r>
          </w:p>
        </w:tc>
        <w:tc>
          <w:tcPr>
            <w:tcW w:w="7912" w:type="dxa"/>
            <w:vAlign w:val="center"/>
          </w:tcPr>
          <w:p w14:paraId="50A11656">
            <w:pPr>
              <w:widowControl w:val="0"/>
              <w:kinsoku/>
              <w:adjustRightInd/>
              <w:spacing w:line="360" w:lineRule="auto"/>
              <w:ind w:firstLine="480" w:firstLineChars="200"/>
              <w:textAlignment w:val="bottom"/>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☑本项目不收取磋商保证金。</w:t>
            </w:r>
          </w:p>
          <w:p w14:paraId="5B6E41A8">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□本项目收取磋商保证金，具体规定如下：</w:t>
            </w:r>
          </w:p>
          <w:p w14:paraId="35CB824D">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磋商保证金人民币</w:t>
            </w:r>
            <w:r>
              <w:rPr>
                <w:rFonts w:hint="eastAsia" w:ascii="仿宋" w:hAnsi="仿宋" w:eastAsia="仿宋" w:cs="仿宋"/>
                <w:snapToGrid/>
                <w:color w:val="auto"/>
                <w:sz w:val="24"/>
                <w:szCs w:val="24"/>
                <w:highlight w:val="none"/>
                <w:u w:val="single"/>
                <w:lang w:eastAsia="zh-CN"/>
              </w:rPr>
              <w:t>/</w:t>
            </w:r>
            <w:r>
              <w:rPr>
                <w:rFonts w:hint="eastAsia" w:ascii="仿宋" w:hAnsi="仿宋" w:eastAsia="仿宋" w:cs="仿宋"/>
                <w:snapToGrid/>
                <w:color w:val="auto"/>
                <w:sz w:val="24"/>
                <w:szCs w:val="24"/>
                <w:highlight w:val="none"/>
                <w:lang w:eastAsia="zh-CN"/>
              </w:rPr>
              <w:t>元。</w:t>
            </w:r>
          </w:p>
          <w:p w14:paraId="4CC3786B">
            <w:pPr>
              <w:widowControl w:val="0"/>
              <w:kinsoku/>
              <w:autoSpaceDE/>
              <w:autoSpaceDN/>
              <w:adjustRightInd/>
              <w:spacing w:line="360" w:lineRule="auto"/>
              <w:ind w:firstLine="480" w:firstLineChars="200"/>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磋商保证金的交纳方式：应当以银行转账、支票、汇票、本票或者金融机构、担保机构出具的保函等非现金形式提交。采用银行转账方式的，在响应文件提交截止时间前交至指定账户并且到账（开户名称：</w:t>
            </w:r>
            <w:r>
              <w:rPr>
                <w:rFonts w:hint="eastAsia" w:ascii="仿宋" w:hAnsi="仿宋" w:eastAsia="仿宋" w:cs="仿宋"/>
                <w:snapToGrid/>
                <w:color w:val="auto"/>
                <w:sz w:val="24"/>
                <w:szCs w:val="24"/>
                <w:highlight w:val="none"/>
                <w:u w:val="single"/>
                <w:lang w:eastAsia="zh-CN"/>
              </w:rPr>
              <w:t xml:space="preserve">  /  </w:t>
            </w:r>
            <w:r>
              <w:rPr>
                <w:rFonts w:hint="eastAsia" w:ascii="仿宋" w:hAnsi="仿宋" w:eastAsia="仿宋" w:cs="仿宋"/>
                <w:snapToGrid/>
                <w:color w:val="auto"/>
                <w:sz w:val="24"/>
                <w:szCs w:val="24"/>
                <w:highlight w:val="none"/>
                <w:lang w:eastAsia="zh-CN"/>
              </w:rPr>
              <w:t>；开户银行：</w:t>
            </w:r>
            <w:r>
              <w:rPr>
                <w:rFonts w:hint="eastAsia" w:ascii="仿宋" w:hAnsi="仿宋" w:eastAsia="仿宋" w:cs="仿宋"/>
                <w:snapToGrid/>
                <w:color w:val="auto"/>
                <w:sz w:val="24"/>
                <w:szCs w:val="24"/>
                <w:highlight w:val="none"/>
                <w:u w:val="single"/>
                <w:lang w:eastAsia="zh-CN"/>
              </w:rPr>
              <w:t xml:space="preserve">  /  </w:t>
            </w:r>
            <w:r>
              <w:rPr>
                <w:rFonts w:hint="eastAsia" w:ascii="仿宋" w:hAnsi="仿宋" w:eastAsia="仿宋" w:cs="仿宋"/>
                <w:snapToGrid/>
                <w:color w:val="auto"/>
                <w:sz w:val="24"/>
                <w:szCs w:val="24"/>
                <w:highlight w:val="none"/>
                <w:lang w:eastAsia="zh-CN"/>
              </w:rPr>
              <w:t>；银行账号：</w:t>
            </w:r>
            <w:r>
              <w:rPr>
                <w:rFonts w:hint="eastAsia" w:ascii="仿宋" w:hAnsi="仿宋" w:eastAsia="仿宋" w:cs="仿宋"/>
                <w:snapToGrid/>
                <w:color w:val="auto"/>
                <w:sz w:val="24"/>
                <w:szCs w:val="24"/>
                <w:highlight w:val="none"/>
                <w:u w:val="single"/>
                <w:lang w:eastAsia="zh-CN"/>
              </w:rPr>
              <w:t xml:space="preserve">  /  </w:t>
            </w:r>
            <w:r>
              <w:rPr>
                <w:rFonts w:hint="eastAsia" w:ascii="仿宋" w:hAnsi="仿宋" w:eastAsia="仿宋" w:cs="仿宋"/>
                <w:snapToGrid/>
                <w:color w:val="auto"/>
                <w:sz w:val="24"/>
                <w:szCs w:val="24"/>
                <w:highlight w:val="none"/>
                <w:lang w:eastAsia="zh-CN"/>
              </w:rPr>
              <w:t>；开户行行号：</w:t>
            </w:r>
            <w:r>
              <w:rPr>
                <w:rFonts w:hint="eastAsia" w:ascii="仿宋" w:hAnsi="仿宋" w:eastAsia="仿宋" w:cs="仿宋"/>
                <w:snapToGrid/>
                <w:color w:val="auto"/>
                <w:sz w:val="24"/>
                <w:szCs w:val="24"/>
                <w:highlight w:val="none"/>
                <w:u w:val="single"/>
                <w:lang w:eastAsia="zh-CN"/>
              </w:rPr>
              <w:t xml:space="preserve">  /  </w:t>
            </w:r>
            <w:r>
              <w:rPr>
                <w:rFonts w:hint="eastAsia" w:ascii="仿宋" w:hAnsi="仿宋" w:eastAsia="仿宋" w:cs="仿宋"/>
                <w:snapToGrid/>
                <w:color w:val="auto"/>
                <w:sz w:val="24"/>
                <w:szCs w:val="24"/>
                <w:highlight w:val="none"/>
                <w:lang w:eastAsia="zh-CN"/>
              </w:rPr>
              <w:t>）；采用支票、汇票、本票或者保函等方式的，在响应文件提交截止时间前，供应商必须提交单独密封的支票、汇票、本票或者保函原件。否则视为无效磋商保证金。采用电子保函的，无须递交电子保函原件。</w:t>
            </w:r>
          </w:p>
          <w:p w14:paraId="50CCC89D">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相关要求：</w:t>
            </w:r>
          </w:p>
          <w:p w14:paraId="1DCB9E0E">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1.磋商保证金采用银行转账交纳方式的，在响应文件提交截止时间前交至指定账户并且到账，供应商应将银行转账底单的复印件作为磋商保证金提交凭证，放置于商务技术文件中，</w:t>
            </w:r>
            <w:r>
              <w:rPr>
                <w:rFonts w:hint="eastAsia" w:ascii="仿宋" w:hAnsi="仿宋" w:eastAsia="仿宋" w:cs="仿宋"/>
                <w:b/>
                <w:snapToGrid/>
                <w:color w:val="auto"/>
                <w:kern w:val="2"/>
                <w:sz w:val="24"/>
                <w:szCs w:val="24"/>
                <w:highlight w:val="none"/>
                <w:lang w:eastAsia="zh-CN"/>
              </w:rPr>
              <w:t>否则响应文件按无效响应处理</w:t>
            </w:r>
            <w:r>
              <w:rPr>
                <w:rFonts w:hint="eastAsia" w:ascii="仿宋" w:hAnsi="仿宋" w:eastAsia="仿宋" w:cs="仿宋"/>
                <w:snapToGrid/>
                <w:color w:val="auto"/>
                <w:kern w:val="2"/>
                <w:sz w:val="24"/>
                <w:szCs w:val="24"/>
                <w:highlight w:val="none"/>
                <w:lang w:eastAsia="zh-CN"/>
              </w:rPr>
              <w:t>。</w:t>
            </w:r>
          </w:p>
          <w:p w14:paraId="472A8D4B">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磋商保证金采用支票、汇票、本票或者金融机构、担保机构出具的保函交纳方式的，供应商应将支票、汇票、本票或者金融机构、担保机构出具的保函的复印件作为磋商保证金提交凭证，放置于商务技术文件中，</w:t>
            </w:r>
            <w:r>
              <w:rPr>
                <w:rFonts w:hint="eastAsia" w:ascii="仿宋" w:hAnsi="仿宋" w:eastAsia="仿宋" w:cs="仿宋"/>
                <w:b/>
                <w:snapToGrid/>
                <w:color w:val="auto"/>
                <w:kern w:val="2"/>
                <w:sz w:val="24"/>
                <w:szCs w:val="24"/>
                <w:highlight w:val="none"/>
                <w:lang w:eastAsia="zh-CN"/>
              </w:rPr>
              <w:t>否则响应文件按无效处理</w:t>
            </w:r>
            <w:r>
              <w:rPr>
                <w:rFonts w:hint="eastAsia" w:ascii="仿宋" w:hAnsi="仿宋" w:eastAsia="仿宋" w:cs="仿宋"/>
                <w:snapToGrid/>
                <w:color w:val="auto"/>
                <w:kern w:val="2"/>
                <w:sz w:val="24"/>
                <w:szCs w:val="24"/>
                <w:highlight w:val="none"/>
                <w:lang w:eastAsia="zh-CN"/>
              </w:rPr>
              <w:t>。供应商必须在响应文件提交截止时间前采用现场或邮寄方式（提交地址：</w:t>
            </w:r>
            <w:r>
              <w:rPr>
                <w:rFonts w:hint="eastAsia" w:ascii="仿宋" w:hAnsi="仿宋" w:eastAsia="仿宋" w:cs="仿宋"/>
                <w:snapToGrid/>
                <w:color w:val="auto"/>
                <w:kern w:val="2"/>
                <w:sz w:val="24"/>
                <w:szCs w:val="24"/>
                <w:highlight w:val="none"/>
                <w:u w:val="single"/>
                <w:lang w:eastAsia="zh-CN"/>
              </w:rPr>
              <w:t xml:space="preserve"> / </w:t>
            </w:r>
            <w:r>
              <w:rPr>
                <w:rFonts w:hint="eastAsia" w:ascii="仿宋" w:hAnsi="仿宋" w:eastAsia="仿宋" w:cs="仿宋"/>
                <w:snapToGrid/>
                <w:color w:val="auto"/>
                <w:kern w:val="2"/>
                <w:sz w:val="24"/>
                <w:szCs w:val="24"/>
                <w:highlight w:val="none"/>
                <w:lang w:eastAsia="zh-CN"/>
              </w:rPr>
              <w:t>，收件人：</w:t>
            </w:r>
            <w:r>
              <w:rPr>
                <w:rFonts w:hint="eastAsia" w:ascii="仿宋" w:hAnsi="仿宋" w:eastAsia="仿宋" w:cs="仿宋"/>
                <w:snapToGrid/>
                <w:color w:val="auto"/>
                <w:kern w:val="2"/>
                <w:sz w:val="24"/>
                <w:szCs w:val="24"/>
                <w:highlight w:val="none"/>
                <w:u w:val="single"/>
                <w:lang w:eastAsia="zh-CN"/>
              </w:rPr>
              <w:t xml:space="preserve"> / </w:t>
            </w:r>
            <w:r>
              <w:rPr>
                <w:rFonts w:hint="eastAsia" w:ascii="仿宋" w:hAnsi="仿宋" w:eastAsia="仿宋" w:cs="仿宋"/>
                <w:snapToGrid/>
                <w:color w:val="auto"/>
                <w:kern w:val="2"/>
                <w:sz w:val="24"/>
                <w:szCs w:val="24"/>
                <w:highlight w:val="none"/>
                <w:lang w:eastAsia="zh-CN"/>
              </w:rPr>
              <w:t>，联系方式：</w:t>
            </w:r>
            <w:r>
              <w:rPr>
                <w:rFonts w:hint="eastAsia" w:ascii="仿宋" w:hAnsi="仿宋" w:eastAsia="仿宋" w:cs="仿宋"/>
                <w:snapToGrid/>
                <w:color w:val="auto"/>
                <w:kern w:val="2"/>
                <w:sz w:val="24"/>
                <w:szCs w:val="24"/>
                <w:highlight w:val="none"/>
                <w:u w:val="single"/>
                <w:lang w:eastAsia="zh-CN"/>
              </w:rPr>
              <w:t xml:space="preserve"> / </w:t>
            </w:r>
            <w:r>
              <w:rPr>
                <w:rFonts w:hint="eastAsia" w:ascii="仿宋" w:hAnsi="仿宋" w:eastAsia="仿宋" w:cs="仿宋"/>
                <w:snapToGrid/>
                <w:color w:val="auto"/>
                <w:kern w:val="2"/>
                <w:sz w:val="24"/>
                <w:szCs w:val="24"/>
                <w:highlight w:val="none"/>
                <w:lang w:eastAsia="zh-CN"/>
              </w:rPr>
              <w:t>）将</w:t>
            </w:r>
            <w:r>
              <w:rPr>
                <w:rFonts w:hint="eastAsia" w:ascii="仿宋" w:hAnsi="仿宋" w:eastAsia="仿宋" w:cs="仿宋"/>
                <w:snapToGrid/>
                <w:color w:val="auto"/>
                <w:sz w:val="24"/>
                <w:szCs w:val="24"/>
                <w:highlight w:val="none"/>
                <w:lang w:eastAsia="zh-CN"/>
              </w:rPr>
              <w:t>单独密封的</w:t>
            </w:r>
            <w:r>
              <w:rPr>
                <w:rFonts w:hint="eastAsia" w:ascii="仿宋" w:hAnsi="仿宋" w:eastAsia="仿宋" w:cs="仿宋"/>
                <w:snapToGrid/>
                <w:color w:val="auto"/>
                <w:kern w:val="2"/>
                <w:sz w:val="24"/>
                <w:szCs w:val="24"/>
                <w:highlight w:val="none"/>
                <w:lang w:eastAsia="zh-CN"/>
              </w:rPr>
              <w:t>支票、汇票、本票或者金融机构、担保机构出具的保函原件提交给采购人或者采购代理机构，由采购人或者采购代理机构向供应商出具回执（邮寄方式的除外），并妥善保管。</w:t>
            </w:r>
          </w:p>
          <w:p w14:paraId="37800288">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磋商保证金采用电子保函缴纳方式的，具体详见《广西壮族自治区财政厅关于在政府采购活动中推广使用电子保函的通知》（桂财采〔2023]92号）。电子保函有关业务操作流程和手册可从“广西政府采购金融服务平台”查阅下载，供应商在电子保函的申请、使用、查看应用过程中遇到问题可咨询技术支撑方:400-903-9583。供应商应将电子保函（或缴纳凭证）复印件作为磋商保证金提交凭证，放置于商务文件中，否则响应文件按无效响应处理。</w:t>
            </w:r>
          </w:p>
          <w:p w14:paraId="2CCA49FF">
            <w:pPr>
              <w:widowControl w:val="0"/>
              <w:kinsoku/>
              <w:autoSpaceDE/>
              <w:autoSpaceDN/>
              <w:adjustRightInd/>
              <w:spacing w:line="360" w:lineRule="auto"/>
              <w:ind w:firstLine="480"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4.供应商为联合体的，可以由联合体中的一方或者多方共同交纳磋商保证金，其交纳的保证金对联合体各方均具有约束力。</w:t>
            </w:r>
          </w:p>
          <w:p w14:paraId="03948D30">
            <w:pPr>
              <w:widowControl w:val="0"/>
              <w:kinsoku/>
              <w:autoSpaceDE/>
              <w:autoSpaceDN/>
              <w:adjustRightInd/>
              <w:spacing w:line="360" w:lineRule="auto"/>
              <w:ind w:firstLine="482"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备注：</w:t>
            </w:r>
          </w:p>
          <w:p w14:paraId="0C7698B3">
            <w:pPr>
              <w:widowControl w:val="0"/>
              <w:kinsoku/>
              <w:autoSpaceDE/>
              <w:autoSpaceDN/>
              <w:adjustRightInd/>
              <w:spacing w:line="360" w:lineRule="auto"/>
              <w:ind w:firstLine="482"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1.磋商保证金在响应文件提交截止时间后提交的，或者不按规定交纳方式交纳的，或者未足额交纳的（包含保函额度不足的），视为无效磋商保证金。</w:t>
            </w:r>
          </w:p>
          <w:p w14:paraId="3FDBC893">
            <w:pPr>
              <w:widowControl w:val="0"/>
              <w:kinsoku/>
              <w:autoSpaceDE/>
              <w:autoSpaceDN/>
              <w:adjustRightInd/>
              <w:spacing w:line="360" w:lineRule="auto"/>
              <w:ind w:firstLine="482"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2.供应商采用现钞方式或者从个人账户（自然人竞标除外）转出的磋商保证金，视为无效磋商保证金。</w:t>
            </w:r>
          </w:p>
          <w:p w14:paraId="20DA8B6E">
            <w:pPr>
              <w:widowControl w:val="0"/>
              <w:kinsoku/>
              <w:autoSpaceDE/>
              <w:autoSpaceDN/>
              <w:adjustRightInd/>
              <w:spacing w:line="360" w:lineRule="auto"/>
              <w:ind w:firstLine="482"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3.支票、汇票或者本票出现无效或者背书情形的，视为无效磋商保证金。</w:t>
            </w:r>
          </w:p>
          <w:p w14:paraId="1A5310E0">
            <w:pPr>
              <w:widowControl w:val="0"/>
              <w:kinsoku/>
              <w:autoSpaceDE/>
              <w:autoSpaceDN/>
              <w:adjustRightInd/>
              <w:spacing w:line="360" w:lineRule="auto"/>
              <w:ind w:firstLine="482"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4.保函有效期低于竞标有效期的，视为无效磋商保证金。</w:t>
            </w:r>
          </w:p>
          <w:p w14:paraId="565EBDEE">
            <w:pPr>
              <w:widowControl w:val="0"/>
              <w:kinsoku/>
              <w:autoSpaceDE/>
              <w:autoSpaceDN/>
              <w:adjustRightInd/>
              <w:spacing w:line="360" w:lineRule="auto"/>
              <w:ind w:firstLine="482"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5.采用金融机构、担保机构出具保函的，必须为无条件保函，否则视为无效磋商保证金。</w:t>
            </w:r>
          </w:p>
          <w:p w14:paraId="2CBC9893">
            <w:pPr>
              <w:widowControl w:val="0"/>
              <w:kinsoku/>
              <w:autoSpaceDE/>
              <w:autoSpaceDN/>
              <w:adjustRightInd/>
              <w:spacing w:line="360" w:lineRule="auto"/>
              <w:ind w:firstLine="482"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6.采用电子保函的，必须为无条件保函，否则视为无效磋商保证金。</w:t>
            </w:r>
          </w:p>
        </w:tc>
      </w:tr>
      <w:tr w14:paraId="6BCB7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9DFCE02">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19</w:t>
            </w:r>
          </w:p>
        </w:tc>
        <w:tc>
          <w:tcPr>
            <w:tcW w:w="7912" w:type="dxa"/>
            <w:vAlign w:val="center"/>
          </w:tcPr>
          <w:p w14:paraId="32104ED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本项目不接受电子备份响应文件</w:t>
            </w:r>
          </w:p>
        </w:tc>
      </w:tr>
      <w:tr w14:paraId="7313C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EDFA929">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20.1</w:t>
            </w:r>
          </w:p>
        </w:tc>
        <w:tc>
          <w:tcPr>
            <w:tcW w:w="7912" w:type="dxa"/>
            <w:vAlign w:val="center"/>
          </w:tcPr>
          <w:p w14:paraId="3D76CDD7">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响应文件提交截止时间：详见竞争性磋商公告或者竞标邀请函。</w:t>
            </w:r>
          </w:p>
          <w:p w14:paraId="622BAE5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响应文件提交地点：详见竞争性磋商公告或者竞标邀请函。</w:t>
            </w:r>
          </w:p>
        </w:tc>
      </w:tr>
      <w:tr w14:paraId="4B5E2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C95775F">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24.1</w:t>
            </w:r>
          </w:p>
        </w:tc>
        <w:tc>
          <w:tcPr>
            <w:tcW w:w="7912" w:type="dxa"/>
            <w:vAlign w:val="center"/>
          </w:tcPr>
          <w:p w14:paraId="47EB3C45">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磋商小组的人数：</w:t>
            </w:r>
            <w:r>
              <w:rPr>
                <w:rFonts w:hint="eastAsia" w:ascii="仿宋" w:hAnsi="仿宋" w:eastAsia="仿宋" w:cs="仿宋"/>
                <w:snapToGrid/>
                <w:color w:val="auto"/>
                <w:kern w:val="2"/>
                <w:sz w:val="24"/>
                <w:szCs w:val="24"/>
                <w:highlight w:val="none"/>
                <w:u w:val="single"/>
                <w:lang w:eastAsia="zh-CN"/>
              </w:rPr>
              <w:t xml:space="preserve"> 3 </w:t>
            </w:r>
            <w:r>
              <w:rPr>
                <w:rFonts w:hint="eastAsia" w:ascii="仿宋" w:hAnsi="仿宋" w:eastAsia="仿宋" w:cs="仿宋"/>
                <w:snapToGrid/>
                <w:color w:val="auto"/>
                <w:kern w:val="2"/>
                <w:sz w:val="24"/>
                <w:szCs w:val="24"/>
                <w:highlight w:val="none"/>
                <w:lang w:eastAsia="zh-CN"/>
              </w:rPr>
              <w:t>人。</w:t>
            </w:r>
          </w:p>
        </w:tc>
      </w:tr>
      <w:tr w14:paraId="49BD2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5CD873F">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25</w:t>
            </w:r>
          </w:p>
        </w:tc>
        <w:tc>
          <w:tcPr>
            <w:tcW w:w="7912" w:type="dxa"/>
            <w:vAlign w:val="center"/>
          </w:tcPr>
          <w:p w14:paraId="140D9F4A">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首次响应文件开启时间详见“竞争性磋商公告”或者“竞标邀请函”</w:t>
            </w:r>
          </w:p>
          <w:p w14:paraId="4BFF9BAA">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首次响应文件解密时间：</w:t>
            </w:r>
            <w:r>
              <w:rPr>
                <w:rFonts w:hint="eastAsia" w:ascii="仿宋" w:hAnsi="仿宋" w:eastAsia="仿宋" w:cs="仿宋"/>
                <w:snapToGrid/>
                <w:color w:val="auto"/>
                <w:kern w:val="2"/>
                <w:sz w:val="24"/>
                <w:szCs w:val="24"/>
                <w:highlight w:val="none"/>
                <w:u w:val="single"/>
                <w:lang w:eastAsia="zh-CN"/>
              </w:rPr>
              <w:t>30</w:t>
            </w:r>
            <w:r>
              <w:rPr>
                <w:rFonts w:hint="eastAsia" w:ascii="仿宋" w:hAnsi="仿宋" w:eastAsia="仿宋" w:cs="仿宋"/>
                <w:snapToGrid/>
                <w:color w:val="auto"/>
                <w:kern w:val="2"/>
                <w:sz w:val="24"/>
                <w:szCs w:val="24"/>
                <w:highlight w:val="none"/>
                <w:lang w:eastAsia="zh-CN"/>
              </w:rPr>
              <w:t>分钟</w:t>
            </w:r>
          </w:p>
        </w:tc>
      </w:tr>
      <w:tr w14:paraId="3F6F1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564FE53">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28.1</w:t>
            </w:r>
          </w:p>
        </w:tc>
        <w:tc>
          <w:tcPr>
            <w:tcW w:w="7912" w:type="dxa"/>
            <w:vAlign w:val="center"/>
          </w:tcPr>
          <w:p w14:paraId="64432D47">
            <w:pPr>
              <w:widowControl w:val="0"/>
              <w:kinsoku/>
              <w:adjustRightInd/>
              <w:spacing w:line="360" w:lineRule="auto"/>
              <w:ind w:firstLine="480" w:firstLineChars="200"/>
              <w:textAlignment w:val="bottom"/>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☑本项目不收取履约保证金。</w:t>
            </w:r>
          </w:p>
          <w:p w14:paraId="0CC66FD1">
            <w:pPr>
              <w:widowControl w:val="0"/>
              <w:kinsoku/>
              <w:adjustRightInd/>
              <w:spacing w:line="360" w:lineRule="auto"/>
              <w:ind w:firstLine="480" w:firstLineChars="200"/>
              <w:textAlignment w:val="bottom"/>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□本项目收取履约保证金，具体规定如下：</w:t>
            </w:r>
          </w:p>
          <w:p w14:paraId="54A778F2">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履约保证金金额：按成交金额的  %向采购人缴纳履约保证金。</w:t>
            </w:r>
          </w:p>
          <w:p w14:paraId="65868C45">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履约保证金提交方式：银行转账、支票、汇票、本票或者金融机构、担保机构出具的保函等非现金方式。</w:t>
            </w:r>
          </w:p>
          <w:p w14:paraId="7049E000">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履约保证金退付方式、时间及条件：</w:t>
            </w:r>
            <w:r>
              <w:rPr>
                <w:rFonts w:hint="eastAsia" w:ascii="仿宋" w:hAnsi="仿宋" w:eastAsia="仿宋" w:cs="仿宋"/>
                <w:snapToGrid/>
                <w:color w:val="auto"/>
                <w:kern w:val="2"/>
                <w:sz w:val="24"/>
                <w:szCs w:val="24"/>
                <w:highlight w:val="none"/>
                <w:u w:val="single"/>
                <w:lang w:eastAsia="zh-CN"/>
              </w:rPr>
              <w:t>由成交供应商向履约保证金收取单位提供《广西壮族自治区政府采购项目合同验收书》（详见桂财采〔2015〕22号），保证金收取单位在收到合格材料后5个工作日内办理退还手续（不计利息）。</w:t>
            </w:r>
          </w:p>
          <w:p w14:paraId="5F005CB6">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履约保证金指定账户：</w:t>
            </w:r>
          </w:p>
          <w:p w14:paraId="4D761362">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开户名称：</w:t>
            </w:r>
            <w:r>
              <w:rPr>
                <w:rFonts w:hint="eastAsia" w:ascii="仿宋" w:hAnsi="仿宋" w:eastAsia="仿宋" w:cs="仿宋"/>
                <w:snapToGrid/>
                <w:color w:val="auto"/>
                <w:kern w:val="2"/>
                <w:sz w:val="24"/>
                <w:szCs w:val="24"/>
                <w:highlight w:val="none"/>
                <w:u w:val="single"/>
                <w:lang w:eastAsia="zh-CN"/>
              </w:rPr>
              <w:t xml:space="preserve"> / </w:t>
            </w:r>
          </w:p>
          <w:p w14:paraId="4CBADC5D">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开户银行：</w:t>
            </w:r>
            <w:r>
              <w:rPr>
                <w:rFonts w:hint="eastAsia" w:ascii="仿宋" w:hAnsi="仿宋" w:eastAsia="仿宋" w:cs="仿宋"/>
                <w:snapToGrid/>
                <w:color w:val="auto"/>
                <w:kern w:val="2"/>
                <w:sz w:val="24"/>
                <w:szCs w:val="24"/>
                <w:highlight w:val="none"/>
                <w:u w:val="single"/>
                <w:lang w:eastAsia="zh-CN"/>
              </w:rPr>
              <w:t xml:space="preserve"> / </w:t>
            </w:r>
          </w:p>
          <w:p w14:paraId="711719EF">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银行账号：</w:t>
            </w:r>
            <w:r>
              <w:rPr>
                <w:rFonts w:hint="eastAsia" w:ascii="仿宋" w:hAnsi="仿宋" w:eastAsia="仿宋" w:cs="仿宋"/>
                <w:snapToGrid/>
                <w:color w:val="auto"/>
                <w:kern w:val="2"/>
                <w:sz w:val="24"/>
                <w:szCs w:val="24"/>
                <w:highlight w:val="none"/>
                <w:u w:val="single"/>
                <w:lang w:eastAsia="zh-CN"/>
              </w:rPr>
              <w:t xml:space="preserve"> / </w:t>
            </w:r>
          </w:p>
          <w:p w14:paraId="68A6DE00">
            <w:pPr>
              <w:widowControl w:val="0"/>
              <w:kinsoku/>
              <w:autoSpaceDE/>
              <w:autoSpaceDN/>
              <w:adjustRightInd/>
              <w:snapToGrid/>
              <w:spacing w:line="360" w:lineRule="auto"/>
              <w:ind w:firstLine="480" w:firstLineChars="200"/>
              <w:contextualSpacing/>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备注：</w:t>
            </w:r>
            <w:r>
              <w:rPr>
                <w:rFonts w:hint="eastAsia" w:ascii="仿宋" w:hAnsi="仿宋" w:eastAsia="仿宋" w:cs="仿宋"/>
                <w:snapToGrid/>
                <w:color w:val="auto"/>
                <w:kern w:val="2"/>
                <w:sz w:val="24"/>
                <w:szCs w:val="24"/>
                <w:highlight w:val="none"/>
                <w:lang w:eastAsia="zh-CN"/>
              </w:rPr>
              <w:br w:type="textWrapping"/>
            </w:r>
            <w:r>
              <w:rPr>
                <w:rFonts w:hint="eastAsia" w:ascii="仿宋" w:hAnsi="仿宋" w:eastAsia="仿宋" w:cs="仿宋"/>
                <w:color w:val="auto"/>
                <w:highlight w:val="none"/>
                <w:lang w:eastAsia="zh-CN"/>
              </w:rPr>
              <w:t xml:space="preserve">     </w:t>
            </w:r>
            <w:r>
              <w:rPr>
                <w:rFonts w:hint="eastAsia" w:ascii="仿宋" w:hAnsi="仿宋" w:eastAsia="仿宋" w:cs="仿宋"/>
                <w:b/>
                <w:snapToGrid/>
                <w:color w:val="auto"/>
                <w:kern w:val="2"/>
                <w:sz w:val="24"/>
                <w:szCs w:val="24"/>
                <w:highlight w:val="none"/>
                <w:lang w:eastAsia="zh-CN"/>
              </w:rPr>
              <w:t>1.履约保证金不足额缴纳的，或者金融机构、担保机构出具的保函额度不足的或者保函有效期低于合同履行期限（即签订采购合同之日起至履行完合同约定的权利及义务之日止）的，不予签订合同。</w:t>
            </w:r>
          </w:p>
          <w:p w14:paraId="1B0786F6">
            <w:pPr>
              <w:widowControl w:val="0"/>
              <w:kinsoku/>
              <w:autoSpaceDE/>
              <w:autoSpaceDN/>
              <w:adjustRightInd/>
              <w:snapToGrid/>
              <w:spacing w:line="360" w:lineRule="auto"/>
              <w:ind w:firstLine="482" w:firstLineChars="200"/>
              <w:contextualSpacing/>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2.采用金融机构、担保机构出具的保函的，必须为无条件保函，否则不予签订合同。</w:t>
            </w:r>
          </w:p>
          <w:p w14:paraId="173A4368">
            <w:pPr>
              <w:widowControl w:val="0"/>
              <w:kinsoku/>
              <w:autoSpaceDE/>
              <w:autoSpaceDN/>
              <w:adjustRightInd/>
              <w:spacing w:line="360" w:lineRule="auto"/>
              <w:ind w:firstLine="482"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3.供应商为联合体的，由联合体任意一方按规定提交的履约保证金，视为有效履约保证金。</w:t>
            </w:r>
          </w:p>
        </w:tc>
      </w:tr>
      <w:tr w14:paraId="4943F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41F8B8">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29.1</w:t>
            </w:r>
          </w:p>
        </w:tc>
        <w:tc>
          <w:tcPr>
            <w:tcW w:w="7912" w:type="dxa"/>
            <w:vAlign w:val="center"/>
          </w:tcPr>
          <w:p w14:paraId="298F8DD6">
            <w:pPr>
              <w:widowControl w:val="0"/>
              <w:kinsoku/>
              <w:adjustRightInd/>
              <w:spacing w:line="360" w:lineRule="auto"/>
              <w:ind w:firstLine="480" w:firstLineChars="200"/>
              <w:textAlignment w:val="bottom"/>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 xml:space="preserve">签订合同携带的证明材料： </w:t>
            </w:r>
          </w:p>
          <w:p w14:paraId="504E7B78">
            <w:pPr>
              <w:widowControl w:val="0"/>
              <w:kinsoku/>
              <w:adjustRightInd/>
              <w:spacing w:line="360" w:lineRule="auto"/>
              <w:ind w:firstLine="480" w:firstLineChars="200"/>
              <w:textAlignment w:val="bottom"/>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委托代理人负责签订合同的，须携带授权委托书及委托代理人身份证原件等其他资格证件。</w:t>
            </w:r>
          </w:p>
          <w:p w14:paraId="0B9F32BE">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法定代表人负责签订合同的，须携带法定代表人身份证明原件及身份证原件等其他证明材料。</w:t>
            </w:r>
          </w:p>
        </w:tc>
      </w:tr>
      <w:tr w14:paraId="304A8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E01A675">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31.2</w:t>
            </w:r>
          </w:p>
        </w:tc>
        <w:tc>
          <w:tcPr>
            <w:tcW w:w="7912" w:type="dxa"/>
            <w:vAlign w:val="center"/>
          </w:tcPr>
          <w:p w14:paraId="33004A87">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接收质疑函方式：以书面形式。</w:t>
            </w:r>
          </w:p>
          <w:p w14:paraId="1B123DD6">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质疑联系部门及联系方式：华伦中建建设股份有限公司，0771-6608288，通讯地址：详见竞争性磋商公告</w:t>
            </w:r>
          </w:p>
          <w:p w14:paraId="6F9962D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业务时间：工作日每天上午9时00分到12时00分，下午14时30分到17时30分。</w:t>
            </w:r>
          </w:p>
        </w:tc>
      </w:tr>
      <w:tr w14:paraId="28B9A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AD5C3F">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32.1</w:t>
            </w:r>
          </w:p>
        </w:tc>
        <w:tc>
          <w:tcPr>
            <w:tcW w:w="7912" w:type="dxa"/>
            <w:vAlign w:val="center"/>
          </w:tcPr>
          <w:p w14:paraId="3C3B694A">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1.采购代理费支付方式：</w:t>
            </w:r>
          </w:p>
          <w:p w14:paraId="5D2B5590">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☑本项目代理服务费由</w:t>
            </w:r>
            <w:r>
              <w:rPr>
                <w:rFonts w:hint="eastAsia" w:ascii="仿宋" w:hAnsi="仿宋" w:eastAsia="仿宋" w:cs="仿宋"/>
                <w:snapToGrid/>
                <w:color w:val="auto"/>
                <w:kern w:val="2"/>
                <w:sz w:val="24"/>
                <w:szCs w:val="24"/>
                <w:highlight w:val="none"/>
                <w:u w:val="single"/>
                <w:lang w:eastAsia="zh-CN"/>
              </w:rPr>
              <w:t>成交供应商</w:t>
            </w:r>
            <w:r>
              <w:rPr>
                <w:rFonts w:hint="eastAsia" w:ascii="仿宋" w:hAnsi="仿宋" w:eastAsia="仿宋" w:cs="仿宋"/>
                <w:snapToGrid/>
                <w:color w:val="auto"/>
                <w:kern w:val="2"/>
                <w:sz w:val="24"/>
                <w:szCs w:val="24"/>
                <w:highlight w:val="none"/>
                <w:lang w:eastAsia="zh-CN"/>
              </w:rPr>
              <w:t>在本项目采购合同签订前，一次性向采购代理机构支付。</w:t>
            </w:r>
          </w:p>
          <w:p w14:paraId="5B3A0C70">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□采购人支付。</w:t>
            </w:r>
          </w:p>
          <w:p w14:paraId="031D7637">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2.采购代理费收取标准：</w:t>
            </w:r>
          </w:p>
          <w:p w14:paraId="54FEE5BB">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以项目（☑成交金额/□采购预算/□暂定成交金额/□其他）为计费额，按本须知正文第32.2条规定的收费计算标准（□货物类/☑服务类/□工程类）采用差额定率累进法计算出收费基准价格，采购代理收费以（□收费基准价格/☑收费基准价格下浮</w:t>
            </w:r>
            <w:r>
              <w:rPr>
                <w:rFonts w:hint="eastAsia" w:ascii="仿宋" w:hAnsi="仿宋" w:eastAsia="仿宋" w:cs="仿宋"/>
                <w:snapToGrid/>
                <w:color w:val="auto"/>
                <w:kern w:val="2"/>
                <w:sz w:val="24"/>
                <w:szCs w:val="24"/>
                <w:highlight w:val="none"/>
                <w:u w:val="single"/>
                <w:lang w:eastAsia="zh-CN"/>
              </w:rPr>
              <w:t xml:space="preserve"> 5 %</w:t>
            </w:r>
            <w:r>
              <w:rPr>
                <w:rFonts w:hint="eastAsia" w:ascii="仿宋" w:hAnsi="仿宋" w:eastAsia="仿宋" w:cs="仿宋"/>
                <w:snapToGrid/>
                <w:color w:val="auto"/>
                <w:kern w:val="2"/>
                <w:sz w:val="24"/>
                <w:szCs w:val="24"/>
                <w:highlight w:val="none"/>
                <w:lang w:eastAsia="zh-CN"/>
              </w:rPr>
              <w:t>/□收费基准价格上浮</w:t>
            </w:r>
            <w:r>
              <w:rPr>
                <w:rFonts w:hint="eastAsia" w:ascii="仿宋" w:hAnsi="仿宋" w:eastAsia="仿宋" w:cs="仿宋"/>
                <w:snapToGrid/>
                <w:color w:val="auto"/>
                <w:kern w:val="2"/>
                <w:sz w:val="24"/>
                <w:szCs w:val="24"/>
                <w:highlight w:val="none"/>
                <w:u w:val="single"/>
                <w:lang w:eastAsia="zh-CN"/>
              </w:rPr>
              <w:t>%</w:t>
            </w:r>
            <w:r>
              <w:rPr>
                <w:rFonts w:hint="eastAsia" w:ascii="仿宋" w:hAnsi="仿宋" w:eastAsia="仿宋" w:cs="仿宋"/>
                <w:snapToGrid/>
                <w:color w:val="auto"/>
                <w:kern w:val="2"/>
                <w:sz w:val="24"/>
                <w:szCs w:val="24"/>
                <w:highlight w:val="none"/>
                <w:lang w:eastAsia="zh-CN"/>
              </w:rPr>
              <w:t>）收取。</w:t>
            </w:r>
          </w:p>
          <w:p w14:paraId="349C3293">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u w:val="single"/>
              </w:rPr>
            </w:pPr>
            <w:r>
              <w:rPr>
                <w:rFonts w:hint="eastAsia" w:ascii="仿宋" w:hAnsi="仿宋" w:eastAsia="仿宋" w:cs="仿宋"/>
                <w:snapToGrid/>
                <w:color w:val="auto"/>
                <w:sz w:val="24"/>
                <w:szCs w:val="24"/>
                <w:highlight w:val="none"/>
              </w:rPr>
              <w:t>□固定采购代理收费</w:t>
            </w:r>
            <w:r>
              <w:rPr>
                <w:rFonts w:hint="eastAsia" w:ascii="仿宋" w:hAnsi="仿宋" w:eastAsia="仿宋" w:cs="仿宋"/>
                <w:snapToGrid/>
                <w:color w:val="auto"/>
                <w:sz w:val="24"/>
                <w:szCs w:val="24"/>
                <w:highlight w:val="none"/>
                <w:u w:val="single"/>
              </w:rPr>
              <w:t xml:space="preserve">              。</w:t>
            </w:r>
          </w:p>
          <w:p w14:paraId="08B5E002">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3. 采购代理费收取银行账户</w:t>
            </w:r>
          </w:p>
          <w:p w14:paraId="6EB2F662">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账户名称：华伦中建建设股份有限公司崇左分公司</w:t>
            </w:r>
          </w:p>
          <w:p w14:paraId="646C206D">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开户银行：中国建设银行股份有限公司崇左友谊大道支行</w:t>
            </w:r>
          </w:p>
          <w:p w14:paraId="378393B2">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银行账号：4505 0159 8054 0000 1445</w:t>
            </w:r>
          </w:p>
        </w:tc>
      </w:tr>
      <w:tr w14:paraId="3670A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3F2D11F">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33.1</w:t>
            </w:r>
          </w:p>
        </w:tc>
        <w:tc>
          <w:tcPr>
            <w:tcW w:w="7912" w:type="dxa"/>
            <w:vAlign w:val="center"/>
          </w:tcPr>
          <w:p w14:paraId="1CF4EB1A">
            <w:pPr>
              <w:pStyle w:val="14"/>
              <w:kinsoku/>
              <w:autoSpaceDE/>
              <w:autoSpaceDN/>
              <w:adjustRightInd/>
              <w:spacing w:line="360" w:lineRule="auto"/>
              <w:ind w:firstLine="480" w:firstLineChars="200"/>
              <w:jc w:val="left"/>
              <w:textAlignment w:val="auto"/>
              <w:rPr>
                <w:rFonts w:ascii="仿宋" w:hAnsi="仿宋" w:eastAsia="仿宋" w:cs="仿宋"/>
                <w:snapToGrid/>
                <w:color w:val="auto"/>
                <w:kern w:val="2"/>
                <w:sz w:val="24"/>
                <w:szCs w:val="24"/>
                <w:highlight w:val="none"/>
              </w:rPr>
            </w:pPr>
            <w:r>
              <w:rPr>
                <w:rFonts w:hint="eastAsia" w:ascii="仿宋" w:hAnsi="仿宋" w:eastAsia="仿宋" w:cs="仿宋"/>
                <w:snapToGrid/>
                <w:color w:val="auto"/>
                <w:sz w:val="24"/>
                <w:szCs w:val="24"/>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503A5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343EFE8">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33.2</w:t>
            </w:r>
          </w:p>
        </w:tc>
        <w:tc>
          <w:tcPr>
            <w:tcW w:w="7912" w:type="dxa"/>
            <w:vAlign w:val="center"/>
          </w:tcPr>
          <w:p w14:paraId="7C224521">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EF1241B">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2.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188BD9E8">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3.供应商为其他组织或者自然人时，本磋商文件规定的法定代表人指负责人或者自然人。本磋商文件所称负责人是指参加竞标的其他组织营业执照或者执业许可证等证照上的负责人，本磋商文件所称自然人指参与竞标的自然人本人，且应具备独立承担民事责任能力，自然人应当为年满18岁以上成年人（十六周岁以上的未成年人，以自己的劳动收入为主要生活来源的，视为完全民事行为能力人）。</w:t>
            </w:r>
          </w:p>
          <w:p w14:paraId="43468A75">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4.本磋商文件中描述供应商的“签字”是指供应商的法定代表人或者委托代理人亲自在文件规定签署处亲笔写上个人的名字的行为。</w:t>
            </w:r>
          </w:p>
          <w:p w14:paraId="40193308">
            <w:pPr>
              <w:pStyle w:val="14"/>
              <w:kinsoku/>
              <w:autoSpaceDE/>
              <w:autoSpaceDN/>
              <w:adjustRightInd/>
              <w:spacing w:line="360" w:lineRule="auto"/>
              <w:ind w:firstLine="480" w:firstLineChars="200"/>
              <w:jc w:val="left"/>
              <w:textAlignment w:val="auto"/>
              <w:rPr>
                <w:rFonts w:ascii="仿宋" w:hAnsi="仿宋" w:eastAsia="仿宋" w:cs="仿宋"/>
                <w:snapToGrid/>
                <w:color w:val="auto"/>
                <w:kern w:val="2"/>
                <w:szCs w:val="24"/>
                <w:highlight w:val="none"/>
              </w:rPr>
            </w:pPr>
            <w:r>
              <w:rPr>
                <w:rFonts w:hint="eastAsia" w:ascii="仿宋" w:hAnsi="仿宋" w:eastAsia="仿宋" w:cs="仿宋"/>
                <w:snapToGrid/>
                <w:color w:val="auto"/>
                <w:sz w:val="24"/>
                <w:szCs w:val="24"/>
                <w:highlight w:val="none"/>
              </w:rPr>
              <w:t>5.本磋商文件所称的“以上”“以下”“以内”“届满”，包括本数；所称的“不满”“超过”“以外”，不包括本数。</w:t>
            </w:r>
          </w:p>
        </w:tc>
      </w:tr>
      <w:tr w14:paraId="683EE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C7B1228">
            <w:pPr>
              <w:widowControl w:val="0"/>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33.4</w:t>
            </w:r>
          </w:p>
        </w:tc>
        <w:tc>
          <w:tcPr>
            <w:tcW w:w="7912" w:type="dxa"/>
            <w:vAlign w:val="center"/>
          </w:tcPr>
          <w:p w14:paraId="16C3E51E">
            <w:pPr>
              <w:pStyle w:val="14"/>
              <w:kinsoku/>
              <w:autoSpaceDE/>
              <w:autoSpaceDN/>
              <w:adjustRightIn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《崇左市财政局关于进一步做好线上“政采贷”融资业务工作的通知》(崇财采(2023)10号)相关附件</w:t>
            </w:r>
          </w:p>
        </w:tc>
      </w:tr>
    </w:tbl>
    <w:p w14:paraId="570432AE">
      <w:pPr>
        <w:widowControl w:val="0"/>
        <w:kinsoku/>
        <w:autoSpaceDE/>
        <w:autoSpaceDN/>
        <w:adjustRightInd/>
        <w:snapToGrid/>
        <w:spacing w:line="360" w:lineRule="auto"/>
        <w:jc w:val="center"/>
        <w:textAlignment w:val="auto"/>
        <w:outlineLvl w:val="1"/>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br w:type="page"/>
      </w:r>
      <w:bookmarkStart w:id="17" w:name="_Toc23199"/>
      <w:bookmarkStart w:id="18" w:name="_Toc3939"/>
      <w:bookmarkStart w:id="19" w:name="_Toc25538"/>
      <w:r>
        <w:rPr>
          <w:rFonts w:hint="eastAsia" w:ascii="仿宋" w:hAnsi="仿宋" w:eastAsia="仿宋" w:cs="仿宋"/>
          <w:b/>
          <w:snapToGrid/>
          <w:color w:val="auto"/>
          <w:kern w:val="2"/>
          <w:sz w:val="30"/>
          <w:szCs w:val="30"/>
          <w:highlight w:val="none"/>
          <w:lang w:eastAsia="zh-CN"/>
        </w:rPr>
        <w:t>供应商须知正文</w:t>
      </w:r>
      <w:bookmarkEnd w:id="17"/>
      <w:bookmarkEnd w:id="18"/>
      <w:bookmarkEnd w:id="19"/>
    </w:p>
    <w:p w14:paraId="337EC11E">
      <w:pPr>
        <w:widowControl w:val="0"/>
        <w:kinsoku/>
        <w:autoSpaceDE/>
        <w:autoSpaceDN/>
        <w:adjustRightInd/>
        <w:snapToGrid/>
        <w:spacing w:line="360" w:lineRule="auto"/>
        <w:jc w:val="center"/>
        <w:textAlignment w:val="auto"/>
        <w:rPr>
          <w:rFonts w:ascii="仿宋" w:hAnsi="仿宋" w:eastAsia="仿宋" w:cs="仿宋"/>
          <w:b/>
          <w:snapToGrid/>
          <w:color w:val="auto"/>
          <w:kern w:val="2"/>
          <w:sz w:val="24"/>
          <w:szCs w:val="24"/>
          <w:highlight w:val="none"/>
          <w:lang w:eastAsia="zh-CN"/>
        </w:rPr>
      </w:pPr>
      <w:bookmarkStart w:id="20" w:name="_Toc1503"/>
      <w:bookmarkStart w:id="21" w:name="_Toc18145"/>
    </w:p>
    <w:p w14:paraId="3A17062A">
      <w:pPr>
        <w:widowControl w:val="0"/>
        <w:kinsoku/>
        <w:autoSpaceDE/>
        <w:autoSpaceDN/>
        <w:adjustRightInd/>
        <w:snapToGrid/>
        <w:spacing w:line="360" w:lineRule="auto"/>
        <w:jc w:val="center"/>
        <w:textAlignment w:val="auto"/>
        <w:outlineLvl w:val="2"/>
        <w:rPr>
          <w:rFonts w:ascii="仿宋" w:hAnsi="仿宋" w:eastAsia="仿宋" w:cs="仿宋"/>
          <w:b/>
          <w:snapToGrid/>
          <w:color w:val="auto"/>
          <w:kern w:val="2"/>
          <w:sz w:val="24"/>
          <w:szCs w:val="24"/>
          <w:highlight w:val="none"/>
          <w:lang w:eastAsia="zh-CN"/>
        </w:rPr>
      </w:pPr>
      <w:bookmarkStart w:id="22" w:name="_Toc13607"/>
      <w:r>
        <w:rPr>
          <w:rFonts w:hint="eastAsia" w:ascii="仿宋" w:hAnsi="仿宋" w:eastAsia="仿宋" w:cs="仿宋"/>
          <w:b/>
          <w:snapToGrid/>
          <w:color w:val="auto"/>
          <w:kern w:val="2"/>
          <w:sz w:val="24"/>
          <w:szCs w:val="24"/>
          <w:highlight w:val="none"/>
          <w:lang w:eastAsia="zh-CN"/>
        </w:rPr>
        <w:t>一、总则</w:t>
      </w:r>
      <w:bookmarkEnd w:id="20"/>
      <w:bookmarkEnd w:id="21"/>
      <w:bookmarkEnd w:id="22"/>
    </w:p>
    <w:p w14:paraId="76D4F923">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1.适用范围</w:t>
      </w:r>
    </w:p>
    <w:p w14:paraId="14153F21">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6AB90DF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1.2</w:t>
      </w:r>
      <w:r>
        <w:rPr>
          <w:rFonts w:hint="eastAsia" w:ascii="仿宋" w:hAnsi="仿宋" w:eastAsia="仿宋" w:cs="仿宋"/>
          <w:snapToGrid/>
          <w:color w:val="auto"/>
          <w:spacing w:val="-6"/>
          <w:kern w:val="2"/>
          <w:sz w:val="24"/>
          <w:szCs w:val="24"/>
          <w:highlight w:val="none"/>
          <w:lang w:eastAsia="zh-CN"/>
        </w:rPr>
        <w:t>本竞争性磋商文件（以下简称磋商文件）适用于本项目的所有采购程序和环节（法律、法规另有规定的，从其规定）。</w:t>
      </w:r>
    </w:p>
    <w:p w14:paraId="1CA3E474">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2.定义</w:t>
      </w:r>
    </w:p>
    <w:p w14:paraId="62F6B7A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2.1“采购人”是指依法进行政府采购的国家机关、事业单位、团体组织。</w:t>
      </w:r>
    </w:p>
    <w:p w14:paraId="101926D6">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2.2“采购代理机构”是指政府采购集中采购机构和集中采购机构以外的采购代理机构。</w:t>
      </w:r>
    </w:p>
    <w:p w14:paraId="7C1310D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2.3“供应商”是指向采购人提供货物、工程或者服务的法人、其他组织或者自然人。</w:t>
      </w:r>
    </w:p>
    <w:p w14:paraId="38A51D3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2.4“服务”是指除货物和工程以外的其他政府采购对象。</w:t>
      </w:r>
    </w:p>
    <w:p w14:paraId="778AFBC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2.5“竞标”是指供应商按照本项目竞争性磋商公告或者邀请函规定的方式获取磋商文件、提交响应文件并希望获得标的的行为。</w:t>
      </w:r>
    </w:p>
    <w:p w14:paraId="563C5857">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2.6“书面形式”是指合同书、信件和数据电文（包括电报、电传、传真、电子数据交换和电子邮件）等可以有形地表现所载内容的形式。</w:t>
      </w:r>
    </w:p>
    <w:p w14:paraId="7532727C">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2.7“响应文件”</w:t>
      </w:r>
      <w:r>
        <w:rPr>
          <w:rFonts w:hint="eastAsia" w:ascii="仿宋" w:hAnsi="仿宋" w:eastAsia="仿宋" w:cs="仿宋"/>
          <w:snapToGrid/>
          <w:color w:val="auto"/>
          <w:spacing w:val="-6"/>
          <w:kern w:val="2"/>
          <w:sz w:val="24"/>
          <w:szCs w:val="24"/>
          <w:highlight w:val="none"/>
          <w:lang w:eastAsia="zh-CN"/>
        </w:rPr>
        <w:t>是指：供应商根据本磋商文件要求，编制包含资格证明、报价、商务技术等所有内容的文件。</w:t>
      </w:r>
    </w:p>
    <w:p w14:paraId="6068A98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2.8“实质性要求”是指磋商文件中已经指明不满足则响应文件按无效响应处理的条款，或者不能负偏离的条款，或者采购需求中带“▲”的条款。</w:t>
      </w:r>
    </w:p>
    <w:p w14:paraId="5940946B">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2.9“正偏离”，是指响应文件对磋商文件“采购需求”中有关条款作出的响应优于条款要求并有利于采购人的情形。</w:t>
      </w:r>
    </w:p>
    <w:p w14:paraId="6AC5314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2.10“负偏离”，是指响应文件对磋商文件“采购需求”中有关条款作出的响应不满足条款要求，导致采购人要求不能得到满足的情形。</w:t>
      </w:r>
    </w:p>
    <w:p w14:paraId="222F7A1D">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2.11“允许负偏离的条款”是指采购需求中的不属于“实质性要求”的条款。</w:t>
      </w:r>
    </w:p>
    <w:p w14:paraId="5E3C00EA">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2.12“首次报价”是指供应商提交的首次响应文件中的报价。</w:t>
      </w:r>
    </w:p>
    <w:p w14:paraId="2D18571C">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3.供应商的资格条件</w:t>
      </w:r>
    </w:p>
    <w:p w14:paraId="5819916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供应商的资格条件详见“供应商须知前附表”。</w:t>
      </w:r>
    </w:p>
    <w:p w14:paraId="3FF532B3">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4.竞标费用</w:t>
      </w:r>
    </w:p>
    <w:p w14:paraId="5C957CA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供应商应承担参与本次采购活动有关的所有费用，包括但不限于获取磋商文件、勘查现场、编制和提交响应文件、参加磋商与应答、签订合同等，不论竞标结果如何，均应自行承担。</w:t>
      </w:r>
    </w:p>
    <w:p w14:paraId="5D91ED93">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5.联合体竞标</w:t>
      </w:r>
    </w:p>
    <w:p w14:paraId="22710FE1">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5.1本项目是否接受联合体竞标，详见“供应商须知前附表”。</w:t>
      </w:r>
    </w:p>
    <w:p w14:paraId="2B9117F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5.2如接受联合体竞标，联合体竞标要求详见“供应商须知前附表”。</w:t>
      </w:r>
    </w:p>
    <w:p w14:paraId="54A6D7ED">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6.转包与分包</w:t>
      </w:r>
    </w:p>
    <w:p w14:paraId="21F74D75">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bookmarkStart w:id="23" w:name="_Toc254970532"/>
      <w:bookmarkStart w:id="24" w:name="_Toc254970673"/>
      <w:r>
        <w:rPr>
          <w:rFonts w:hint="eastAsia" w:ascii="仿宋" w:hAnsi="仿宋" w:eastAsia="仿宋" w:cs="仿宋"/>
          <w:snapToGrid/>
          <w:color w:val="auto"/>
          <w:kern w:val="2"/>
          <w:sz w:val="24"/>
          <w:szCs w:val="24"/>
          <w:highlight w:val="none"/>
          <w:lang w:eastAsia="zh-CN"/>
        </w:rPr>
        <w:t>6.1本项目不允许转包。</w:t>
      </w:r>
    </w:p>
    <w:p w14:paraId="101934F3">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2B0BA33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44C75665">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7.特别说明</w:t>
      </w:r>
      <w:bookmarkEnd w:id="23"/>
      <w:bookmarkEnd w:id="24"/>
    </w:p>
    <w:p w14:paraId="75B4FAE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bookmarkStart w:id="25" w:name="_8.1提供相同品牌产品且通过资格审查、符合性审查的不同投标人参加同一合"/>
      <w:bookmarkEnd w:id="25"/>
      <w:r>
        <w:rPr>
          <w:rFonts w:hint="eastAsia" w:ascii="仿宋" w:hAnsi="仿宋" w:eastAsia="仿宋" w:cs="仿宋"/>
          <w:snapToGrid/>
          <w:color w:val="auto"/>
          <w:kern w:val="2"/>
          <w:sz w:val="24"/>
          <w:szCs w:val="24"/>
          <w:highlight w:val="none"/>
          <w:lang w:eastAsia="zh-CN"/>
        </w:rPr>
        <w:t>7.1</w:t>
      </w:r>
      <w:bookmarkStart w:id="26" w:name="_Hlk65832145"/>
      <w:r>
        <w:rPr>
          <w:rFonts w:hint="eastAsia" w:ascii="仿宋" w:hAnsi="仿宋" w:eastAsia="仿宋" w:cs="仿宋"/>
          <w:snapToGrid/>
          <w:color w:val="auto"/>
          <w:kern w:val="2"/>
          <w:sz w:val="24"/>
          <w:szCs w:val="24"/>
          <w:highlight w:val="none"/>
          <w:lang w:eastAsia="zh-CN"/>
        </w:rPr>
        <w:t>如果本磋商文件要求提供供应商或制造商的资格、信誉、荣誉、业绩与企业认证等材料的，资格、信誉、荣誉、业绩与企业认证等必须为供应商或者制造商所拥有或自身获得 。</w:t>
      </w:r>
    </w:p>
    <w:bookmarkEnd w:id="26"/>
    <w:p w14:paraId="1CAB8D2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7.2供应商应仔细阅读磋商文件的所有内容，按照磋商文件的要求提交响应文件，并对所提供的全部资料的真实性承担法律责任。</w:t>
      </w:r>
    </w:p>
    <w:p w14:paraId="5AB92A8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7.3供应商在竞标活动中提供任何疑似虚假材料，将报监管部门查处；签订合同后发现的，成交供应商须依法赔偿采购人，且民事赔偿并不免除违法供应商的行政与刑事责任。</w:t>
      </w:r>
    </w:p>
    <w:p w14:paraId="78E34A7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7.4在政府采购活动中，采购人员及相关人员与供应商有下列利害关系之一的，应当回避：</w:t>
      </w:r>
    </w:p>
    <w:p w14:paraId="188DD2E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（1）参加采购活动前3年内与供应商存在劳动关系；</w:t>
      </w:r>
    </w:p>
    <w:p w14:paraId="3600187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（2）参加采购活动前3年内担任供应商的董事、监事；</w:t>
      </w:r>
    </w:p>
    <w:p w14:paraId="26DD15F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（3）参加采购活动前3年内是供应商的控股股东或者实际控制人；</w:t>
      </w:r>
    </w:p>
    <w:p w14:paraId="63CE8CA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（4）与供应商的法定代表人或者负责人有夫妻、直系血亲、三代以内旁系血亲或者近姻亲关系；</w:t>
      </w:r>
    </w:p>
    <w:p w14:paraId="328D1E4D">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（5）与供应商有其他可能影响政府采购活动公平、公正进行的关系。</w:t>
      </w:r>
    </w:p>
    <w:p w14:paraId="452C296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1D37CD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7.5有下列情形之一的视为供应商相互串通竞标，响应文件将被视为无效：</w:t>
      </w:r>
    </w:p>
    <w:p w14:paraId="0B32B7F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（1）不同供应商的响应文件由同一单位或者个人编制；</w:t>
      </w:r>
    </w:p>
    <w:p w14:paraId="6275A6B6">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（2）不同供应商委托同一单位或者个人办理竞标事宜；</w:t>
      </w:r>
    </w:p>
    <w:p w14:paraId="5E6B390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（3）不同的供应商的响应文件载明的项目管理员为同一个人；</w:t>
      </w:r>
    </w:p>
    <w:p w14:paraId="2426227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（4）不同供应商的响应文件异常一致或者报价呈规律性差异；</w:t>
      </w:r>
    </w:p>
    <w:p w14:paraId="25E961E6">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（5）不同供应商的响应文件相互混装；</w:t>
      </w:r>
    </w:p>
    <w:p w14:paraId="451661ED">
      <w:pPr>
        <w:widowControl w:val="0"/>
        <w:tabs>
          <w:tab w:val="left" w:pos="6931"/>
        </w:tabs>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（6）不同供应商的磋商保证金从同一单位或者个人账户转出。</w:t>
      </w:r>
      <w:r>
        <w:rPr>
          <w:rFonts w:hint="eastAsia" w:ascii="仿宋" w:hAnsi="仿宋" w:eastAsia="仿宋" w:cs="仿宋"/>
          <w:snapToGrid/>
          <w:color w:val="auto"/>
          <w:kern w:val="2"/>
          <w:sz w:val="24"/>
          <w:szCs w:val="24"/>
          <w:highlight w:val="none"/>
          <w:lang w:eastAsia="zh-CN"/>
        </w:rPr>
        <w:tab/>
      </w:r>
    </w:p>
    <w:p w14:paraId="1367B1CC">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7.6供应商有下列情形之一的，属于恶意串通行为，将报同级监督管理部门：</w:t>
      </w:r>
    </w:p>
    <w:p w14:paraId="0ADE7465">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（1）供应商直接或者间接从采购人或者采购代理机构处获得其他供应商的相关信息并修改其响应文件；</w:t>
      </w:r>
    </w:p>
    <w:p w14:paraId="50995A45">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（2）供应商按照采购人或者采购代理机构的授意撤换、修改响应文件；</w:t>
      </w:r>
    </w:p>
    <w:p w14:paraId="6AB50966">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（3）供应商之间协商报价、技术方案等响应文件或者响应文件的实质性内容；</w:t>
      </w:r>
    </w:p>
    <w:p w14:paraId="690BE1F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（4）属于同一集团、协会、商会等组织成员的供应商按照该组织要求协同参加政府采购活动；</w:t>
      </w:r>
    </w:p>
    <w:p w14:paraId="2D439FC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（5）供应商之间事先约定一致抬高或者压低报价，或者在政府采购活动中事先约定轮流以高价位或者低价位成交，或者事先约定由某一特定供应商成交，然后再参加竞标；</w:t>
      </w:r>
    </w:p>
    <w:p w14:paraId="1EB17C9D">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（6）供应商之间商定部分供应商放弃参加政府采购活动或者放弃成交；</w:t>
      </w:r>
    </w:p>
    <w:p w14:paraId="09F9582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（7）供应商与采购人或者采购代理机构之间、供应商相互之间，为谋求特定供应商成交或者排斥其他供应商的其他串通行为。</w:t>
      </w:r>
    </w:p>
    <w:p w14:paraId="4BF9F48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331F4C79">
      <w:pPr>
        <w:widowControl w:val="0"/>
        <w:kinsoku/>
        <w:autoSpaceDE/>
        <w:autoSpaceDN/>
        <w:adjustRightInd/>
        <w:snapToGrid/>
        <w:spacing w:line="360" w:lineRule="auto"/>
        <w:jc w:val="center"/>
        <w:textAlignment w:val="auto"/>
        <w:outlineLvl w:val="2"/>
        <w:rPr>
          <w:rFonts w:ascii="仿宋" w:hAnsi="仿宋" w:eastAsia="仿宋" w:cs="仿宋"/>
          <w:b/>
          <w:bCs/>
          <w:snapToGrid/>
          <w:color w:val="auto"/>
          <w:kern w:val="2"/>
          <w:sz w:val="24"/>
          <w:szCs w:val="24"/>
          <w:highlight w:val="none"/>
          <w:lang w:eastAsia="zh-CN"/>
        </w:rPr>
      </w:pPr>
      <w:bookmarkStart w:id="27" w:name="_Toc22215"/>
      <w:bookmarkStart w:id="28" w:name="_Toc254970534"/>
      <w:bookmarkStart w:id="29" w:name="_Toc25084"/>
      <w:bookmarkStart w:id="30" w:name="_Toc19894"/>
      <w:bookmarkStart w:id="31" w:name="_Toc254970675"/>
      <w:r>
        <w:rPr>
          <w:rFonts w:hint="eastAsia" w:ascii="仿宋" w:hAnsi="仿宋" w:eastAsia="仿宋" w:cs="仿宋"/>
          <w:b/>
          <w:bCs/>
          <w:snapToGrid/>
          <w:color w:val="auto"/>
          <w:kern w:val="2"/>
          <w:sz w:val="24"/>
          <w:szCs w:val="24"/>
          <w:highlight w:val="none"/>
          <w:lang w:eastAsia="zh-CN"/>
        </w:rPr>
        <w:t>二</w:t>
      </w:r>
      <w:r>
        <w:rPr>
          <w:rFonts w:hint="eastAsia" w:ascii="仿宋" w:hAnsi="仿宋" w:eastAsia="仿宋" w:cs="仿宋"/>
          <w:b/>
          <w:snapToGrid/>
          <w:color w:val="auto"/>
          <w:kern w:val="2"/>
          <w:sz w:val="24"/>
          <w:szCs w:val="24"/>
          <w:highlight w:val="none"/>
          <w:lang w:eastAsia="zh-CN"/>
        </w:rPr>
        <w:t>、磋商文件</w:t>
      </w:r>
      <w:bookmarkEnd w:id="27"/>
      <w:bookmarkEnd w:id="28"/>
      <w:bookmarkEnd w:id="29"/>
      <w:bookmarkEnd w:id="30"/>
      <w:bookmarkEnd w:id="31"/>
    </w:p>
    <w:p w14:paraId="6F4522D1">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77869BD6">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8.磋商文件的构成</w:t>
      </w:r>
    </w:p>
    <w:p w14:paraId="411A3E7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（1）竞争性磋商公告/竞标邀请函；</w:t>
      </w:r>
    </w:p>
    <w:p w14:paraId="68A6C21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 xml:space="preserve">（2）供应商须知； </w:t>
      </w:r>
    </w:p>
    <w:p w14:paraId="540E31C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（3）采购需求；</w:t>
      </w:r>
    </w:p>
    <w:p w14:paraId="3DB7C706">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（4）评审程序、评审方法和评审标准；</w:t>
      </w:r>
    </w:p>
    <w:p w14:paraId="2D4E224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（5）响应文件格式；</w:t>
      </w:r>
    </w:p>
    <w:p w14:paraId="752BA24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（6）合同文本。</w:t>
      </w:r>
    </w:p>
    <w:p w14:paraId="6E2D1402">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9.供应商的询问</w:t>
      </w:r>
    </w:p>
    <w:p w14:paraId="3F8571D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供应商应认真阅读磋商文件的采购需求，如供应商对磋商文件有疑问的，如要求采购人作出澄清或者修改的，供应商尽可能在提交首次响应文件截止之日前，以书面形式向采购人、采购代理机构提出。</w:t>
      </w:r>
    </w:p>
    <w:p w14:paraId="6E0E092D">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10.磋商文件的澄清和修改</w:t>
      </w:r>
    </w:p>
    <w:p w14:paraId="6CF52E9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通知所有获取磋商文件的供应商，不足5日的，应当顺延提交首次响应文件截止之日。</w:t>
      </w:r>
    </w:p>
    <w:p w14:paraId="328B8FA3">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1BE87319">
      <w:pPr>
        <w:widowControl w:val="0"/>
        <w:kinsoku/>
        <w:autoSpaceDE/>
        <w:autoSpaceDN/>
        <w:adjustRightInd/>
        <w:snapToGrid/>
        <w:spacing w:line="360" w:lineRule="auto"/>
        <w:jc w:val="center"/>
        <w:textAlignment w:val="auto"/>
        <w:outlineLvl w:val="2"/>
        <w:rPr>
          <w:rFonts w:ascii="仿宋" w:hAnsi="仿宋" w:eastAsia="仿宋" w:cs="仿宋"/>
          <w:b/>
          <w:bCs/>
          <w:snapToGrid/>
          <w:color w:val="auto"/>
          <w:kern w:val="2"/>
          <w:sz w:val="24"/>
          <w:szCs w:val="24"/>
          <w:highlight w:val="none"/>
          <w:lang w:eastAsia="zh-CN"/>
        </w:rPr>
      </w:pPr>
      <w:bookmarkStart w:id="32" w:name="_Toc16419"/>
      <w:bookmarkStart w:id="33" w:name="_Toc1754"/>
      <w:bookmarkStart w:id="34" w:name="_Toc2720"/>
      <w:r>
        <w:rPr>
          <w:rFonts w:hint="eastAsia" w:ascii="仿宋" w:hAnsi="仿宋" w:eastAsia="仿宋" w:cs="仿宋"/>
          <w:b/>
          <w:bCs/>
          <w:snapToGrid/>
          <w:color w:val="auto"/>
          <w:kern w:val="2"/>
          <w:sz w:val="24"/>
          <w:szCs w:val="24"/>
          <w:highlight w:val="none"/>
          <w:lang w:eastAsia="zh-CN"/>
        </w:rPr>
        <w:t>三、响应文件的编制</w:t>
      </w:r>
      <w:bookmarkEnd w:id="32"/>
      <w:bookmarkEnd w:id="33"/>
      <w:bookmarkEnd w:id="34"/>
    </w:p>
    <w:p w14:paraId="746A105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5FFBC47D">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11.响应文件的编制原则</w:t>
      </w:r>
    </w:p>
    <w:p w14:paraId="713BC3D5">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供应商必须按照磋商文件的要求编制响应文件，并对其提交的响应文件的真实性、合法性承担法律责任。响应文件必须对磋商文件作出实质性响应。</w:t>
      </w:r>
    </w:p>
    <w:p w14:paraId="4667E603">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12.响应文件的组成</w:t>
      </w:r>
    </w:p>
    <w:p w14:paraId="306106B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12.1响应文件由资格证明文件、报价文件、商务技术文件三部分组成。</w:t>
      </w:r>
    </w:p>
    <w:p w14:paraId="772E6F8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12.1.1资格证明文件：详见“供应商须知前附表”</w:t>
      </w:r>
    </w:p>
    <w:p w14:paraId="1AACF0B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12.1.2报价文件：详见“供应商须知前附表”</w:t>
      </w:r>
    </w:p>
    <w:p w14:paraId="181F7F3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12.1.3商务技术文件：详见“供应商须知前附表”</w:t>
      </w:r>
    </w:p>
    <w:p w14:paraId="0970A64B">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13.计量单位</w:t>
      </w:r>
    </w:p>
    <w:p w14:paraId="27F9147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磋商文件已有明确规定的，使用磋商文件规定的计量单位；磋商文件没有规定的，应采用中华人民共和国法定计量单位，货币种类为人民币，否则视同未响应。</w:t>
      </w:r>
    </w:p>
    <w:p w14:paraId="6E5F8C21">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14.竞标的风险</w:t>
      </w:r>
    </w:p>
    <w:p w14:paraId="5D46688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供应商没有按照磋商文件要求提供全部资料，或者供应商没有对磋商文件在各方面作出实质性响应可能导致其响应无效，是供应商应当考虑的风险。</w:t>
      </w:r>
    </w:p>
    <w:p w14:paraId="1A1DB15A">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15.竞标报价</w:t>
      </w:r>
    </w:p>
    <w:p w14:paraId="03B324FC">
      <w:pPr>
        <w:widowControl w:val="0"/>
        <w:tabs>
          <w:tab w:val="left" w:pos="2492"/>
        </w:tabs>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15.1竞标报价应按磋商文件中“竞标报价表”格式填写。</w:t>
      </w:r>
    </w:p>
    <w:p w14:paraId="7894C387">
      <w:pPr>
        <w:widowControl w:val="0"/>
        <w:tabs>
          <w:tab w:val="left" w:pos="2492"/>
        </w:tabs>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15.2竞标报价的内容见“供应商须知前附表”。</w:t>
      </w:r>
    </w:p>
    <w:p w14:paraId="0846814D">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15.3竞标报价要求</w:t>
      </w:r>
    </w:p>
    <w:p w14:paraId="744D3E7D">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15.3.1供应商的竞标报价应符合以下要求，否则响应文件按无效响应处理：</w:t>
      </w:r>
    </w:p>
    <w:p w14:paraId="17E8695B">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（1）供应商必须就“采购需求”中所竞标的每个分标的全部内容分别作完整唯一总价报价，不得存在漏项报价；</w:t>
      </w:r>
    </w:p>
    <w:p w14:paraId="7666A035">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（2）供应商必须就所竞标的分标的单项内容作唯一报价。</w:t>
      </w:r>
    </w:p>
    <w:p w14:paraId="466A589C">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15.3.2竞标报价（包含首次报价、最后报价）超过所竞标分标规定的采购预算金额或者最高限价的，其响应文件将按无效处理。</w:t>
      </w:r>
    </w:p>
    <w:p w14:paraId="28026BC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15.3.3</w:t>
      </w:r>
      <w:bookmarkStart w:id="35" w:name="_Hlk42592874"/>
      <w:r>
        <w:rPr>
          <w:rFonts w:hint="eastAsia" w:ascii="仿宋" w:hAnsi="仿宋" w:eastAsia="仿宋" w:cs="仿宋"/>
          <w:snapToGrid/>
          <w:color w:val="auto"/>
          <w:kern w:val="2"/>
          <w:sz w:val="24"/>
          <w:szCs w:val="24"/>
          <w:highlight w:val="none"/>
          <w:lang w:eastAsia="zh-CN"/>
        </w:rPr>
        <w:t>竞标报价（包含首次报价、最后报价）超过分项采购预算金额或者最高限价的，其响应文件将按无效处理。</w:t>
      </w:r>
    </w:p>
    <w:bookmarkEnd w:id="35"/>
    <w:p w14:paraId="631F5EE4">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16.竞标有效期</w:t>
      </w:r>
    </w:p>
    <w:p w14:paraId="08827B5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16.1竞标有效期是指为保证采购人有足够的时间在提交响应文件后完成评审、确定成交供应商、合同签订等工作而要求供应商提交的响应文件在一定时间内保持有效的期限。</w:t>
      </w:r>
    </w:p>
    <w:p w14:paraId="7D9B684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16.2 竞标有效期应由供应商按“供应商须知前附表”规定的期限作出响应。</w:t>
      </w:r>
    </w:p>
    <w:p w14:paraId="6C8E072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16.3供应商的响应文件在竞标有效期内均保持有效。</w:t>
      </w:r>
    </w:p>
    <w:p w14:paraId="0B34075A">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17.磋商保证金</w:t>
      </w:r>
    </w:p>
    <w:p w14:paraId="50992F4D">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17.1供应商须按“供应商须知前附表”的规定提交磋商保证金。</w:t>
      </w:r>
    </w:p>
    <w:p w14:paraId="7866B93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17.2磋商保证金的退还</w:t>
      </w:r>
    </w:p>
    <w:p w14:paraId="21EDA0F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bookmarkStart w:id="36" w:name="_Hlk66782243"/>
      <w:r>
        <w:rPr>
          <w:rFonts w:hint="eastAsia" w:ascii="仿宋" w:hAnsi="仿宋" w:eastAsia="仿宋" w:cs="仿宋"/>
          <w:snapToGrid/>
          <w:color w:val="auto"/>
          <w:kern w:val="2"/>
          <w:sz w:val="24"/>
          <w:szCs w:val="24"/>
          <w:highlight w:val="none"/>
          <w:lang w:eastAsia="zh-CN"/>
        </w:rPr>
        <w:t>未</w:t>
      </w:r>
      <w:r>
        <w:rPr>
          <w:rFonts w:hint="eastAsia" w:ascii="仿宋" w:hAnsi="仿宋" w:eastAsia="仿宋" w:cs="仿宋"/>
          <w:snapToGrid/>
          <w:color w:val="auto"/>
          <w:spacing w:val="-6"/>
          <w:kern w:val="2"/>
          <w:sz w:val="24"/>
          <w:szCs w:val="24"/>
          <w:highlight w:val="none"/>
          <w:lang w:eastAsia="zh-CN"/>
        </w:rPr>
        <w:t>成交供应商的磋商保证金自成交通知书发出之日起5个工作日内退还；</w:t>
      </w:r>
      <w:r>
        <w:rPr>
          <w:rFonts w:hint="eastAsia" w:ascii="仿宋" w:hAnsi="仿宋" w:eastAsia="仿宋" w:cs="仿宋"/>
          <w:snapToGrid/>
          <w:color w:val="auto"/>
          <w:kern w:val="2"/>
          <w:sz w:val="24"/>
          <w:szCs w:val="24"/>
          <w:highlight w:val="none"/>
          <w:lang w:eastAsia="zh-CN"/>
        </w:rPr>
        <w:t>成交供应商的磋商保证金自签订合同之日起5个工作日内退还。</w:t>
      </w:r>
      <w:bookmarkEnd w:id="36"/>
    </w:p>
    <w:p w14:paraId="43CCA41B">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17.3磋商保证金不计息。</w:t>
      </w:r>
    </w:p>
    <w:p w14:paraId="7DFA8B9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 xml:space="preserve">17.4供应商有下列情形之一的，磋商保证金将不予退还： </w:t>
      </w:r>
    </w:p>
    <w:p w14:paraId="63025ABC">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（1）供应商在提交响应文件截止时间后撤回响应文件的；</w:t>
      </w:r>
    </w:p>
    <w:p w14:paraId="478AB2D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（2）未按规定提交履约保证金的；</w:t>
      </w:r>
    </w:p>
    <w:p w14:paraId="1A83066B">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（3）供应商在响应文件中提供虚假材料的；</w:t>
      </w:r>
    </w:p>
    <w:p w14:paraId="242D386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（4）除因不可抗力或者磋商文件认可的情形以外，成交供应商不与采购人签订合同的；</w:t>
      </w:r>
    </w:p>
    <w:p w14:paraId="2BA0E776">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（5）供应商与采购人、其他供应商或者采购代理机构恶意串通的；</w:t>
      </w:r>
    </w:p>
    <w:p w14:paraId="30C07D2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（6）法律法规规定的其他情形。</w:t>
      </w:r>
    </w:p>
    <w:p w14:paraId="61D0F7CA">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18.响应文件编制的要求</w:t>
      </w:r>
    </w:p>
    <w:p w14:paraId="3DA1209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18.1供应商应先安装“电子投标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30B97CF3">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18.2为确保网上操作合法、有效和安全，供应商应当在提交响应文件截止时间前完成在广西政府采购云平台的身份认证，确保在电子竞标过程中能够对相关数据电文进行加密和使用电子签章。</w:t>
      </w:r>
    </w:p>
    <w:p w14:paraId="4ADAF67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18.3响应文件须由供应商在规定位置签字、盖章（具体以供应商须知前附表或响应文件格式规定为准），否则按无效响应处理。</w:t>
      </w:r>
    </w:p>
    <w:p w14:paraId="33B088C5">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00688A5B">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53E9871">
      <w:pPr>
        <w:widowControl w:val="0"/>
        <w:kinsoku/>
        <w:autoSpaceDE/>
        <w:autoSpaceDN/>
        <w:adjustRightInd/>
        <w:snapToGrid/>
        <w:spacing w:line="360" w:lineRule="auto"/>
        <w:ind w:firstLine="482" w:firstLineChars="200"/>
        <w:textAlignment w:val="auto"/>
        <w:outlineLvl w:val="3"/>
        <w:rPr>
          <w:rFonts w:ascii="仿宋" w:hAnsi="仿宋" w:eastAsia="仿宋" w:cs="仿宋"/>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19.电子</w:t>
      </w:r>
      <w:r>
        <w:rPr>
          <w:rFonts w:hint="eastAsia" w:ascii="仿宋" w:hAnsi="仿宋" w:eastAsia="仿宋" w:cs="仿宋"/>
          <w:b/>
          <w:snapToGrid/>
          <w:color w:val="auto"/>
          <w:kern w:val="2"/>
          <w:sz w:val="24"/>
          <w:szCs w:val="24"/>
          <w:highlight w:val="none"/>
          <w:lang w:eastAsia="zh-CN"/>
        </w:rPr>
        <w:t>备份响应文件</w:t>
      </w:r>
    </w:p>
    <w:p w14:paraId="0CE53A4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电子备份响应文件是指通过“电子投标客户端”在线编制生成且后缀名为“bfbs”的文件，是否接受电子备份响应文件</w:t>
      </w:r>
      <w:r>
        <w:rPr>
          <w:rFonts w:hint="eastAsia" w:ascii="仿宋" w:hAnsi="仿宋" w:eastAsia="仿宋" w:cs="仿宋"/>
          <w:bCs/>
          <w:snapToGrid/>
          <w:color w:val="auto"/>
          <w:kern w:val="2"/>
          <w:sz w:val="24"/>
          <w:szCs w:val="24"/>
          <w:highlight w:val="none"/>
          <w:lang w:eastAsia="zh-CN"/>
        </w:rPr>
        <w:t>详见“供应商须知前附表”。</w:t>
      </w:r>
    </w:p>
    <w:p w14:paraId="40B17562">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20.响应文件的提交</w:t>
      </w:r>
    </w:p>
    <w:p w14:paraId="07C9D6C0">
      <w:pPr>
        <w:widowControl w:val="0"/>
        <w:kinsoku/>
        <w:autoSpaceDE/>
        <w:autoSpaceDN/>
        <w:adjustRightInd/>
        <w:snapToGrid/>
        <w:spacing w:line="360" w:lineRule="auto"/>
        <w:ind w:firstLine="480"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Cs/>
          <w:snapToGrid/>
          <w:color w:val="auto"/>
          <w:kern w:val="2"/>
          <w:sz w:val="24"/>
          <w:szCs w:val="24"/>
          <w:highlight w:val="none"/>
          <w:lang w:eastAsia="zh-CN"/>
        </w:rPr>
        <w:t>20.1供应商必须按“供应商须知前附表”规定的</w:t>
      </w:r>
      <w:r>
        <w:rPr>
          <w:rFonts w:hint="eastAsia" w:ascii="仿宋" w:hAnsi="仿宋" w:eastAsia="仿宋" w:cs="仿宋"/>
          <w:snapToGrid/>
          <w:color w:val="auto"/>
          <w:kern w:val="2"/>
          <w:sz w:val="24"/>
          <w:szCs w:val="24"/>
          <w:highlight w:val="none"/>
          <w:lang w:eastAsia="zh-CN"/>
        </w:rPr>
        <w:t>时间及</w:t>
      </w:r>
      <w:r>
        <w:rPr>
          <w:rFonts w:hint="eastAsia" w:ascii="仿宋" w:hAnsi="仿宋" w:eastAsia="仿宋" w:cs="仿宋"/>
          <w:bCs/>
          <w:snapToGrid/>
          <w:color w:val="auto"/>
          <w:kern w:val="2"/>
          <w:sz w:val="24"/>
          <w:szCs w:val="24"/>
          <w:highlight w:val="none"/>
          <w:lang w:eastAsia="zh-CN"/>
        </w:rPr>
        <w:t>地点提交响应文件。电子响应文件应在制作完成后，在提交响应文件截止时间前通过有效数字证书（CA认证锁）进行电子签章、加密，然后通过网络将加密的电子响应文件提交至</w:t>
      </w:r>
      <w:r>
        <w:rPr>
          <w:rFonts w:hint="eastAsia" w:ascii="仿宋" w:hAnsi="仿宋" w:eastAsia="仿宋" w:cs="仿宋"/>
          <w:snapToGrid/>
          <w:color w:val="auto"/>
          <w:kern w:val="2"/>
          <w:sz w:val="24"/>
          <w:szCs w:val="24"/>
          <w:highlight w:val="none"/>
          <w:lang w:eastAsia="zh-CN"/>
        </w:rPr>
        <w:t>广西政府采购云平台</w:t>
      </w:r>
      <w:r>
        <w:rPr>
          <w:rFonts w:hint="eastAsia" w:ascii="仿宋" w:hAnsi="仿宋" w:eastAsia="仿宋" w:cs="仿宋"/>
          <w:bCs/>
          <w:snapToGrid/>
          <w:color w:val="auto"/>
          <w:kern w:val="2"/>
          <w:sz w:val="24"/>
          <w:szCs w:val="24"/>
          <w:highlight w:val="none"/>
          <w:lang w:eastAsia="zh-CN"/>
        </w:rPr>
        <w:t>。</w:t>
      </w:r>
    </w:p>
    <w:p w14:paraId="7E571D5C">
      <w:pPr>
        <w:widowControl w:val="0"/>
        <w:kinsoku/>
        <w:autoSpaceDE/>
        <w:autoSpaceDN/>
        <w:adjustRightInd/>
        <w:snapToGrid/>
        <w:spacing w:line="360" w:lineRule="auto"/>
        <w:ind w:firstLine="482"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20.2未在规定时间内提交或者未按照磋商文件要求加密的电子响应文件，广西政府采购云平台将拒收。</w:t>
      </w:r>
    </w:p>
    <w:p w14:paraId="4C3B5189">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21.首次响应文件的补充、修改与撤回</w:t>
      </w:r>
    </w:p>
    <w:p w14:paraId="72F522C8">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bookmarkStart w:id="37" w:name="_Toc254970543"/>
      <w:bookmarkStart w:id="38" w:name="_Toc254970684"/>
      <w:r>
        <w:rPr>
          <w:rFonts w:hint="eastAsia" w:ascii="仿宋" w:hAnsi="仿宋" w:eastAsia="仿宋" w:cs="仿宋"/>
          <w:snapToGrid/>
          <w:color w:val="auto"/>
          <w:kern w:val="2"/>
          <w:sz w:val="24"/>
          <w:szCs w:val="24"/>
          <w:highlight w:val="none"/>
          <w:lang w:eastAsia="zh-CN"/>
        </w:rPr>
        <w:t>21.1</w:t>
      </w:r>
      <w:r>
        <w:rPr>
          <w:rFonts w:hint="eastAsia" w:ascii="仿宋" w:hAnsi="仿宋" w:eastAsia="仿宋" w:cs="仿宋"/>
          <w:bCs/>
          <w:snapToGrid/>
          <w:color w:val="auto"/>
          <w:kern w:val="2"/>
          <w:sz w:val="24"/>
          <w:szCs w:val="24"/>
          <w:highlight w:val="none"/>
          <w:lang w:eastAsia="zh-CN"/>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仿宋" w:hAnsi="仿宋" w:eastAsia="仿宋" w:cs="仿宋"/>
          <w:snapToGrid/>
          <w:color w:val="auto"/>
          <w:kern w:val="2"/>
          <w:sz w:val="24"/>
          <w:szCs w:val="24"/>
          <w:highlight w:val="none"/>
          <w:lang w:eastAsia="zh-CN"/>
        </w:rPr>
        <w:t>（补充、修改或者撤回方式可登录</w:t>
      </w:r>
      <w:r>
        <w:rPr>
          <w:rFonts w:hint="eastAsia" w:ascii="仿宋" w:hAnsi="仿宋" w:eastAsia="仿宋" w:cs="仿宋"/>
          <w:snapToGrid/>
          <w:color w:val="auto"/>
          <w:sz w:val="24"/>
          <w:szCs w:val="24"/>
          <w:highlight w:val="none"/>
          <w:lang w:eastAsia="zh-CN"/>
        </w:rPr>
        <w:t>广西政府采购云平台，</w:t>
      </w:r>
      <w:r>
        <w:rPr>
          <w:rFonts w:hint="eastAsia" w:ascii="仿宋" w:hAnsi="仿宋" w:eastAsia="仿宋" w:cs="仿宋"/>
          <w:snapToGrid/>
          <w:color w:val="auto"/>
          <w:kern w:val="2"/>
          <w:sz w:val="24"/>
          <w:szCs w:val="24"/>
          <w:highlight w:val="none"/>
          <w:lang w:eastAsia="zh-CN"/>
        </w:rPr>
        <w:t>进入“服务中心”中查看 “电子响应文件制作与投送教程”）</w:t>
      </w:r>
    </w:p>
    <w:bookmarkEnd w:id="37"/>
    <w:bookmarkEnd w:id="38"/>
    <w:p w14:paraId="3D7D7F8D">
      <w:pPr>
        <w:pStyle w:val="33"/>
        <w:spacing w:before="0"/>
        <w:ind w:firstLine="480"/>
        <w:jc w:val="left"/>
        <w:rPr>
          <w:rFonts w:ascii="仿宋" w:hAnsi="仿宋" w:eastAsia="仿宋" w:cs="仿宋"/>
          <w:color w:val="auto"/>
          <w:szCs w:val="24"/>
          <w:highlight w:val="none"/>
        </w:rPr>
      </w:pPr>
      <w:r>
        <w:rPr>
          <w:rFonts w:hint="eastAsia" w:ascii="仿宋" w:hAnsi="仿宋" w:eastAsia="仿宋" w:cs="仿宋"/>
          <w:color w:val="auto"/>
          <w:szCs w:val="24"/>
          <w:highlight w:val="none"/>
        </w:rPr>
        <w:t>21.2在提交响应文件截止时间前，除供应商补充、修改或者撤回响应文件外，任何单位和个人不得解密或提取响应文件。</w:t>
      </w:r>
    </w:p>
    <w:p w14:paraId="6E1630F8">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bookmarkStart w:id="39" w:name="_Hlk45702405"/>
      <w:r>
        <w:rPr>
          <w:rFonts w:hint="eastAsia" w:ascii="仿宋" w:hAnsi="仿宋" w:eastAsia="仿宋" w:cs="仿宋"/>
          <w:b/>
          <w:bCs/>
          <w:snapToGrid/>
          <w:color w:val="auto"/>
          <w:kern w:val="2"/>
          <w:sz w:val="24"/>
          <w:szCs w:val="24"/>
          <w:highlight w:val="none"/>
          <w:lang w:eastAsia="zh-CN"/>
        </w:rPr>
        <w:t>22.响应文件的退回</w:t>
      </w:r>
    </w:p>
    <w:p w14:paraId="3E6BC79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采购人和采购代理机构对已提交的响应文件概不退回。</w:t>
      </w:r>
    </w:p>
    <w:p w14:paraId="750E1EB0">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23.截止时间后的撤回</w:t>
      </w:r>
    </w:p>
    <w:p w14:paraId="620B51F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供应商在响应文件提交截止时间后向采购人、采购代理机构书面申请撤回响应文件的，将根据本须知正文17.4的规定不予退还其磋商保证金。</w:t>
      </w:r>
    </w:p>
    <w:bookmarkEnd w:id="39"/>
    <w:p w14:paraId="00DBAB4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2773E7B3">
      <w:pPr>
        <w:widowControl w:val="0"/>
        <w:kinsoku/>
        <w:autoSpaceDE/>
        <w:autoSpaceDN/>
        <w:adjustRightInd/>
        <w:snapToGrid/>
        <w:spacing w:line="360" w:lineRule="auto"/>
        <w:jc w:val="center"/>
        <w:textAlignment w:val="auto"/>
        <w:outlineLvl w:val="2"/>
        <w:rPr>
          <w:rFonts w:ascii="仿宋" w:hAnsi="仿宋" w:eastAsia="仿宋" w:cs="仿宋"/>
          <w:b/>
          <w:bCs/>
          <w:snapToGrid/>
          <w:color w:val="auto"/>
          <w:kern w:val="2"/>
          <w:sz w:val="24"/>
          <w:szCs w:val="24"/>
          <w:highlight w:val="none"/>
          <w:lang w:eastAsia="zh-CN"/>
        </w:rPr>
      </w:pPr>
      <w:bookmarkStart w:id="40" w:name="_Toc6116"/>
      <w:bookmarkStart w:id="41" w:name="_Toc17497"/>
      <w:bookmarkStart w:id="42" w:name="_Toc5623"/>
      <w:r>
        <w:rPr>
          <w:rFonts w:hint="eastAsia" w:ascii="仿宋" w:hAnsi="仿宋" w:eastAsia="仿宋" w:cs="仿宋"/>
          <w:b/>
          <w:bCs/>
          <w:snapToGrid/>
          <w:color w:val="auto"/>
          <w:kern w:val="2"/>
          <w:sz w:val="24"/>
          <w:szCs w:val="24"/>
          <w:highlight w:val="none"/>
          <w:lang w:eastAsia="zh-CN"/>
        </w:rPr>
        <w:t>四、评审及磋商</w:t>
      </w:r>
      <w:bookmarkEnd w:id="40"/>
      <w:bookmarkEnd w:id="41"/>
      <w:bookmarkEnd w:id="42"/>
    </w:p>
    <w:p w14:paraId="05BA360C">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24.磋商小组成立</w:t>
      </w:r>
    </w:p>
    <w:p w14:paraId="38C24B6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4A994B1">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E7325FB">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24.3</w:t>
      </w:r>
      <w:r>
        <w:rPr>
          <w:rFonts w:hint="eastAsia" w:ascii="仿宋" w:hAnsi="仿宋" w:eastAsia="仿宋" w:cs="仿宋"/>
          <w:bCs/>
          <w:snapToGrid/>
          <w:color w:val="auto"/>
          <w:kern w:val="2"/>
          <w:sz w:val="24"/>
          <w:szCs w:val="24"/>
          <w:highlight w:val="none"/>
          <w:lang w:eastAsia="zh-CN"/>
        </w:rPr>
        <w:t>采购代理机构应当基于广西政府采购云平台抽（选）取评审专家。</w:t>
      </w:r>
    </w:p>
    <w:p w14:paraId="662BC341">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25.首次响应文件的开启和解密</w:t>
      </w:r>
    </w:p>
    <w:p w14:paraId="322E9195">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bCs/>
          <w:snapToGrid/>
          <w:color w:val="auto"/>
          <w:kern w:val="2"/>
          <w:sz w:val="24"/>
          <w:szCs w:val="24"/>
          <w:highlight w:val="none"/>
          <w:lang w:eastAsia="zh-CN"/>
        </w:rPr>
        <w:t>采购代理机构将在“供应商须知前附表”规定的时</w:t>
      </w:r>
      <w:r>
        <w:rPr>
          <w:rFonts w:hint="eastAsia" w:ascii="仿宋" w:hAnsi="仿宋" w:eastAsia="仿宋" w:cs="仿宋"/>
          <w:snapToGrid/>
          <w:color w:val="auto"/>
          <w:kern w:val="2"/>
          <w:sz w:val="24"/>
          <w:szCs w:val="24"/>
          <w:highlight w:val="none"/>
          <w:lang w:eastAsia="zh-CN"/>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仿宋" w:hAnsi="仿宋" w:eastAsia="仿宋" w:cs="仿宋"/>
          <w:bCs/>
          <w:snapToGrid/>
          <w:color w:val="auto"/>
          <w:kern w:val="2"/>
          <w:sz w:val="24"/>
          <w:szCs w:val="24"/>
          <w:highlight w:val="none"/>
          <w:lang w:eastAsia="zh-CN"/>
        </w:rPr>
        <w:t>“供应商须知前附表”</w:t>
      </w:r>
      <w:r>
        <w:rPr>
          <w:rFonts w:hint="eastAsia" w:ascii="仿宋" w:hAnsi="仿宋" w:eastAsia="仿宋" w:cs="仿宋"/>
          <w:snapToGrid/>
          <w:color w:val="auto"/>
          <w:kern w:val="2"/>
          <w:sz w:val="24"/>
          <w:szCs w:val="24"/>
          <w:highlight w:val="none"/>
          <w:lang w:eastAsia="zh-CN"/>
        </w:rPr>
        <w:t>规定的时间内自行进行响应文件解密。</w:t>
      </w:r>
      <w:r>
        <w:rPr>
          <w:rFonts w:hint="eastAsia" w:ascii="仿宋" w:hAnsi="仿宋" w:eastAsia="仿宋" w:cs="仿宋"/>
          <w:b/>
          <w:snapToGrid/>
          <w:color w:val="auto"/>
          <w:kern w:val="2"/>
          <w:sz w:val="24"/>
          <w:szCs w:val="24"/>
          <w:highlight w:val="none"/>
          <w:lang w:eastAsia="zh-CN"/>
        </w:rPr>
        <w:t>供应商未在规定的时间内解密响应文件或者解密失败的，供应商的响应文件作无效处理。</w:t>
      </w:r>
    </w:p>
    <w:p w14:paraId="22F8673B">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26.评审程序、评审方法和评审标准</w:t>
      </w:r>
    </w:p>
    <w:p w14:paraId="729F12C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26.1本项目的评审方法为综合评分法。</w:t>
      </w:r>
    </w:p>
    <w:p w14:paraId="4FB88CC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26.2磋商小组按照“第四章 评审程序、评审方法和评审标准”规定的方法、评审因素、标准和程序对响应文件进行评审。</w:t>
      </w:r>
    </w:p>
    <w:p w14:paraId="26C5A0C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630AC1E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26.4电子交易活动的中止。采购过程中出现以下情形，导致电子交易平台无法正常运行，或者无法保证电子交易的公平、公正和安全时，采购机构可中止电子交易活动：</w:t>
      </w:r>
    </w:p>
    <w:p w14:paraId="127EEBE6">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（1）电子交易平台发生故障而无法登录访问的；</w:t>
      </w:r>
    </w:p>
    <w:p w14:paraId="69DAAAE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（2）电子交易平台应用或数据库出现错误，不能进行正常操作的；</w:t>
      </w:r>
    </w:p>
    <w:p w14:paraId="3A55563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（3）电子交易平台发现严重安全漏洞，有潜在泄密危险的；</w:t>
      </w:r>
    </w:p>
    <w:p w14:paraId="1922C81D">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（4）病毒发作导致不能进行正常操作的；</w:t>
      </w:r>
    </w:p>
    <w:p w14:paraId="256D9036">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（5）其他无法保证电子交易的公平、公正和安全的情况。</w:t>
      </w:r>
    </w:p>
    <w:p w14:paraId="757F328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26.5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4FEADEF7">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26.6评审说明：本项目为远程异地全流程电子评标。</w:t>
      </w:r>
    </w:p>
    <w:p w14:paraId="6872E7BC">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27.确定成交供应商及结果公告</w:t>
      </w:r>
    </w:p>
    <w:p w14:paraId="7948272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27.1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198204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27.2采购代理机构应当在</w:t>
      </w:r>
      <w:r>
        <w:rPr>
          <w:rFonts w:hint="eastAsia" w:ascii="仿宋" w:hAnsi="仿宋" w:eastAsia="仿宋" w:cs="仿宋"/>
          <w:snapToGrid/>
          <w:color w:val="auto"/>
          <w:sz w:val="24"/>
          <w:szCs w:val="24"/>
          <w:highlight w:val="none"/>
          <w:lang w:eastAsia="zh-CN"/>
        </w:rPr>
        <w:t>成交</w:t>
      </w:r>
      <w:r>
        <w:rPr>
          <w:rFonts w:hint="eastAsia" w:ascii="仿宋" w:hAnsi="仿宋" w:eastAsia="仿宋" w:cs="仿宋"/>
          <w:snapToGrid/>
          <w:color w:val="auto"/>
          <w:kern w:val="2"/>
          <w:sz w:val="24"/>
          <w:szCs w:val="24"/>
          <w:highlight w:val="none"/>
          <w:lang w:eastAsia="zh-CN"/>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3" w:name="_Hlk66782294"/>
      <w:r>
        <w:rPr>
          <w:rFonts w:hint="eastAsia" w:ascii="仿宋" w:hAnsi="仿宋" w:eastAsia="仿宋" w:cs="仿宋"/>
          <w:snapToGrid/>
          <w:color w:val="auto"/>
          <w:kern w:val="2"/>
          <w:sz w:val="24"/>
          <w:szCs w:val="24"/>
          <w:highlight w:val="none"/>
          <w:lang w:eastAsia="zh-CN"/>
        </w:rPr>
        <w:t>成交供应商享受《政府采购促进中小企业发展管理办法》（财库〔2020〕46号）规定的中小企业扶持政策的，采购人、采购代理机构应当随成交结果公开成交供应商的《中小企业声明函》。</w:t>
      </w:r>
      <w:bookmarkEnd w:id="43"/>
    </w:p>
    <w:p w14:paraId="33098F3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27.3出现下列情形之一的，采购人或者采购代理机构应当终止竞争性磋商采购活动，发布项目终止公告并说明原因，重新开展采购活动：</w:t>
      </w:r>
    </w:p>
    <w:p w14:paraId="3E4B205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（1）因情况变化，不再符合规定的竞争性磋商采购方式适用情形的；</w:t>
      </w:r>
    </w:p>
    <w:p w14:paraId="1F21E54D">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（2）出现影响采购公正的违法、违规行为的；</w:t>
      </w:r>
    </w:p>
    <w:p w14:paraId="7F21ED4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（3）除“第四章 评审程序、评审方法和评审标准”第4.3条规定的情形外，在采购过程中符合要求的供应商或者报价未超过采购预算的供应商不足3家的。</w:t>
      </w:r>
    </w:p>
    <w:p w14:paraId="1FE8F723">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27.4 在采购活动中因重大变故，采购任务取消的，采购人或者采购代理机构应当终止采购活动，通知所有参加采购活动的供应商，并将项目实施情况和采购任务取消原因报送本级财政部门。</w:t>
      </w:r>
    </w:p>
    <w:p w14:paraId="3A81A387">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28.履约保证金</w:t>
      </w:r>
    </w:p>
    <w:p w14:paraId="70602D4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28.1履约保证金的金额、提交方式、退付的时间和条件详见 “供应商须知前附表”。成交供应商未按规定提交履约保证金的，视为拒绝与采购人签订合同。</w:t>
      </w:r>
    </w:p>
    <w:p w14:paraId="42BDBD8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28.2在履约保证金退还日期前，若成交供应商的开户名称、开户银行、账号有变动的，请以书面形式通知履约保证金收取单位，否则由此产生的后果由成交供应商自行承担。</w:t>
      </w:r>
    </w:p>
    <w:p w14:paraId="7C362DEB">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29.签订合同</w:t>
      </w:r>
    </w:p>
    <w:p w14:paraId="5EB0431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29.1签订电子采购合同：成交供应商领取电子成交通知书后，在</w:t>
      </w:r>
      <w:r>
        <w:rPr>
          <w:rFonts w:hint="eastAsia" w:ascii="仿宋" w:hAnsi="仿宋" w:eastAsia="仿宋" w:cs="仿宋"/>
          <w:snapToGrid/>
          <w:color w:val="auto"/>
          <w:kern w:val="2"/>
          <w:sz w:val="24"/>
          <w:szCs w:val="24"/>
          <w:highlight w:val="none"/>
          <w:lang w:val="zh-CN" w:eastAsia="zh-CN"/>
        </w:rPr>
        <w:t>规定的日期、时间、地点，由法定代表人或其授权代表与采购人代表签订电子采购合同。如成交供应商为联合体的，由联合体成员各方法定代表人或其授权代表与采购人代表签订合同。</w:t>
      </w:r>
    </w:p>
    <w:p w14:paraId="7EB250F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线下签订纸质合同：供应商领取成交通知书后，按“供应商须知前附表”规定向采购人出示相关证明材料，经采购人核验合格后方可签订合同。</w:t>
      </w:r>
    </w:p>
    <w:p w14:paraId="06270FC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29.2签订合同时间：按成交通知书规定的时间与采购人签订合同。</w:t>
      </w:r>
    </w:p>
    <w:p w14:paraId="14B8723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CE51E0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A5136B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29.5采购人或成交供应商不得单方面向合同另一方提出任何磋商文件没有约定的条件或不合理的要求，作为签订合同的条件；也不得协商另行订立背离磋商文件和合同实质性内容的协议。</w:t>
      </w:r>
    </w:p>
    <w:p w14:paraId="012F46C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29.6如签订合同并生效后，供应商无故拒绝或延期，除按照合同条款处理外，将承担相应的法律责任。</w:t>
      </w:r>
    </w:p>
    <w:p w14:paraId="78A7B493">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02E344F3">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30.政府采购合同公告</w:t>
      </w:r>
    </w:p>
    <w:p w14:paraId="769C603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147301B">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31. 询问、质疑和投诉</w:t>
      </w:r>
    </w:p>
    <w:p w14:paraId="51BB7BBA">
      <w:pPr>
        <w:pStyle w:val="7"/>
        <w:spacing w:line="360" w:lineRule="auto"/>
        <w:ind w:firstLine="480" w:firstLineChars="200"/>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31.1供应商对政府采购活动事项有疑问的，可以向采购人、采购代理机构提出询问，采购人或者采购代理机构应当在3个工作日内对供应商依法提出的询问作出答复，但答复的内容不得涉及商业秘密。</w:t>
      </w:r>
    </w:p>
    <w:p w14:paraId="2F5D033C">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31.2供应商认为磋商文件、采购过程或者成交结果使自己的合法权益受到损害的，应当在知道或者应知其权益受到损害之日起7个工作日内，以书面形式向采购人、采购代理机构提出质疑，</w:t>
      </w:r>
      <w:r>
        <w:rPr>
          <w:rFonts w:hint="eastAsia" w:ascii="仿宋" w:hAnsi="仿宋" w:eastAsia="仿宋" w:cs="仿宋"/>
          <w:snapToGrid/>
          <w:color w:val="auto"/>
          <w:kern w:val="2"/>
          <w:sz w:val="24"/>
          <w:szCs w:val="24"/>
          <w:highlight w:val="none"/>
          <w:shd w:val="clear" w:color="auto" w:fill="FFFFFF"/>
          <w:lang w:eastAsia="zh-CN"/>
        </w:rPr>
        <w:t>接收质疑函的方式、联系部门、联系电话和通讯地址等信息详见</w:t>
      </w:r>
      <w:r>
        <w:rPr>
          <w:rFonts w:hint="eastAsia" w:ascii="仿宋" w:hAnsi="仿宋" w:eastAsia="仿宋" w:cs="仿宋"/>
          <w:snapToGrid/>
          <w:color w:val="auto"/>
          <w:kern w:val="2"/>
          <w:sz w:val="24"/>
          <w:szCs w:val="24"/>
          <w:highlight w:val="none"/>
          <w:lang w:eastAsia="zh-CN"/>
        </w:rPr>
        <w:t>“供应商须知前附表”。具体质疑起算时间如下：</w:t>
      </w:r>
    </w:p>
    <w:p w14:paraId="40B43B2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（1）对可以质疑的磋商文件提出质疑的，为收到磋商文件之日或者竞争性磋商公告期限届满之日；</w:t>
      </w:r>
    </w:p>
    <w:p w14:paraId="1BAB5F2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（2）对采购过程提出质疑的，为各采购程序环节结束之日；</w:t>
      </w:r>
    </w:p>
    <w:p w14:paraId="23EB62A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（3）对成交结果提出质疑的，为成交结果公告期限届满之日。</w:t>
      </w:r>
    </w:p>
    <w:p w14:paraId="54CD517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14CC85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31.4 供应商提出质疑应当提交质疑函和必要的证明材料，针对同一采购程序环节的质疑必须在法定质疑期内一次性提出。质疑函应当包括下列内容</w:t>
      </w:r>
      <w:r>
        <w:rPr>
          <w:rFonts w:hint="eastAsia" w:ascii="仿宋" w:hAnsi="仿宋" w:eastAsia="仿宋" w:cs="仿宋"/>
          <w:bCs/>
          <w:snapToGrid/>
          <w:color w:val="auto"/>
          <w:kern w:val="2"/>
          <w:sz w:val="24"/>
          <w:szCs w:val="24"/>
          <w:highlight w:val="none"/>
          <w:lang w:eastAsia="zh-CN"/>
        </w:rPr>
        <w:t>（质疑函格式后附）</w:t>
      </w:r>
      <w:r>
        <w:rPr>
          <w:rFonts w:hint="eastAsia" w:ascii="仿宋" w:hAnsi="仿宋" w:eastAsia="仿宋" w:cs="仿宋"/>
          <w:snapToGrid/>
          <w:color w:val="auto"/>
          <w:kern w:val="2"/>
          <w:sz w:val="24"/>
          <w:szCs w:val="24"/>
          <w:highlight w:val="none"/>
          <w:lang w:eastAsia="zh-CN"/>
        </w:rPr>
        <w:t>：</w:t>
      </w:r>
    </w:p>
    <w:p w14:paraId="402F179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（1）供应商的姓名或者名称、地址、邮编、联系人及联系电话；</w:t>
      </w:r>
    </w:p>
    <w:p w14:paraId="7C7E3FA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（2）质疑项目的名称、编号；</w:t>
      </w:r>
    </w:p>
    <w:p w14:paraId="6040A6C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（3）具体、明确的质疑事项和与质疑事项相关的请求；</w:t>
      </w:r>
    </w:p>
    <w:p w14:paraId="2317AD76">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（4）事实依据；</w:t>
      </w:r>
    </w:p>
    <w:p w14:paraId="58F591E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（5）必要的法律依据；</w:t>
      </w:r>
    </w:p>
    <w:p w14:paraId="1A483F3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（6）提出质疑的日期。</w:t>
      </w:r>
    </w:p>
    <w:p w14:paraId="72F296D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供应商为自然人的，应当由本人签字；供应商为法人或者其他组织的，应当由法定代表人、主要负责人，或者其委托代理人签字或者盖章，并加盖公章。</w:t>
      </w:r>
    </w:p>
    <w:p w14:paraId="7BB71F2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31.5采购人、采购代理机构认为供应商质疑不成立，或者成立但未对成交结果构成影响的，继续开展采购活动；认为供应商质疑成立且影响或者可能影响成交结果的，按照下列情况处理：</w:t>
      </w:r>
    </w:p>
    <w:p w14:paraId="7E64C915">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（一）对采购文件提出的质疑，依法通过澄清或者修改可以继续开展采购活动的，澄清或者修改采购文件后继续开展采购活动；否则应当修改采购文件后重新开展采购活动。</w:t>
      </w:r>
    </w:p>
    <w:p w14:paraId="73C1717C">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（二）对采购过程或者成交结果提出的质疑，合格供应商符合法定数量时，可以从合格的成交候选人中另行确定成交供应商的，应当依法另行确定成交供应商；否则应当重新开展采购活动。</w:t>
      </w:r>
    </w:p>
    <w:p w14:paraId="4043C4C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质疑答复导致成交结果改变的，采购人或者采购代理机构应当将有关情况书面报告本级财政部门。</w:t>
      </w:r>
    </w:p>
    <w:p w14:paraId="169A6E5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31.6投诉的权利。质疑供应商对采购人或采购代理机构的答复不满意，或者采购人或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416490A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069FAAF8">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32.其他内容</w:t>
      </w:r>
    </w:p>
    <w:p w14:paraId="5AEBC881">
      <w:pPr>
        <w:widowControl w:val="0"/>
        <w:tabs>
          <w:tab w:val="left" w:pos="2835"/>
        </w:tabs>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32.1代理服务收取标准及缴费账户详见“供应商须知前附表”，供应商为联合体的，可以由联合体中的一方或者多方共同交纳代理服务费。</w:t>
      </w:r>
    </w:p>
    <w:p w14:paraId="1CAD026B">
      <w:pPr>
        <w:widowControl w:val="0"/>
        <w:tabs>
          <w:tab w:val="left" w:pos="2835"/>
        </w:tabs>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32.2代理服务费收费计算标准：</w:t>
      </w:r>
    </w:p>
    <w:tbl>
      <w:tblPr>
        <w:tblStyle w:val="24"/>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8"/>
        <w:gridCol w:w="1837"/>
        <w:gridCol w:w="1697"/>
        <w:gridCol w:w="1713"/>
      </w:tblGrid>
      <w:tr w14:paraId="53F3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8" w:type="dxa"/>
            <w:tcBorders>
              <w:tl2br w:val="single" w:color="auto" w:sz="4" w:space="0"/>
            </w:tcBorders>
            <w:vAlign w:val="center"/>
          </w:tcPr>
          <w:p w14:paraId="6FF4385B">
            <w:pPr>
              <w:widowControl w:val="0"/>
              <w:kinsoku/>
              <w:autoSpaceDE/>
              <w:autoSpaceDN/>
              <w:adjustRightInd/>
              <w:snapToGrid/>
              <w:spacing w:line="360" w:lineRule="auto"/>
              <w:jc w:val="right"/>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费率</w:t>
            </w:r>
          </w:p>
          <w:p w14:paraId="0C530C03">
            <w:pPr>
              <w:widowControl w:val="0"/>
              <w:kinsoku/>
              <w:autoSpaceDE/>
              <w:autoSpaceDN/>
              <w:adjustRightInd/>
              <w:snapToGrid/>
              <w:spacing w:line="360" w:lineRule="auto"/>
              <w:jc w:val="both"/>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金额</w:t>
            </w:r>
          </w:p>
        </w:tc>
        <w:tc>
          <w:tcPr>
            <w:tcW w:w="1837" w:type="dxa"/>
            <w:vAlign w:val="center"/>
          </w:tcPr>
          <w:p w14:paraId="0DDCB93E">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货物类</w:t>
            </w:r>
          </w:p>
        </w:tc>
        <w:tc>
          <w:tcPr>
            <w:tcW w:w="1697" w:type="dxa"/>
            <w:vAlign w:val="center"/>
          </w:tcPr>
          <w:p w14:paraId="15335CAE">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服务类</w:t>
            </w:r>
          </w:p>
        </w:tc>
        <w:tc>
          <w:tcPr>
            <w:tcW w:w="1713" w:type="dxa"/>
            <w:vAlign w:val="center"/>
          </w:tcPr>
          <w:p w14:paraId="3E842B98">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工程类</w:t>
            </w:r>
          </w:p>
        </w:tc>
      </w:tr>
      <w:tr w14:paraId="5CEC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8" w:type="dxa"/>
            <w:vAlign w:val="center"/>
          </w:tcPr>
          <w:p w14:paraId="3E5D5457">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100万元以下</w:t>
            </w:r>
          </w:p>
        </w:tc>
        <w:tc>
          <w:tcPr>
            <w:tcW w:w="1837" w:type="dxa"/>
            <w:vAlign w:val="center"/>
          </w:tcPr>
          <w:p w14:paraId="4D557876">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1.5%</w:t>
            </w:r>
          </w:p>
        </w:tc>
        <w:tc>
          <w:tcPr>
            <w:tcW w:w="1697" w:type="dxa"/>
            <w:vAlign w:val="center"/>
          </w:tcPr>
          <w:p w14:paraId="685FF9DA">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1.5%</w:t>
            </w:r>
          </w:p>
        </w:tc>
        <w:tc>
          <w:tcPr>
            <w:tcW w:w="1713" w:type="dxa"/>
            <w:vAlign w:val="center"/>
          </w:tcPr>
          <w:p w14:paraId="0B5362AC">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1.0%</w:t>
            </w:r>
          </w:p>
        </w:tc>
      </w:tr>
      <w:tr w14:paraId="6DC0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8" w:type="dxa"/>
            <w:vAlign w:val="center"/>
          </w:tcPr>
          <w:p w14:paraId="26A9049D">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100～500万元</w:t>
            </w:r>
          </w:p>
        </w:tc>
        <w:tc>
          <w:tcPr>
            <w:tcW w:w="1837" w:type="dxa"/>
            <w:vAlign w:val="center"/>
          </w:tcPr>
          <w:p w14:paraId="713F4147">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1.1%</w:t>
            </w:r>
          </w:p>
        </w:tc>
        <w:tc>
          <w:tcPr>
            <w:tcW w:w="1697" w:type="dxa"/>
            <w:vAlign w:val="center"/>
          </w:tcPr>
          <w:p w14:paraId="31740556">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0.8%</w:t>
            </w:r>
          </w:p>
        </w:tc>
        <w:tc>
          <w:tcPr>
            <w:tcW w:w="1713" w:type="dxa"/>
            <w:vAlign w:val="center"/>
          </w:tcPr>
          <w:p w14:paraId="08116EA0">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0.7%</w:t>
            </w:r>
          </w:p>
        </w:tc>
      </w:tr>
      <w:tr w14:paraId="4E63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8" w:type="dxa"/>
            <w:vAlign w:val="center"/>
          </w:tcPr>
          <w:p w14:paraId="2D0846F2">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500～1000万元</w:t>
            </w:r>
          </w:p>
        </w:tc>
        <w:tc>
          <w:tcPr>
            <w:tcW w:w="1837" w:type="dxa"/>
            <w:vAlign w:val="center"/>
          </w:tcPr>
          <w:p w14:paraId="0A21E3FE">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0.8%</w:t>
            </w:r>
          </w:p>
        </w:tc>
        <w:tc>
          <w:tcPr>
            <w:tcW w:w="1697" w:type="dxa"/>
            <w:vAlign w:val="center"/>
          </w:tcPr>
          <w:p w14:paraId="793AE0C8">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0.45%</w:t>
            </w:r>
          </w:p>
        </w:tc>
        <w:tc>
          <w:tcPr>
            <w:tcW w:w="1713" w:type="dxa"/>
            <w:vAlign w:val="center"/>
          </w:tcPr>
          <w:p w14:paraId="4A4204F2">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0.55%</w:t>
            </w:r>
          </w:p>
        </w:tc>
      </w:tr>
      <w:tr w14:paraId="3C25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8" w:type="dxa"/>
            <w:vAlign w:val="center"/>
          </w:tcPr>
          <w:p w14:paraId="2604AB33">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1000～5000万元</w:t>
            </w:r>
          </w:p>
        </w:tc>
        <w:tc>
          <w:tcPr>
            <w:tcW w:w="1837" w:type="dxa"/>
            <w:vAlign w:val="center"/>
          </w:tcPr>
          <w:p w14:paraId="02100B07">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0.5%</w:t>
            </w:r>
          </w:p>
        </w:tc>
        <w:tc>
          <w:tcPr>
            <w:tcW w:w="1697" w:type="dxa"/>
            <w:vAlign w:val="center"/>
          </w:tcPr>
          <w:p w14:paraId="2B8C8125">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0.25%</w:t>
            </w:r>
          </w:p>
        </w:tc>
        <w:tc>
          <w:tcPr>
            <w:tcW w:w="1713" w:type="dxa"/>
            <w:vAlign w:val="center"/>
          </w:tcPr>
          <w:p w14:paraId="13A1AE01">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0.35%</w:t>
            </w:r>
          </w:p>
        </w:tc>
      </w:tr>
      <w:tr w14:paraId="4FC7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8" w:type="dxa"/>
            <w:vAlign w:val="center"/>
          </w:tcPr>
          <w:p w14:paraId="5CE0F5E9">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5000万元～1亿元</w:t>
            </w:r>
          </w:p>
        </w:tc>
        <w:tc>
          <w:tcPr>
            <w:tcW w:w="1837" w:type="dxa"/>
            <w:vAlign w:val="center"/>
          </w:tcPr>
          <w:p w14:paraId="0AA70867">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0.25%</w:t>
            </w:r>
          </w:p>
        </w:tc>
        <w:tc>
          <w:tcPr>
            <w:tcW w:w="1697" w:type="dxa"/>
            <w:vAlign w:val="center"/>
          </w:tcPr>
          <w:p w14:paraId="0F76D3D3">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0.1%</w:t>
            </w:r>
          </w:p>
        </w:tc>
        <w:tc>
          <w:tcPr>
            <w:tcW w:w="1713" w:type="dxa"/>
            <w:vAlign w:val="center"/>
          </w:tcPr>
          <w:p w14:paraId="095D5E90">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0.2%</w:t>
            </w:r>
          </w:p>
        </w:tc>
      </w:tr>
      <w:tr w14:paraId="547A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8" w:type="dxa"/>
            <w:vAlign w:val="center"/>
          </w:tcPr>
          <w:p w14:paraId="00BDD869">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1～5亿元</w:t>
            </w:r>
          </w:p>
        </w:tc>
        <w:tc>
          <w:tcPr>
            <w:tcW w:w="1837" w:type="dxa"/>
            <w:vAlign w:val="center"/>
          </w:tcPr>
          <w:p w14:paraId="24A98743">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0.05%</w:t>
            </w:r>
          </w:p>
        </w:tc>
        <w:tc>
          <w:tcPr>
            <w:tcW w:w="1697" w:type="dxa"/>
            <w:vAlign w:val="center"/>
          </w:tcPr>
          <w:p w14:paraId="7373AF95">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0.05%</w:t>
            </w:r>
          </w:p>
        </w:tc>
        <w:tc>
          <w:tcPr>
            <w:tcW w:w="1713" w:type="dxa"/>
            <w:vAlign w:val="center"/>
          </w:tcPr>
          <w:p w14:paraId="748AE6D0">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0.05%</w:t>
            </w:r>
          </w:p>
        </w:tc>
      </w:tr>
      <w:tr w14:paraId="6544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8" w:type="dxa"/>
            <w:vAlign w:val="center"/>
          </w:tcPr>
          <w:p w14:paraId="348A72D6">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5～10亿元</w:t>
            </w:r>
          </w:p>
        </w:tc>
        <w:tc>
          <w:tcPr>
            <w:tcW w:w="1837" w:type="dxa"/>
            <w:vAlign w:val="center"/>
          </w:tcPr>
          <w:p w14:paraId="5DFA746B">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0.035%</w:t>
            </w:r>
          </w:p>
        </w:tc>
        <w:tc>
          <w:tcPr>
            <w:tcW w:w="1697" w:type="dxa"/>
            <w:vAlign w:val="center"/>
          </w:tcPr>
          <w:p w14:paraId="303B54A2">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0.035%</w:t>
            </w:r>
          </w:p>
        </w:tc>
        <w:tc>
          <w:tcPr>
            <w:tcW w:w="1713" w:type="dxa"/>
            <w:vAlign w:val="center"/>
          </w:tcPr>
          <w:p w14:paraId="33435497">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0.035%</w:t>
            </w:r>
          </w:p>
        </w:tc>
      </w:tr>
      <w:tr w14:paraId="5948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8" w:type="dxa"/>
            <w:vAlign w:val="center"/>
          </w:tcPr>
          <w:p w14:paraId="23F99D26">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10～50亿元</w:t>
            </w:r>
          </w:p>
        </w:tc>
        <w:tc>
          <w:tcPr>
            <w:tcW w:w="1837" w:type="dxa"/>
            <w:vAlign w:val="center"/>
          </w:tcPr>
          <w:p w14:paraId="54219D7F">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0.008%</w:t>
            </w:r>
          </w:p>
        </w:tc>
        <w:tc>
          <w:tcPr>
            <w:tcW w:w="1697" w:type="dxa"/>
            <w:vAlign w:val="center"/>
          </w:tcPr>
          <w:p w14:paraId="5A181CC8">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0.008%</w:t>
            </w:r>
          </w:p>
        </w:tc>
        <w:tc>
          <w:tcPr>
            <w:tcW w:w="1713" w:type="dxa"/>
            <w:vAlign w:val="center"/>
          </w:tcPr>
          <w:p w14:paraId="6D164ED3">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0.008%</w:t>
            </w:r>
          </w:p>
        </w:tc>
      </w:tr>
      <w:tr w14:paraId="467F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8" w:type="dxa"/>
            <w:vAlign w:val="center"/>
          </w:tcPr>
          <w:p w14:paraId="7DF2047D">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50～100亿元</w:t>
            </w:r>
          </w:p>
        </w:tc>
        <w:tc>
          <w:tcPr>
            <w:tcW w:w="1837" w:type="dxa"/>
            <w:vAlign w:val="center"/>
          </w:tcPr>
          <w:p w14:paraId="6E23F5C7">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0.006%</w:t>
            </w:r>
          </w:p>
        </w:tc>
        <w:tc>
          <w:tcPr>
            <w:tcW w:w="1697" w:type="dxa"/>
            <w:vAlign w:val="center"/>
          </w:tcPr>
          <w:p w14:paraId="409C39AD">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0.006%</w:t>
            </w:r>
          </w:p>
        </w:tc>
        <w:tc>
          <w:tcPr>
            <w:tcW w:w="1713" w:type="dxa"/>
            <w:vAlign w:val="center"/>
          </w:tcPr>
          <w:p w14:paraId="53EFF20C">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0.006%</w:t>
            </w:r>
          </w:p>
        </w:tc>
      </w:tr>
      <w:tr w14:paraId="6DA6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8" w:type="dxa"/>
            <w:vAlign w:val="center"/>
          </w:tcPr>
          <w:p w14:paraId="47A8FC6C">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100亿以上</w:t>
            </w:r>
          </w:p>
        </w:tc>
        <w:tc>
          <w:tcPr>
            <w:tcW w:w="1837" w:type="dxa"/>
            <w:vAlign w:val="center"/>
          </w:tcPr>
          <w:p w14:paraId="1685B46E">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0.004%</w:t>
            </w:r>
          </w:p>
        </w:tc>
        <w:tc>
          <w:tcPr>
            <w:tcW w:w="1697" w:type="dxa"/>
            <w:vAlign w:val="center"/>
          </w:tcPr>
          <w:p w14:paraId="0423853E">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0.004%</w:t>
            </w:r>
          </w:p>
        </w:tc>
        <w:tc>
          <w:tcPr>
            <w:tcW w:w="1713" w:type="dxa"/>
            <w:vAlign w:val="center"/>
          </w:tcPr>
          <w:p w14:paraId="3D193C2B">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0.004%</w:t>
            </w:r>
          </w:p>
        </w:tc>
      </w:tr>
    </w:tbl>
    <w:p w14:paraId="07B1FA1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注：</w:t>
      </w:r>
    </w:p>
    <w:p w14:paraId="4E74145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（1）按本表费率计算的收费为采购代理的收费基准价格；</w:t>
      </w:r>
    </w:p>
    <w:p w14:paraId="6ADA292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（2）采购代理收费按差额定率累进法计算。</w:t>
      </w:r>
    </w:p>
    <w:p w14:paraId="5B06D02C">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例如：某服务采购代理业务成交金额或者暂定价为150万元，计算采购代理收费额如下：</w:t>
      </w:r>
    </w:p>
    <w:p w14:paraId="1DAA244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100 万元 ×l.5 %＝ 1.5 万元</w:t>
      </w:r>
    </w:p>
    <w:p w14:paraId="3AE44C9C">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 150 － 100 ）万元 ×0.8%＝ 0.4万元</w:t>
      </w:r>
    </w:p>
    <w:p w14:paraId="5D246B6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合计收费＝ 1.5 ＋ 0.4＝ 1.9 万元</w:t>
      </w:r>
    </w:p>
    <w:p w14:paraId="7EDC2668">
      <w:pPr>
        <w:widowControl w:val="0"/>
        <w:kinsoku/>
        <w:autoSpaceDE/>
        <w:autoSpaceDN/>
        <w:adjustRightInd/>
        <w:snapToGrid/>
        <w:spacing w:line="360" w:lineRule="auto"/>
        <w:ind w:firstLine="482" w:firstLineChars="200"/>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33.需要补充的其他内容</w:t>
      </w:r>
    </w:p>
    <w:p w14:paraId="1C85B958">
      <w:pPr>
        <w:pStyle w:val="14"/>
        <w:kinsoku/>
        <w:autoSpaceDE/>
        <w:autoSpaceDN/>
        <w:adjustRightInd/>
        <w:snapToGrid/>
        <w:spacing w:line="360" w:lineRule="auto"/>
        <w:ind w:firstLine="480" w:firstLineChars="200"/>
        <w:jc w:val="left"/>
        <w:textAlignment w:val="center"/>
        <w:rPr>
          <w:rFonts w:ascii="仿宋" w:hAnsi="仿宋" w:eastAsia="仿宋" w:cs="仿宋"/>
          <w:snapToGrid/>
          <w:color w:val="auto"/>
          <w:kern w:val="2"/>
          <w:sz w:val="24"/>
          <w:szCs w:val="24"/>
          <w:highlight w:val="none"/>
        </w:rPr>
      </w:pPr>
      <w:r>
        <w:rPr>
          <w:rFonts w:hint="eastAsia" w:ascii="仿宋" w:hAnsi="仿宋" w:eastAsia="仿宋" w:cs="仿宋"/>
          <w:snapToGrid/>
          <w:color w:val="auto"/>
          <w:kern w:val="2"/>
          <w:sz w:val="24"/>
          <w:szCs w:val="24"/>
          <w:highlight w:val="none"/>
        </w:rPr>
        <w:t>33.1本磋商文件解释规则详见“供应商须知前附表”。</w:t>
      </w:r>
    </w:p>
    <w:p w14:paraId="14C47AA9">
      <w:pPr>
        <w:pStyle w:val="14"/>
        <w:kinsoku/>
        <w:autoSpaceDE/>
        <w:autoSpaceDN/>
        <w:adjustRightInd/>
        <w:snapToGrid/>
        <w:spacing w:line="360" w:lineRule="auto"/>
        <w:ind w:firstLine="480" w:firstLineChars="200"/>
        <w:jc w:val="left"/>
        <w:textAlignment w:val="center"/>
        <w:rPr>
          <w:rFonts w:ascii="仿宋" w:hAnsi="仿宋" w:eastAsia="仿宋" w:cs="仿宋"/>
          <w:snapToGrid/>
          <w:color w:val="auto"/>
          <w:kern w:val="2"/>
          <w:sz w:val="24"/>
          <w:szCs w:val="24"/>
          <w:highlight w:val="none"/>
        </w:rPr>
      </w:pPr>
      <w:r>
        <w:rPr>
          <w:rFonts w:hint="eastAsia" w:ascii="仿宋" w:hAnsi="仿宋" w:eastAsia="仿宋" w:cs="仿宋"/>
          <w:snapToGrid/>
          <w:color w:val="auto"/>
          <w:kern w:val="2"/>
          <w:sz w:val="24"/>
          <w:szCs w:val="24"/>
          <w:highlight w:val="none"/>
        </w:rPr>
        <w:t>33.2其他事项详见“供应商须知前附表”。</w:t>
      </w:r>
    </w:p>
    <w:p w14:paraId="3E83AE4A">
      <w:pPr>
        <w:pStyle w:val="14"/>
        <w:kinsoku/>
        <w:autoSpaceDE/>
        <w:autoSpaceDN/>
        <w:adjustRightInd/>
        <w:snapToGrid/>
        <w:spacing w:line="360" w:lineRule="auto"/>
        <w:ind w:firstLine="480" w:firstLineChars="200"/>
        <w:jc w:val="left"/>
        <w:textAlignment w:val="center"/>
        <w:rPr>
          <w:rFonts w:ascii="仿宋" w:hAnsi="仿宋" w:eastAsia="仿宋" w:cs="仿宋"/>
          <w:snapToGrid/>
          <w:color w:val="auto"/>
          <w:kern w:val="2"/>
          <w:sz w:val="24"/>
          <w:szCs w:val="24"/>
          <w:highlight w:val="none"/>
        </w:rPr>
      </w:pPr>
      <w:r>
        <w:rPr>
          <w:rFonts w:hint="eastAsia" w:ascii="仿宋" w:hAnsi="仿宋" w:eastAsia="仿宋" w:cs="仿宋"/>
          <w:snapToGrid/>
          <w:color w:val="auto"/>
          <w:kern w:val="2"/>
          <w:sz w:val="24"/>
          <w:szCs w:val="24"/>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256E9415">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（1）在货物采购项目中，货物由中小企业制造，即货物由中小企业生产且使用该中小企业商号或者注册商标，不对其中涉及的工程承建商和服务的承接商作出要求；</w:t>
      </w:r>
    </w:p>
    <w:p w14:paraId="12AC49C1">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（2）在工程采购项目中，工程由中小企业承建，即工程施工单位为中小企业，不对其中涉及的货物的制造商和服务的承接商作出要求；</w:t>
      </w:r>
    </w:p>
    <w:p w14:paraId="0B214BAA">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6B5F32CE">
      <w:pPr>
        <w:pStyle w:val="14"/>
        <w:kinsoku/>
        <w:autoSpaceDE/>
        <w:autoSpaceDN/>
        <w:adjustRightInd/>
        <w:snapToGrid/>
        <w:spacing w:line="360" w:lineRule="auto"/>
        <w:ind w:firstLine="480" w:firstLineChars="200"/>
        <w:jc w:val="left"/>
        <w:textAlignment w:val="center"/>
        <w:rPr>
          <w:rFonts w:ascii="仿宋" w:hAnsi="仿宋" w:eastAsia="仿宋" w:cs="仿宋"/>
          <w:snapToGrid/>
          <w:color w:val="auto"/>
          <w:kern w:val="2"/>
          <w:sz w:val="24"/>
          <w:szCs w:val="24"/>
          <w:highlight w:val="none"/>
        </w:rPr>
      </w:pPr>
      <w:r>
        <w:rPr>
          <w:rFonts w:hint="eastAsia" w:ascii="仿宋" w:hAnsi="仿宋" w:eastAsia="仿宋" w:cs="仿宋"/>
          <w:snapToGrid/>
          <w:color w:val="auto"/>
          <w:kern w:val="2"/>
          <w:sz w:val="24"/>
          <w:szCs w:val="24"/>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48FAB940">
      <w:pPr>
        <w:pStyle w:val="14"/>
        <w:kinsoku/>
        <w:autoSpaceDE/>
        <w:autoSpaceDN/>
        <w:adjustRightInd/>
        <w:snapToGrid/>
        <w:spacing w:line="360" w:lineRule="auto"/>
        <w:ind w:firstLine="480" w:firstLineChars="200"/>
        <w:jc w:val="left"/>
        <w:textAlignment w:val="center"/>
        <w:rPr>
          <w:rFonts w:ascii="仿宋" w:hAnsi="仿宋" w:eastAsia="仿宋" w:cs="仿宋"/>
          <w:snapToGrid/>
          <w:color w:val="auto"/>
          <w:kern w:val="2"/>
          <w:sz w:val="24"/>
          <w:szCs w:val="24"/>
          <w:highlight w:val="none"/>
        </w:rPr>
      </w:pPr>
      <w:r>
        <w:rPr>
          <w:rFonts w:hint="eastAsia" w:ascii="仿宋" w:hAnsi="仿宋" w:eastAsia="仿宋" w:cs="仿宋"/>
          <w:snapToGrid/>
          <w:color w:val="auto"/>
          <w:kern w:val="2"/>
          <w:sz w:val="24"/>
          <w:szCs w:val="24"/>
          <w:highlight w:val="none"/>
        </w:rPr>
        <w:t>依据本磋商文件规定享受扶持政策获得政府采购合同的，小微企业不得将合同分包给大中型企业，中型企业不得将合同分包给大型企业。</w:t>
      </w:r>
    </w:p>
    <w:p w14:paraId="0A1CDDF8">
      <w:pPr>
        <w:pStyle w:val="14"/>
        <w:kinsoku/>
        <w:autoSpaceDE/>
        <w:autoSpaceDN/>
        <w:adjustRightInd/>
        <w:snapToGrid/>
        <w:spacing w:line="360" w:lineRule="auto"/>
        <w:ind w:firstLine="480" w:firstLineChars="200"/>
        <w:contextualSpacing/>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33.4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8422CF1">
      <w:pPr>
        <w:rPr>
          <w:rFonts w:ascii="仿宋" w:hAnsi="仿宋" w:eastAsia="仿宋" w:cs="仿宋"/>
          <w:color w:val="auto"/>
          <w:highlight w:val="none"/>
          <w:lang w:eastAsia="zh-CN"/>
        </w:rPr>
      </w:pPr>
    </w:p>
    <w:p w14:paraId="7A6CFB63">
      <w:pPr>
        <w:pStyle w:val="14"/>
        <w:kinsoku/>
        <w:autoSpaceDE/>
        <w:autoSpaceDN/>
        <w:adjustRightInd/>
        <w:snapToGrid/>
        <w:spacing w:line="360" w:lineRule="auto"/>
        <w:ind w:firstLine="480" w:firstLineChars="200"/>
        <w:jc w:val="left"/>
        <w:textAlignment w:val="center"/>
        <w:rPr>
          <w:rFonts w:ascii="仿宋" w:hAnsi="仿宋" w:eastAsia="仿宋" w:cs="仿宋"/>
          <w:snapToGrid/>
          <w:color w:val="auto"/>
          <w:kern w:val="2"/>
          <w:sz w:val="24"/>
          <w:szCs w:val="24"/>
          <w:highlight w:val="none"/>
        </w:rPr>
      </w:pPr>
      <w:r>
        <w:rPr>
          <w:rFonts w:hint="eastAsia" w:ascii="仿宋" w:hAnsi="仿宋" w:eastAsia="仿宋" w:cs="仿宋"/>
          <w:snapToGrid/>
          <w:color w:val="auto"/>
          <w:kern w:val="2"/>
          <w:sz w:val="24"/>
          <w:szCs w:val="24"/>
          <w:highlight w:val="none"/>
        </w:rPr>
        <w:t>33.5《崇左市财政局关于进一步做好线上“政采贷”融资业务工作的通知》( 崇财采(2023)10号)相关附件</w:t>
      </w:r>
    </w:p>
    <w:p w14:paraId="0FCD509D">
      <w:pPr>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p>
    <w:p w14:paraId="7978E2D8">
      <w:pPr>
        <w:widowControl w:val="0"/>
        <w:kinsoku/>
        <w:autoSpaceDE/>
        <w:autoSpaceDN/>
        <w:adjustRightInd/>
        <w:snapToGrid/>
        <w:spacing w:line="360" w:lineRule="auto"/>
        <w:jc w:val="center"/>
        <w:textAlignment w:val="auto"/>
        <w:outlineLvl w:val="2"/>
        <w:rPr>
          <w:rFonts w:ascii="仿宋" w:hAnsi="仿宋" w:eastAsia="仿宋" w:cs="仿宋"/>
          <w:b/>
          <w:bCs/>
          <w:snapToGrid/>
          <w:color w:val="auto"/>
          <w:kern w:val="2"/>
          <w:sz w:val="24"/>
          <w:szCs w:val="24"/>
          <w:highlight w:val="none"/>
          <w:lang w:eastAsia="zh-CN"/>
        </w:rPr>
      </w:pPr>
      <w:bookmarkStart w:id="44" w:name="_Toc9238"/>
      <w:bookmarkStart w:id="45" w:name="_Toc27679"/>
      <w:bookmarkStart w:id="46" w:name="_Toc5251"/>
      <w:r>
        <w:rPr>
          <w:rFonts w:hint="eastAsia" w:ascii="仿宋" w:hAnsi="仿宋" w:eastAsia="仿宋" w:cs="仿宋"/>
          <w:b/>
          <w:bCs/>
          <w:snapToGrid/>
          <w:color w:val="auto"/>
          <w:kern w:val="2"/>
          <w:sz w:val="24"/>
          <w:szCs w:val="24"/>
          <w:highlight w:val="none"/>
          <w:lang w:eastAsia="zh-CN"/>
        </w:rPr>
        <w:t>崇左市线上“政采贷”政策告知函</w:t>
      </w:r>
      <w:bookmarkEnd w:id="44"/>
      <w:bookmarkEnd w:id="45"/>
      <w:bookmarkEnd w:id="46"/>
    </w:p>
    <w:p w14:paraId="735ABDD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63B1CDC1">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各供应商：</w:t>
      </w:r>
    </w:p>
    <w:p w14:paraId="44723A51">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欢迎贵公司参与崇左市政府采购活动！</w:t>
      </w:r>
    </w:p>
    <w:p w14:paraId="69764C03">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26E552B5">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hint="eastAsia" w:ascii="仿宋" w:hAnsi="仿宋" w:eastAsia="仿宋" w:cs="仿宋"/>
          <w:snapToGrid/>
          <w:color w:val="auto"/>
          <w:sz w:val="24"/>
          <w:szCs w:val="24"/>
          <w:highlight w:val="none"/>
          <w:lang w:eastAsia="zh-CN"/>
        </w:rPr>
        <w:t>https://www.crcrfsp.com/</w:t>
      </w:r>
      <w:r>
        <w:rPr>
          <w:rFonts w:hint="eastAsia" w:ascii="仿宋" w:hAnsi="仿宋" w:eastAsia="仿宋" w:cs="仿宋"/>
          <w:snapToGrid/>
          <w:color w:val="auto"/>
          <w:sz w:val="24"/>
          <w:szCs w:val="24"/>
          <w:highlight w:val="none"/>
          <w:lang w:eastAsia="zh-CN"/>
        </w:rPr>
        <w:fldChar w:fldCharType="end"/>
      </w:r>
      <w:r>
        <w:rPr>
          <w:rFonts w:hint="eastAsia" w:ascii="仿宋" w:hAnsi="仿宋" w:eastAsia="仿宋" w:cs="仿宋"/>
          <w:snapToGrid/>
          <w:color w:val="auto"/>
          <w:sz w:val="24"/>
          <w:szCs w:val="24"/>
          <w:highlight w:val="none"/>
          <w:lang w:eastAsia="zh-CN"/>
        </w:rPr>
        <w:t>，客服电话：400-009-0001）。</w:t>
      </w:r>
    </w:p>
    <w:p w14:paraId="563199B1">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br w:type="page"/>
      </w:r>
    </w:p>
    <w:p w14:paraId="4D65B138">
      <w:pPr>
        <w:widowControl w:val="0"/>
        <w:kinsoku/>
        <w:autoSpaceDE/>
        <w:autoSpaceDN/>
        <w:adjustRightInd/>
        <w:snapToGrid/>
        <w:spacing w:line="360" w:lineRule="auto"/>
        <w:jc w:val="center"/>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崇左市线上“政采贷”业务流程图</w:t>
      </w:r>
    </w:p>
    <w:p w14:paraId="5C79E001">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drawing>
          <wp:inline distT="0" distB="0" distL="0" distR="0">
            <wp:extent cx="4924425" cy="7000875"/>
            <wp:effectExtent l="0" t="0" r="3175" b="9525"/>
            <wp:docPr id="1"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流程图1011"/>
                    <pic:cNvPicPr>
                      <a:picLocks noChangeAspect="1" noChangeArrowheads="1"/>
                    </pic:cNvPicPr>
                  </pic:nvPicPr>
                  <pic:blipFill>
                    <a:blip r:embed="rId12"/>
                    <a:srcRect/>
                    <a:stretch>
                      <a:fillRect/>
                    </a:stretch>
                  </pic:blipFill>
                  <pic:spPr>
                    <a:xfrm>
                      <a:off x="0" y="0"/>
                      <a:ext cx="4924425" cy="7000875"/>
                    </a:xfrm>
                    <a:prstGeom prst="rect">
                      <a:avLst/>
                    </a:prstGeom>
                    <a:noFill/>
                    <a:ln w="9525" cmpd="sng">
                      <a:noFill/>
                      <a:miter lim="800000"/>
                      <a:headEnd/>
                      <a:tailEnd/>
                    </a:ln>
                  </pic:spPr>
                </pic:pic>
              </a:graphicData>
            </a:graphic>
          </wp:inline>
        </w:drawing>
      </w:r>
    </w:p>
    <w:p w14:paraId="4CF9165A">
      <w:pPr>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7553E23C">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sz w:val="24"/>
          <w:szCs w:val="24"/>
          <w:highlight w:val="none"/>
          <w:lang w:eastAsia="zh-CN"/>
        </w:rPr>
      </w:pPr>
    </w:p>
    <w:p w14:paraId="5C046C3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sz w:val="24"/>
          <w:szCs w:val="24"/>
          <w:highlight w:val="none"/>
          <w:lang w:eastAsia="zh-CN"/>
        </w:rPr>
      </w:pPr>
    </w:p>
    <w:p w14:paraId="478F47DD">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0D88340B">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p>
    <w:p w14:paraId="17ADDF6A">
      <w:pPr>
        <w:widowControl w:val="0"/>
        <w:kinsoku/>
        <w:autoSpaceDE/>
        <w:autoSpaceDN/>
        <w:snapToGrid/>
        <w:spacing w:line="360" w:lineRule="auto"/>
        <w:jc w:val="center"/>
        <w:textAlignment w:val="auto"/>
        <w:outlineLvl w:val="3"/>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崇左市金融机构线上“政采贷”业务办理联络表</w:t>
      </w:r>
    </w:p>
    <w:tbl>
      <w:tblPr>
        <w:tblStyle w:val="24"/>
        <w:tblW w:w="4993" w:type="pct"/>
        <w:jc w:val="center"/>
        <w:tblLayout w:type="fixed"/>
        <w:tblCellMar>
          <w:top w:w="0" w:type="dxa"/>
          <w:left w:w="108" w:type="dxa"/>
          <w:bottom w:w="0" w:type="dxa"/>
          <w:right w:w="108" w:type="dxa"/>
        </w:tblCellMar>
      </w:tblPr>
      <w:tblGrid>
        <w:gridCol w:w="4309"/>
        <w:gridCol w:w="3401"/>
        <w:gridCol w:w="2228"/>
      </w:tblGrid>
      <w:tr w14:paraId="24653470">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vAlign w:val="center"/>
          </w:tcPr>
          <w:p w14:paraId="6C2CCD84">
            <w:pPr>
              <w:kinsoku/>
              <w:autoSpaceDE/>
              <w:autoSpaceDN/>
              <w:adjustRightInd/>
              <w:snapToGrid/>
              <w:jc w:val="center"/>
              <w:textAlignment w:val="center"/>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sz w:val="24"/>
                <w:szCs w:val="24"/>
                <w:highlight w:val="none"/>
                <w:lang w:eastAsia="zh-CN"/>
              </w:rPr>
              <w:t>金融机构名称</w:t>
            </w:r>
          </w:p>
        </w:tc>
        <w:tc>
          <w:tcPr>
            <w:tcW w:w="1711" w:type="pct"/>
            <w:tcBorders>
              <w:top w:val="single" w:color="000000" w:sz="4" w:space="0"/>
              <w:left w:val="single" w:color="000000" w:sz="4" w:space="0"/>
              <w:bottom w:val="single" w:color="000000" w:sz="4" w:space="0"/>
              <w:right w:val="single" w:color="000000" w:sz="4" w:space="0"/>
            </w:tcBorders>
            <w:vAlign w:val="center"/>
          </w:tcPr>
          <w:p w14:paraId="7A2B6E53">
            <w:pPr>
              <w:kinsoku/>
              <w:autoSpaceDE/>
              <w:autoSpaceDN/>
              <w:adjustRightInd/>
              <w:snapToGrid/>
              <w:jc w:val="center"/>
              <w:textAlignment w:val="center"/>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sz w:val="24"/>
                <w:szCs w:val="24"/>
                <w:highlight w:val="none"/>
                <w:lang w:eastAsia="zh-CN"/>
              </w:rPr>
              <w:t>地址</w:t>
            </w:r>
          </w:p>
        </w:tc>
        <w:tc>
          <w:tcPr>
            <w:tcW w:w="1120" w:type="pct"/>
            <w:tcBorders>
              <w:top w:val="single" w:color="000000" w:sz="4" w:space="0"/>
              <w:left w:val="single" w:color="000000" w:sz="4" w:space="0"/>
              <w:bottom w:val="single" w:color="000000" w:sz="4" w:space="0"/>
              <w:right w:val="single" w:color="000000" w:sz="4" w:space="0"/>
            </w:tcBorders>
            <w:vAlign w:val="center"/>
          </w:tcPr>
          <w:p w14:paraId="45E2A7C2">
            <w:pPr>
              <w:kinsoku/>
              <w:autoSpaceDE/>
              <w:autoSpaceDN/>
              <w:adjustRightInd/>
              <w:snapToGrid/>
              <w:jc w:val="center"/>
              <w:textAlignment w:val="center"/>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sz w:val="24"/>
                <w:szCs w:val="24"/>
                <w:highlight w:val="none"/>
                <w:lang w:eastAsia="zh-CN"/>
              </w:rPr>
              <w:t>业务咨询电话</w:t>
            </w:r>
          </w:p>
        </w:tc>
      </w:tr>
      <w:tr w14:paraId="071C46FF">
        <w:tblPrEx>
          <w:tblCellMar>
            <w:top w:w="0" w:type="dxa"/>
            <w:left w:w="108" w:type="dxa"/>
            <w:bottom w:w="0" w:type="dxa"/>
            <w:right w:w="108" w:type="dxa"/>
          </w:tblCellMar>
        </w:tblPrEx>
        <w:trPr>
          <w:trHeight w:val="567"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14:paraId="6D9788BB">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崇左市本级及江州区</w:t>
            </w:r>
          </w:p>
        </w:tc>
      </w:tr>
      <w:tr w14:paraId="0EA58341">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5DEF1B2E">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工商银行崇左分行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53DB2539">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崇左市骆越大道6号（东盟国际城）裙楼2号楼</w:t>
            </w:r>
          </w:p>
        </w:tc>
        <w:tc>
          <w:tcPr>
            <w:tcW w:w="1120" w:type="pct"/>
            <w:tcBorders>
              <w:top w:val="single" w:color="000000" w:sz="4" w:space="0"/>
              <w:left w:val="single" w:color="000000" w:sz="4" w:space="0"/>
              <w:bottom w:val="single" w:color="000000" w:sz="4" w:space="0"/>
              <w:right w:val="single" w:color="000000" w:sz="4" w:space="0"/>
            </w:tcBorders>
            <w:vAlign w:val="center"/>
          </w:tcPr>
          <w:p w14:paraId="639C666A">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0771-7820436 0771-7820439</w:t>
            </w:r>
          </w:p>
        </w:tc>
      </w:tr>
      <w:tr w14:paraId="112D545E">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321B704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农业银行崇左分行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09EAF471">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江州区友谊大道26号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3C6C3787">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0771-7917212</w:t>
            </w:r>
          </w:p>
        </w:tc>
      </w:tr>
      <w:tr w14:paraId="7F13A593">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7F2187BB">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农业银行江州支行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2866D2B8">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江州区江南路48号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32A2043D">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0771-7917054</w:t>
            </w:r>
          </w:p>
        </w:tc>
      </w:tr>
      <w:tr w14:paraId="3950388D">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078C4638">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建行崇左分行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4D8346CE">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崇左市江州区江南路73号建行大厦</w:t>
            </w:r>
          </w:p>
        </w:tc>
        <w:tc>
          <w:tcPr>
            <w:tcW w:w="1120" w:type="pct"/>
            <w:tcBorders>
              <w:top w:val="single" w:color="000000" w:sz="4" w:space="0"/>
              <w:left w:val="single" w:color="000000" w:sz="4" w:space="0"/>
              <w:bottom w:val="single" w:color="000000" w:sz="4" w:space="0"/>
              <w:right w:val="single" w:color="000000" w:sz="4" w:space="0"/>
            </w:tcBorders>
            <w:vAlign w:val="center"/>
          </w:tcPr>
          <w:p w14:paraId="50EC0597">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0771-7831103</w:t>
            </w:r>
          </w:p>
        </w:tc>
      </w:tr>
      <w:tr w14:paraId="7657D34E">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5C1A01A1">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中国银行崇左分行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2C51C758">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崇左市江州区龙胤大厦五楼</w:t>
            </w:r>
          </w:p>
        </w:tc>
        <w:tc>
          <w:tcPr>
            <w:tcW w:w="1120" w:type="pct"/>
            <w:tcBorders>
              <w:top w:val="single" w:color="000000" w:sz="4" w:space="0"/>
              <w:left w:val="single" w:color="000000" w:sz="4" w:space="0"/>
              <w:bottom w:val="single" w:color="000000" w:sz="4" w:space="0"/>
              <w:right w:val="single" w:color="000000" w:sz="4" w:space="0"/>
            </w:tcBorders>
            <w:vAlign w:val="center"/>
          </w:tcPr>
          <w:p w14:paraId="7C08EB1C">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0771-7928650 0771-7920613</w:t>
            </w:r>
          </w:p>
        </w:tc>
      </w:tr>
      <w:tr w14:paraId="335AFEB4">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5D42259D">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崇左农商行授信审批部</w:t>
            </w:r>
          </w:p>
        </w:tc>
        <w:tc>
          <w:tcPr>
            <w:tcW w:w="1711" w:type="pct"/>
            <w:tcBorders>
              <w:top w:val="single" w:color="000000" w:sz="4" w:space="0"/>
              <w:left w:val="single" w:color="000000" w:sz="4" w:space="0"/>
              <w:bottom w:val="single" w:color="000000" w:sz="4" w:space="0"/>
              <w:right w:val="single" w:color="000000" w:sz="4" w:space="0"/>
            </w:tcBorders>
            <w:vAlign w:val="center"/>
          </w:tcPr>
          <w:p w14:paraId="678731DA">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崇左市城西路109号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3B9E4DFB">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0771-7925660</w:t>
            </w:r>
          </w:p>
        </w:tc>
      </w:tr>
      <w:tr w14:paraId="21A07FBD">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4421DCE2">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中国邮政储蓄银行崇左市分行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33E7DD98">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崇左市江州区骆越大道2号中国邮政储蓄银行崇左市分行</w:t>
            </w:r>
          </w:p>
        </w:tc>
        <w:tc>
          <w:tcPr>
            <w:tcW w:w="1120" w:type="pct"/>
            <w:tcBorders>
              <w:top w:val="single" w:color="000000" w:sz="4" w:space="0"/>
              <w:left w:val="single" w:color="000000" w:sz="4" w:space="0"/>
              <w:bottom w:val="single" w:color="000000" w:sz="4" w:space="0"/>
              <w:right w:val="single" w:color="000000" w:sz="4" w:space="0"/>
            </w:tcBorders>
            <w:vAlign w:val="center"/>
          </w:tcPr>
          <w:p w14:paraId="23087B0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0771-7968699</w:t>
            </w:r>
          </w:p>
        </w:tc>
      </w:tr>
      <w:tr w14:paraId="33E51405">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2DEAE997">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桂林银行崇左分行营业部</w:t>
            </w:r>
          </w:p>
        </w:tc>
        <w:tc>
          <w:tcPr>
            <w:tcW w:w="1711" w:type="pct"/>
            <w:tcBorders>
              <w:top w:val="single" w:color="000000" w:sz="4" w:space="0"/>
              <w:left w:val="single" w:color="000000" w:sz="4" w:space="0"/>
              <w:bottom w:val="single" w:color="000000" w:sz="4" w:space="0"/>
              <w:right w:val="single" w:color="000000" w:sz="4" w:space="0"/>
            </w:tcBorders>
            <w:vAlign w:val="center"/>
          </w:tcPr>
          <w:p w14:paraId="50A0ADD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广西壮族自治区崇左市江州区友谊大道中段龙胤·财富广场101商铺（龙胤大厦六楼营业部）</w:t>
            </w:r>
          </w:p>
        </w:tc>
        <w:tc>
          <w:tcPr>
            <w:tcW w:w="1120" w:type="pct"/>
            <w:tcBorders>
              <w:top w:val="single" w:color="000000" w:sz="4" w:space="0"/>
              <w:left w:val="single" w:color="000000" w:sz="4" w:space="0"/>
              <w:bottom w:val="single" w:color="000000" w:sz="4" w:space="0"/>
              <w:right w:val="single" w:color="000000" w:sz="4" w:space="0"/>
            </w:tcBorders>
            <w:vAlign w:val="center"/>
          </w:tcPr>
          <w:p w14:paraId="35FB3F0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0771-7916636</w:t>
            </w:r>
          </w:p>
        </w:tc>
      </w:tr>
      <w:tr w14:paraId="4AFC2311">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7B157B9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桂林银行江州支行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7EDBD6E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崇左市江州区建设路41号桂林银行</w:t>
            </w:r>
          </w:p>
        </w:tc>
        <w:tc>
          <w:tcPr>
            <w:tcW w:w="1120" w:type="pct"/>
            <w:tcBorders>
              <w:top w:val="single" w:color="000000" w:sz="4" w:space="0"/>
              <w:left w:val="single" w:color="000000" w:sz="4" w:space="0"/>
              <w:bottom w:val="single" w:color="000000" w:sz="4" w:space="0"/>
              <w:right w:val="single" w:color="000000" w:sz="4" w:space="0"/>
            </w:tcBorders>
            <w:vAlign w:val="center"/>
          </w:tcPr>
          <w:p w14:paraId="0A38DD3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0771-7988895</w:t>
            </w:r>
          </w:p>
        </w:tc>
      </w:tr>
      <w:tr w14:paraId="72F9F00F">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3574E0CD">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广西北部湾银行崇左分行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31E666FE">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崇左市友谊大道中段西侧龙胤财富广场三期财富中心122号商铺</w:t>
            </w:r>
          </w:p>
        </w:tc>
        <w:tc>
          <w:tcPr>
            <w:tcW w:w="1120" w:type="pct"/>
            <w:tcBorders>
              <w:top w:val="single" w:color="000000" w:sz="4" w:space="0"/>
              <w:left w:val="single" w:color="000000" w:sz="4" w:space="0"/>
              <w:bottom w:val="single" w:color="000000" w:sz="4" w:space="0"/>
              <w:right w:val="single" w:color="000000" w:sz="4" w:space="0"/>
            </w:tcBorders>
            <w:vAlign w:val="center"/>
          </w:tcPr>
          <w:p w14:paraId="2AAEEA3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0771-7960855</w:t>
            </w:r>
          </w:p>
        </w:tc>
      </w:tr>
      <w:tr w14:paraId="15811175">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1B32F93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广西北部湾银行崇左市中泰产业园支行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489418F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广西壮族自治区崇左市江州区中泰产业园企业总部基地企业服务中心一楼</w:t>
            </w:r>
          </w:p>
        </w:tc>
        <w:tc>
          <w:tcPr>
            <w:tcW w:w="1120" w:type="pct"/>
            <w:tcBorders>
              <w:top w:val="single" w:color="000000" w:sz="4" w:space="0"/>
              <w:left w:val="single" w:color="000000" w:sz="4" w:space="0"/>
              <w:bottom w:val="single" w:color="000000" w:sz="4" w:space="0"/>
              <w:right w:val="single" w:color="000000" w:sz="4" w:space="0"/>
            </w:tcBorders>
            <w:vAlign w:val="center"/>
          </w:tcPr>
          <w:p w14:paraId="3E9C16D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0771-7821126</w:t>
            </w:r>
          </w:p>
        </w:tc>
      </w:tr>
      <w:tr w14:paraId="3AA3419D">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2400BC59">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广西北部湾银行崇左市丽江支行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159C2B38">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崇左市江州区丽江路丽江明珠滨江花苑三期106-109号商铺</w:t>
            </w:r>
          </w:p>
        </w:tc>
        <w:tc>
          <w:tcPr>
            <w:tcW w:w="1120" w:type="pct"/>
            <w:tcBorders>
              <w:top w:val="single" w:color="000000" w:sz="4" w:space="0"/>
              <w:left w:val="single" w:color="000000" w:sz="4" w:space="0"/>
              <w:bottom w:val="single" w:color="000000" w:sz="4" w:space="0"/>
              <w:right w:val="single" w:color="000000" w:sz="4" w:space="0"/>
            </w:tcBorders>
            <w:vAlign w:val="center"/>
          </w:tcPr>
          <w:p w14:paraId="37A2D839">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0771-7831866</w:t>
            </w:r>
          </w:p>
        </w:tc>
      </w:tr>
      <w:tr w14:paraId="0E978796">
        <w:tblPrEx>
          <w:tblCellMar>
            <w:top w:w="0" w:type="dxa"/>
            <w:left w:w="108" w:type="dxa"/>
            <w:bottom w:w="0" w:type="dxa"/>
            <w:right w:w="108" w:type="dxa"/>
          </w:tblCellMar>
        </w:tblPrEx>
        <w:trPr>
          <w:trHeight w:val="90"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14:paraId="788E1F07">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扶绥县</w:t>
            </w:r>
          </w:p>
        </w:tc>
      </w:tr>
      <w:tr w14:paraId="1A3D9271">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19DA7674">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工商银行扶绥县支行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017E2278">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扶绥县新宁镇同正大道94号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68BA937A">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0771-7535612</w:t>
            </w:r>
          </w:p>
        </w:tc>
      </w:tr>
      <w:tr w14:paraId="5B8C9E5F">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352222A3">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农业银行扶绥县支行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42676E97">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扶绥县新宁镇新华路126号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6340F7BC">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0771-7917330</w:t>
            </w:r>
          </w:p>
        </w:tc>
      </w:tr>
      <w:tr w14:paraId="2841D325">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1372BEC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建行扶绥支行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36EA279A">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扶绥县南密路6号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1F1378F8">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0771-7516511 0771-7531157</w:t>
            </w:r>
          </w:p>
        </w:tc>
      </w:tr>
      <w:tr w14:paraId="27B8A2EE">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57CCEAC4">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建行扶绥空港支行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7EE1A064">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扶绥县双拥路3号东信华府18号楼一层</w:t>
            </w:r>
          </w:p>
        </w:tc>
        <w:tc>
          <w:tcPr>
            <w:tcW w:w="1120" w:type="pct"/>
            <w:tcBorders>
              <w:top w:val="single" w:color="000000" w:sz="4" w:space="0"/>
              <w:left w:val="single" w:color="000000" w:sz="4" w:space="0"/>
              <w:bottom w:val="single" w:color="000000" w:sz="4" w:space="0"/>
              <w:right w:val="single" w:color="000000" w:sz="4" w:space="0"/>
            </w:tcBorders>
            <w:vAlign w:val="center"/>
          </w:tcPr>
          <w:p w14:paraId="01F9804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0771-7525822</w:t>
            </w:r>
          </w:p>
        </w:tc>
      </w:tr>
      <w:tr w14:paraId="654D6E59">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659EA5F7">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中国银行扶绥支行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1CD031D8">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扶绥县-扶绥大道16号山水城市广场一层商铺</w:t>
            </w:r>
          </w:p>
        </w:tc>
        <w:tc>
          <w:tcPr>
            <w:tcW w:w="1120" w:type="pct"/>
            <w:tcBorders>
              <w:top w:val="single" w:color="000000" w:sz="4" w:space="0"/>
              <w:left w:val="single" w:color="000000" w:sz="4" w:space="0"/>
              <w:bottom w:val="single" w:color="000000" w:sz="4" w:space="0"/>
              <w:right w:val="single" w:color="000000" w:sz="4" w:space="0"/>
            </w:tcBorders>
            <w:vAlign w:val="center"/>
          </w:tcPr>
          <w:p w14:paraId="67F9AD4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0771-5025887</w:t>
            </w:r>
          </w:p>
        </w:tc>
      </w:tr>
      <w:tr w14:paraId="68F43427">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6F0E9D87">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扶绥农商行三农零售与乡村振兴金融部</w:t>
            </w:r>
          </w:p>
        </w:tc>
        <w:tc>
          <w:tcPr>
            <w:tcW w:w="1711" w:type="pct"/>
            <w:tcBorders>
              <w:top w:val="single" w:color="000000" w:sz="4" w:space="0"/>
              <w:left w:val="single" w:color="000000" w:sz="4" w:space="0"/>
              <w:bottom w:val="single" w:color="000000" w:sz="4" w:space="0"/>
              <w:right w:val="single" w:color="000000" w:sz="4" w:space="0"/>
            </w:tcBorders>
            <w:vAlign w:val="center"/>
          </w:tcPr>
          <w:p w14:paraId="6FCD76F9">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扶绥县新宁镇永宁路2-1号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7B5F7B9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0771-7533041</w:t>
            </w:r>
          </w:p>
        </w:tc>
      </w:tr>
      <w:tr w14:paraId="58C6262A">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6BF21F61">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中国邮政储蓄银行扶绥县支行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13E7EBD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扶绥县松江路138号中国邮政储蓄银行扶绥县支行</w:t>
            </w:r>
          </w:p>
        </w:tc>
        <w:tc>
          <w:tcPr>
            <w:tcW w:w="1120" w:type="pct"/>
            <w:tcBorders>
              <w:top w:val="single" w:color="000000" w:sz="4" w:space="0"/>
              <w:left w:val="single" w:color="000000" w:sz="4" w:space="0"/>
              <w:bottom w:val="single" w:color="000000" w:sz="4" w:space="0"/>
              <w:right w:val="single" w:color="000000" w:sz="4" w:space="0"/>
            </w:tcBorders>
            <w:vAlign w:val="center"/>
          </w:tcPr>
          <w:p w14:paraId="5578DF3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0771-7536178 0771-7536177</w:t>
            </w:r>
          </w:p>
        </w:tc>
      </w:tr>
      <w:tr w14:paraId="47BEC30D">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214485DC">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桂林银行崇左扶绥支行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79F039B1">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广西崇左市扶绥县新宁镇松江路20号（桂林银行崇左扶绥支行）</w:t>
            </w:r>
          </w:p>
        </w:tc>
        <w:tc>
          <w:tcPr>
            <w:tcW w:w="1120" w:type="pct"/>
            <w:tcBorders>
              <w:top w:val="single" w:color="000000" w:sz="4" w:space="0"/>
              <w:left w:val="single" w:color="000000" w:sz="4" w:space="0"/>
              <w:bottom w:val="single" w:color="000000" w:sz="4" w:space="0"/>
              <w:right w:val="single" w:color="000000" w:sz="4" w:space="0"/>
            </w:tcBorders>
            <w:vAlign w:val="center"/>
          </w:tcPr>
          <w:p w14:paraId="1223188D">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0771-7661101</w:t>
            </w:r>
          </w:p>
        </w:tc>
      </w:tr>
      <w:tr w14:paraId="51DC72DF">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6F143FD2">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广西北部湾银行扶绥县支行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5E6996D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崇左市扶绥县新宁镇同正大道333号碧园·未来城商业综合体13号楼一楼1050、1051号商铺</w:t>
            </w:r>
          </w:p>
        </w:tc>
        <w:tc>
          <w:tcPr>
            <w:tcW w:w="1120" w:type="pct"/>
            <w:tcBorders>
              <w:top w:val="single" w:color="000000" w:sz="4" w:space="0"/>
              <w:left w:val="single" w:color="000000" w:sz="4" w:space="0"/>
              <w:bottom w:val="single" w:color="000000" w:sz="4" w:space="0"/>
              <w:right w:val="single" w:color="000000" w:sz="4" w:space="0"/>
            </w:tcBorders>
            <w:vAlign w:val="center"/>
          </w:tcPr>
          <w:p w14:paraId="6794320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0771-7500768</w:t>
            </w:r>
          </w:p>
        </w:tc>
      </w:tr>
      <w:tr w14:paraId="4C2333A1">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582C9D3C">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扶绥深通村镇银行业发部</w:t>
            </w:r>
          </w:p>
        </w:tc>
        <w:tc>
          <w:tcPr>
            <w:tcW w:w="1711" w:type="pct"/>
            <w:tcBorders>
              <w:top w:val="single" w:color="000000" w:sz="4" w:space="0"/>
              <w:left w:val="single" w:color="000000" w:sz="4" w:space="0"/>
              <w:bottom w:val="single" w:color="000000" w:sz="4" w:space="0"/>
              <w:right w:val="single" w:color="000000" w:sz="4" w:space="0"/>
            </w:tcBorders>
            <w:vAlign w:val="center"/>
          </w:tcPr>
          <w:p w14:paraId="51A6549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扶绥县大景城1号楼正门旁</w:t>
            </w:r>
          </w:p>
        </w:tc>
        <w:tc>
          <w:tcPr>
            <w:tcW w:w="1120" w:type="pct"/>
            <w:tcBorders>
              <w:top w:val="single" w:color="000000" w:sz="4" w:space="0"/>
              <w:left w:val="single" w:color="000000" w:sz="4" w:space="0"/>
              <w:bottom w:val="single" w:color="000000" w:sz="4" w:space="0"/>
              <w:right w:val="single" w:color="000000" w:sz="4" w:space="0"/>
            </w:tcBorders>
            <w:vAlign w:val="center"/>
          </w:tcPr>
          <w:p w14:paraId="54FE8A82">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0771-7525678</w:t>
            </w:r>
          </w:p>
        </w:tc>
      </w:tr>
      <w:tr w14:paraId="53D6B50F">
        <w:tblPrEx>
          <w:tblCellMar>
            <w:top w:w="0" w:type="dxa"/>
            <w:left w:w="108" w:type="dxa"/>
            <w:bottom w:w="0" w:type="dxa"/>
            <w:right w:w="108" w:type="dxa"/>
          </w:tblCellMar>
        </w:tblPrEx>
        <w:trPr>
          <w:trHeight w:val="457"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14:paraId="1576830A">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宁明县</w:t>
            </w:r>
          </w:p>
        </w:tc>
      </w:tr>
      <w:tr w14:paraId="55601867">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1F69991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工商银行宁明县支行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3A1731D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宁明县城中镇兴远街70号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011BD5C8">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0771-8620729</w:t>
            </w:r>
          </w:p>
        </w:tc>
      </w:tr>
      <w:tr w14:paraId="20CD6CCF">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554A8DC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农业银行宁明县支行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609B8104">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宁明县城中镇明阳街11号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4D78C33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0771-7917093</w:t>
            </w:r>
          </w:p>
        </w:tc>
      </w:tr>
      <w:tr w14:paraId="2ECC25ED">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451F47C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建行宁明支行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28EDD84B">
            <w:pPr>
              <w:kinsoku/>
              <w:autoSpaceDE/>
              <w:autoSpaceDN/>
              <w:adjustRightInd/>
              <w:snapToGrid/>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宁明县城中镇兴宁大道77号明江财富广场一层1-13号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32695932">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0771-8629006</w:t>
            </w:r>
          </w:p>
        </w:tc>
      </w:tr>
      <w:tr w14:paraId="75C6B0B3">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37346A6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宁明农商行三农零售与乡村振兴金融部</w:t>
            </w:r>
          </w:p>
        </w:tc>
        <w:tc>
          <w:tcPr>
            <w:tcW w:w="1711" w:type="pct"/>
            <w:tcBorders>
              <w:top w:val="single" w:color="000000" w:sz="4" w:space="0"/>
              <w:left w:val="single" w:color="000000" w:sz="4" w:space="0"/>
              <w:bottom w:val="single" w:color="000000" w:sz="4" w:space="0"/>
              <w:right w:val="single" w:color="000000" w:sz="4" w:space="0"/>
            </w:tcBorders>
            <w:vAlign w:val="center"/>
          </w:tcPr>
          <w:p w14:paraId="54DC7721">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宁明县城中镇明阳街3号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76AA738B">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0771-8628166</w:t>
            </w:r>
          </w:p>
        </w:tc>
      </w:tr>
      <w:tr w14:paraId="66FD1559">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75C87B6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桂林银行崇左宁明支行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1D51F244">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宁明县城中镇兴宁大道中70号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709F5004">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0771-8630787</w:t>
            </w:r>
          </w:p>
        </w:tc>
      </w:tr>
      <w:tr w14:paraId="142B5480">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6619B51A">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广西北部湾银行宁明支行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796F9CA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崇左市宁明县城中镇兴宁大道中79号（明都大酒店）A幢楼1楼铺面</w:t>
            </w:r>
          </w:p>
        </w:tc>
        <w:tc>
          <w:tcPr>
            <w:tcW w:w="1120" w:type="pct"/>
            <w:tcBorders>
              <w:top w:val="single" w:color="000000" w:sz="4" w:space="0"/>
              <w:left w:val="single" w:color="000000" w:sz="4" w:space="0"/>
              <w:bottom w:val="single" w:color="000000" w:sz="4" w:space="0"/>
              <w:right w:val="single" w:color="000000" w:sz="4" w:space="0"/>
            </w:tcBorders>
            <w:vAlign w:val="center"/>
          </w:tcPr>
          <w:p w14:paraId="7C92B887">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0771-8622237</w:t>
            </w:r>
          </w:p>
        </w:tc>
      </w:tr>
      <w:tr w14:paraId="1F692F51">
        <w:tblPrEx>
          <w:tblCellMar>
            <w:top w:w="0" w:type="dxa"/>
            <w:left w:w="108" w:type="dxa"/>
            <w:bottom w:w="0" w:type="dxa"/>
            <w:right w:w="108" w:type="dxa"/>
          </w:tblCellMar>
        </w:tblPrEx>
        <w:trPr>
          <w:trHeight w:val="90"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14:paraId="3EC01FF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大新县</w:t>
            </w:r>
          </w:p>
        </w:tc>
      </w:tr>
      <w:tr w14:paraId="1C0263CF">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3BC2E709">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kern w:val="2"/>
                <w:sz w:val="24"/>
                <w:szCs w:val="24"/>
                <w:highlight w:val="none"/>
                <w:lang w:eastAsia="zh-CN"/>
              </w:rPr>
              <w:t>工商银行大新县支行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2F6250DC">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大新县桃城镇民生街98号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0A364CB1">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0771-3628078</w:t>
            </w:r>
          </w:p>
        </w:tc>
      </w:tr>
      <w:tr w14:paraId="52012067">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0B522397">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kern w:val="2"/>
                <w:sz w:val="24"/>
                <w:szCs w:val="24"/>
                <w:highlight w:val="none"/>
                <w:lang w:eastAsia="zh-CN"/>
              </w:rPr>
              <w:t>农业银行大新县支行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6CF01560">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kern w:val="2"/>
                <w:sz w:val="24"/>
                <w:szCs w:val="24"/>
                <w:highlight w:val="none"/>
                <w:lang w:eastAsia="zh-CN"/>
              </w:rPr>
              <w:t>大新县桃城镇伦理路223号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164FC6B7">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0771-</w:t>
            </w:r>
            <w:r>
              <w:rPr>
                <w:rFonts w:hint="eastAsia" w:ascii="仿宋" w:hAnsi="仿宋" w:eastAsia="仿宋" w:cs="仿宋"/>
                <w:snapToGrid/>
                <w:color w:val="auto"/>
                <w:kern w:val="2"/>
                <w:sz w:val="24"/>
                <w:szCs w:val="24"/>
                <w:highlight w:val="none"/>
                <w:lang w:eastAsia="zh-CN"/>
              </w:rPr>
              <w:t>7917015</w:t>
            </w:r>
          </w:p>
        </w:tc>
      </w:tr>
      <w:tr w14:paraId="452FDB0F">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4ABECB03">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建行大新支行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21148E99">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大新县民生街7号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3AC6B2E9">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0771-3689766</w:t>
            </w:r>
          </w:p>
        </w:tc>
      </w:tr>
      <w:tr w14:paraId="084C0CFF">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44F3EE72">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大新农商行三农零售与乡村振兴金融部</w:t>
            </w:r>
          </w:p>
        </w:tc>
        <w:tc>
          <w:tcPr>
            <w:tcW w:w="1711" w:type="pct"/>
            <w:tcBorders>
              <w:top w:val="single" w:color="000000" w:sz="4" w:space="0"/>
              <w:left w:val="single" w:color="000000" w:sz="4" w:space="0"/>
              <w:bottom w:val="single" w:color="000000" w:sz="4" w:space="0"/>
              <w:right w:val="single" w:color="000000" w:sz="4" w:space="0"/>
            </w:tcBorders>
            <w:vAlign w:val="center"/>
          </w:tcPr>
          <w:p w14:paraId="4F67367E">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大新县城养利路131号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725A72A5">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0771-3623887</w:t>
            </w:r>
          </w:p>
        </w:tc>
      </w:tr>
      <w:tr w14:paraId="573E074C">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490A0827">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kern w:val="2"/>
                <w:sz w:val="24"/>
                <w:szCs w:val="24"/>
                <w:highlight w:val="none"/>
                <w:lang w:eastAsia="zh-CN"/>
              </w:rPr>
              <w:t>桂林银行崇左大新支行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277F7641">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崇左市大新县桃城镇民生街7号东盟商业广场1楼桂林银行</w:t>
            </w:r>
          </w:p>
        </w:tc>
        <w:tc>
          <w:tcPr>
            <w:tcW w:w="1120" w:type="pct"/>
            <w:tcBorders>
              <w:top w:val="single" w:color="000000" w:sz="4" w:space="0"/>
              <w:left w:val="single" w:color="000000" w:sz="4" w:space="0"/>
              <w:bottom w:val="single" w:color="000000" w:sz="4" w:space="0"/>
              <w:right w:val="single" w:color="000000" w:sz="4" w:space="0"/>
            </w:tcBorders>
            <w:vAlign w:val="center"/>
          </w:tcPr>
          <w:p w14:paraId="32CA5921">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0771-3621996</w:t>
            </w:r>
          </w:p>
        </w:tc>
      </w:tr>
      <w:tr w14:paraId="371575C2">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2D72EBA9">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kern w:val="2"/>
                <w:sz w:val="24"/>
                <w:szCs w:val="24"/>
                <w:highlight w:val="none"/>
                <w:lang w:eastAsia="zh-CN"/>
              </w:rPr>
              <w:t>广西北部湾银行大新支行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75AFD8E8">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崇左市大新县桃城镇伦理路230号1楼铺面</w:t>
            </w:r>
          </w:p>
        </w:tc>
        <w:tc>
          <w:tcPr>
            <w:tcW w:w="1120" w:type="pct"/>
            <w:tcBorders>
              <w:top w:val="single" w:color="000000" w:sz="4" w:space="0"/>
              <w:left w:val="single" w:color="000000" w:sz="4" w:space="0"/>
              <w:bottom w:val="single" w:color="000000" w:sz="4" w:space="0"/>
              <w:right w:val="single" w:color="000000" w:sz="4" w:space="0"/>
            </w:tcBorders>
            <w:vAlign w:val="center"/>
          </w:tcPr>
          <w:p w14:paraId="053C2B1D">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kern w:val="2"/>
                <w:sz w:val="24"/>
                <w:szCs w:val="24"/>
                <w:highlight w:val="none"/>
                <w:lang w:eastAsia="zh-CN"/>
              </w:rPr>
              <w:t>0771-3628366</w:t>
            </w:r>
          </w:p>
        </w:tc>
      </w:tr>
      <w:tr w14:paraId="3D24AA86">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40AF817D">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崇左大新长江村镇银行营业部</w:t>
            </w:r>
          </w:p>
        </w:tc>
        <w:tc>
          <w:tcPr>
            <w:tcW w:w="1711" w:type="pct"/>
            <w:tcBorders>
              <w:top w:val="single" w:color="000000" w:sz="4" w:space="0"/>
              <w:left w:val="single" w:color="000000" w:sz="4" w:space="0"/>
              <w:bottom w:val="single" w:color="000000" w:sz="4" w:space="0"/>
              <w:right w:val="single" w:color="000000" w:sz="4" w:space="0"/>
            </w:tcBorders>
            <w:vAlign w:val="center"/>
          </w:tcPr>
          <w:p w14:paraId="059E25B1">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大新县桃城镇德天大道74-1号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3B67023B">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0771-3698002</w:t>
            </w:r>
          </w:p>
        </w:tc>
      </w:tr>
      <w:tr w14:paraId="74656CFC">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35FF6FE7">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崇左大新长江村镇银行百汇支行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14C79A02">
            <w:pPr>
              <w:kinsoku/>
              <w:autoSpaceDE/>
              <w:autoSpaceDN/>
              <w:adjustRightInd/>
              <w:snapToGrid/>
              <w:jc w:val="center"/>
              <w:textAlignment w:val="center"/>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大新县桃城镇伦那路8号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3B010F63">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0771-3626199</w:t>
            </w:r>
          </w:p>
        </w:tc>
      </w:tr>
      <w:tr w14:paraId="189B2657">
        <w:tblPrEx>
          <w:tblCellMar>
            <w:top w:w="0" w:type="dxa"/>
            <w:left w:w="108" w:type="dxa"/>
            <w:bottom w:w="0" w:type="dxa"/>
            <w:right w:w="108" w:type="dxa"/>
          </w:tblCellMar>
        </w:tblPrEx>
        <w:trPr>
          <w:trHeight w:val="420"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14:paraId="0001AE7A">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龙州县</w:t>
            </w:r>
          </w:p>
        </w:tc>
      </w:tr>
      <w:tr w14:paraId="1CEE4607">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4BA1F622">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工商银行龙州县支行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4ADB546E">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龙州县龙江街60号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3C50E5F2">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0771-8868619</w:t>
            </w:r>
          </w:p>
        </w:tc>
      </w:tr>
      <w:tr w14:paraId="21A17740">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6D6AA67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农业银行龙州县支行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34AE6DA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龙州县龙州镇康平街26号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72F909A2">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0771-8812504</w:t>
            </w:r>
          </w:p>
        </w:tc>
      </w:tr>
      <w:tr w14:paraId="7C5E77A4">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04A22B9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建行龙州支行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4AC0A6BD">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龙州县龙夏路2号龙州商业广场D栋1号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0C8DCB69">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0771-8820525</w:t>
            </w:r>
          </w:p>
        </w:tc>
      </w:tr>
      <w:tr w14:paraId="53C229B9">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5B7A699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龙州农商行公司机构金融部</w:t>
            </w:r>
          </w:p>
        </w:tc>
        <w:tc>
          <w:tcPr>
            <w:tcW w:w="1711" w:type="pct"/>
            <w:tcBorders>
              <w:top w:val="single" w:color="000000" w:sz="4" w:space="0"/>
              <w:left w:val="single" w:color="000000" w:sz="4" w:space="0"/>
              <w:bottom w:val="single" w:color="000000" w:sz="4" w:space="0"/>
              <w:right w:val="single" w:color="000000" w:sz="4" w:space="0"/>
            </w:tcBorders>
            <w:vAlign w:val="center"/>
          </w:tcPr>
          <w:p w14:paraId="1A412E39">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龙州县龙州镇独山路172号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718A89C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0771-8813013</w:t>
            </w:r>
          </w:p>
        </w:tc>
      </w:tr>
      <w:tr w14:paraId="6E6018C5">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63B231F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桂林银行崇左龙州支行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59582FE2">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龙州县龙州镇同顾大道1号同顾·中央公园20栋10号—13号房</w:t>
            </w:r>
          </w:p>
        </w:tc>
        <w:tc>
          <w:tcPr>
            <w:tcW w:w="1120" w:type="pct"/>
            <w:tcBorders>
              <w:top w:val="single" w:color="000000" w:sz="4" w:space="0"/>
              <w:left w:val="single" w:color="000000" w:sz="4" w:space="0"/>
              <w:bottom w:val="single" w:color="000000" w:sz="4" w:space="0"/>
              <w:right w:val="single" w:color="000000" w:sz="4" w:space="0"/>
            </w:tcBorders>
            <w:vAlign w:val="center"/>
          </w:tcPr>
          <w:p w14:paraId="0B72EF8E">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0771-8871021</w:t>
            </w:r>
          </w:p>
        </w:tc>
      </w:tr>
      <w:tr w14:paraId="51C803B0">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3C92D36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广西北部湾银行龙州支行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327FE8FB">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崇左市龙州县龙州镇龙夏路1号、3号、5号（南湖商务酒店）一楼铺面</w:t>
            </w:r>
          </w:p>
        </w:tc>
        <w:tc>
          <w:tcPr>
            <w:tcW w:w="1120" w:type="pct"/>
            <w:tcBorders>
              <w:top w:val="single" w:color="000000" w:sz="4" w:space="0"/>
              <w:left w:val="single" w:color="000000" w:sz="4" w:space="0"/>
              <w:bottom w:val="single" w:color="000000" w:sz="4" w:space="0"/>
              <w:right w:val="single" w:color="000000" w:sz="4" w:space="0"/>
            </w:tcBorders>
            <w:vAlign w:val="center"/>
          </w:tcPr>
          <w:p w14:paraId="3392D92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0771-8811533</w:t>
            </w:r>
          </w:p>
        </w:tc>
      </w:tr>
      <w:tr w14:paraId="5B455B1E">
        <w:tblPrEx>
          <w:tblCellMar>
            <w:top w:w="0" w:type="dxa"/>
            <w:left w:w="108" w:type="dxa"/>
            <w:bottom w:w="0" w:type="dxa"/>
            <w:right w:w="108" w:type="dxa"/>
          </w:tblCellMar>
        </w:tblPrEx>
        <w:trPr>
          <w:trHeight w:val="282"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14:paraId="0441B51E">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天等县</w:t>
            </w:r>
          </w:p>
        </w:tc>
      </w:tr>
      <w:tr w14:paraId="21A11EA9">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6EA170D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工商银行天等县支行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54C3794D">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天等县天等镇朝阳东路054号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4A7C05D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0771-3532211</w:t>
            </w:r>
          </w:p>
        </w:tc>
      </w:tr>
      <w:tr w14:paraId="6385FA10">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4335DB4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农业银行天等县支行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37DEA10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天等县天等镇天宝北路007号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1855AE2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0771-7917046</w:t>
            </w:r>
          </w:p>
        </w:tc>
      </w:tr>
      <w:tr w14:paraId="1E3E7629">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3E0448FE">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天等农商行公司机构金融部</w:t>
            </w:r>
          </w:p>
        </w:tc>
        <w:tc>
          <w:tcPr>
            <w:tcW w:w="1711" w:type="pct"/>
            <w:tcBorders>
              <w:top w:val="single" w:color="000000" w:sz="4" w:space="0"/>
              <w:left w:val="single" w:color="000000" w:sz="4" w:space="0"/>
              <w:bottom w:val="single" w:color="000000" w:sz="4" w:space="0"/>
              <w:right w:val="single" w:color="000000" w:sz="4" w:space="0"/>
            </w:tcBorders>
            <w:vAlign w:val="center"/>
          </w:tcPr>
          <w:p w14:paraId="5E165899">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天等县天等镇仕民路48号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3DC83A5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0771-3521361</w:t>
            </w:r>
          </w:p>
        </w:tc>
      </w:tr>
      <w:tr w14:paraId="735F913A">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6BBFA0D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桂林银行崇左天等支行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4E2C3F7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广西崇左市天等县天等镇天宝北路天府中央城5号楼115号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031C35E1">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0771-3522157</w:t>
            </w:r>
          </w:p>
        </w:tc>
      </w:tr>
      <w:tr w14:paraId="67D79004">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2C9EB15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广西北部湾银行天等支行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2EBA4701">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崇左市天等县天宝南路002号天富商业广场28栋一层商铺6-17号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602BF29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0771-3528688</w:t>
            </w:r>
          </w:p>
        </w:tc>
      </w:tr>
      <w:tr w14:paraId="69A263F9">
        <w:tblPrEx>
          <w:tblCellMar>
            <w:top w:w="0" w:type="dxa"/>
            <w:left w:w="108" w:type="dxa"/>
            <w:bottom w:w="0" w:type="dxa"/>
            <w:right w:w="108" w:type="dxa"/>
          </w:tblCellMar>
        </w:tblPrEx>
        <w:trPr>
          <w:trHeight w:val="382"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14:paraId="62B84FFB">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凭祥市</w:t>
            </w:r>
          </w:p>
        </w:tc>
      </w:tr>
      <w:tr w14:paraId="7091A0C0">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78872DA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工商银行凭祥分行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40850490">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凭祥市新华路5号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0661A9F9">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0771-8529259</w:t>
            </w:r>
          </w:p>
        </w:tc>
      </w:tr>
      <w:tr w14:paraId="384A2853">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4C90427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农业银行凭祥支行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7A4DFC22">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凭祥市北大路216号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110D45EA">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0771-7917258</w:t>
            </w:r>
          </w:p>
        </w:tc>
      </w:tr>
      <w:tr w14:paraId="2F2A4588">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02B5CA18">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建行凭祥支行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41C4F02E">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凭祥市屏山路138号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24176F3C">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0771-8525068 0771-8536852</w:t>
            </w:r>
          </w:p>
        </w:tc>
      </w:tr>
      <w:tr w14:paraId="777899CC">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472455D4">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建行凭祥中区支行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5A01F302">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凭祥市金象大道香格里拉3幢3-01至3-03号商铺</w:t>
            </w:r>
          </w:p>
        </w:tc>
        <w:tc>
          <w:tcPr>
            <w:tcW w:w="1120" w:type="pct"/>
            <w:tcBorders>
              <w:top w:val="single" w:color="000000" w:sz="4" w:space="0"/>
              <w:left w:val="single" w:color="000000" w:sz="4" w:space="0"/>
              <w:bottom w:val="single" w:color="000000" w:sz="4" w:space="0"/>
              <w:right w:val="single" w:color="000000" w:sz="4" w:space="0"/>
            </w:tcBorders>
            <w:vAlign w:val="center"/>
          </w:tcPr>
          <w:p w14:paraId="08ADEC0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0771-8551161</w:t>
            </w:r>
          </w:p>
        </w:tc>
      </w:tr>
      <w:tr w14:paraId="0659FFFB">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41820F0D">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建行凭祥浦寨支行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27051704">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凭祥市浦寨商业城万泰一楼8-9号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68F4D9BB">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0771-8561665</w:t>
            </w:r>
          </w:p>
        </w:tc>
      </w:tr>
      <w:tr w14:paraId="70FBA206">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345A748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中国银行凭祥支行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1A771327">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凭祥市-北环路112号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4B4E2432">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0771-8520356</w:t>
            </w:r>
          </w:p>
        </w:tc>
      </w:tr>
      <w:tr w14:paraId="05696D5D">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0C0C3B7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凭祥农商行业务拓展部</w:t>
            </w:r>
          </w:p>
        </w:tc>
        <w:tc>
          <w:tcPr>
            <w:tcW w:w="1711" w:type="pct"/>
            <w:tcBorders>
              <w:top w:val="single" w:color="000000" w:sz="4" w:space="0"/>
              <w:left w:val="single" w:color="000000" w:sz="4" w:space="0"/>
              <w:bottom w:val="single" w:color="000000" w:sz="4" w:space="0"/>
              <w:right w:val="single" w:color="000000" w:sz="4" w:space="0"/>
            </w:tcBorders>
            <w:vAlign w:val="center"/>
          </w:tcPr>
          <w:p w14:paraId="70C12C59">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凭祥市友谊关大道13号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4EFA872D">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0771-8535667</w:t>
            </w:r>
          </w:p>
        </w:tc>
      </w:tr>
      <w:tr w14:paraId="7507FA0D">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7C3AD839">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桂林银行广西自贸试验区崇左片区凭祥支行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11BF6DEB">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凭祥市北大路一支40号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48B8C977">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0771-8520550</w:t>
            </w:r>
          </w:p>
        </w:tc>
      </w:tr>
      <w:tr w14:paraId="52683043">
        <w:tblPrEx>
          <w:tblCellMar>
            <w:top w:w="0" w:type="dxa"/>
            <w:left w:w="108" w:type="dxa"/>
            <w:bottom w:w="0" w:type="dxa"/>
            <w:right w:w="108" w:type="dxa"/>
          </w:tblCellMar>
        </w:tblPrEx>
        <w:trPr>
          <w:trHeight w:val="567" w:hRule="atLeast"/>
          <w:jc w:val="center"/>
        </w:trPr>
        <w:tc>
          <w:tcPr>
            <w:tcW w:w="2168" w:type="pct"/>
            <w:tcBorders>
              <w:top w:val="single" w:color="000000" w:sz="4" w:space="0"/>
              <w:left w:val="single" w:color="000000" w:sz="4" w:space="0"/>
              <w:bottom w:val="single" w:color="000000" w:sz="4" w:space="0"/>
              <w:right w:val="single" w:color="000000" w:sz="4" w:space="0"/>
            </w:tcBorders>
            <w:noWrap/>
            <w:vAlign w:val="center"/>
          </w:tcPr>
          <w:p w14:paraId="571B56D6">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广西北部湾银行广西自贸试验区崇左片区凭祥支行</w:t>
            </w:r>
          </w:p>
        </w:tc>
        <w:tc>
          <w:tcPr>
            <w:tcW w:w="1711" w:type="pct"/>
            <w:tcBorders>
              <w:top w:val="single" w:color="000000" w:sz="4" w:space="0"/>
              <w:left w:val="single" w:color="000000" w:sz="4" w:space="0"/>
              <w:bottom w:val="single" w:color="000000" w:sz="4" w:space="0"/>
              <w:right w:val="single" w:color="000000" w:sz="4" w:space="0"/>
            </w:tcBorders>
            <w:vAlign w:val="center"/>
          </w:tcPr>
          <w:p w14:paraId="7E922B2F">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凭祥市北大路一支60-1号</w:t>
            </w:r>
          </w:p>
        </w:tc>
        <w:tc>
          <w:tcPr>
            <w:tcW w:w="1120" w:type="pct"/>
            <w:tcBorders>
              <w:top w:val="single" w:color="000000" w:sz="4" w:space="0"/>
              <w:left w:val="single" w:color="000000" w:sz="4" w:space="0"/>
              <w:bottom w:val="single" w:color="000000" w:sz="4" w:space="0"/>
              <w:right w:val="single" w:color="000000" w:sz="4" w:space="0"/>
            </w:tcBorders>
            <w:vAlign w:val="center"/>
          </w:tcPr>
          <w:p w14:paraId="1EBFDA85">
            <w:pPr>
              <w:kinsoku/>
              <w:autoSpaceDE/>
              <w:autoSpaceDN/>
              <w:adjustRightInd/>
              <w:snapToGrid/>
              <w:jc w:val="center"/>
              <w:textAlignment w:val="center"/>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0771-8556667</w:t>
            </w:r>
          </w:p>
        </w:tc>
      </w:tr>
    </w:tbl>
    <w:p w14:paraId="04BA0C58">
      <w:pPr>
        <w:widowControl w:val="0"/>
        <w:kinsoku/>
        <w:autoSpaceDE/>
        <w:autoSpaceDN/>
        <w:adjustRightInd/>
        <w:snapToGrid/>
        <w:jc w:val="both"/>
        <w:textAlignment w:val="auto"/>
        <w:rPr>
          <w:rFonts w:ascii="仿宋" w:hAnsi="仿宋" w:eastAsia="仿宋" w:cs="仿宋"/>
          <w:snapToGrid/>
          <w:color w:val="auto"/>
          <w:sz w:val="20"/>
          <w:highlight w:val="none"/>
          <w:lang w:eastAsia="zh-CN"/>
        </w:rPr>
      </w:pPr>
      <w:r>
        <w:rPr>
          <w:rFonts w:hint="eastAsia" w:ascii="仿宋" w:hAnsi="仿宋" w:eastAsia="仿宋" w:cs="仿宋"/>
          <w:b/>
          <w:snapToGrid/>
          <w:color w:val="auto"/>
          <w:kern w:val="2"/>
          <w:sz w:val="24"/>
          <w:szCs w:val="24"/>
          <w:highlight w:val="none"/>
          <w:lang w:eastAsia="zh-CN"/>
        </w:rPr>
        <w:br w:type="page"/>
      </w:r>
      <w:r>
        <w:rPr>
          <w:rFonts w:hint="eastAsia" w:ascii="仿宋" w:hAnsi="仿宋" w:eastAsia="仿宋" w:cs="仿宋"/>
          <w:bCs/>
          <w:snapToGrid/>
          <w:color w:val="auto"/>
          <w:sz w:val="32"/>
          <w:szCs w:val="32"/>
          <w:highlight w:val="none"/>
          <w:lang w:eastAsia="zh-CN"/>
        </w:rPr>
        <w:t>附件1：</w:t>
      </w:r>
    </w:p>
    <w:p w14:paraId="4CCA42CB">
      <w:pPr>
        <w:shd w:val="clear" w:color="auto" w:fill="FFFFFF"/>
        <w:kinsoku/>
        <w:autoSpaceDE/>
        <w:autoSpaceDN/>
        <w:adjustRightInd/>
        <w:snapToGrid/>
        <w:spacing w:line="480" w:lineRule="atLeast"/>
        <w:jc w:val="center"/>
        <w:textAlignment w:val="auto"/>
        <w:rPr>
          <w:rFonts w:ascii="仿宋" w:hAnsi="仿宋" w:eastAsia="仿宋" w:cs="仿宋"/>
          <w:snapToGrid/>
          <w:color w:val="auto"/>
          <w:sz w:val="32"/>
          <w:szCs w:val="32"/>
          <w:highlight w:val="none"/>
          <w:lang w:eastAsia="zh-CN"/>
        </w:rPr>
      </w:pPr>
      <w:bookmarkStart w:id="47" w:name="_Toc25042"/>
      <w:r>
        <w:rPr>
          <w:rFonts w:hint="eastAsia" w:ascii="仿宋" w:hAnsi="仿宋" w:eastAsia="仿宋" w:cs="仿宋"/>
          <w:b/>
          <w:bCs/>
          <w:snapToGrid/>
          <w:color w:val="auto"/>
          <w:sz w:val="32"/>
          <w:szCs w:val="32"/>
          <w:highlight w:val="none"/>
          <w:lang w:eastAsia="zh-CN"/>
        </w:rPr>
        <w:t>广西壮族自治区政府采购项目合同验收书（格式）</w:t>
      </w:r>
      <w:bookmarkEnd w:id="47"/>
    </w:p>
    <w:p w14:paraId="5D21B780">
      <w:pPr>
        <w:widowControl w:val="0"/>
        <w:kinsoku/>
        <w:autoSpaceDE/>
        <w:autoSpaceDN/>
        <w:adjustRightInd/>
        <w:snapToGrid/>
        <w:jc w:val="center"/>
        <w:textAlignment w:val="auto"/>
        <w:rPr>
          <w:rFonts w:ascii="仿宋" w:hAnsi="仿宋" w:eastAsia="仿宋" w:cs="仿宋"/>
          <w:snapToGrid/>
          <w:color w:val="auto"/>
          <w:sz w:val="32"/>
          <w:szCs w:val="32"/>
          <w:highlight w:val="none"/>
          <w:lang w:eastAsia="zh-CN"/>
        </w:rPr>
      </w:pPr>
      <w:r>
        <w:rPr>
          <w:rFonts w:hint="eastAsia" w:ascii="仿宋" w:hAnsi="仿宋" w:eastAsia="仿宋" w:cs="仿宋"/>
          <w:snapToGrid/>
          <w:color w:val="auto"/>
          <w:kern w:val="2"/>
          <w:sz w:val="18"/>
          <w:szCs w:val="18"/>
          <w:highlight w:val="none"/>
          <w:lang w:eastAsia="zh-CN"/>
        </w:rPr>
        <w:t>（本项目如需，可以参考使用）</w:t>
      </w:r>
    </w:p>
    <w:p w14:paraId="00FE9ABA">
      <w:pPr>
        <w:shd w:val="clear" w:color="auto" w:fill="FFFFFF"/>
        <w:kinsoku/>
        <w:autoSpaceDE/>
        <w:autoSpaceDN/>
        <w:adjustRightInd/>
        <w:spacing w:line="320" w:lineRule="atLeast"/>
        <w:ind w:firstLine="480"/>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根据政府采购项目（</w:t>
      </w:r>
      <w:r>
        <w:rPr>
          <w:rFonts w:hint="eastAsia" w:ascii="仿宋" w:hAnsi="仿宋" w:eastAsia="仿宋" w:cs="仿宋"/>
          <w:snapToGrid/>
          <w:color w:val="auto"/>
          <w:highlight w:val="none"/>
          <w:u w:val="single"/>
          <w:lang w:eastAsia="zh-CN"/>
        </w:rPr>
        <w:t>采购合同编号：</w:t>
      </w:r>
      <w:r>
        <w:rPr>
          <w:rFonts w:hint="eastAsia" w:ascii="仿宋" w:hAnsi="仿宋" w:eastAsia="仿宋" w:cs="仿宋"/>
          <w:snapToGrid/>
          <w:color w:val="auto"/>
          <w:highlight w:val="none"/>
          <w:u w:val="single"/>
          <w:lang w:eastAsia="zh-CN"/>
        </w:rPr>
        <w:softHyphen/>
      </w:r>
      <w:r>
        <w:rPr>
          <w:rFonts w:hint="eastAsia" w:ascii="仿宋" w:hAnsi="仿宋" w:eastAsia="仿宋" w:cs="仿宋"/>
          <w:snapToGrid/>
          <w:color w:val="auto"/>
          <w:highlight w:val="none"/>
          <w:u w:val="single"/>
          <w:lang w:eastAsia="zh-CN"/>
        </w:rPr>
        <w:t xml:space="preserve"> </w:t>
      </w:r>
      <w:r>
        <w:rPr>
          <w:rFonts w:hint="eastAsia" w:ascii="仿宋" w:hAnsi="仿宋" w:eastAsia="仿宋" w:cs="仿宋"/>
          <w:snapToGrid/>
          <w:color w:val="auto"/>
          <w:highlight w:val="none"/>
          <w:lang w:eastAsia="zh-CN"/>
        </w:rPr>
        <w:t>）的约定，我单位对（</w:t>
      </w:r>
      <w:r>
        <w:rPr>
          <w:rFonts w:hint="eastAsia" w:ascii="仿宋" w:hAnsi="仿宋" w:eastAsia="仿宋" w:cs="仿宋"/>
          <w:snapToGrid/>
          <w:color w:val="auto"/>
          <w:highlight w:val="none"/>
          <w:u w:val="single"/>
          <w:lang w:eastAsia="zh-CN"/>
        </w:rPr>
        <w:t xml:space="preserve"> 项目名称 </w:t>
      </w:r>
      <w:r>
        <w:rPr>
          <w:rFonts w:hint="eastAsia" w:ascii="仿宋" w:hAnsi="仿宋" w:eastAsia="仿宋" w:cs="仿宋"/>
          <w:snapToGrid/>
          <w:color w:val="auto"/>
          <w:highlight w:val="none"/>
          <w:lang w:eastAsia="zh-CN"/>
        </w:rPr>
        <w:t>） 政府采购项目中标人（</w:t>
      </w:r>
      <w:r>
        <w:rPr>
          <w:rFonts w:hint="eastAsia" w:ascii="仿宋" w:hAnsi="仿宋" w:eastAsia="仿宋" w:cs="仿宋"/>
          <w:snapToGrid/>
          <w:color w:val="auto"/>
          <w:highlight w:val="none"/>
          <w:u w:val="single"/>
          <w:lang w:eastAsia="zh-CN"/>
        </w:rPr>
        <w:t xml:space="preserve"> 公司名称 </w:t>
      </w:r>
      <w:r>
        <w:rPr>
          <w:rFonts w:hint="eastAsia" w:ascii="仿宋" w:hAnsi="仿宋" w:eastAsia="仿宋" w:cs="仿宋"/>
          <w:snapToGrid/>
          <w:color w:val="auto"/>
          <w:highlight w:val="none"/>
          <w:lang w:eastAsia="zh-CN"/>
        </w:rPr>
        <w:t>） 提供的货物（或者工程、服务）进行了验收，验收情况如下：</w:t>
      </w:r>
    </w:p>
    <w:tbl>
      <w:tblPr>
        <w:tblStyle w:val="24"/>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6671DBE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472BE60B">
            <w:pPr>
              <w:kinsoku/>
              <w:autoSpaceDE/>
              <w:autoSpaceDN/>
              <w:adjustRightInd/>
              <w:spacing w:before="100" w:beforeAutospacing="1" w:after="100" w:afterAutospacing="1" w:line="320" w:lineRule="atLeast"/>
              <w:ind w:firstLine="5"/>
              <w:jc w:val="center"/>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验收方式：</w:t>
            </w:r>
          </w:p>
        </w:tc>
        <w:tc>
          <w:tcPr>
            <w:tcW w:w="5193" w:type="dxa"/>
            <w:gridSpan w:val="6"/>
            <w:tcBorders>
              <w:top w:val="single" w:color="auto" w:sz="8" w:space="0"/>
              <w:left w:val="nil"/>
              <w:bottom w:val="single" w:color="auto" w:sz="8" w:space="0"/>
              <w:right w:val="single" w:color="auto" w:sz="8" w:space="0"/>
            </w:tcBorders>
            <w:vAlign w:val="center"/>
          </w:tcPr>
          <w:p w14:paraId="5FDD654E">
            <w:pPr>
              <w:kinsoku/>
              <w:autoSpaceDE/>
              <w:autoSpaceDN/>
              <w:adjustRightInd/>
              <w:spacing w:before="100" w:beforeAutospacing="1" w:after="100" w:afterAutospacing="1" w:line="320" w:lineRule="atLeast"/>
              <w:jc w:val="center"/>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□自行验收 □委托验收</w:t>
            </w:r>
          </w:p>
        </w:tc>
      </w:tr>
      <w:tr w14:paraId="4A9B97ED">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3D751DEB">
            <w:pPr>
              <w:kinsoku/>
              <w:autoSpaceDE/>
              <w:autoSpaceDN/>
              <w:adjustRightInd/>
              <w:spacing w:before="100" w:beforeAutospacing="1" w:after="100" w:afterAutospacing="1" w:line="320" w:lineRule="atLeast"/>
              <w:ind w:firstLine="2"/>
              <w:jc w:val="center"/>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序号</w:t>
            </w:r>
          </w:p>
        </w:tc>
        <w:tc>
          <w:tcPr>
            <w:tcW w:w="2448" w:type="dxa"/>
            <w:gridSpan w:val="2"/>
            <w:tcBorders>
              <w:top w:val="nil"/>
              <w:left w:val="nil"/>
              <w:bottom w:val="single" w:color="auto" w:sz="8" w:space="0"/>
              <w:right w:val="single" w:color="auto" w:sz="8" w:space="0"/>
            </w:tcBorders>
            <w:vAlign w:val="center"/>
          </w:tcPr>
          <w:p w14:paraId="1266AB6F">
            <w:pPr>
              <w:kinsoku/>
              <w:autoSpaceDE/>
              <w:autoSpaceDN/>
              <w:adjustRightInd/>
              <w:spacing w:before="100" w:beforeAutospacing="1" w:after="100" w:afterAutospacing="1" w:line="320" w:lineRule="atLeast"/>
              <w:ind w:firstLine="2"/>
              <w:jc w:val="center"/>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名称</w:t>
            </w:r>
          </w:p>
        </w:tc>
        <w:tc>
          <w:tcPr>
            <w:tcW w:w="2902" w:type="dxa"/>
            <w:gridSpan w:val="3"/>
            <w:tcBorders>
              <w:top w:val="nil"/>
              <w:left w:val="nil"/>
              <w:bottom w:val="single" w:color="auto" w:sz="8" w:space="0"/>
              <w:right w:val="single" w:color="auto" w:sz="8" w:space="0"/>
            </w:tcBorders>
            <w:vAlign w:val="center"/>
          </w:tcPr>
          <w:p w14:paraId="7F3B8C6B">
            <w:pPr>
              <w:kinsoku/>
              <w:autoSpaceDE/>
              <w:autoSpaceDN/>
              <w:adjustRightInd/>
              <w:spacing w:before="100" w:beforeAutospacing="1" w:after="100" w:afterAutospacing="1" w:line="320" w:lineRule="atLeast"/>
              <w:ind w:firstLine="2"/>
              <w:jc w:val="center"/>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货物型号规格、标准及配置等（或者服务内容、标准）</w:t>
            </w:r>
          </w:p>
        </w:tc>
        <w:tc>
          <w:tcPr>
            <w:tcW w:w="863" w:type="dxa"/>
            <w:gridSpan w:val="2"/>
            <w:tcBorders>
              <w:top w:val="nil"/>
              <w:left w:val="nil"/>
              <w:bottom w:val="single" w:color="auto" w:sz="8" w:space="0"/>
              <w:right w:val="single" w:color="auto" w:sz="8" w:space="0"/>
            </w:tcBorders>
            <w:vAlign w:val="center"/>
          </w:tcPr>
          <w:p w14:paraId="312219F5">
            <w:pPr>
              <w:kinsoku/>
              <w:autoSpaceDE/>
              <w:autoSpaceDN/>
              <w:adjustRightInd/>
              <w:spacing w:before="100" w:beforeAutospacing="1" w:after="100" w:afterAutospacing="1" w:line="320" w:lineRule="atLeast"/>
              <w:jc w:val="center"/>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数量</w:t>
            </w:r>
          </w:p>
        </w:tc>
        <w:tc>
          <w:tcPr>
            <w:tcW w:w="1428" w:type="dxa"/>
            <w:tcBorders>
              <w:top w:val="nil"/>
              <w:left w:val="nil"/>
              <w:bottom w:val="single" w:color="auto" w:sz="8" w:space="0"/>
              <w:right w:val="single" w:color="auto" w:sz="8" w:space="0"/>
            </w:tcBorders>
            <w:vAlign w:val="center"/>
          </w:tcPr>
          <w:p w14:paraId="50A51E16">
            <w:pPr>
              <w:kinsoku/>
              <w:autoSpaceDE/>
              <w:autoSpaceDN/>
              <w:adjustRightInd/>
              <w:spacing w:before="100" w:beforeAutospacing="1" w:after="100" w:afterAutospacing="1" w:line="320" w:lineRule="atLeast"/>
              <w:ind w:firstLine="2"/>
              <w:jc w:val="center"/>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金额</w:t>
            </w:r>
          </w:p>
        </w:tc>
      </w:tr>
      <w:tr w14:paraId="048D1FC2">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08001B31">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c>
          <w:tcPr>
            <w:tcW w:w="2448" w:type="dxa"/>
            <w:gridSpan w:val="2"/>
            <w:tcBorders>
              <w:top w:val="nil"/>
              <w:left w:val="nil"/>
              <w:bottom w:val="single" w:color="auto" w:sz="8" w:space="0"/>
              <w:right w:val="single" w:color="auto" w:sz="8" w:space="0"/>
            </w:tcBorders>
            <w:vAlign w:val="center"/>
          </w:tcPr>
          <w:p w14:paraId="6FE9E544">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c>
          <w:tcPr>
            <w:tcW w:w="2902" w:type="dxa"/>
            <w:gridSpan w:val="3"/>
            <w:tcBorders>
              <w:top w:val="nil"/>
              <w:left w:val="nil"/>
              <w:bottom w:val="single" w:color="auto" w:sz="8" w:space="0"/>
              <w:right w:val="single" w:color="auto" w:sz="8" w:space="0"/>
            </w:tcBorders>
            <w:vAlign w:val="center"/>
          </w:tcPr>
          <w:p w14:paraId="20D752D5">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c>
          <w:tcPr>
            <w:tcW w:w="863" w:type="dxa"/>
            <w:gridSpan w:val="2"/>
            <w:tcBorders>
              <w:top w:val="nil"/>
              <w:left w:val="nil"/>
              <w:bottom w:val="single" w:color="auto" w:sz="8" w:space="0"/>
              <w:right w:val="single" w:color="auto" w:sz="8" w:space="0"/>
            </w:tcBorders>
            <w:vAlign w:val="center"/>
          </w:tcPr>
          <w:p w14:paraId="40503CCE">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c>
          <w:tcPr>
            <w:tcW w:w="1428" w:type="dxa"/>
            <w:tcBorders>
              <w:top w:val="nil"/>
              <w:left w:val="nil"/>
              <w:bottom w:val="single" w:color="auto" w:sz="8" w:space="0"/>
              <w:right w:val="single" w:color="auto" w:sz="8" w:space="0"/>
            </w:tcBorders>
            <w:vAlign w:val="center"/>
          </w:tcPr>
          <w:p w14:paraId="09D11E8B">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r>
      <w:tr w14:paraId="278FBB2B">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03E79CA1">
            <w:pPr>
              <w:kinsoku/>
              <w:autoSpaceDE/>
              <w:autoSpaceDN/>
              <w:adjustRightInd/>
              <w:spacing w:before="100" w:beforeAutospacing="1" w:after="100" w:afterAutospacing="1" w:line="320" w:lineRule="atLeast"/>
              <w:ind w:firstLine="5"/>
              <w:jc w:val="center"/>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合 计</w:t>
            </w:r>
          </w:p>
        </w:tc>
        <w:tc>
          <w:tcPr>
            <w:tcW w:w="863" w:type="dxa"/>
            <w:gridSpan w:val="2"/>
            <w:tcBorders>
              <w:top w:val="nil"/>
              <w:left w:val="nil"/>
              <w:bottom w:val="single" w:color="auto" w:sz="8" w:space="0"/>
              <w:right w:val="single" w:color="auto" w:sz="8" w:space="0"/>
            </w:tcBorders>
            <w:vAlign w:val="center"/>
          </w:tcPr>
          <w:p w14:paraId="56DCA79C">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c>
          <w:tcPr>
            <w:tcW w:w="1428" w:type="dxa"/>
            <w:tcBorders>
              <w:top w:val="nil"/>
              <w:left w:val="nil"/>
              <w:bottom w:val="single" w:color="auto" w:sz="8" w:space="0"/>
              <w:right w:val="single" w:color="auto" w:sz="8" w:space="0"/>
            </w:tcBorders>
            <w:vAlign w:val="center"/>
          </w:tcPr>
          <w:p w14:paraId="02D9F582">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r>
      <w:tr w14:paraId="2670C073">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78630D6D">
            <w:pPr>
              <w:kinsoku/>
              <w:autoSpaceDE/>
              <w:autoSpaceDN/>
              <w:adjustRightInd/>
              <w:spacing w:before="100" w:beforeAutospacing="1" w:after="100" w:afterAutospacing="1" w:line="320" w:lineRule="atLeast"/>
              <w:ind w:firstLine="210" w:firstLineChars="100"/>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合计大写金额：  仟  佰  拾  万  仟  佰  拾  元</w:t>
            </w:r>
          </w:p>
        </w:tc>
      </w:tr>
      <w:tr w14:paraId="36A01368">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25E39FEC">
            <w:pPr>
              <w:kinsoku/>
              <w:autoSpaceDE/>
              <w:autoSpaceDN/>
              <w:adjustRightInd/>
              <w:spacing w:before="100" w:beforeAutospacing="1" w:after="100" w:afterAutospacing="1" w:line="320" w:lineRule="atLeast"/>
              <w:ind w:firstLine="2"/>
              <w:jc w:val="center"/>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实际供货日期</w:t>
            </w:r>
          </w:p>
        </w:tc>
        <w:tc>
          <w:tcPr>
            <w:tcW w:w="2421" w:type="dxa"/>
            <w:gridSpan w:val="2"/>
            <w:tcBorders>
              <w:top w:val="nil"/>
              <w:left w:val="nil"/>
              <w:bottom w:val="single" w:color="auto" w:sz="8" w:space="0"/>
              <w:right w:val="single" w:color="auto" w:sz="8" w:space="0"/>
            </w:tcBorders>
            <w:vAlign w:val="center"/>
          </w:tcPr>
          <w:p w14:paraId="2CA7DF56">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c>
          <w:tcPr>
            <w:tcW w:w="2282" w:type="dxa"/>
            <w:gridSpan w:val="3"/>
            <w:tcBorders>
              <w:top w:val="nil"/>
              <w:left w:val="nil"/>
              <w:bottom w:val="single" w:color="auto" w:sz="8" w:space="0"/>
              <w:right w:val="single" w:color="auto" w:sz="8" w:space="0"/>
            </w:tcBorders>
            <w:vAlign w:val="center"/>
          </w:tcPr>
          <w:p w14:paraId="754DCC7B">
            <w:pPr>
              <w:kinsoku/>
              <w:autoSpaceDE/>
              <w:autoSpaceDN/>
              <w:adjustRightInd/>
              <w:spacing w:before="100" w:beforeAutospacing="1" w:after="100" w:afterAutospacing="1" w:line="320" w:lineRule="atLeast"/>
              <w:ind w:firstLine="46"/>
              <w:jc w:val="center"/>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合同交货验收日期</w:t>
            </w:r>
          </w:p>
        </w:tc>
        <w:tc>
          <w:tcPr>
            <w:tcW w:w="2113" w:type="dxa"/>
            <w:gridSpan w:val="2"/>
            <w:tcBorders>
              <w:top w:val="nil"/>
              <w:left w:val="nil"/>
              <w:bottom w:val="single" w:color="auto" w:sz="8" w:space="0"/>
              <w:right w:val="single" w:color="auto" w:sz="8" w:space="0"/>
            </w:tcBorders>
            <w:vAlign w:val="center"/>
          </w:tcPr>
          <w:p w14:paraId="23105292">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r>
      <w:tr w14:paraId="6ABD339F">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16066F99">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c>
          <w:tcPr>
            <w:tcW w:w="2421" w:type="dxa"/>
            <w:gridSpan w:val="2"/>
            <w:tcBorders>
              <w:top w:val="nil"/>
              <w:left w:val="nil"/>
              <w:bottom w:val="single" w:color="auto" w:sz="8" w:space="0"/>
              <w:right w:val="single" w:color="auto" w:sz="8" w:space="0"/>
            </w:tcBorders>
            <w:vAlign w:val="center"/>
          </w:tcPr>
          <w:p w14:paraId="0116E03D">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c>
          <w:tcPr>
            <w:tcW w:w="2282" w:type="dxa"/>
            <w:gridSpan w:val="3"/>
            <w:tcBorders>
              <w:top w:val="nil"/>
              <w:left w:val="nil"/>
              <w:bottom w:val="single" w:color="auto" w:sz="8" w:space="0"/>
              <w:right w:val="single" w:color="auto" w:sz="8" w:space="0"/>
            </w:tcBorders>
            <w:vAlign w:val="center"/>
          </w:tcPr>
          <w:p w14:paraId="2CF6A76E">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c>
          <w:tcPr>
            <w:tcW w:w="2113" w:type="dxa"/>
            <w:gridSpan w:val="2"/>
            <w:tcBorders>
              <w:top w:val="nil"/>
              <w:left w:val="nil"/>
              <w:bottom w:val="single" w:color="auto" w:sz="8" w:space="0"/>
              <w:right w:val="single" w:color="auto" w:sz="8" w:space="0"/>
            </w:tcBorders>
            <w:vAlign w:val="center"/>
          </w:tcPr>
          <w:p w14:paraId="7D79E0DF">
            <w:pPr>
              <w:kinsoku/>
              <w:autoSpaceDE/>
              <w:autoSpaceDN/>
              <w:adjustRightInd/>
              <w:snapToGrid/>
              <w:spacing w:before="100" w:beforeAutospacing="1" w:after="100" w:afterAutospacing="1" w:line="240" w:lineRule="atLeast"/>
              <w:jc w:val="center"/>
              <w:textAlignment w:val="auto"/>
              <w:rPr>
                <w:rFonts w:ascii="仿宋" w:hAnsi="仿宋" w:eastAsia="仿宋" w:cs="仿宋"/>
                <w:snapToGrid/>
                <w:color w:val="auto"/>
                <w:highlight w:val="none"/>
                <w:lang w:eastAsia="zh-CN"/>
              </w:rPr>
            </w:pPr>
          </w:p>
        </w:tc>
      </w:tr>
      <w:tr w14:paraId="7DF9E581">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9A42E8">
            <w:pPr>
              <w:kinsoku/>
              <w:autoSpaceDE/>
              <w:autoSpaceDN/>
              <w:adjustRightInd/>
              <w:spacing w:before="100" w:beforeAutospacing="1" w:after="100" w:afterAutospacing="1" w:line="320" w:lineRule="atLeast"/>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417D962">
            <w:pPr>
              <w:kinsoku/>
              <w:autoSpaceDE/>
              <w:autoSpaceDN/>
              <w:adjustRightInd/>
              <w:spacing w:before="100" w:beforeAutospacing="1" w:after="100" w:afterAutospacing="1" w:line="320" w:lineRule="atLeast"/>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应按采购合同、谈判文件、竞标响应文件及验收方案等进行验收；并核对中标人在安装调试等方面是否违反合同约定或者服务规范要求、提供的质量保证证明材料是否齐全、应有的配件及附件是否达到合同约定等。可附件)</w:t>
            </w:r>
          </w:p>
        </w:tc>
      </w:tr>
      <w:tr w14:paraId="5520A0B9">
        <w:tblPrEx>
          <w:tblCellMar>
            <w:top w:w="0" w:type="dxa"/>
            <w:left w:w="0" w:type="dxa"/>
            <w:bottom w:w="0" w:type="dxa"/>
            <w:right w:w="0" w:type="dxa"/>
          </w:tblCellMar>
        </w:tblPrEx>
        <w:trPr>
          <w:trHeight w:val="870"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C257C62">
            <w:pPr>
              <w:kinsoku/>
              <w:autoSpaceDE/>
              <w:autoSpaceDN/>
              <w:adjustRightInd/>
              <w:snapToGrid/>
              <w:spacing w:before="100" w:beforeAutospacing="1" w:after="100" w:afterAutospacing="1" w:line="320" w:lineRule="atLeast"/>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验收小组意见</w:t>
            </w:r>
          </w:p>
        </w:tc>
        <w:tc>
          <w:tcPr>
            <w:tcW w:w="6816" w:type="dxa"/>
            <w:gridSpan w:val="7"/>
            <w:tcBorders>
              <w:top w:val="nil"/>
              <w:left w:val="nil"/>
              <w:bottom w:val="single" w:color="auto" w:sz="8" w:space="0"/>
              <w:right w:val="single" w:color="auto" w:sz="8" w:space="0"/>
            </w:tcBorders>
            <w:vAlign w:val="center"/>
          </w:tcPr>
          <w:p w14:paraId="53DF2635">
            <w:pPr>
              <w:kinsoku/>
              <w:autoSpaceDE/>
              <w:autoSpaceDN/>
              <w:adjustRightInd/>
              <w:snapToGrid/>
              <w:spacing w:before="100" w:beforeAutospacing="1" w:after="100" w:afterAutospacing="1" w:line="320" w:lineRule="atLeast"/>
              <w:ind w:firstLine="210" w:firstLineChars="100"/>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验收结论性意见：</w:t>
            </w:r>
          </w:p>
        </w:tc>
      </w:tr>
      <w:tr w14:paraId="262F09ED">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3384B79A">
            <w:pPr>
              <w:kinsoku/>
              <w:autoSpaceDE/>
              <w:autoSpaceDN/>
              <w:adjustRightInd/>
              <w:snapToGrid/>
              <w:textAlignment w:val="auto"/>
              <w:rPr>
                <w:rFonts w:ascii="仿宋" w:hAnsi="仿宋" w:eastAsia="仿宋" w:cs="仿宋"/>
                <w:snapToGrid/>
                <w:color w:val="auto"/>
                <w:highlight w:val="none"/>
                <w:lang w:eastAsia="zh-CN"/>
              </w:rPr>
            </w:pPr>
          </w:p>
        </w:tc>
        <w:tc>
          <w:tcPr>
            <w:tcW w:w="6816" w:type="dxa"/>
            <w:gridSpan w:val="7"/>
            <w:tcBorders>
              <w:top w:val="nil"/>
              <w:left w:val="nil"/>
              <w:bottom w:val="single" w:color="auto" w:sz="8" w:space="0"/>
              <w:right w:val="single" w:color="auto" w:sz="8" w:space="0"/>
            </w:tcBorders>
            <w:vAlign w:val="center"/>
          </w:tcPr>
          <w:p w14:paraId="2608D31E">
            <w:pPr>
              <w:kinsoku/>
              <w:autoSpaceDE/>
              <w:autoSpaceDN/>
              <w:adjustRightInd/>
              <w:snapToGrid/>
              <w:spacing w:before="100" w:beforeAutospacing="1" w:after="100" w:afterAutospacing="1" w:line="320" w:lineRule="atLeast"/>
              <w:ind w:firstLine="210" w:firstLineChars="100"/>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有异议的意见和说明理由：</w:t>
            </w:r>
          </w:p>
          <w:p w14:paraId="269FB3D5">
            <w:pPr>
              <w:kinsoku/>
              <w:autoSpaceDE/>
              <w:autoSpaceDN/>
              <w:adjustRightInd/>
              <w:snapToGrid/>
              <w:spacing w:before="100" w:beforeAutospacing="1" w:after="100" w:afterAutospacing="1" w:line="320" w:lineRule="atLeast"/>
              <w:ind w:firstLine="210" w:firstLineChars="100"/>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签字：</w:t>
            </w:r>
          </w:p>
        </w:tc>
      </w:tr>
      <w:tr w14:paraId="6A43BC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9DAC7F">
            <w:pPr>
              <w:kinsoku/>
              <w:autoSpaceDE/>
              <w:autoSpaceDN/>
              <w:adjustRightInd/>
              <w:snapToGrid/>
              <w:spacing w:before="100" w:beforeAutospacing="1" w:after="100" w:afterAutospacing="1" w:line="320" w:lineRule="atLeast"/>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验收小组成员签字：</w:t>
            </w:r>
          </w:p>
        </w:tc>
      </w:tr>
      <w:tr w14:paraId="5331377A">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C7F76E">
            <w:pPr>
              <w:kinsoku/>
              <w:autoSpaceDE/>
              <w:autoSpaceDN/>
              <w:adjustRightInd/>
              <w:snapToGrid/>
              <w:spacing w:before="100" w:beforeAutospacing="1" w:after="100" w:afterAutospacing="1" w:line="320" w:lineRule="atLeast"/>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监督人员或者其他相关人员签字：</w:t>
            </w:r>
          </w:p>
          <w:p w14:paraId="0E6061DA">
            <w:pPr>
              <w:kinsoku/>
              <w:autoSpaceDE/>
              <w:autoSpaceDN/>
              <w:adjustRightInd/>
              <w:snapToGrid/>
              <w:spacing w:before="100" w:beforeAutospacing="1" w:after="100" w:afterAutospacing="1" w:line="320" w:lineRule="atLeast"/>
              <w:ind w:firstLine="74"/>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或者受邀机构的意见（盖章）：</w:t>
            </w:r>
          </w:p>
        </w:tc>
      </w:tr>
      <w:tr w14:paraId="463CDEC4">
        <w:tblPrEx>
          <w:tblCellMar>
            <w:top w:w="0" w:type="dxa"/>
            <w:left w:w="0" w:type="dxa"/>
            <w:bottom w:w="0" w:type="dxa"/>
            <w:right w:w="0" w:type="dxa"/>
          </w:tblCellMar>
        </w:tblPrEx>
        <w:trPr>
          <w:trHeight w:val="264"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0C261334">
            <w:pPr>
              <w:kinsoku/>
              <w:autoSpaceDE/>
              <w:autoSpaceDN/>
              <w:adjustRightInd/>
              <w:snapToGrid/>
              <w:spacing w:before="100" w:beforeAutospacing="1" w:after="100" w:afterAutospacing="1" w:line="320" w:lineRule="atLeast"/>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中标人负责人签字或者盖章：</w:t>
            </w:r>
          </w:p>
          <w:p w14:paraId="0BD2E535">
            <w:pPr>
              <w:kinsoku/>
              <w:autoSpaceDE/>
              <w:autoSpaceDN/>
              <w:adjustRightInd/>
              <w:snapToGrid/>
              <w:spacing w:before="100" w:beforeAutospacing="1" w:after="100" w:afterAutospacing="1" w:line="320" w:lineRule="atLeast"/>
              <w:textAlignment w:val="auto"/>
              <w:rPr>
                <w:rFonts w:ascii="仿宋" w:hAnsi="仿宋" w:eastAsia="仿宋" w:cs="仿宋"/>
                <w:snapToGrid/>
                <w:color w:val="auto"/>
                <w:highlight w:val="none"/>
                <w:lang w:eastAsia="zh-CN"/>
              </w:rPr>
            </w:pPr>
          </w:p>
          <w:p w14:paraId="6B19F395">
            <w:pPr>
              <w:kinsoku/>
              <w:autoSpaceDE/>
              <w:autoSpaceDN/>
              <w:adjustRightInd/>
              <w:snapToGrid/>
              <w:spacing w:before="100" w:beforeAutospacing="1" w:after="100" w:afterAutospacing="1" w:line="320" w:lineRule="atLeast"/>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联系电话：                年  月  日</w:t>
            </w:r>
          </w:p>
        </w:tc>
        <w:tc>
          <w:tcPr>
            <w:tcW w:w="4293" w:type="dxa"/>
            <w:gridSpan w:val="4"/>
            <w:tcBorders>
              <w:top w:val="nil"/>
              <w:left w:val="nil"/>
              <w:bottom w:val="single" w:color="auto" w:sz="8" w:space="0"/>
              <w:right w:val="single" w:color="auto" w:sz="8" w:space="0"/>
            </w:tcBorders>
            <w:vAlign w:val="center"/>
          </w:tcPr>
          <w:p w14:paraId="16A2FFC8">
            <w:pPr>
              <w:kinsoku/>
              <w:autoSpaceDE/>
              <w:autoSpaceDN/>
              <w:adjustRightInd/>
              <w:snapToGrid/>
              <w:spacing w:before="100" w:beforeAutospacing="1" w:after="100" w:afterAutospacing="1" w:line="320" w:lineRule="atLeast"/>
              <w:ind w:firstLine="210" w:firstLineChars="100"/>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采购人或者受托机构的意见（盖章）：</w:t>
            </w:r>
          </w:p>
          <w:p w14:paraId="330DD8B7">
            <w:pPr>
              <w:kinsoku/>
              <w:autoSpaceDE/>
              <w:autoSpaceDN/>
              <w:adjustRightInd/>
              <w:snapToGrid/>
              <w:spacing w:before="100" w:beforeAutospacing="1" w:after="100" w:afterAutospacing="1" w:line="320" w:lineRule="atLeast"/>
              <w:ind w:firstLine="210" w:firstLineChars="100"/>
              <w:textAlignment w:val="auto"/>
              <w:rPr>
                <w:rFonts w:ascii="仿宋" w:hAnsi="仿宋" w:eastAsia="仿宋" w:cs="仿宋"/>
                <w:snapToGrid/>
                <w:color w:val="auto"/>
                <w:highlight w:val="none"/>
                <w:lang w:eastAsia="zh-CN"/>
              </w:rPr>
            </w:pPr>
          </w:p>
          <w:p w14:paraId="1F999FD7">
            <w:pPr>
              <w:kinsoku/>
              <w:autoSpaceDE/>
              <w:autoSpaceDN/>
              <w:adjustRightInd/>
              <w:snapToGrid/>
              <w:spacing w:before="100" w:beforeAutospacing="1" w:after="100" w:afterAutospacing="1" w:line="320" w:lineRule="atLeast"/>
              <w:ind w:firstLine="210" w:firstLineChars="100"/>
              <w:textAlignment w:val="auto"/>
              <w:rPr>
                <w:rFonts w:ascii="仿宋" w:hAnsi="仿宋" w:eastAsia="仿宋" w:cs="仿宋"/>
                <w:snapToGrid/>
                <w:color w:val="auto"/>
                <w:highlight w:val="none"/>
                <w:lang w:eastAsia="zh-CN"/>
              </w:rPr>
            </w:pPr>
            <w:r>
              <w:rPr>
                <w:rFonts w:hint="eastAsia" w:ascii="仿宋" w:hAnsi="仿宋" w:eastAsia="仿宋" w:cs="仿宋"/>
                <w:snapToGrid/>
                <w:color w:val="auto"/>
                <w:highlight w:val="none"/>
                <w:lang w:eastAsia="zh-CN"/>
              </w:rPr>
              <w:t>联系电话：                  年  月  日</w:t>
            </w:r>
          </w:p>
        </w:tc>
      </w:tr>
    </w:tbl>
    <w:p w14:paraId="3C3B41BE">
      <w:pPr>
        <w:widowControl w:val="0"/>
        <w:kinsoku/>
        <w:autoSpaceDE/>
        <w:autoSpaceDN/>
        <w:adjustRightInd/>
        <w:ind w:left="3360" w:hanging="420"/>
        <w:jc w:val="both"/>
        <w:textAlignment w:val="auto"/>
        <w:rPr>
          <w:rFonts w:ascii="仿宋" w:hAnsi="仿宋" w:eastAsia="仿宋" w:cs="仿宋"/>
          <w:snapToGrid/>
          <w:color w:val="auto"/>
          <w:sz w:val="20"/>
          <w:highlight w:val="none"/>
          <w:lang w:eastAsia="zh-CN"/>
        </w:rPr>
        <w:sectPr>
          <w:footerReference r:id="rId3" w:type="default"/>
          <w:pgSz w:w="11910" w:h="16830"/>
          <w:pgMar w:top="1430" w:right="1064" w:bottom="1101" w:left="1110" w:header="0" w:footer="957" w:gutter="0"/>
          <w:cols w:space="720" w:num="1"/>
        </w:sectPr>
      </w:pPr>
    </w:p>
    <w:p w14:paraId="51346482">
      <w:pPr>
        <w:spacing w:line="460" w:lineRule="exact"/>
        <w:ind w:firstLine="715" w:firstLineChars="200"/>
        <w:jc w:val="center"/>
        <w:outlineLvl w:val="0"/>
        <w:rPr>
          <w:rFonts w:ascii="仿宋" w:hAnsi="仿宋" w:eastAsia="仿宋" w:cs="仿宋"/>
          <w:color w:val="auto"/>
          <w:sz w:val="32"/>
          <w:szCs w:val="32"/>
          <w:highlight w:val="none"/>
        </w:rPr>
      </w:pPr>
      <w:bookmarkStart w:id="48" w:name="_Toc10577"/>
      <w:r>
        <w:rPr>
          <w:rFonts w:hint="eastAsia" w:ascii="仿宋" w:hAnsi="仿宋" w:eastAsia="仿宋" w:cs="仿宋"/>
          <w:b/>
          <w:bCs/>
          <w:color w:val="auto"/>
          <w:spacing w:val="18"/>
          <w:sz w:val="32"/>
          <w:szCs w:val="32"/>
          <w:highlight w:val="none"/>
        </w:rPr>
        <w:t>第</w:t>
      </w:r>
      <w:r>
        <w:rPr>
          <w:rFonts w:hint="eastAsia" w:ascii="仿宋" w:hAnsi="仿宋" w:eastAsia="仿宋" w:cs="仿宋"/>
          <w:b/>
          <w:bCs/>
          <w:color w:val="auto"/>
          <w:spacing w:val="18"/>
          <w:sz w:val="32"/>
          <w:szCs w:val="32"/>
          <w:highlight w:val="none"/>
          <w:lang w:eastAsia="zh-CN"/>
        </w:rPr>
        <w:t>三</w:t>
      </w:r>
      <w:r>
        <w:rPr>
          <w:rFonts w:hint="eastAsia" w:ascii="仿宋" w:hAnsi="仿宋" w:eastAsia="仿宋" w:cs="仿宋"/>
          <w:b/>
          <w:bCs/>
          <w:color w:val="auto"/>
          <w:spacing w:val="18"/>
          <w:sz w:val="32"/>
          <w:szCs w:val="32"/>
          <w:highlight w:val="none"/>
        </w:rPr>
        <w:t>章采购需求</w:t>
      </w:r>
      <w:bookmarkEnd w:id="48"/>
    </w:p>
    <w:p w14:paraId="2A5FAEAD">
      <w:pPr>
        <w:spacing w:line="460" w:lineRule="exact"/>
        <w:ind w:firstLine="424" w:firstLineChars="200"/>
        <w:rPr>
          <w:rFonts w:ascii="仿宋" w:hAnsi="仿宋" w:eastAsia="仿宋" w:cs="仿宋"/>
          <w:color w:val="auto"/>
          <w:highlight w:val="none"/>
        </w:rPr>
      </w:pPr>
      <w:r>
        <w:rPr>
          <w:rFonts w:hint="eastAsia" w:ascii="仿宋" w:hAnsi="仿宋" w:eastAsia="仿宋" w:cs="仿宋"/>
          <w:color w:val="auto"/>
          <w:spacing w:val="1"/>
          <w:highlight w:val="none"/>
        </w:rPr>
        <w:t>说明：</w:t>
      </w:r>
    </w:p>
    <w:p w14:paraId="5A24420A">
      <w:pPr>
        <w:spacing w:line="460" w:lineRule="exact"/>
        <w:ind w:firstLine="412"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1.为落实政府采购政策需满足的要求：</w:t>
      </w:r>
    </w:p>
    <w:p w14:paraId="765BAA96">
      <w:pPr>
        <w:spacing w:line="460" w:lineRule="exact"/>
        <w:ind w:firstLine="42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(1)本竞争性磋商文件所称中小企业必须符合</w:t>
      </w:r>
      <w:r>
        <w:rPr>
          <w:rFonts w:hint="eastAsia" w:ascii="仿宋" w:hAnsi="仿宋" w:eastAsia="仿宋" w:cs="仿宋"/>
          <w:color w:val="auto"/>
          <w:spacing w:val="-1"/>
          <w:highlight w:val="none"/>
          <w:lang w:eastAsia="zh-CN"/>
        </w:rPr>
        <w:t>《政府采购促进中小企业发展管理办法》(财库〔2020〕</w:t>
      </w:r>
      <w:r>
        <w:rPr>
          <w:rFonts w:hint="eastAsia" w:ascii="仿宋" w:hAnsi="仿宋" w:eastAsia="仿宋" w:cs="仿宋"/>
          <w:color w:val="auto"/>
          <w:highlight w:val="none"/>
          <w:lang w:eastAsia="zh-CN"/>
        </w:rPr>
        <w:t xml:space="preserve"> </w:t>
      </w:r>
      <w:r>
        <w:rPr>
          <w:rFonts w:hint="eastAsia" w:ascii="仿宋" w:hAnsi="仿宋" w:eastAsia="仿宋" w:cs="仿宋"/>
          <w:color w:val="auto"/>
          <w:spacing w:val="17"/>
          <w:highlight w:val="none"/>
          <w:lang w:eastAsia="zh-CN"/>
        </w:rPr>
        <w:t>46号)的规定。</w:t>
      </w:r>
    </w:p>
    <w:p w14:paraId="6A217679">
      <w:pPr>
        <w:spacing w:line="460" w:lineRule="exact"/>
        <w:ind w:firstLine="456" w:firstLineChars="200"/>
        <w:rPr>
          <w:rFonts w:ascii="仿宋" w:hAnsi="仿宋" w:eastAsia="仿宋" w:cs="仿宋"/>
          <w:color w:val="auto"/>
          <w:highlight w:val="none"/>
          <w:lang w:eastAsia="zh-CN"/>
        </w:rPr>
      </w:pPr>
      <w:r>
        <w:rPr>
          <w:rFonts w:hint="eastAsia" w:ascii="仿宋" w:hAnsi="仿宋" w:eastAsia="仿宋" w:cs="仿宋"/>
          <w:color w:val="auto"/>
          <w:spacing w:val="9"/>
          <w:highlight w:val="none"/>
          <w:lang w:eastAsia="zh-CN"/>
        </w:rPr>
        <w:t>(2)服务项目中包含货物的，根据《财政部发展改革委生态环境部市场监管总局关于调整优化节</w:t>
      </w:r>
      <w:r>
        <w:rPr>
          <w:rFonts w:hint="eastAsia" w:ascii="仿宋" w:hAnsi="仿宋" w:eastAsia="仿宋" w:cs="仿宋"/>
          <w:color w:val="auto"/>
          <w:spacing w:val="6"/>
          <w:highlight w:val="none"/>
          <w:lang w:eastAsia="zh-CN"/>
        </w:rPr>
        <w:t>能产品、环境标志产品政府采购执行机制的通知》(财库〔201</w:t>
      </w:r>
      <w:r>
        <w:rPr>
          <w:rFonts w:hint="eastAsia" w:ascii="仿宋" w:hAnsi="仿宋" w:eastAsia="仿宋" w:cs="仿宋"/>
          <w:color w:val="auto"/>
          <w:spacing w:val="5"/>
          <w:highlight w:val="none"/>
          <w:lang w:eastAsia="zh-CN"/>
        </w:rPr>
        <w:t>9〕9号)和《关于印发节能产品政府采购</w:t>
      </w:r>
      <w:r>
        <w:rPr>
          <w:rFonts w:hint="eastAsia" w:ascii="仿宋" w:hAnsi="仿宋" w:eastAsia="仿宋" w:cs="仿宋"/>
          <w:color w:val="auto"/>
          <w:spacing w:val="4"/>
          <w:highlight w:val="none"/>
          <w:lang w:eastAsia="zh-CN"/>
        </w:rPr>
        <w:t>品目清单的通知》(财库〔2019〕19号)的规定，采购需求中的产品属于节能产品政府采购品目清单内标</w:t>
      </w:r>
      <w:r>
        <w:rPr>
          <w:rFonts w:hint="eastAsia" w:ascii="仿宋" w:hAnsi="仿宋" w:eastAsia="仿宋" w:cs="仿宋"/>
          <w:color w:val="auto"/>
          <w:highlight w:val="none"/>
          <w:lang w:eastAsia="zh-CN"/>
        </w:rPr>
        <w:t xml:space="preserve"> </w:t>
      </w:r>
      <w:r>
        <w:rPr>
          <w:rFonts w:hint="eastAsia" w:ascii="仿宋" w:hAnsi="仿宋" w:eastAsia="仿宋" w:cs="仿宋"/>
          <w:color w:val="auto"/>
          <w:spacing w:val="2"/>
          <w:highlight w:val="none"/>
          <w:lang w:eastAsia="zh-CN"/>
        </w:rPr>
        <w:t>注“★”的，供应商必须在响应文件中提供所竞标产品有效期内的节能产品认证证书</w:t>
      </w:r>
      <w:r>
        <w:rPr>
          <w:rFonts w:hint="eastAsia" w:ascii="仿宋" w:hAnsi="仿宋" w:eastAsia="仿宋" w:cs="仿宋"/>
          <w:color w:val="auto"/>
          <w:spacing w:val="1"/>
          <w:highlight w:val="none"/>
          <w:lang w:eastAsia="zh-CN"/>
        </w:rPr>
        <w:t>复印件(加盖供应商</w:t>
      </w:r>
      <w:r>
        <w:rPr>
          <w:rFonts w:hint="eastAsia" w:ascii="仿宋" w:hAnsi="仿宋" w:eastAsia="仿宋" w:cs="仿宋"/>
          <w:color w:val="auto"/>
          <w:spacing w:val="5"/>
          <w:highlight w:val="none"/>
          <w:lang w:eastAsia="zh-CN"/>
        </w:rPr>
        <w:t>公章),否则响应文件按无效处理。如本项目</w:t>
      </w:r>
      <w:r>
        <w:rPr>
          <w:rFonts w:hint="eastAsia" w:ascii="仿宋" w:hAnsi="仿宋" w:eastAsia="仿宋" w:cs="仿宋"/>
          <w:color w:val="auto"/>
          <w:spacing w:val="4"/>
          <w:highlight w:val="none"/>
          <w:lang w:eastAsia="zh-CN"/>
        </w:rPr>
        <w:t>包含的配套货物属于品目清单内非标注“★”的产品时，应</w:t>
      </w:r>
      <w:r>
        <w:rPr>
          <w:rFonts w:hint="eastAsia" w:ascii="仿宋" w:hAnsi="仿宋" w:eastAsia="仿宋" w:cs="仿宋"/>
          <w:color w:val="auto"/>
          <w:spacing w:val="2"/>
          <w:highlight w:val="none"/>
          <w:lang w:eastAsia="zh-CN"/>
        </w:rPr>
        <w:t xml:space="preserve">优先采购，具体详见“第四章 </w:t>
      </w:r>
      <w:r>
        <w:rPr>
          <w:rFonts w:hint="eastAsia" w:ascii="仿宋" w:hAnsi="仿宋" w:eastAsia="仿宋" w:cs="仿宋"/>
          <w:color w:val="auto"/>
          <w:spacing w:val="2"/>
          <w:highlight w:val="none"/>
          <w:u w:val="single"/>
          <w:lang w:eastAsia="zh-CN"/>
        </w:rPr>
        <w:t>评审程序、评审方法和评审标准</w:t>
      </w:r>
      <w:r>
        <w:rPr>
          <w:rFonts w:hint="eastAsia" w:ascii="仿宋" w:hAnsi="仿宋" w:eastAsia="仿宋" w:cs="仿宋"/>
          <w:color w:val="auto"/>
          <w:spacing w:val="2"/>
          <w:highlight w:val="none"/>
          <w:lang w:eastAsia="zh-CN"/>
        </w:rPr>
        <w:t>”。</w:t>
      </w:r>
    </w:p>
    <w:p w14:paraId="20298EC1">
      <w:pPr>
        <w:spacing w:line="460" w:lineRule="exact"/>
        <w:ind w:firstLine="448" w:firstLineChars="200"/>
        <w:rPr>
          <w:rFonts w:ascii="仿宋" w:hAnsi="仿宋" w:eastAsia="仿宋" w:cs="仿宋"/>
          <w:color w:val="auto"/>
          <w:highlight w:val="none"/>
          <w:lang w:eastAsia="zh-CN"/>
        </w:rPr>
      </w:pPr>
      <w:r>
        <w:rPr>
          <w:rFonts w:hint="eastAsia" w:ascii="仿宋" w:hAnsi="仿宋" w:eastAsia="仿宋" w:cs="仿宋"/>
          <w:color w:val="auto"/>
          <w:spacing w:val="7"/>
          <w:highlight w:val="none"/>
          <w:lang w:eastAsia="zh-CN"/>
        </w:rPr>
        <w:t>2.本项目所涉及的货物不接受进口产品(即通过中国海关报关验放进入中国</w:t>
      </w:r>
      <w:r>
        <w:rPr>
          <w:rFonts w:hint="eastAsia" w:ascii="仿宋" w:hAnsi="仿宋" w:eastAsia="仿宋" w:cs="仿宋"/>
          <w:color w:val="auto"/>
          <w:spacing w:val="6"/>
          <w:highlight w:val="none"/>
          <w:lang w:eastAsia="zh-CN"/>
        </w:rPr>
        <w:t>境内且产自关境外的产</w:t>
      </w:r>
      <w:r>
        <w:rPr>
          <w:rFonts w:hint="eastAsia" w:ascii="仿宋" w:hAnsi="仿宋" w:eastAsia="仿宋" w:cs="仿宋"/>
          <w:color w:val="auto"/>
          <w:highlight w:val="none"/>
          <w:lang w:eastAsia="zh-CN"/>
        </w:rPr>
        <w:t xml:space="preserve"> </w:t>
      </w:r>
      <w:r>
        <w:rPr>
          <w:rFonts w:hint="eastAsia" w:ascii="仿宋" w:hAnsi="仿宋" w:eastAsia="仿宋" w:cs="仿宋"/>
          <w:color w:val="auto"/>
          <w:spacing w:val="2"/>
          <w:highlight w:val="none"/>
          <w:lang w:eastAsia="zh-CN"/>
        </w:rPr>
        <w:t>品)参与竞标，</w:t>
      </w:r>
      <w:r>
        <w:rPr>
          <w:rFonts w:hint="eastAsia" w:ascii="仿宋" w:hAnsi="仿宋" w:eastAsia="仿宋" w:cs="仿宋"/>
          <w:color w:val="auto"/>
          <w:spacing w:val="-25"/>
          <w:highlight w:val="none"/>
          <w:lang w:eastAsia="zh-CN"/>
        </w:rPr>
        <w:t xml:space="preserve"> </w:t>
      </w:r>
      <w:r>
        <w:rPr>
          <w:rFonts w:hint="eastAsia" w:ascii="仿宋" w:hAnsi="仿宋" w:eastAsia="仿宋" w:cs="仿宋"/>
          <w:color w:val="auto"/>
          <w:spacing w:val="2"/>
          <w:highlight w:val="none"/>
          <w:lang w:eastAsia="zh-CN"/>
        </w:rPr>
        <w:t>如有进口产品参与竞标的作无效竞标</w:t>
      </w:r>
      <w:r>
        <w:rPr>
          <w:rFonts w:hint="eastAsia" w:ascii="仿宋" w:hAnsi="仿宋" w:eastAsia="仿宋" w:cs="仿宋"/>
          <w:color w:val="auto"/>
          <w:spacing w:val="1"/>
          <w:highlight w:val="none"/>
          <w:lang w:eastAsia="zh-CN"/>
        </w:rPr>
        <w:t>处理。</w:t>
      </w:r>
    </w:p>
    <w:p w14:paraId="2AEDC008">
      <w:pPr>
        <w:spacing w:line="460" w:lineRule="exact"/>
        <w:ind w:firstLine="422" w:firstLineChars="200"/>
        <w:rPr>
          <w:rFonts w:ascii="仿宋" w:hAnsi="仿宋" w:eastAsia="仿宋" w:cs="仿宋"/>
          <w:color w:val="auto"/>
          <w:highlight w:val="none"/>
          <w:lang w:eastAsia="zh-CN"/>
        </w:rPr>
      </w:pPr>
      <w:r>
        <w:rPr>
          <w:rFonts w:hint="eastAsia" w:ascii="仿宋" w:hAnsi="仿宋" w:eastAsia="仿宋" w:cs="仿宋"/>
          <w:b/>
          <w:bCs/>
          <w:color w:val="auto"/>
          <w:highlight w:val="none"/>
          <w:lang w:eastAsia="zh-CN"/>
        </w:rPr>
        <w:t>3.竞争性磋商文件采购需求中标记“▲”的为实质性要求，响应文件必须满足或优于，</w:t>
      </w:r>
      <w:r>
        <w:rPr>
          <w:rFonts w:hint="eastAsia" w:ascii="仿宋" w:hAnsi="仿宋" w:eastAsia="仿宋" w:cs="仿宋"/>
          <w:b/>
          <w:bCs/>
          <w:color w:val="auto"/>
          <w:spacing w:val="-1"/>
          <w:highlight w:val="none"/>
          <w:lang w:eastAsia="zh-CN"/>
        </w:rPr>
        <w:t>否则响应文件</w:t>
      </w:r>
      <w:r>
        <w:rPr>
          <w:rFonts w:hint="eastAsia" w:ascii="仿宋" w:hAnsi="仿宋" w:eastAsia="仿宋" w:cs="仿宋"/>
          <w:b/>
          <w:bCs/>
          <w:color w:val="auto"/>
          <w:spacing w:val="4"/>
          <w:highlight w:val="none"/>
          <w:lang w:eastAsia="zh-CN"/>
        </w:rPr>
        <w:t>作无效处理。</w:t>
      </w:r>
    </w:p>
    <w:p w14:paraId="0E5C2C9D">
      <w:pPr>
        <w:spacing w:line="460" w:lineRule="exact"/>
        <w:ind w:firstLine="424" w:firstLineChars="200"/>
        <w:rPr>
          <w:rFonts w:ascii="仿宋" w:hAnsi="仿宋" w:eastAsia="仿宋" w:cs="仿宋"/>
          <w:color w:val="auto"/>
          <w:highlight w:val="none"/>
          <w:lang w:eastAsia="zh-CN"/>
        </w:rPr>
      </w:pPr>
      <w:r>
        <w:rPr>
          <w:rFonts w:hint="eastAsia" w:ascii="仿宋" w:hAnsi="仿宋" w:eastAsia="仿宋" w:cs="仿宋"/>
          <w:color w:val="auto"/>
          <w:spacing w:val="1"/>
          <w:highlight w:val="none"/>
          <w:lang w:eastAsia="zh-CN"/>
        </w:rPr>
        <w:t>4.如竞标产品存在侵犯他人的知识产权或者专利成果行为的，应承担相应法律责任。</w:t>
      </w:r>
    </w:p>
    <w:p w14:paraId="778D2D95">
      <w:pPr>
        <w:spacing w:line="460" w:lineRule="exact"/>
        <w:ind w:firstLine="42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5.本项目建设不包含任何硬件设备，仅提供符合本项目配置要求的云服务器资源使用权。</w:t>
      </w:r>
    </w:p>
    <w:p w14:paraId="1762D885">
      <w:pPr>
        <w:spacing w:line="460" w:lineRule="exact"/>
        <w:ind w:firstLine="440" w:firstLineChars="200"/>
        <w:rPr>
          <w:rFonts w:ascii="仿宋" w:hAnsi="仿宋" w:eastAsia="仿宋" w:cs="仿宋"/>
          <w:color w:val="auto"/>
          <w:highlight w:val="none"/>
          <w:lang w:eastAsia="zh-CN"/>
        </w:rPr>
      </w:pPr>
      <w:r>
        <w:rPr>
          <w:rFonts w:hint="eastAsia" w:ascii="仿宋" w:hAnsi="仿宋" w:eastAsia="仿宋" w:cs="仿宋"/>
          <w:color w:val="auto"/>
          <w:spacing w:val="5"/>
          <w:highlight w:val="none"/>
          <w:lang w:eastAsia="zh-CN"/>
        </w:rPr>
        <w:t>6.采购标的对应的中小企业划分标准所属行业名称：</w:t>
      </w:r>
      <w:r>
        <w:rPr>
          <w:rFonts w:hint="eastAsia" w:ascii="仿宋" w:hAnsi="仿宋" w:eastAsia="仿宋" w:cs="仿宋"/>
          <w:color w:val="auto"/>
          <w:spacing w:val="-14"/>
          <w:highlight w:val="none"/>
          <w:lang w:eastAsia="zh-CN"/>
        </w:rPr>
        <w:t xml:space="preserve"> </w:t>
      </w:r>
      <w:r>
        <w:rPr>
          <w:rFonts w:hint="eastAsia" w:ascii="仿宋" w:hAnsi="仿宋" w:eastAsia="仿宋" w:cs="仿宋"/>
          <w:color w:val="auto"/>
          <w:spacing w:val="5"/>
          <w:highlight w:val="none"/>
          <w:u w:val="single"/>
          <w:lang w:eastAsia="zh-CN"/>
        </w:rPr>
        <w:t>其他未列明行业。(行业名称及划分见本章附</w:t>
      </w:r>
    </w:p>
    <w:p w14:paraId="113FBE61">
      <w:pPr>
        <w:spacing w:line="460" w:lineRule="exact"/>
        <w:ind w:firstLine="524" w:firstLineChars="200"/>
        <w:rPr>
          <w:rFonts w:ascii="仿宋" w:hAnsi="仿宋" w:eastAsia="仿宋" w:cs="仿宋"/>
          <w:color w:val="auto"/>
          <w:sz w:val="23"/>
          <w:szCs w:val="23"/>
          <w:highlight w:val="none"/>
        </w:rPr>
      </w:pPr>
      <w:r>
        <w:rPr>
          <w:rFonts w:hint="eastAsia" w:ascii="仿宋" w:hAnsi="仿宋" w:eastAsia="仿宋" w:cs="仿宋"/>
          <w:color w:val="auto"/>
          <w:spacing w:val="16"/>
          <w:sz w:val="23"/>
          <w:szCs w:val="23"/>
          <w:highlight w:val="none"/>
        </w:rPr>
        <w:t>件1)</w:t>
      </w:r>
    </w:p>
    <w:tbl>
      <w:tblPr>
        <w:tblStyle w:val="24"/>
        <w:tblW w:w="103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7"/>
        <w:gridCol w:w="1326"/>
        <w:gridCol w:w="163"/>
        <w:gridCol w:w="563"/>
        <w:gridCol w:w="939"/>
        <w:gridCol w:w="6917"/>
      </w:tblGrid>
      <w:tr w14:paraId="05D31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7" w:type="dxa"/>
            <w:vAlign w:val="center"/>
          </w:tcPr>
          <w:p w14:paraId="7838F526">
            <w:pPr>
              <w:widowControl w:val="0"/>
              <w:tabs>
                <w:tab w:val="left" w:pos="180"/>
                <w:tab w:val="left" w:pos="1620"/>
              </w:tabs>
              <w:kinsoku/>
              <w:wordWrap w:val="0"/>
              <w:autoSpaceDE/>
              <w:autoSpaceDN/>
              <w:adjustRightInd/>
              <w:snapToGrid/>
              <w:spacing w:line="400" w:lineRule="exact"/>
              <w:jc w:val="center"/>
              <w:textAlignment w:val="auto"/>
              <w:rPr>
                <w:rFonts w:ascii="宋体" w:hAnsi="宋体" w:cs="宋体"/>
                <w:b/>
                <w:bCs/>
                <w:color w:val="auto"/>
                <w:highlight w:val="none"/>
              </w:rPr>
            </w:pPr>
            <w:r>
              <w:rPr>
                <w:rFonts w:hint="eastAsia" w:ascii="宋体" w:hAnsi="宋体" w:cs="宋体"/>
                <w:b/>
                <w:bCs/>
                <w:color w:val="auto"/>
                <w:highlight w:val="none"/>
              </w:rPr>
              <w:t>序号</w:t>
            </w:r>
          </w:p>
        </w:tc>
        <w:tc>
          <w:tcPr>
            <w:tcW w:w="1489" w:type="dxa"/>
            <w:gridSpan w:val="2"/>
            <w:vAlign w:val="center"/>
          </w:tcPr>
          <w:p w14:paraId="78CF5C97">
            <w:pPr>
              <w:widowControl w:val="0"/>
              <w:tabs>
                <w:tab w:val="left" w:pos="180"/>
                <w:tab w:val="left" w:pos="1620"/>
              </w:tabs>
              <w:kinsoku/>
              <w:wordWrap w:val="0"/>
              <w:autoSpaceDE/>
              <w:autoSpaceDN/>
              <w:adjustRightInd/>
              <w:snapToGrid/>
              <w:spacing w:line="400" w:lineRule="exact"/>
              <w:jc w:val="center"/>
              <w:textAlignment w:val="auto"/>
              <w:rPr>
                <w:rFonts w:ascii="宋体" w:hAnsi="宋体" w:cs="宋体"/>
                <w:b/>
                <w:bCs/>
                <w:color w:val="auto"/>
                <w:highlight w:val="none"/>
              </w:rPr>
            </w:pPr>
            <w:r>
              <w:rPr>
                <w:rFonts w:hint="eastAsia" w:ascii="宋体" w:hAnsi="宋体" w:cs="宋体"/>
                <w:b/>
                <w:bCs/>
                <w:color w:val="auto"/>
                <w:highlight w:val="none"/>
              </w:rPr>
              <w:t>标的的名称</w:t>
            </w:r>
          </w:p>
        </w:tc>
        <w:tc>
          <w:tcPr>
            <w:tcW w:w="563" w:type="dxa"/>
            <w:vAlign w:val="center"/>
          </w:tcPr>
          <w:p w14:paraId="200F005B">
            <w:pPr>
              <w:widowControl w:val="0"/>
              <w:tabs>
                <w:tab w:val="left" w:pos="180"/>
                <w:tab w:val="left" w:pos="1620"/>
              </w:tabs>
              <w:kinsoku/>
              <w:wordWrap w:val="0"/>
              <w:autoSpaceDE/>
              <w:autoSpaceDN/>
              <w:adjustRightInd/>
              <w:snapToGrid/>
              <w:spacing w:line="400" w:lineRule="exact"/>
              <w:jc w:val="center"/>
              <w:textAlignment w:val="auto"/>
              <w:rPr>
                <w:rFonts w:ascii="宋体" w:hAnsi="宋体" w:cs="宋体"/>
                <w:b/>
                <w:bCs/>
                <w:color w:val="auto"/>
                <w:highlight w:val="none"/>
              </w:rPr>
            </w:pPr>
            <w:r>
              <w:rPr>
                <w:rFonts w:hint="eastAsia" w:ascii="宋体" w:hAnsi="宋体" w:cs="宋体"/>
                <w:b/>
                <w:bCs/>
                <w:color w:val="auto"/>
                <w:highlight w:val="none"/>
              </w:rPr>
              <w:t>数量及</w:t>
            </w:r>
          </w:p>
          <w:p w14:paraId="422F692A">
            <w:pPr>
              <w:widowControl w:val="0"/>
              <w:tabs>
                <w:tab w:val="left" w:pos="180"/>
                <w:tab w:val="left" w:pos="1620"/>
              </w:tabs>
              <w:kinsoku/>
              <w:wordWrap w:val="0"/>
              <w:autoSpaceDE/>
              <w:autoSpaceDN/>
              <w:adjustRightInd/>
              <w:snapToGrid/>
              <w:spacing w:line="400" w:lineRule="exact"/>
              <w:jc w:val="center"/>
              <w:textAlignment w:val="auto"/>
              <w:rPr>
                <w:rFonts w:ascii="宋体" w:hAnsi="宋体" w:cs="宋体"/>
                <w:b/>
                <w:bCs/>
                <w:color w:val="auto"/>
                <w:highlight w:val="none"/>
              </w:rPr>
            </w:pPr>
            <w:r>
              <w:rPr>
                <w:rFonts w:hint="eastAsia" w:ascii="宋体" w:hAnsi="宋体" w:cs="宋体"/>
                <w:b/>
                <w:bCs/>
                <w:color w:val="auto"/>
                <w:highlight w:val="none"/>
              </w:rPr>
              <w:t>单位</w:t>
            </w:r>
          </w:p>
        </w:tc>
        <w:tc>
          <w:tcPr>
            <w:tcW w:w="939" w:type="dxa"/>
            <w:vAlign w:val="center"/>
          </w:tcPr>
          <w:p w14:paraId="7789A5B3">
            <w:pPr>
              <w:widowControl w:val="0"/>
              <w:tabs>
                <w:tab w:val="left" w:pos="180"/>
                <w:tab w:val="left" w:pos="1620"/>
              </w:tabs>
              <w:kinsoku/>
              <w:wordWrap w:val="0"/>
              <w:autoSpaceDE/>
              <w:autoSpaceDN/>
              <w:adjustRightInd/>
              <w:snapToGrid/>
              <w:spacing w:line="400" w:lineRule="exact"/>
              <w:jc w:val="center"/>
              <w:textAlignment w:val="auto"/>
              <w:rPr>
                <w:rFonts w:ascii="宋体" w:hAnsi="宋体" w:cs="宋体"/>
                <w:b/>
                <w:bCs/>
                <w:color w:val="auto"/>
                <w:highlight w:val="none"/>
              </w:rPr>
            </w:pPr>
            <w:r>
              <w:rPr>
                <w:rFonts w:hint="eastAsia" w:ascii="宋体" w:hAnsi="宋体"/>
                <w:b/>
                <w:bCs/>
                <w:color w:val="auto"/>
                <w:highlight w:val="none"/>
              </w:rPr>
              <w:t>所属行业</w:t>
            </w:r>
          </w:p>
        </w:tc>
        <w:tc>
          <w:tcPr>
            <w:tcW w:w="6917" w:type="dxa"/>
            <w:vAlign w:val="center"/>
          </w:tcPr>
          <w:p w14:paraId="24EB8BB2">
            <w:pPr>
              <w:widowControl w:val="0"/>
              <w:tabs>
                <w:tab w:val="left" w:pos="180"/>
                <w:tab w:val="left" w:pos="1620"/>
              </w:tabs>
              <w:kinsoku/>
              <w:wordWrap w:val="0"/>
              <w:autoSpaceDE/>
              <w:autoSpaceDN/>
              <w:adjustRightInd/>
              <w:snapToGrid/>
              <w:spacing w:line="400" w:lineRule="exact"/>
              <w:jc w:val="center"/>
              <w:textAlignment w:val="auto"/>
              <w:rPr>
                <w:rFonts w:ascii="宋体" w:hAnsi="宋体" w:cs="宋体"/>
                <w:b/>
                <w:bCs/>
                <w:color w:val="auto"/>
                <w:highlight w:val="none"/>
              </w:rPr>
            </w:pPr>
            <w:r>
              <w:rPr>
                <w:rFonts w:hint="eastAsia" w:ascii="宋体" w:hAnsi="宋体"/>
                <w:b/>
                <w:bCs/>
                <w:color w:val="auto"/>
                <w:highlight w:val="none"/>
              </w:rPr>
              <w:t>技术要求</w:t>
            </w:r>
          </w:p>
        </w:tc>
      </w:tr>
      <w:tr w14:paraId="6BC82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27" w:type="dxa"/>
            <w:vAlign w:val="center"/>
          </w:tcPr>
          <w:p w14:paraId="38723D39">
            <w:pPr>
              <w:widowControl w:val="0"/>
              <w:tabs>
                <w:tab w:val="left" w:pos="180"/>
                <w:tab w:val="left" w:pos="1620"/>
              </w:tabs>
              <w:kinsoku/>
              <w:wordWrap w:val="0"/>
              <w:autoSpaceDE/>
              <w:autoSpaceDN/>
              <w:adjustRightInd/>
              <w:snapToGrid/>
              <w:spacing w:line="400" w:lineRule="exact"/>
              <w:jc w:val="center"/>
              <w:textAlignment w:val="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1</w:t>
            </w:r>
          </w:p>
        </w:tc>
        <w:tc>
          <w:tcPr>
            <w:tcW w:w="1489" w:type="dxa"/>
            <w:gridSpan w:val="2"/>
            <w:vAlign w:val="center"/>
          </w:tcPr>
          <w:p w14:paraId="614D5901">
            <w:pPr>
              <w:kinsoku/>
              <w:autoSpaceDE/>
              <w:autoSpaceDN/>
              <w:adjustRightInd/>
              <w:snapToGrid/>
              <w:spacing w:line="320" w:lineRule="atLeast"/>
              <w:jc w:val="both"/>
              <w:rPr>
                <w:rFonts w:ascii="宋体" w:hAnsi="宋体" w:eastAsia="宋体" w:cs="宋体"/>
                <w:color w:val="auto"/>
                <w:highlight w:val="none"/>
                <w:lang w:eastAsia="zh-CN"/>
              </w:rPr>
            </w:pPr>
            <w:r>
              <w:rPr>
                <w:rFonts w:hint="eastAsia" w:ascii="宋体" w:hAnsi="宋体" w:eastAsia="宋体" w:cs="宋体"/>
                <w:color w:val="auto"/>
                <w:highlight w:val="none"/>
                <w:lang w:eastAsia="zh-CN"/>
              </w:rPr>
              <w:t>崇左市江州区左州镇、那隆镇污水处理厂运营服务项目</w:t>
            </w:r>
          </w:p>
        </w:tc>
        <w:tc>
          <w:tcPr>
            <w:tcW w:w="563" w:type="dxa"/>
            <w:vAlign w:val="center"/>
          </w:tcPr>
          <w:p w14:paraId="27498213">
            <w:pPr>
              <w:widowControl w:val="0"/>
              <w:tabs>
                <w:tab w:val="left" w:pos="180"/>
                <w:tab w:val="left" w:pos="1620"/>
              </w:tabs>
              <w:kinsoku/>
              <w:wordWrap w:val="0"/>
              <w:autoSpaceDE/>
              <w:autoSpaceDN/>
              <w:adjustRightInd/>
              <w:snapToGrid/>
              <w:spacing w:line="400" w:lineRule="exact"/>
              <w:jc w:val="center"/>
              <w:textAlignment w:val="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1项</w:t>
            </w:r>
          </w:p>
        </w:tc>
        <w:tc>
          <w:tcPr>
            <w:tcW w:w="939" w:type="dxa"/>
            <w:vAlign w:val="center"/>
          </w:tcPr>
          <w:p w14:paraId="1914113E">
            <w:pPr>
              <w:widowControl w:val="0"/>
              <w:tabs>
                <w:tab w:val="left" w:pos="180"/>
                <w:tab w:val="left" w:pos="1620"/>
              </w:tabs>
              <w:kinsoku/>
              <w:wordWrap w:val="0"/>
              <w:autoSpaceDE/>
              <w:autoSpaceDN/>
              <w:adjustRightInd/>
              <w:snapToGrid/>
              <w:spacing w:line="400" w:lineRule="exact"/>
              <w:jc w:val="center"/>
              <w:textAlignment w:val="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其他未列明行业</w:t>
            </w:r>
          </w:p>
        </w:tc>
        <w:tc>
          <w:tcPr>
            <w:tcW w:w="6917" w:type="dxa"/>
            <w:vAlign w:val="center"/>
          </w:tcPr>
          <w:p w14:paraId="7A85AD45">
            <w:pPr>
              <w:kinsoku/>
              <w:autoSpaceDE/>
              <w:autoSpaceDN/>
              <w:adjustRightInd/>
              <w:snapToGrid/>
              <w:spacing w:line="400" w:lineRule="exact"/>
              <w:ind w:firstLine="420" w:firstLineChars="200"/>
              <w:rPr>
                <w:rStyle w:val="38"/>
                <w:rFonts w:ascii="宋体" w:hAnsi="宋体" w:eastAsia="宋体" w:cs="宋体"/>
                <w:color w:val="auto"/>
                <w:highlight w:val="none"/>
              </w:rPr>
            </w:pPr>
            <w:r>
              <w:rPr>
                <w:rStyle w:val="38"/>
                <w:rFonts w:hint="eastAsia" w:ascii="宋体" w:hAnsi="宋体" w:eastAsia="宋体" w:cs="宋体"/>
                <w:color w:val="auto"/>
                <w:highlight w:val="none"/>
              </w:rPr>
              <w:t>一、项目建设规模</w:t>
            </w:r>
          </w:p>
          <w:tbl>
            <w:tblPr>
              <w:tblStyle w:val="24"/>
              <w:tblW w:w="0" w:type="auto"/>
              <w:tblInd w:w="0" w:type="dxa"/>
              <w:tblLayout w:type="autofit"/>
              <w:tblCellMar>
                <w:top w:w="0" w:type="dxa"/>
                <w:left w:w="0" w:type="dxa"/>
                <w:bottom w:w="0" w:type="dxa"/>
                <w:right w:w="0" w:type="dxa"/>
              </w:tblCellMar>
            </w:tblPr>
            <w:tblGrid>
              <w:gridCol w:w="327"/>
              <w:gridCol w:w="1075"/>
              <w:gridCol w:w="1157"/>
              <w:gridCol w:w="1226"/>
              <w:gridCol w:w="1064"/>
              <w:gridCol w:w="1842"/>
            </w:tblGrid>
            <w:tr w14:paraId="7464C382">
              <w:tblPrEx>
                <w:tblCellMar>
                  <w:top w:w="0" w:type="dxa"/>
                  <w:left w:w="0" w:type="dxa"/>
                  <w:bottom w:w="0" w:type="dxa"/>
                  <w:right w:w="0" w:type="dxa"/>
                </w:tblCellMar>
              </w:tblPrEx>
              <w:trPr>
                <w:trHeight w:val="896" w:hRule="atLeast"/>
              </w:trPr>
              <w:tc>
                <w:tcPr>
                  <w:tcW w:w="0" w:type="auto"/>
                  <w:tcBorders>
                    <w:top w:val="single" w:color="000000" w:sz="8" w:space="0"/>
                    <w:left w:val="single" w:color="000000" w:sz="8" w:space="0"/>
                    <w:bottom w:val="nil"/>
                    <w:right w:val="single" w:color="000000" w:sz="8" w:space="0"/>
                  </w:tcBorders>
                  <w:vAlign w:val="center"/>
                </w:tcPr>
                <w:p w14:paraId="341E0409">
                  <w:pPr>
                    <w:kinsoku/>
                    <w:autoSpaceDE/>
                    <w:autoSpaceDN/>
                    <w:adjustRightInd/>
                    <w:snapToGrid/>
                    <w:spacing w:line="400" w:lineRule="exact"/>
                    <w:jc w:val="center"/>
                    <w:textAlignment w:val="center"/>
                    <w:rPr>
                      <w:rStyle w:val="38"/>
                      <w:rFonts w:ascii="宋体" w:hAnsi="宋体" w:eastAsia="宋体" w:cs="宋体"/>
                      <w:b/>
                      <w:bCs/>
                      <w:color w:val="auto"/>
                      <w:sz w:val="18"/>
                      <w:szCs w:val="18"/>
                      <w:highlight w:val="none"/>
                    </w:rPr>
                  </w:pPr>
                  <w:r>
                    <w:rPr>
                      <w:rStyle w:val="38"/>
                      <w:rFonts w:hint="eastAsia" w:ascii="宋体" w:hAnsi="宋体" w:eastAsia="宋体" w:cs="宋体"/>
                      <w:b/>
                      <w:bCs/>
                      <w:color w:val="auto"/>
                      <w:sz w:val="18"/>
                      <w:szCs w:val="18"/>
                      <w:highlight w:val="none"/>
                    </w:rPr>
                    <w:t>序号</w:t>
                  </w:r>
                </w:p>
              </w:tc>
              <w:tc>
                <w:tcPr>
                  <w:tcW w:w="0" w:type="auto"/>
                  <w:tcBorders>
                    <w:top w:val="single" w:color="000000" w:sz="8" w:space="0"/>
                    <w:left w:val="nil"/>
                    <w:bottom w:val="nil"/>
                    <w:right w:val="single" w:color="000000" w:sz="8" w:space="0"/>
                  </w:tcBorders>
                  <w:vAlign w:val="center"/>
                </w:tcPr>
                <w:p w14:paraId="693F6D23">
                  <w:pPr>
                    <w:kinsoku/>
                    <w:autoSpaceDE/>
                    <w:autoSpaceDN/>
                    <w:adjustRightInd/>
                    <w:snapToGrid/>
                    <w:spacing w:line="400" w:lineRule="exact"/>
                    <w:jc w:val="center"/>
                    <w:textAlignment w:val="center"/>
                    <w:rPr>
                      <w:rStyle w:val="38"/>
                      <w:rFonts w:ascii="宋体" w:hAnsi="宋体" w:eastAsia="宋体" w:cs="宋体"/>
                      <w:b/>
                      <w:bCs/>
                      <w:color w:val="auto"/>
                      <w:sz w:val="18"/>
                      <w:szCs w:val="18"/>
                      <w:highlight w:val="none"/>
                      <w:lang w:eastAsia="zh-CN"/>
                    </w:rPr>
                  </w:pPr>
                  <w:r>
                    <w:rPr>
                      <w:rStyle w:val="38"/>
                      <w:rFonts w:hint="eastAsia" w:ascii="宋体" w:hAnsi="宋体" w:eastAsia="宋体" w:cs="宋体"/>
                      <w:b/>
                      <w:bCs/>
                      <w:color w:val="auto"/>
                      <w:sz w:val="18"/>
                      <w:szCs w:val="18"/>
                      <w:highlight w:val="none"/>
                      <w:lang w:eastAsia="zh-CN"/>
                    </w:rPr>
                    <w:t>名称</w:t>
                  </w:r>
                </w:p>
              </w:tc>
              <w:tc>
                <w:tcPr>
                  <w:tcW w:w="0" w:type="auto"/>
                  <w:tcBorders>
                    <w:top w:val="single" w:color="000000" w:sz="8" w:space="0"/>
                    <w:left w:val="nil"/>
                    <w:bottom w:val="nil"/>
                    <w:right w:val="single" w:color="000000" w:sz="8" w:space="0"/>
                  </w:tcBorders>
                  <w:vAlign w:val="center"/>
                </w:tcPr>
                <w:p w14:paraId="14A74468">
                  <w:pPr>
                    <w:kinsoku/>
                    <w:autoSpaceDE/>
                    <w:autoSpaceDN/>
                    <w:adjustRightInd/>
                    <w:snapToGrid/>
                    <w:spacing w:line="400" w:lineRule="exact"/>
                    <w:jc w:val="center"/>
                    <w:textAlignment w:val="center"/>
                    <w:rPr>
                      <w:rStyle w:val="38"/>
                      <w:rFonts w:ascii="宋体" w:hAnsi="宋体" w:eastAsia="宋体" w:cs="宋体"/>
                      <w:b/>
                      <w:bCs/>
                      <w:color w:val="auto"/>
                      <w:sz w:val="18"/>
                      <w:szCs w:val="18"/>
                      <w:highlight w:val="none"/>
                    </w:rPr>
                  </w:pPr>
                  <w:r>
                    <w:rPr>
                      <w:rStyle w:val="38"/>
                      <w:rFonts w:hint="eastAsia" w:ascii="宋体" w:hAnsi="宋体" w:eastAsia="宋体" w:cs="宋体"/>
                      <w:b/>
                      <w:bCs/>
                      <w:color w:val="auto"/>
                      <w:sz w:val="18"/>
                      <w:szCs w:val="18"/>
                      <w:highlight w:val="none"/>
                    </w:rPr>
                    <w:t>处理规模（m³/d)</w:t>
                  </w:r>
                </w:p>
              </w:tc>
              <w:tc>
                <w:tcPr>
                  <w:tcW w:w="0" w:type="auto"/>
                  <w:tcBorders>
                    <w:top w:val="single" w:color="000000" w:sz="8" w:space="0"/>
                    <w:left w:val="nil"/>
                    <w:bottom w:val="single" w:color="000000" w:sz="8" w:space="0"/>
                    <w:right w:val="single" w:color="000000" w:sz="8" w:space="0"/>
                  </w:tcBorders>
                  <w:vAlign w:val="center"/>
                </w:tcPr>
                <w:p w14:paraId="0A53057E">
                  <w:pPr>
                    <w:kinsoku/>
                    <w:autoSpaceDE/>
                    <w:autoSpaceDN/>
                    <w:adjustRightInd/>
                    <w:snapToGrid/>
                    <w:spacing w:line="400" w:lineRule="exact"/>
                    <w:jc w:val="center"/>
                    <w:textAlignment w:val="center"/>
                    <w:rPr>
                      <w:rStyle w:val="38"/>
                      <w:rFonts w:ascii="宋体" w:hAnsi="宋体" w:eastAsia="宋体" w:cs="宋体"/>
                      <w:b/>
                      <w:bCs/>
                      <w:color w:val="auto"/>
                      <w:sz w:val="18"/>
                      <w:szCs w:val="18"/>
                      <w:highlight w:val="none"/>
                    </w:rPr>
                  </w:pPr>
                  <w:r>
                    <w:rPr>
                      <w:rStyle w:val="38"/>
                      <w:rFonts w:hint="eastAsia" w:ascii="宋体" w:hAnsi="宋体" w:eastAsia="宋体" w:cs="宋体"/>
                      <w:b/>
                      <w:bCs/>
                      <w:color w:val="auto"/>
                      <w:sz w:val="18"/>
                      <w:szCs w:val="18"/>
                      <w:highlight w:val="none"/>
                    </w:rPr>
                    <w:t>配套管网长度（m）</w:t>
                  </w:r>
                </w:p>
              </w:tc>
              <w:tc>
                <w:tcPr>
                  <w:tcW w:w="0" w:type="auto"/>
                  <w:tcBorders>
                    <w:top w:val="single" w:color="000000" w:sz="8" w:space="0"/>
                    <w:left w:val="nil"/>
                    <w:bottom w:val="nil"/>
                    <w:right w:val="single" w:color="000000" w:sz="8" w:space="0"/>
                  </w:tcBorders>
                  <w:vAlign w:val="center"/>
                </w:tcPr>
                <w:p w14:paraId="243B18BE">
                  <w:pPr>
                    <w:kinsoku/>
                    <w:autoSpaceDE/>
                    <w:autoSpaceDN/>
                    <w:adjustRightInd/>
                    <w:snapToGrid/>
                    <w:spacing w:line="400" w:lineRule="exact"/>
                    <w:jc w:val="center"/>
                    <w:textAlignment w:val="center"/>
                    <w:rPr>
                      <w:rStyle w:val="38"/>
                      <w:rFonts w:ascii="宋体" w:hAnsi="宋体" w:eastAsia="宋体" w:cs="宋体"/>
                      <w:b/>
                      <w:bCs/>
                      <w:color w:val="auto"/>
                      <w:sz w:val="18"/>
                      <w:szCs w:val="18"/>
                      <w:highlight w:val="none"/>
                    </w:rPr>
                  </w:pPr>
                  <w:r>
                    <w:rPr>
                      <w:rStyle w:val="38"/>
                      <w:rFonts w:hint="eastAsia" w:ascii="宋体" w:hAnsi="宋体" w:eastAsia="宋体" w:cs="宋体"/>
                      <w:b/>
                      <w:bCs/>
                      <w:color w:val="auto"/>
                      <w:sz w:val="18"/>
                      <w:szCs w:val="18"/>
                      <w:highlight w:val="none"/>
                    </w:rPr>
                    <w:t>泵站数量（台）</w:t>
                  </w:r>
                </w:p>
              </w:tc>
              <w:tc>
                <w:tcPr>
                  <w:tcW w:w="0" w:type="auto"/>
                  <w:tcBorders>
                    <w:top w:val="single" w:color="000000" w:sz="8" w:space="0"/>
                    <w:left w:val="nil"/>
                    <w:bottom w:val="nil"/>
                    <w:right w:val="single" w:color="000000" w:sz="8" w:space="0"/>
                  </w:tcBorders>
                  <w:vAlign w:val="center"/>
                </w:tcPr>
                <w:p w14:paraId="754D0410">
                  <w:pPr>
                    <w:kinsoku/>
                    <w:autoSpaceDE/>
                    <w:autoSpaceDN/>
                    <w:adjustRightInd/>
                    <w:snapToGrid/>
                    <w:spacing w:line="400" w:lineRule="exact"/>
                    <w:jc w:val="center"/>
                    <w:textAlignment w:val="center"/>
                    <w:rPr>
                      <w:rStyle w:val="38"/>
                      <w:rFonts w:ascii="宋体" w:hAnsi="宋体" w:eastAsia="宋体" w:cs="宋体"/>
                      <w:b/>
                      <w:bCs/>
                      <w:color w:val="auto"/>
                      <w:sz w:val="18"/>
                      <w:szCs w:val="18"/>
                      <w:highlight w:val="none"/>
                    </w:rPr>
                  </w:pPr>
                  <w:r>
                    <w:rPr>
                      <w:rStyle w:val="38"/>
                      <w:rFonts w:hint="eastAsia" w:ascii="宋体" w:hAnsi="宋体" w:eastAsia="宋体" w:cs="宋体"/>
                      <w:b/>
                      <w:bCs/>
                      <w:color w:val="auto"/>
                      <w:sz w:val="18"/>
                      <w:szCs w:val="18"/>
                      <w:highlight w:val="none"/>
                    </w:rPr>
                    <w:t>备注</w:t>
                  </w:r>
                </w:p>
              </w:tc>
            </w:tr>
            <w:tr w14:paraId="41C1AB5C">
              <w:tblPrEx>
                <w:tblCellMar>
                  <w:top w:w="0" w:type="dxa"/>
                  <w:left w:w="0" w:type="dxa"/>
                  <w:bottom w:w="0" w:type="dxa"/>
                  <w:right w:w="0" w:type="dxa"/>
                </w:tblCellMar>
              </w:tblPrEx>
              <w:trPr>
                <w:trHeight w:val="624"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405CFA7C">
                  <w:pPr>
                    <w:kinsoku/>
                    <w:autoSpaceDE/>
                    <w:autoSpaceDN/>
                    <w:adjustRightInd/>
                    <w:snapToGrid/>
                    <w:spacing w:line="400" w:lineRule="exact"/>
                    <w:jc w:val="center"/>
                    <w:textAlignment w:val="center"/>
                    <w:rPr>
                      <w:rStyle w:val="38"/>
                      <w:rFonts w:ascii="宋体" w:hAnsi="宋体" w:eastAsia="宋体" w:cs="宋体"/>
                      <w:color w:val="auto"/>
                      <w:sz w:val="18"/>
                      <w:szCs w:val="18"/>
                      <w:highlight w:val="none"/>
                    </w:rPr>
                  </w:pPr>
                  <w:r>
                    <w:rPr>
                      <w:rStyle w:val="38"/>
                      <w:rFonts w:hint="eastAsia" w:ascii="宋体" w:hAnsi="宋体" w:eastAsia="宋体" w:cs="宋体"/>
                      <w:color w:val="auto"/>
                      <w:sz w:val="18"/>
                      <w:szCs w:val="18"/>
                      <w:highlight w:val="none"/>
                    </w:rPr>
                    <w:t>1</w:t>
                  </w:r>
                </w:p>
              </w:tc>
              <w:tc>
                <w:tcPr>
                  <w:tcW w:w="0" w:type="auto"/>
                  <w:tcBorders>
                    <w:top w:val="single" w:color="000000" w:sz="8" w:space="0"/>
                    <w:left w:val="nil"/>
                    <w:bottom w:val="single" w:color="000000" w:sz="8" w:space="0"/>
                    <w:right w:val="single" w:color="000000" w:sz="8" w:space="0"/>
                  </w:tcBorders>
                  <w:vAlign w:val="center"/>
                </w:tcPr>
                <w:p w14:paraId="65BB9CE7">
                  <w:pPr>
                    <w:kinsoku/>
                    <w:autoSpaceDE/>
                    <w:autoSpaceDN/>
                    <w:adjustRightInd/>
                    <w:snapToGrid/>
                    <w:spacing w:line="400" w:lineRule="exact"/>
                    <w:jc w:val="center"/>
                    <w:textAlignment w:val="center"/>
                    <w:rPr>
                      <w:rStyle w:val="38"/>
                      <w:rFonts w:ascii="宋体" w:hAnsi="宋体" w:eastAsia="宋体" w:cs="宋体"/>
                      <w:color w:val="auto"/>
                      <w:sz w:val="18"/>
                      <w:szCs w:val="18"/>
                      <w:highlight w:val="none"/>
                      <w:lang w:eastAsia="zh-CN"/>
                    </w:rPr>
                  </w:pPr>
                  <w:r>
                    <w:rPr>
                      <w:rStyle w:val="38"/>
                      <w:rFonts w:hint="eastAsia" w:ascii="宋体" w:hAnsi="宋体" w:eastAsia="宋体" w:cs="宋体"/>
                      <w:color w:val="auto"/>
                      <w:sz w:val="18"/>
                      <w:szCs w:val="18"/>
                      <w:highlight w:val="none"/>
                    </w:rPr>
                    <w:t>左州镇</w:t>
                  </w:r>
                  <w:r>
                    <w:rPr>
                      <w:rStyle w:val="38"/>
                      <w:rFonts w:hint="eastAsia" w:ascii="宋体" w:hAnsi="宋体" w:eastAsia="宋体" w:cs="宋体"/>
                      <w:color w:val="auto"/>
                      <w:sz w:val="18"/>
                      <w:szCs w:val="18"/>
                      <w:highlight w:val="none"/>
                      <w:lang w:eastAsia="zh-CN"/>
                    </w:rPr>
                    <w:t>污水处理厂</w:t>
                  </w:r>
                </w:p>
              </w:tc>
              <w:tc>
                <w:tcPr>
                  <w:tcW w:w="0" w:type="auto"/>
                  <w:tcBorders>
                    <w:top w:val="single" w:color="000000" w:sz="8" w:space="0"/>
                    <w:left w:val="nil"/>
                    <w:bottom w:val="single" w:color="000000" w:sz="8" w:space="0"/>
                    <w:right w:val="single" w:color="000000" w:sz="8" w:space="0"/>
                  </w:tcBorders>
                  <w:vAlign w:val="center"/>
                </w:tcPr>
                <w:p w14:paraId="0322DCAC">
                  <w:pPr>
                    <w:kinsoku/>
                    <w:autoSpaceDE/>
                    <w:autoSpaceDN/>
                    <w:adjustRightInd/>
                    <w:snapToGrid/>
                    <w:spacing w:line="400" w:lineRule="exact"/>
                    <w:jc w:val="center"/>
                    <w:textAlignment w:val="center"/>
                    <w:rPr>
                      <w:rStyle w:val="38"/>
                      <w:rFonts w:ascii="宋体" w:hAnsi="宋体" w:eastAsia="宋体" w:cs="宋体"/>
                      <w:color w:val="auto"/>
                      <w:sz w:val="18"/>
                      <w:szCs w:val="18"/>
                      <w:highlight w:val="none"/>
                    </w:rPr>
                  </w:pPr>
                  <w:r>
                    <w:rPr>
                      <w:rStyle w:val="38"/>
                      <w:rFonts w:hint="eastAsia" w:ascii="宋体" w:hAnsi="宋体" w:eastAsia="宋体" w:cs="宋体"/>
                      <w:color w:val="auto"/>
                      <w:sz w:val="18"/>
                      <w:szCs w:val="18"/>
                      <w:highlight w:val="none"/>
                    </w:rPr>
                    <w:t>500</w:t>
                  </w:r>
                </w:p>
              </w:tc>
              <w:tc>
                <w:tcPr>
                  <w:tcW w:w="0" w:type="auto"/>
                  <w:tcBorders>
                    <w:top w:val="nil"/>
                    <w:left w:val="nil"/>
                    <w:bottom w:val="single" w:color="000000" w:sz="8" w:space="0"/>
                    <w:right w:val="single" w:color="000000" w:sz="8" w:space="0"/>
                  </w:tcBorders>
                  <w:vAlign w:val="center"/>
                </w:tcPr>
                <w:p w14:paraId="1D2B8387">
                  <w:pPr>
                    <w:kinsoku/>
                    <w:autoSpaceDE/>
                    <w:autoSpaceDN/>
                    <w:adjustRightInd/>
                    <w:snapToGrid/>
                    <w:spacing w:line="400" w:lineRule="exact"/>
                    <w:jc w:val="center"/>
                    <w:textAlignment w:val="center"/>
                    <w:rPr>
                      <w:rStyle w:val="38"/>
                      <w:rFonts w:ascii="宋体" w:hAnsi="宋体" w:eastAsia="宋体" w:cs="宋体"/>
                      <w:color w:val="auto"/>
                      <w:sz w:val="18"/>
                      <w:szCs w:val="18"/>
                      <w:highlight w:val="none"/>
                    </w:rPr>
                  </w:pPr>
                  <w:r>
                    <w:rPr>
                      <w:rStyle w:val="38"/>
                      <w:rFonts w:hint="eastAsia" w:ascii="宋体" w:hAnsi="宋体" w:eastAsia="宋体" w:cs="宋体"/>
                      <w:color w:val="auto"/>
                      <w:sz w:val="18"/>
                      <w:szCs w:val="18"/>
                      <w:highlight w:val="none"/>
                    </w:rPr>
                    <w:t>4180</w:t>
                  </w:r>
                </w:p>
              </w:tc>
              <w:tc>
                <w:tcPr>
                  <w:tcW w:w="0" w:type="auto"/>
                  <w:tcBorders>
                    <w:top w:val="single" w:color="000000" w:sz="8" w:space="0"/>
                    <w:left w:val="nil"/>
                    <w:bottom w:val="single" w:color="000000" w:sz="8" w:space="0"/>
                    <w:right w:val="single" w:color="000000" w:sz="8" w:space="0"/>
                  </w:tcBorders>
                  <w:vAlign w:val="center"/>
                </w:tcPr>
                <w:p w14:paraId="65D59033">
                  <w:pPr>
                    <w:kinsoku/>
                    <w:autoSpaceDE/>
                    <w:autoSpaceDN/>
                    <w:adjustRightInd/>
                    <w:snapToGrid/>
                    <w:spacing w:line="400" w:lineRule="exact"/>
                    <w:jc w:val="center"/>
                    <w:textAlignment w:val="center"/>
                    <w:rPr>
                      <w:rStyle w:val="38"/>
                      <w:rFonts w:ascii="宋体" w:hAnsi="宋体" w:eastAsia="宋体" w:cs="宋体"/>
                      <w:color w:val="auto"/>
                      <w:sz w:val="18"/>
                      <w:szCs w:val="18"/>
                      <w:highlight w:val="none"/>
                    </w:rPr>
                  </w:pPr>
                  <w:r>
                    <w:rPr>
                      <w:rStyle w:val="38"/>
                      <w:rFonts w:hint="eastAsia" w:ascii="宋体" w:hAnsi="宋体" w:eastAsia="宋体" w:cs="宋体"/>
                      <w:color w:val="auto"/>
                      <w:sz w:val="18"/>
                      <w:szCs w:val="18"/>
                      <w:highlight w:val="none"/>
                    </w:rPr>
                    <w:t>2</w:t>
                  </w:r>
                </w:p>
              </w:tc>
              <w:tc>
                <w:tcPr>
                  <w:tcW w:w="0" w:type="auto"/>
                  <w:tcBorders>
                    <w:top w:val="single" w:color="000000" w:sz="8" w:space="0"/>
                    <w:left w:val="nil"/>
                    <w:bottom w:val="single" w:color="000000" w:sz="8" w:space="0"/>
                    <w:right w:val="single" w:color="000000" w:sz="8" w:space="0"/>
                  </w:tcBorders>
                  <w:vAlign w:val="center"/>
                </w:tcPr>
                <w:p w14:paraId="152E930C">
                  <w:pPr>
                    <w:widowControl w:val="0"/>
                    <w:kinsoku/>
                    <w:autoSpaceDE/>
                    <w:autoSpaceDN/>
                    <w:adjustRightInd/>
                    <w:snapToGrid/>
                    <w:spacing w:line="400" w:lineRule="exact"/>
                    <w:jc w:val="center"/>
                    <w:textAlignment w:val="auto"/>
                    <w:rPr>
                      <w:rStyle w:val="38"/>
                      <w:rFonts w:ascii="宋体" w:hAnsi="宋体" w:eastAsia="宋体" w:cs="宋体"/>
                      <w:color w:val="auto"/>
                      <w:sz w:val="18"/>
                      <w:szCs w:val="18"/>
                      <w:highlight w:val="none"/>
                    </w:rPr>
                  </w:pPr>
                  <w:r>
                    <w:rPr>
                      <w:rStyle w:val="38"/>
                      <w:rFonts w:hint="eastAsia" w:ascii="宋体" w:hAnsi="宋体" w:eastAsia="宋体" w:cs="宋体"/>
                      <w:color w:val="auto"/>
                      <w:sz w:val="18"/>
                      <w:szCs w:val="18"/>
                      <w:highlight w:val="none"/>
                    </w:rPr>
                    <w:t>新建泵站2座</w:t>
                  </w:r>
                  <w:r>
                    <w:rPr>
                      <w:rStyle w:val="38"/>
                      <w:rFonts w:hint="eastAsia" w:ascii="宋体" w:hAnsi="宋体" w:eastAsia="宋体" w:cs="宋体"/>
                      <w:color w:val="auto"/>
                      <w:sz w:val="18"/>
                      <w:szCs w:val="18"/>
                      <w:highlight w:val="none"/>
                      <w:lang w:eastAsia="zh-CN"/>
                    </w:rPr>
                    <w:t>（</w:t>
                  </w:r>
                  <w:r>
                    <w:rPr>
                      <w:rStyle w:val="38"/>
                      <w:rFonts w:hint="eastAsia" w:ascii="宋体" w:hAnsi="宋体" w:eastAsia="宋体" w:cs="宋体"/>
                      <w:color w:val="auto"/>
                      <w:sz w:val="18"/>
                      <w:szCs w:val="18"/>
                      <w:highlight w:val="none"/>
                    </w:rPr>
                    <w:t>2025年完工</w:t>
                  </w:r>
                  <w:r>
                    <w:rPr>
                      <w:rStyle w:val="38"/>
                      <w:rFonts w:hint="eastAsia" w:ascii="宋体" w:hAnsi="宋体" w:eastAsia="宋体" w:cs="宋体"/>
                      <w:color w:val="auto"/>
                      <w:sz w:val="18"/>
                      <w:szCs w:val="18"/>
                      <w:highlight w:val="none"/>
                      <w:lang w:eastAsia="zh-CN"/>
                    </w:rPr>
                    <w:t>）</w:t>
                  </w:r>
                </w:p>
              </w:tc>
            </w:tr>
            <w:tr w14:paraId="26B60D05">
              <w:tblPrEx>
                <w:tblCellMar>
                  <w:top w:w="0" w:type="dxa"/>
                  <w:left w:w="0" w:type="dxa"/>
                  <w:bottom w:w="0" w:type="dxa"/>
                  <w:right w:w="0" w:type="dxa"/>
                </w:tblCellMar>
              </w:tblPrEx>
              <w:trPr>
                <w:trHeight w:val="624" w:hRule="atLeast"/>
              </w:trPr>
              <w:tc>
                <w:tcPr>
                  <w:tcW w:w="0" w:type="auto"/>
                  <w:tcBorders>
                    <w:top w:val="single" w:color="000000" w:sz="8" w:space="0"/>
                    <w:left w:val="single" w:color="000000" w:sz="8" w:space="0"/>
                    <w:bottom w:val="single" w:color="000000" w:sz="8" w:space="0"/>
                    <w:right w:val="single" w:color="000000" w:sz="8" w:space="0"/>
                  </w:tcBorders>
                  <w:vAlign w:val="center"/>
                </w:tcPr>
                <w:p w14:paraId="326C703B">
                  <w:pPr>
                    <w:kinsoku/>
                    <w:autoSpaceDE/>
                    <w:autoSpaceDN/>
                    <w:adjustRightInd/>
                    <w:snapToGrid/>
                    <w:spacing w:line="400" w:lineRule="exact"/>
                    <w:jc w:val="center"/>
                    <w:rPr>
                      <w:rStyle w:val="38"/>
                      <w:rFonts w:ascii="宋体" w:hAnsi="宋体" w:eastAsia="宋体" w:cs="宋体"/>
                      <w:color w:val="auto"/>
                      <w:sz w:val="18"/>
                      <w:szCs w:val="18"/>
                      <w:highlight w:val="none"/>
                    </w:rPr>
                  </w:pPr>
                  <w:r>
                    <w:rPr>
                      <w:rStyle w:val="38"/>
                      <w:rFonts w:hint="eastAsia" w:ascii="宋体" w:hAnsi="宋体" w:eastAsia="宋体" w:cs="宋体"/>
                      <w:color w:val="auto"/>
                      <w:sz w:val="18"/>
                      <w:szCs w:val="18"/>
                      <w:highlight w:val="none"/>
                    </w:rPr>
                    <w:t>2</w:t>
                  </w:r>
                </w:p>
              </w:tc>
              <w:tc>
                <w:tcPr>
                  <w:tcW w:w="0" w:type="auto"/>
                  <w:tcBorders>
                    <w:top w:val="nil"/>
                    <w:left w:val="nil"/>
                    <w:bottom w:val="single" w:color="000000" w:sz="8" w:space="0"/>
                    <w:right w:val="single" w:color="000000" w:sz="8" w:space="0"/>
                  </w:tcBorders>
                  <w:vAlign w:val="center"/>
                </w:tcPr>
                <w:p w14:paraId="7F950EDA">
                  <w:pPr>
                    <w:kinsoku/>
                    <w:autoSpaceDE/>
                    <w:autoSpaceDN/>
                    <w:adjustRightInd/>
                    <w:snapToGrid/>
                    <w:spacing w:line="400" w:lineRule="exact"/>
                    <w:jc w:val="center"/>
                    <w:textAlignment w:val="center"/>
                    <w:rPr>
                      <w:rStyle w:val="38"/>
                      <w:rFonts w:ascii="宋体" w:hAnsi="宋体" w:eastAsia="宋体" w:cs="宋体"/>
                      <w:color w:val="auto"/>
                      <w:sz w:val="18"/>
                      <w:szCs w:val="18"/>
                      <w:highlight w:val="none"/>
                      <w:lang w:eastAsia="zh-CN"/>
                    </w:rPr>
                  </w:pPr>
                  <w:r>
                    <w:rPr>
                      <w:rStyle w:val="38"/>
                      <w:rFonts w:hint="eastAsia" w:ascii="宋体" w:hAnsi="宋体" w:eastAsia="宋体" w:cs="宋体"/>
                      <w:color w:val="auto"/>
                      <w:sz w:val="18"/>
                      <w:szCs w:val="18"/>
                      <w:highlight w:val="none"/>
                    </w:rPr>
                    <w:t>那隆镇</w:t>
                  </w:r>
                  <w:r>
                    <w:rPr>
                      <w:rStyle w:val="38"/>
                      <w:rFonts w:hint="eastAsia" w:ascii="宋体" w:hAnsi="宋体" w:eastAsia="宋体" w:cs="宋体"/>
                      <w:color w:val="auto"/>
                      <w:sz w:val="18"/>
                      <w:szCs w:val="18"/>
                      <w:highlight w:val="none"/>
                      <w:lang w:eastAsia="zh-CN"/>
                    </w:rPr>
                    <w:t>污水处理厂</w:t>
                  </w:r>
                </w:p>
              </w:tc>
              <w:tc>
                <w:tcPr>
                  <w:tcW w:w="0" w:type="auto"/>
                  <w:tcBorders>
                    <w:top w:val="nil"/>
                    <w:left w:val="nil"/>
                    <w:bottom w:val="single" w:color="000000" w:sz="8" w:space="0"/>
                    <w:right w:val="single" w:color="000000" w:sz="8" w:space="0"/>
                  </w:tcBorders>
                  <w:vAlign w:val="center"/>
                </w:tcPr>
                <w:p w14:paraId="0146F1A1">
                  <w:pPr>
                    <w:kinsoku/>
                    <w:autoSpaceDE/>
                    <w:autoSpaceDN/>
                    <w:adjustRightInd/>
                    <w:snapToGrid/>
                    <w:spacing w:line="400" w:lineRule="exact"/>
                    <w:jc w:val="center"/>
                    <w:textAlignment w:val="center"/>
                    <w:rPr>
                      <w:rStyle w:val="38"/>
                      <w:rFonts w:ascii="宋体" w:hAnsi="宋体" w:eastAsia="宋体" w:cs="宋体"/>
                      <w:color w:val="auto"/>
                      <w:sz w:val="18"/>
                      <w:szCs w:val="18"/>
                      <w:highlight w:val="none"/>
                    </w:rPr>
                  </w:pPr>
                  <w:r>
                    <w:rPr>
                      <w:rStyle w:val="38"/>
                      <w:rFonts w:hint="eastAsia" w:ascii="宋体" w:hAnsi="宋体" w:eastAsia="宋体" w:cs="宋体"/>
                      <w:color w:val="auto"/>
                      <w:sz w:val="18"/>
                      <w:szCs w:val="18"/>
                      <w:highlight w:val="none"/>
                    </w:rPr>
                    <w:t>500</w:t>
                  </w:r>
                </w:p>
              </w:tc>
              <w:tc>
                <w:tcPr>
                  <w:tcW w:w="0" w:type="auto"/>
                  <w:tcBorders>
                    <w:top w:val="nil"/>
                    <w:left w:val="nil"/>
                    <w:bottom w:val="single" w:color="000000" w:sz="8" w:space="0"/>
                    <w:right w:val="single" w:color="000000" w:sz="8" w:space="0"/>
                  </w:tcBorders>
                  <w:vAlign w:val="center"/>
                </w:tcPr>
                <w:p w14:paraId="60C48823">
                  <w:pPr>
                    <w:kinsoku/>
                    <w:autoSpaceDE/>
                    <w:autoSpaceDN/>
                    <w:adjustRightInd/>
                    <w:snapToGrid/>
                    <w:spacing w:line="400" w:lineRule="exact"/>
                    <w:jc w:val="center"/>
                    <w:textAlignment w:val="center"/>
                    <w:rPr>
                      <w:rStyle w:val="38"/>
                      <w:rFonts w:ascii="宋体" w:hAnsi="宋体" w:eastAsia="宋体" w:cs="宋体"/>
                      <w:color w:val="auto"/>
                      <w:sz w:val="18"/>
                      <w:szCs w:val="18"/>
                      <w:highlight w:val="none"/>
                    </w:rPr>
                  </w:pPr>
                  <w:r>
                    <w:rPr>
                      <w:rStyle w:val="38"/>
                      <w:rFonts w:hint="eastAsia" w:ascii="宋体" w:hAnsi="宋体" w:eastAsia="宋体" w:cs="宋体"/>
                      <w:color w:val="auto"/>
                      <w:sz w:val="18"/>
                      <w:szCs w:val="18"/>
                      <w:highlight w:val="none"/>
                    </w:rPr>
                    <w:t>7090</w:t>
                  </w:r>
                </w:p>
              </w:tc>
              <w:tc>
                <w:tcPr>
                  <w:tcW w:w="0" w:type="auto"/>
                  <w:tcBorders>
                    <w:top w:val="nil"/>
                    <w:left w:val="nil"/>
                    <w:bottom w:val="single" w:color="000000" w:sz="8" w:space="0"/>
                    <w:right w:val="single" w:color="000000" w:sz="8" w:space="0"/>
                  </w:tcBorders>
                  <w:vAlign w:val="center"/>
                </w:tcPr>
                <w:p w14:paraId="35F09730">
                  <w:pPr>
                    <w:kinsoku/>
                    <w:autoSpaceDE/>
                    <w:autoSpaceDN/>
                    <w:adjustRightInd/>
                    <w:snapToGrid/>
                    <w:spacing w:line="400" w:lineRule="exact"/>
                    <w:jc w:val="center"/>
                    <w:textAlignment w:val="center"/>
                    <w:rPr>
                      <w:rStyle w:val="38"/>
                      <w:rFonts w:ascii="宋体" w:hAnsi="宋体" w:eastAsia="宋体" w:cs="宋体"/>
                      <w:color w:val="auto"/>
                      <w:sz w:val="18"/>
                      <w:szCs w:val="18"/>
                      <w:highlight w:val="none"/>
                    </w:rPr>
                  </w:pPr>
                  <w:r>
                    <w:rPr>
                      <w:rStyle w:val="38"/>
                      <w:rFonts w:hint="eastAsia" w:ascii="宋体" w:hAnsi="宋体" w:eastAsia="宋体" w:cs="宋体"/>
                      <w:color w:val="auto"/>
                      <w:sz w:val="18"/>
                      <w:szCs w:val="18"/>
                      <w:highlight w:val="none"/>
                    </w:rPr>
                    <w:t>4</w:t>
                  </w:r>
                </w:p>
              </w:tc>
              <w:tc>
                <w:tcPr>
                  <w:tcW w:w="0" w:type="auto"/>
                  <w:tcBorders>
                    <w:top w:val="nil"/>
                    <w:left w:val="nil"/>
                    <w:bottom w:val="single" w:color="000000" w:sz="8" w:space="0"/>
                    <w:right w:val="single" w:color="000000" w:sz="8" w:space="0"/>
                  </w:tcBorders>
                  <w:vAlign w:val="center"/>
                </w:tcPr>
                <w:p w14:paraId="7E1FBCBA">
                  <w:pPr>
                    <w:widowControl w:val="0"/>
                    <w:kinsoku/>
                    <w:autoSpaceDE/>
                    <w:autoSpaceDN/>
                    <w:adjustRightInd/>
                    <w:snapToGrid/>
                    <w:spacing w:line="400" w:lineRule="exact"/>
                    <w:jc w:val="center"/>
                    <w:textAlignment w:val="auto"/>
                    <w:rPr>
                      <w:rStyle w:val="38"/>
                      <w:rFonts w:ascii="宋体" w:hAnsi="宋体" w:eastAsia="宋体" w:cs="宋体"/>
                      <w:color w:val="auto"/>
                      <w:sz w:val="18"/>
                      <w:szCs w:val="18"/>
                      <w:highlight w:val="none"/>
                      <w:lang w:eastAsia="zh-CN"/>
                    </w:rPr>
                  </w:pPr>
                  <w:r>
                    <w:rPr>
                      <w:rStyle w:val="38"/>
                      <w:rFonts w:hint="eastAsia" w:ascii="宋体" w:hAnsi="宋体" w:eastAsia="宋体" w:cs="宋体"/>
                      <w:color w:val="auto"/>
                      <w:sz w:val="18"/>
                      <w:szCs w:val="18"/>
                      <w:highlight w:val="none"/>
                    </w:rPr>
                    <w:t>新建泵站3座</w:t>
                  </w:r>
                  <w:r>
                    <w:rPr>
                      <w:rStyle w:val="38"/>
                      <w:rFonts w:hint="eastAsia" w:ascii="宋体" w:hAnsi="宋体" w:eastAsia="宋体" w:cs="宋体"/>
                      <w:color w:val="auto"/>
                      <w:sz w:val="18"/>
                      <w:szCs w:val="18"/>
                      <w:highlight w:val="none"/>
                      <w:lang w:eastAsia="zh-CN"/>
                    </w:rPr>
                    <w:t>（</w:t>
                  </w:r>
                  <w:r>
                    <w:rPr>
                      <w:rStyle w:val="38"/>
                      <w:rFonts w:hint="eastAsia" w:ascii="宋体" w:hAnsi="宋体" w:eastAsia="宋体" w:cs="宋体"/>
                      <w:color w:val="auto"/>
                      <w:sz w:val="18"/>
                      <w:szCs w:val="18"/>
                      <w:highlight w:val="none"/>
                    </w:rPr>
                    <w:t>2025年完工</w:t>
                  </w:r>
                  <w:r>
                    <w:rPr>
                      <w:rStyle w:val="38"/>
                      <w:rFonts w:hint="eastAsia" w:ascii="宋体" w:hAnsi="宋体" w:eastAsia="宋体" w:cs="宋体"/>
                      <w:color w:val="auto"/>
                      <w:sz w:val="18"/>
                      <w:szCs w:val="18"/>
                      <w:highlight w:val="none"/>
                      <w:lang w:eastAsia="zh-CN"/>
                    </w:rPr>
                    <w:t>）</w:t>
                  </w:r>
                </w:p>
              </w:tc>
            </w:tr>
            <w:tr w14:paraId="242635A1">
              <w:tblPrEx>
                <w:tblCellMar>
                  <w:top w:w="0" w:type="dxa"/>
                  <w:left w:w="0" w:type="dxa"/>
                  <w:bottom w:w="0" w:type="dxa"/>
                  <w:right w:w="0" w:type="dxa"/>
                </w:tblCellMar>
              </w:tblPrEx>
              <w:trPr>
                <w:trHeight w:val="829" w:hRule="atLeast"/>
              </w:trPr>
              <w:tc>
                <w:tcPr>
                  <w:tcW w:w="0" w:type="auto"/>
                  <w:gridSpan w:val="2"/>
                  <w:tcBorders>
                    <w:top w:val="single" w:color="000000" w:sz="8" w:space="0"/>
                    <w:left w:val="single" w:color="000000" w:sz="8" w:space="0"/>
                    <w:bottom w:val="single" w:color="000000" w:sz="8" w:space="0"/>
                    <w:right w:val="single" w:color="000000" w:sz="8" w:space="0"/>
                  </w:tcBorders>
                  <w:vAlign w:val="center"/>
                </w:tcPr>
                <w:p w14:paraId="7D53C683">
                  <w:pPr>
                    <w:kinsoku/>
                    <w:autoSpaceDE/>
                    <w:autoSpaceDN/>
                    <w:adjustRightInd/>
                    <w:snapToGrid/>
                    <w:spacing w:line="400" w:lineRule="exact"/>
                    <w:jc w:val="center"/>
                    <w:textAlignment w:val="center"/>
                    <w:rPr>
                      <w:rStyle w:val="38"/>
                      <w:rFonts w:ascii="宋体" w:hAnsi="宋体" w:eastAsia="宋体" w:cs="宋体"/>
                      <w:b/>
                      <w:bCs/>
                      <w:color w:val="auto"/>
                      <w:sz w:val="18"/>
                      <w:szCs w:val="18"/>
                      <w:highlight w:val="none"/>
                      <w:lang w:eastAsia="zh-CN"/>
                    </w:rPr>
                  </w:pPr>
                  <w:r>
                    <w:rPr>
                      <w:rStyle w:val="38"/>
                      <w:rFonts w:hint="eastAsia" w:ascii="宋体" w:hAnsi="宋体" w:eastAsia="宋体" w:cs="宋体"/>
                      <w:b/>
                      <w:bCs/>
                      <w:color w:val="auto"/>
                      <w:sz w:val="18"/>
                      <w:szCs w:val="18"/>
                      <w:highlight w:val="none"/>
                      <w:lang w:eastAsia="zh-CN"/>
                    </w:rPr>
                    <w:t>合计</w:t>
                  </w:r>
                </w:p>
              </w:tc>
              <w:tc>
                <w:tcPr>
                  <w:tcW w:w="0" w:type="auto"/>
                  <w:tcBorders>
                    <w:top w:val="nil"/>
                    <w:left w:val="nil"/>
                    <w:bottom w:val="single" w:color="000000" w:sz="8" w:space="0"/>
                    <w:right w:val="single" w:color="000000" w:sz="8" w:space="0"/>
                  </w:tcBorders>
                  <w:vAlign w:val="center"/>
                </w:tcPr>
                <w:p w14:paraId="6D21965F">
                  <w:pPr>
                    <w:kinsoku/>
                    <w:autoSpaceDE/>
                    <w:autoSpaceDN/>
                    <w:adjustRightInd/>
                    <w:snapToGrid/>
                    <w:spacing w:line="400" w:lineRule="exact"/>
                    <w:jc w:val="center"/>
                    <w:textAlignment w:val="center"/>
                    <w:rPr>
                      <w:rStyle w:val="38"/>
                      <w:rFonts w:ascii="宋体" w:hAnsi="宋体" w:eastAsia="宋体" w:cs="宋体"/>
                      <w:b/>
                      <w:bCs/>
                      <w:color w:val="auto"/>
                      <w:sz w:val="18"/>
                      <w:szCs w:val="18"/>
                      <w:highlight w:val="none"/>
                      <w:lang w:eastAsia="zh-CN"/>
                    </w:rPr>
                  </w:pPr>
                  <w:r>
                    <w:rPr>
                      <w:rStyle w:val="38"/>
                      <w:rFonts w:hint="eastAsia" w:ascii="宋体" w:hAnsi="宋体" w:eastAsia="宋体" w:cs="宋体"/>
                      <w:b/>
                      <w:bCs/>
                      <w:color w:val="auto"/>
                      <w:sz w:val="18"/>
                      <w:szCs w:val="18"/>
                      <w:highlight w:val="none"/>
                      <w:lang w:eastAsia="zh-CN"/>
                    </w:rPr>
                    <w:t>1000</w:t>
                  </w:r>
                </w:p>
              </w:tc>
              <w:tc>
                <w:tcPr>
                  <w:tcW w:w="0" w:type="auto"/>
                  <w:tcBorders>
                    <w:top w:val="nil"/>
                    <w:left w:val="nil"/>
                    <w:bottom w:val="single" w:color="000000" w:sz="8" w:space="0"/>
                    <w:right w:val="single" w:color="000000" w:sz="8" w:space="0"/>
                  </w:tcBorders>
                  <w:vAlign w:val="center"/>
                </w:tcPr>
                <w:p w14:paraId="560AB132">
                  <w:pPr>
                    <w:kinsoku/>
                    <w:autoSpaceDE/>
                    <w:autoSpaceDN/>
                    <w:adjustRightInd/>
                    <w:snapToGrid/>
                    <w:spacing w:line="400" w:lineRule="exact"/>
                    <w:jc w:val="center"/>
                    <w:textAlignment w:val="center"/>
                    <w:rPr>
                      <w:rStyle w:val="38"/>
                      <w:rFonts w:ascii="宋体" w:hAnsi="宋体" w:eastAsia="宋体" w:cs="宋体"/>
                      <w:b/>
                      <w:bCs/>
                      <w:color w:val="auto"/>
                      <w:sz w:val="18"/>
                      <w:szCs w:val="18"/>
                      <w:highlight w:val="none"/>
                      <w:lang w:eastAsia="zh-CN"/>
                    </w:rPr>
                  </w:pPr>
                  <w:r>
                    <w:rPr>
                      <w:rStyle w:val="38"/>
                      <w:rFonts w:hint="eastAsia" w:ascii="宋体" w:hAnsi="宋体" w:eastAsia="宋体" w:cs="宋体"/>
                      <w:b/>
                      <w:bCs/>
                      <w:color w:val="auto"/>
                      <w:sz w:val="18"/>
                      <w:szCs w:val="18"/>
                      <w:highlight w:val="none"/>
                      <w:lang w:eastAsia="zh-CN"/>
                    </w:rPr>
                    <w:t>11270</w:t>
                  </w:r>
                </w:p>
              </w:tc>
              <w:tc>
                <w:tcPr>
                  <w:tcW w:w="0" w:type="auto"/>
                  <w:tcBorders>
                    <w:top w:val="nil"/>
                    <w:left w:val="nil"/>
                    <w:bottom w:val="single" w:color="000000" w:sz="8" w:space="0"/>
                    <w:right w:val="single" w:color="000000" w:sz="8" w:space="0"/>
                  </w:tcBorders>
                  <w:vAlign w:val="center"/>
                </w:tcPr>
                <w:p w14:paraId="38C92058">
                  <w:pPr>
                    <w:kinsoku/>
                    <w:autoSpaceDE/>
                    <w:autoSpaceDN/>
                    <w:adjustRightInd/>
                    <w:snapToGrid/>
                    <w:spacing w:line="400" w:lineRule="exact"/>
                    <w:jc w:val="center"/>
                    <w:textAlignment w:val="center"/>
                    <w:rPr>
                      <w:rStyle w:val="38"/>
                      <w:rFonts w:ascii="宋体" w:hAnsi="宋体" w:eastAsia="宋体" w:cs="宋体"/>
                      <w:b/>
                      <w:bCs/>
                      <w:color w:val="auto"/>
                      <w:sz w:val="18"/>
                      <w:szCs w:val="18"/>
                      <w:highlight w:val="none"/>
                      <w:lang w:eastAsia="zh-CN"/>
                    </w:rPr>
                  </w:pPr>
                  <w:r>
                    <w:rPr>
                      <w:rStyle w:val="38"/>
                      <w:rFonts w:hint="eastAsia" w:ascii="宋体" w:hAnsi="宋体" w:eastAsia="宋体" w:cs="宋体"/>
                      <w:b/>
                      <w:bCs/>
                      <w:color w:val="auto"/>
                      <w:sz w:val="18"/>
                      <w:szCs w:val="18"/>
                      <w:highlight w:val="none"/>
                      <w:lang w:eastAsia="zh-CN"/>
                    </w:rPr>
                    <w:t>6</w:t>
                  </w:r>
                </w:p>
              </w:tc>
              <w:tc>
                <w:tcPr>
                  <w:tcW w:w="0" w:type="auto"/>
                  <w:tcBorders>
                    <w:top w:val="nil"/>
                    <w:left w:val="nil"/>
                    <w:bottom w:val="single" w:color="000000" w:sz="8" w:space="0"/>
                    <w:right w:val="single" w:color="000000" w:sz="8" w:space="0"/>
                  </w:tcBorders>
                  <w:vAlign w:val="center"/>
                </w:tcPr>
                <w:p w14:paraId="5EECF6FB">
                  <w:pPr>
                    <w:kinsoku/>
                    <w:autoSpaceDE/>
                    <w:autoSpaceDN/>
                    <w:adjustRightInd/>
                    <w:snapToGrid/>
                    <w:spacing w:line="400" w:lineRule="exact"/>
                    <w:jc w:val="center"/>
                    <w:textAlignment w:val="center"/>
                    <w:rPr>
                      <w:rStyle w:val="38"/>
                      <w:rFonts w:ascii="宋体" w:hAnsi="宋体" w:eastAsia="宋体" w:cs="宋体"/>
                      <w:b/>
                      <w:bCs/>
                      <w:color w:val="auto"/>
                      <w:sz w:val="18"/>
                      <w:szCs w:val="18"/>
                      <w:highlight w:val="none"/>
                      <w:lang w:eastAsia="zh-CN"/>
                    </w:rPr>
                  </w:pPr>
                </w:p>
              </w:tc>
            </w:tr>
          </w:tbl>
          <w:p w14:paraId="7E2A23CF">
            <w:pPr>
              <w:kinsoku/>
              <w:autoSpaceDE/>
              <w:autoSpaceDN/>
              <w:adjustRightInd/>
              <w:snapToGrid/>
              <w:spacing w:line="400" w:lineRule="exact"/>
              <w:ind w:firstLine="420" w:firstLineChars="200"/>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二、运营服务内容</w:t>
            </w:r>
          </w:p>
          <w:p w14:paraId="55CD73A1">
            <w:pPr>
              <w:kinsoku/>
              <w:autoSpaceDE/>
              <w:autoSpaceDN/>
              <w:adjustRightInd/>
              <w:snapToGrid/>
              <w:spacing w:line="400" w:lineRule="exact"/>
              <w:jc w:val="both"/>
              <w:rPr>
                <w:rStyle w:val="38"/>
                <w:rFonts w:ascii="宋体" w:hAnsi="宋体" w:eastAsia="宋体" w:cs="宋体"/>
                <w:color w:val="auto"/>
                <w:highlight w:val="none"/>
                <w:lang w:eastAsia="zh-CN"/>
              </w:rPr>
            </w:pPr>
            <w:r>
              <w:rPr>
                <w:rStyle w:val="38"/>
                <w:rFonts w:hint="eastAsia" w:ascii="宋体" w:hAnsi="宋体" w:eastAsia="宋体" w:cs="宋体"/>
                <w:b/>
                <w:bCs/>
                <w:color w:val="auto"/>
                <w:highlight w:val="none"/>
                <w:lang w:eastAsia="zh-CN"/>
              </w:rPr>
              <w:t xml:space="preserve">    </w:t>
            </w:r>
            <w:r>
              <w:rPr>
                <w:rFonts w:hint="eastAsia" w:ascii="宋体" w:hAnsi="宋体" w:eastAsia="宋体" w:cs="宋体"/>
                <w:color w:val="auto"/>
                <w:highlight w:val="none"/>
                <w:lang w:eastAsia="zh-CN"/>
              </w:rPr>
              <w:t>江州区左州镇、那隆镇污水处理厂的运维委托专业的第三方公司进行，具体服务内容如下：</w:t>
            </w:r>
          </w:p>
          <w:p w14:paraId="061299E8">
            <w:pPr>
              <w:kinsoku/>
              <w:autoSpaceDE/>
              <w:autoSpaceDN/>
              <w:adjustRightInd/>
              <w:snapToGrid/>
              <w:spacing w:line="400" w:lineRule="exact"/>
              <w:ind w:firstLine="422" w:firstLineChars="200"/>
              <w:jc w:val="both"/>
              <w:rPr>
                <w:rFonts w:ascii="宋体" w:hAnsi="宋体" w:eastAsia="宋体" w:cs="宋体"/>
                <w:color w:val="auto"/>
                <w:highlight w:val="none"/>
                <w:lang w:eastAsia="zh-CN"/>
              </w:rPr>
            </w:pPr>
            <w:r>
              <w:rPr>
                <w:rStyle w:val="38"/>
                <w:rFonts w:hint="eastAsia" w:ascii="宋体" w:hAnsi="宋体" w:eastAsia="宋体" w:cs="宋体"/>
                <w:b/>
                <w:bCs/>
                <w:color w:val="auto"/>
                <w:highlight w:val="none"/>
                <w:lang w:eastAsia="zh-CN"/>
              </w:rPr>
              <w:t>（一）运行管理。</w:t>
            </w:r>
            <w:r>
              <w:rPr>
                <w:rFonts w:hint="eastAsia" w:ascii="宋体" w:hAnsi="宋体" w:eastAsia="宋体" w:cs="宋体"/>
                <w:color w:val="auto"/>
                <w:highlight w:val="none"/>
                <w:shd w:val="clear" w:color="auto" w:fill="FFFFFF"/>
                <w:lang w:eastAsia="zh-CN"/>
              </w:rPr>
              <w:t>负责污水处理厂的日常运行。</w:t>
            </w:r>
            <w:r>
              <w:rPr>
                <w:rFonts w:hint="eastAsia" w:ascii="宋体" w:hAnsi="宋体" w:eastAsia="宋体" w:cs="宋体"/>
                <w:color w:val="auto"/>
                <w:highlight w:val="none"/>
                <w:lang w:eastAsia="zh-CN"/>
              </w:rPr>
              <w:t>建立运行管理制度和操作规程，明确各项操作流程和责任分工。建立健全运行记录和数据管理系统，及时记录进出水流量、COD、氨氮含量及设备运转等关键参数，确保设备正常运转、污水达标排放。定期对运行情况进行检查和评估，发现问题及时处理，优化运行效率，</w:t>
            </w:r>
            <w:r>
              <w:rPr>
                <w:rStyle w:val="38"/>
                <w:rFonts w:hint="eastAsia" w:ascii="宋体" w:hAnsi="宋体" w:eastAsia="宋体" w:cs="宋体"/>
                <w:color w:val="auto"/>
                <w:highlight w:val="none"/>
                <w:lang w:eastAsia="zh-CN"/>
              </w:rPr>
              <w:t>处理与污水处理厂生产运营有关的其他事项，承担运营产生的水电费、药剂费、污泥运输及处置费等有关费用。</w:t>
            </w:r>
          </w:p>
          <w:p w14:paraId="08E5D768">
            <w:pPr>
              <w:kinsoku/>
              <w:autoSpaceDE/>
              <w:autoSpaceDN/>
              <w:adjustRightInd/>
              <w:snapToGrid/>
              <w:spacing w:line="400" w:lineRule="exact"/>
              <w:ind w:firstLine="422" w:firstLineChars="200"/>
              <w:jc w:val="both"/>
              <w:rPr>
                <w:rFonts w:ascii="宋体" w:hAnsi="宋体" w:eastAsia="宋体" w:cs="宋体"/>
                <w:color w:val="auto"/>
                <w:highlight w:val="none"/>
                <w:lang w:eastAsia="zh-CN"/>
              </w:rPr>
            </w:pPr>
            <w:r>
              <w:rPr>
                <w:rStyle w:val="38"/>
                <w:rFonts w:hint="eastAsia" w:ascii="宋体" w:hAnsi="宋体" w:eastAsia="宋体" w:cs="宋体"/>
                <w:b/>
                <w:bCs/>
                <w:color w:val="auto"/>
                <w:highlight w:val="none"/>
                <w:lang w:eastAsia="zh-CN"/>
              </w:rPr>
              <w:t>（二）厂内设备维护。</w:t>
            </w:r>
            <w:r>
              <w:rPr>
                <w:rFonts w:hint="eastAsia" w:ascii="宋体" w:hAnsi="宋体" w:eastAsia="宋体" w:cs="宋体"/>
                <w:color w:val="auto"/>
                <w:highlight w:val="none"/>
                <w:lang w:eastAsia="zh-CN"/>
              </w:rPr>
              <w:t>定期对设备进行检查、保养、维护。定期清洗和检查设备，确保设备运行畅通，防止堵塞和故障。定期校准和检验仪器仪表，保证准确的测量和控制。确保设备和系统的完好性和安全性，必要时修复或更换损坏的设备和部件。</w:t>
            </w:r>
          </w:p>
          <w:p w14:paraId="20DFC06D">
            <w:pPr>
              <w:kinsoku/>
              <w:autoSpaceDE/>
              <w:autoSpaceDN/>
              <w:adjustRightInd/>
              <w:snapToGrid/>
              <w:spacing w:line="400" w:lineRule="exact"/>
              <w:ind w:firstLine="422" w:firstLineChars="200"/>
              <w:jc w:val="both"/>
              <w:rPr>
                <w:rStyle w:val="38"/>
                <w:rFonts w:ascii="宋体" w:hAnsi="宋体" w:eastAsia="宋体" w:cs="宋体"/>
                <w:color w:val="auto"/>
                <w:highlight w:val="none"/>
                <w:lang w:eastAsia="zh-CN"/>
              </w:rPr>
            </w:pPr>
            <w:r>
              <w:rPr>
                <w:rStyle w:val="38"/>
                <w:rFonts w:hint="eastAsia" w:ascii="宋体" w:hAnsi="宋体" w:eastAsia="宋体" w:cs="宋体"/>
                <w:b/>
                <w:bCs/>
                <w:color w:val="auto"/>
                <w:highlight w:val="none"/>
                <w:lang w:eastAsia="zh-CN"/>
              </w:rPr>
              <w:t>（三）配套管网日常维护。</w:t>
            </w:r>
            <w:r>
              <w:rPr>
                <w:rFonts w:hint="eastAsia" w:ascii="宋体" w:hAnsi="宋体" w:eastAsia="宋体" w:cs="宋体"/>
                <w:color w:val="auto"/>
                <w:highlight w:val="none"/>
                <w:shd w:val="clear" w:color="auto" w:fill="FFFFFF"/>
                <w:lang w:eastAsia="zh-CN"/>
              </w:rPr>
              <w:t>按照《城镇排水管道维护安全技术规程》（CJJ6-2009）标准要求，对配套污水管网及其检查井、沉砂井等附属设施进行管护。对管网内沉积的淤泥、砂石、板结块等进行清理等工作，确保管网畅通（因施工质量、地基沉降、车辆过载等原因导致的污水管网严重破损、断裂，需要进行开挖重建或采用非开槽施工技术进行换管才能修复的，不属于委托范围）。</w:t>
            </w:r>
          </w:p>
          <w:p w14:paraId="72D91C8F">
            <w:pPr>
              <w:kinsoku/>
              <w:autoSpaceDE/>
              <w:autoSpaceDN/>
              <w:adjustRightInd/>
              <w:snapToGrid/>
              <w:spacing w:line="400" w:lineRule="exact"/>
              <w:ind w:firstLine="422" w:firstLineChars="200"/>
              <w:rPr>
                <w:rStyle w:val="38"/>
                <w:rFonts w:ascii="宋体" w:hAnsi="宋体" w:eastAsia="宋体" w:cs="宋体"/>
                <w:color w:val="auto"/>
                <w:highlight w:val="none"/>
                <w:lang w:eastAsia="zh-CN"/>
              </w:rPr>
            </w:pPr>
            <w:r>
              <w:rPr>
                <w:rStyle w:val="38"/>
                <w:rFonts w:hint="eastAsia" w:ascii="宋体" w:hAnsi="宋体" w:eastAsia="宋体" w:cs="宋体"/>
                <w:b/>
                <w:bCs/>
                <w:color w:val="auto"/>
                <w:highlight w:val="none"/>
                <w:lang w:eastAsia="zh-CN"/>
              </w:rPr>
              <w:t>（四）污水提升泵站运行及日常维护。</w:t>
            </w:r>
            <w:r>
              <w:rPr>
                <w:rFonts w:hint="eastAsia" w:ascii="宋体" w:hAnsi="宋体" w:eastAsia="宋体" w:cs="宋体"/>
                <w:color w:val="auto"/>
                <w:highlight w:val="none"/>
                <w:shd w:val="clear" w:color="auto" w:fill="FFFFFF"/>
                <w:lang w:eastAsia="zh-CN"/>
              </w:rPr>
              <w:t>按照《城镇排水管渠与泵站运行、维护及安全技术规程》（CJJ68-2016）标准要求，对厂区外污水提升泵站的运行进行管护。承担污水提升泵站运行产生的电费、用电设施（电箱、电线等）及设备日常维护费等费用。</w:t>
            </w:r>
          </w:p>
          <w:p w14:paraId="225BC361">
            <w:pPr>
              <w:kinsoku/>
              <w:autoSpaceDE/>
              <w:autoSpaceDN/>
              <w:adjustRightInd/>
              <w:snapToGrid/>
              <w:spacing w:line="400" w:lineRule="exact"/>
              <w:ind w:firstLine="422" w:firstLineChars="200"/>
              <w:rPr>
                <w:rFonts w:ascii="宋体" w:hAnsi="宋体" w:eastAsia="宋体" w:cs="宋体"/>
                <w:color w:val="auto"/>
                <w:highlight w:val="none"/>
                <w:lang w:eastAsia="zh-CN"/>
              </w:rPr>
            </w:pPr>
            <w:r>
              <w:rPr>
                <w:rFonts w:hint="eastAsia" w:ascii="宋体" w:hAnsi="宋体" w:eastAsia="宋体" w:cs="宋体"/>
                <w:b/>
                <w:bCs/>
                <w:color w:val="auto"/>
                <w:highlight w:val="none"/>
                <w:lang w:eastAsia="zh-CN"/>
              </w:rPr>
              <w:t>（五）污泥处理。</w:t>
            </w:r>
            <w:r>
              <w:rPr>
                <w:rFonts w:hint="eastAsia" w:ascii="宋体" w:hAnsi="宋体" w:eastAsia="宋体" w:cs="宋体"/>
                <w:color w:val="auto"/>
                <w:highlight w:val="none"/>
                <w:shd w:val="clear" w:color="auto" w:fill="FFFFFF"/>
                <w:lang w:eastAsia="zh-CN"/>
              </w:rPr>
              <w:t>包括污泥脱水、干化、焚烧等工艺。定期清理和维护污泥处理设备，确保正常运行。根据污泥性质和处理需求，合理选择污泥处理工艺和方法，按照环保及上级主管部门要求合理处置产生的污泥。</w:t>
            </w:r>
          </w:p>
          <w:p w14:paraId="6F434EA3">
            <w:pPr>
              <w:kinsoku/>
              <w:autoSpaceDE/>
              <w:autoSpaceDN/>
              <w:adjustRightInd/>
              <w:snapToGrid/>
              <w:spacing w:line="400" w:lineRule="exact"/>
              <w:ind w:firstLine="422" w:firstLineChars="200"/>
              <w:rPr>
                <w:rFonts w:ascii="宋体" w:hAnsi="宋体" w:eastAsia="宋体" w:cs="宋体"/>
                <w:color w:val="auto"/>
                <w:highlight w:val="none"/>
                <w:lang w:eastAsia="zh-CN"/>
              </w:rPr>
            </w:pPr>
            <w:r>
              <w:rPr>
                <w:rStyle w:val="38"/>
                <w:rFonts w:hint="eastAsia" w:ascii="宋体" w:hAnsi="宋体" w:eastAsia="宋体" w:cs="宋体"/>
                <w:b/>
                <w:bCs/>
                <w:color w:val="auto"/>
                <w:highlight w:val="none"/>
                <w:lang w:eastAsia="zh-CN"/>
              </w:rPr>
              <w:t>（六）</w:t>
            </w:r>
            <w:r>
              <w:rPr>
                <w:rFonts w:hint="eastAsia" w:ascii="宋体" w:hAnsi="宋体" w:eastAsia="宋体" w:cs="宋体"/>
                <w:b/>
                <w:bCs/>
                <w:color w:val="auto"/>
                <w:highlight w:val="none"/>
                <w:lang w:eastAsia="zh-CN"/>
              </w:rPr>
              <w:t>安全生产与环境保护。</w:t>
            </w:r>
            <w:r>
              <w:rPr>
                <w:rFonts w:hint="eastAsia" w:ascii="宋体" w:hAnsi="宋体" w:eastAsia="宋体" w:cs="宋体"/>
                <w:color w:val="auto"/>
                <w:highlight w:val="none"/>
                <w:lang w:eastAsia="zh-CN"/>
              </w:rPr>
              <w:t>建立安全生产管理制度，确保安全生产无重大事故发生。遵守环境保护法规和排放标准，杜绝污水乱排乱放、气味和噪音扩散，造成周围环境污染。</w:t>
            </w:r>
          </w:p>
          <w:p w14:paraId="0CA799AB">
            <w:pPr>
              <w:kinsoku/>
              <w:autoSpaceDE/>
              <w:autoSpaceDN/>
              <w:adjustRightInd/>
              <w:snapToGrid/>
              <w:spacing w:line="400" w:lineRule="exact"/>
              <w:ind w:firstLine="420" w:firstLineChars="200"/>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三、运营服务质量保证</w:t>
            </w:r>
          </w:p>
          <w:p w14:paraId="7E977241">
            <w:pPr>
              <w:kinsoku/>
              <w:autoSpaceDE/>
              <w:autoSpaceDN/>
              <w:adjustRightInd/>
              <w:snapToGrid/>
              <w:spacing w:line="400" w:lineRule="exact"/>
              <w:ind w:firstLine="422" w:firstLineChars="200"/>
              <w:jc w:val="both"/>
              <w:rPr>
                <w:rStyle w:val="38"/>
                <w:rFonts w:ascii="宋体" w:hAnsi="宋体" w:eastAsia="宋体" w:cs="宋体"/>
                <w:color w:val="auto"/>
                <w:highlight w:val="none"/>
                <w:lang w:eastAsia="zh-CN"/>
              </w:rPr>
            </w:pPr>
            <w:r>
              <w:rPr>
                <w:rStyle w:val="38"/>
                <w:rFonts w:hint="eastAsia" w:ascii="宋体" w:hAnsi="宋体" w:eastAsia="宋体" w:cs="宋体"/>
                <w:b/>
                <w:bCs/>
                <w:color w:val="auto"/>
                <w:highlight w:val="none"/>
                <w:lang w:eastAsia="zh-CN"/>
              </w:rPr>
              <w:t>（一）达标排放。</w:t>
            </w:r>
            <w:r>
              <w:rPr>
                <w:rStyle w:val="38"/>
                <w:rFonts w:hint="eastAsia" w:ascii="宋体" w:hAnsi="宋体" w:eastAsia="宋体" w:cs="宋体"/>
                <w:color w:val="auto"/>
                <w:highlight w:val="none"/>
                <w:lang w:eastAsia="zh-CN"/>
              </w:rPr>
              <w:t>在委托运营期限内，负责污水处理厂运营达到《城镇污水厂污染物排放标准》（GB18918-2002）中的一级B标准。污水处理厂出水水质执行《城镇污水处理厂污染物排放标准》（GB18918-2002）一级B标准，主要控制指标应满足下列要求：</w:t>
            </w:r>
          </w:p>
          <w:p w14:paraId="25A9563D">
            <w:pPr>
              <w:kinsoku/>
              <w:autoSpaceDE/>
              <w:autoSpaceDN/>
              <w:adjustRightInd/>
              <w:snapToGrid/>
              <w:spacing w:line="400" w:lineRule="exact"/>
              <w:ind w:firstLine="420" w:firstLineChars="200"/>
              <w:rPr>
                <w:rStyle w:val="38"/>
                <w:rFonts w:ascii="宋体" w:hAnsi="宋体" w:eastAsia="宋体" w:cs="宋体"/>
                <w:color w:val="auto"/>
                <w:highlight w:val="none"/>
                <w:lang w:eastAsia="zh-CN"/>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0"/>
              <w:gridCol w:w="741"/>
              <w:gridCol w:w="636"/>
              <w:gridCol w:w="636"/>
              <w:gridCol w:w="636"/>
              <w:gridCol w:w="636"/>
              <w:gridCol w:w="951"/>
              <w:gridCol w:w="531"/>
            </w:tblGrid>
            <w:tr w14:paraId="435C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7F67E7D">
                  <w:pPr>
                    <w:kinsoku/>
                    <w:autoSpaceDE/>
                    <w:autoSpaceDN/>
                    <w:adjustRightInd/>
                    <w:snapToGrid/>
                    <w:spacing w:line="400" w:lineRule="exact"/>
                    <w:jc w:val="center"/>
                    <w:rPr>
                      <w:rStyle w:val="38"/>
                      <w:rFonts w:ascii="宋体" w:hAnsi="宋体" w:eastAsia="宋体" w:cs="宋体"/>
                      <w:b/>
                      <w:bCs/>
                      <w:color w:val="auto"/>
                      <w:highlight w:val="none"/>
                      <w:lang w:eastAsia="zh-CN"/>
                    </w:rPr>
                  </w:pPr>
                  <w:r>
                    <w:rPr>
                      <w:rStyle w:val="38"/>
                      <w:rFonts w:hint="eastAsia" w:ascii="宋体" w:hAnsi="宋体" w:eastAsia="宋体" w:cs="宋体"/>
                      <w:b/>
                      <w:bCs/>
                      <w:color w:val="auto"/>
                      <w:highlight w:val="none"/>
                      <w:lang w:eastAsia="zh-CN"/>
                    </w:rPr>
                    <w:t>项目</w:t>
                  </w:r>
                </w:p>
              </w:tc>
              <w:tc>
                <w:tcPr>
                  <w:tcW w:w="0" w:type="auto"/>
                  <w:tcBorders>
                    <w:top w:val="single" w:color="auto" w:sz="4" w:space="0"/>
                    <w:left w:val="single" w:color="auto" w:sz="4" w:space="0"/>
                    <w:bottom w:val="single" w:color="auto" w:sz="4" w:space="0"/>
                    <w:right w:val="single" w:color="auto" w:sz="4" w:space="0"/>
                  </w:tcBorders>
                  <w:vAlign w:val="center"/>
                </w:tcPr>
                <w:p w14:paraId="57898FFB">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CODcr</w:t>
                  </w:r>
                </w:p>
              </w:tc>
              <w:tc>
                <w:tcPr>
                  <w:tcW w:w="0" w:type="auto"/>
                  <w:tcBorders>
                    <w:top w:val="single" w:color="auto" w:sz="4" w:space="0"/>
                    <w:left w:val="single" w:color="auto" w:sz="4" w:space="0"/>
                    <w:bottom w:val="single" w:color="auto" w:sz="4" w:space="0"/>
                    <w:right w:val="single" w:color="auto" w:sz="4" w:space="0"/>
                  </w:tcBorders>
                  <w:vAlign w:val="center"/>
                </w:tcPr>
                <w:p w14:paraId="348F63C1">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BOD5</w:t>
                  </w:r>
                </w:p>
              </w:tc>
              <w:tc>
                <w:tcPr>
                  <w:tcW w:w="0" w:type="auto"/>
                  <w:tcBorders>
                    <w:top w:val="single" w:color="auto" w:sz="4" w:space="0"/>
                    <w:left w:val="single" w:color="auto" w:sz="4" w:space="0"/>
                    <w:bottom w:val="single" w:color="auto" w:sz="4" w:space="0"/>
                    <w:right w:val="single" w:color="auto" w:sz="4" w:space="0"/>
                  </w:tcBorders>
                  <w:vAlign w:val="center"/>
                </w:tcPr>
                <w:p w14:paraId="513F205C">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SS</w:t>
                  </w:r>
                </w:p>
              </w:tc>
              <w:tc>
                <w:tcPr>
                  <w:tcW w:w="0" w:type="auto"/>
                  <w:tcBorders>
                    <w:top w:val="single" w:color="auto" w:sz="4" w:space="0"/>
                    <w:left w:val="single" w:color="auto" w:sz="4" w:space="0"/>
                    <w:bottom w:val="single" w:color="auto" w:sz="4" w:space="0"/>
                    <w:right w:val="single" w:color="auto" w:sz="4" w:space="0"/>
                  </w:tcBorders>
                  <w:vAlign w:val="center"/>
                </w:tcPr>
                <w:p w14:paraId="22C1C1DE">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TN</w:t>
                  </w:r>
                </w:p>
              </w:tc>
              <w:tc>
                <w:tcPr>
                  <w:tcW w:w="0" w:type="auto"/>
                  <w:tcBorders>
                    <w:top w:val="single" w:color="auto" w:sz="4" w:space="0"/>
                    <w:left w:val="single" w:color="auto" w:sz="4" w:space="0"/>
                    <w:bottom w:val="single" w:color="auto" w:sz="4" w:space="0"/>
                    <w:right w:val="single" w:color="auto" w:sz="4" w:space="0"/>
                  </w:tcBorders>
                  <w:vAlign w:val="center"/>
                </w:tcPr>
                <w:p w14:paraId="278B3B96">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TP</w:t>
                  </w:r>
                </w:p>
              </w:tc>
              <w:tc>
                <w:tcPr>
                  <w:tcW w:w="0" w:type="auto"/>
                  <w:tcBorders>
                    <w:top w:val="single" w:color="auto" w:sz="4" w:space="0"/>
                    <w:left w:val="single" w:color="auto" w:sz="4" w:space="0"/>
                    <w:bottom w:val="single" w:color="auto" w:sz="4" w:space="0"/>
                    <w:right w:val="single" w:color="auto" w:sz="4" w:space="0"/>
                  </w:tcBorders>
                  <w:vAlign w:val="center"/>
                </w:tcPr>
                <w:p w14:paraId="0845887B">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NH3-N</w:t>
                  </w:r>
                </w:p>
              </w:tc>
              <w:tc>
                <w:tcPr>
                  <w:tcW w:w="0" w:type="auto"/>
                  <w:tcBorders>
                    <w:top w:val="single" w:color="auto" w:sz="4" w:space="0"/>
                    <w:left w:val="single" w:color="auto" w:sz="4" w:space="0"/>
                    <w:bottom w:val="single" w:color="auto" w:sz="4" w:space="0"/>
                    <w:right w:val="single" w:color="auto" w:sz="4" w:space="0"/>
                  </w:tcBorders>
                  <w:vAlign w:val="center"/>
                </w:tcPr>
                <w:p w14:paraId="0BEE3B55">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PH</w:t>
                  </w:r>
                </w:p>
              </w:tc>
            </w:tr>
            <w:tr w14:paraId="368F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2E7F0066">
                  <w:pPr>
                    <w:kinsoku/>
                    <w:autoSpaceDE/>
                    <w:autoSpaceDN/>
                    <w:adjustRightInd/>
                    <w:snapToGrid/>
                    <w:spacing w:line="400" w:lineRule="exact"/>
                    <w:jc w:val="center"/>
                    <w:rPr>
                      <w:rStyle w:val="38"/>
                      <w:rFonts w:ascii="宋体" w:hAnsi="宋体" w:eastAsia="宋体" w:cs="宋体"/>
                      <w:b/>
                      <w:bCs/>
                      <w:color w:val="auto"/>
                      <w:highlight w:val="none"/>
                      <w:lang w:eastAsia="zh-CN"/>
                    </w:rPr>
                  </w:pPr>
                  <w:r>
                    <w:rPr>
                      <w:rStyle w:val="38"/>
                      <w:rFonts w:hint="eastAsia" w:ascii="宋体" w:hAnsi="宋体" w:eastAsia="宋体" w:cs="宋体"/>
                      <w:b/>
                      <w:bCs/>
                      <w:color w:val="auto"/>
                      <w:highlight w:val="none"/>
                      <w:lang w:eastAsia="zh-CN"/>
                    </w:rPr>
                    <w:t>单位</w:t>
                  </w:r>
                </w:p>
              </w:tc>
              <w:tc>
                <w:tcPr>
                  <w:tcW w:w="0" w:type="auto"/>
                  <w:tcBorders>
                    <w:top w:val="single" w:color="auto" w:sz="4" w:space="0"/>
                    <w:left w:val="single" w:color="auto" w:sz="4" w:space="0"/>
                    <w:bottom w:val="single" w:color="auto" w:sz="4" w:space="0"/>
                    <w:right w:val="single" w:color="auto" w:sz="4" w:space="0"/>
                  </w:tcBorders>
                  <w:vAlign w:val="center"/>
                </w:tcPr>
                <w:p w14:paraId="190E420C">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mg/L</w:t>
                  </w:r>
                </w:p>
              </w:tc>
              <w:tc>
                <w:tcPr>
                  <w:tcW w:w="0" w:type="auto"/>
                  <w:tcBorders>
                    <w:top w:val="single" w:color="auto" w:sz="4" w:space="0"/>
                    <w:left w:val="single" w:color="auto" w:sz="4" w:space="0"/>
                    <w:bottom w:val="single" w:color="auto" w:sz="4" w:space="0"/>
                    <w:right w:val="single" w:color="auto" w:sz="4" w:space="0"/>
                  </w:tcBorders>
                  <w:vAlign w:val="center"/>
                </w:tcPr>
                <w:p w14:paraId="54E5661C">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mg/L</w:t>
                  </w:r>
                </w:p>
              </w:tc>
              <w:tc>
                <w:tcPr>
                  <w:tcW w:w="0" w:type="auto"/>
                  <w:tcBorders>
                    <w:top w:val="single" w:color="auto" w:sz="4" w:space="0"/>
                    <w:left w:val="single" w:color="auto" w:sz="4" w:space="0"/>
                    <w:bottom w:val="single" w:color="auto" w:sz="4" w:space="0"/>
                    <w:right w:val="single" w:color="auto" w:sz="4" w:space="0"/>
                  </w:tcBorders>
                  <w:vAlign w:val="center"/>
                </w:tcPr>
                <w:p w14:paraId="57734D45">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mg/L</w:t>
                  </w:r>
                </w:p>
              </w:tc>
              <w:tc>
                <w:tcPr>
                  <w:tcW w:w="0" w:type="auto"/>
                  <w:tcBorders>
                    <w:top w:val="single" w:color="auto" w:sz="4" w:space="0"/>
                    <w:left w:val="single" w:color="auto" w:sz="4" w:space="0"/>
                    <w:bottom w:val="single" w:color="auto" w:sz="4" w:space="0"/>
                    <w:right w:val="single" w:color="auto" w:sz="4" w:space="0"/>
                  </w:tcBorders>
                  <w:vAlign w:val="center"/>
                </w:tcPr>
                <w:p w14:paraId="680D0454">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mg/L</w:t>
                  </w:r>
                </w:p>
              </w:tc>
              <w:tc>
                <w:tcPr>
                  <w:tcW w:w="0" w:type="auto"/>
                  <w:tcBorders>
                    <w:top w:val="single" w:color="auto" w:sz="4" w:space="0"/>
                    <w:left w:val="single" w:color="auto" w:sz="4" w:space="0"/>
                    <w:bottom w:val="single" w:color="auto" w:sz="4" w:space="0"/>
                    <w:right w:val="single" w:color="auto" w:sz="4" w:space="0"/>
                  </w:tcBorders>
                  <w:vAlign w:val="center"/>
                </w:tcPr>
                <w:p w14:paraId="71B0C01D">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mg/L</w:t>
                  </w:r>
                </w:p>
              </w:tc>
              <w:tc>
                <w:tcPr>
                  <w:tcW w:w="0" w:type="auto"/>
                  <w:tcBorders>
                    <w:top w:val="single" w:color="auto" w:sz="4" w:space="0"/>
                    <w:left w:val="single" w:color="auto" w:sz="4" w:space="0"/>
                    <w:bottom w:val="single" w:color="auto" w:sz="4" w:space="0"/>
                    <w:right w:val="single" w:color="auto" w:sz="4" w:space="0"/>
                  </w:tcBorders>
                  <w:vAlign w:val="center"/>
                </w:tcPr>
                <w:p w14:paraId="3A4DCD39">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mg/L</w:t>
                  </w:r>
                </w:p>
              </w:tc>
              <w:tc>
                <w:tcPr>
                  <w:tcW w:w="0" w:type="auto"/>
                  <w:tcBorders>
                    <w:top w:val="single" w:color="auto" w:sz="4" w:space="0"/>
                    <w:left w:val="single" w:color="auto" w:sz="4" w:space="0"/>
                    <w:bottom w:val="single" w:color="auto" w:sz="4" w:space="0"/>
                    <w:right w:val="single" w:color="auto" w:sz="4" w:space="0"/>
                  </w:tcBorders>
                  <w:vAlign w:val="center"/>
                </w:tcPr>
                <w:p w14:paraId="214F60F2">
                  <w:pPr>
                    <w:kinsoku/>
                    <w:autoSpaceDE/>
                    <w:autoSpaceDN/>
                    <w:adjustRightInd/>
                    <w:snapToGrid/>
                    <w:spacing w:line="400" w:lineRule="exact"/>
                    <w:jc w:val="center"/>
                    <w:rPr>
                      <w:rStyle w:val="38"/>
                      <w:rFonts w:ascii="宋体" w:hAnsi="宋体" w:eastAsia="宋体" w:cs="宋体"/>
                      <w:color w:val="auto"/>
                      <w:highlight w:val="none"/>
                      <w:lang w:eastAsia="zh-CN"/>
                    </w:rPr>
                  </w:pPr>
                </w:p>
              </w:tc>
            </w:tr>
            <w:tr w14:paraId="0362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209C7E5">
                  <w:pPr>
                    <w:kinsoku/>
                    <w:autoSpaceDE/>
                    <w:autoSpaceDN/>
                    <w:adjustRightInd/>
                    <w:snapToGrid/>
                    <w:spacing w:line="400" w:lineRule="exact"/>
                    <w:jc w:val="center"/>
                    <w:rPr>
                      <w:rStyle w:val="38"/>
                      <w:rFonts w:ascii="宋体" w:hAnsi="宋体" w:eastAsia="宋体" w:cs="宋体"/>
                      <w:b/>
                      <w:bCs/>
                      <w:color w:val="auto"/>
                      <w:highlight w:val="none"/>
                      <w:lang w:eastAsia="zh-CN"/>
                    </w:rPr>
                  </w:pPr>
                  <w:r>
                    <w:rPr>
                      <w:rStyle w:val="38"/>
                      <w:rFonts w:hint="eastAsia" w:ascii="宋体" w:hAnsi="宋体" w:eastAsia="宋体" w:cs="宋体"/>
                      <w:b/>
                      <w:bCs/>
                      <w:color w:val="auto"/>
                      <w:highlight w:val="none"/>
                      <w:lang w:eastAsia="zh-CN"/>
                    </w:rPr>
                    <w:t>出水水质</w:t>
                  </w:r>
                </w:p>
              </w:tc>
              <w:tc>
                <w:tcPr>
                  <w:tcW w:w="0" w:type="auto"/>
                  <w:tcBorders>
                    <w:top w:val="single" w:color="auto" w:sz="4" w:space="0"/>
                    <w:left w:val="single" w:color="auto" w:sz="4" w:space="0"/>
                    <w:bottom w:val="single" w:color="auto" w:sz="4" w:space="0"/>
                    <w:right w:val="single" w:color="auto" w:sz="4" w:space="0"/>
                  </w:tcBorders>
                  <w:vAlign w:val="center"/>
                </w:tcPr>
                <w:p w14:paraId="612FEDB1">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≤60</w:t>
                  </w:r>
                </w:p>
              </w:tc>
              <w:tc>
                <w:tcPr>
                  <w:tcW w:w="0" w:type="auto"/>
                  <w:tcBorders>
                    <w:top w:val="single" w:color="auto" w:sz="4" w:space="0"/>
                    <w:left w:val="single" w:color="auto" w:sz="4" w:space="0"/>
                    <w:bottom w:val="single" w:color="auto" w:sz="4" w:space="0"/>
                    <w:right w:val="single" w:color="auto" w:sz="4" w:space="0"/>
                  </w:tcBorders>
                  <w:vAlign w:val="center"/>
                </w:tcPr>
                <w:p w14:paraId="3622876E">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≤20</w:t>
                  </w:r>
                </w:p>
              </w:tc>
              <w:tc>
                <w:tcPr>
                  <w:tcW w:w="0" w:type="auto"/>
                  <w:tcBorders>
                    <w:top w:val="single" w:color="auto" w:sz="4" w:space="0"/>
                    <w:left w:val="single" w:color="auto" w:sz="4" w:space="0"/>
                    <w:bottom w:val="single" w:color="auto" w:sz="4" w:space="0"/>
                    <w:right w:val="single" w:color="auto" w:sz="4" w:space="0"/>
                  </w:tcBorders>
                  <w:vAlign w:val="center"/>
                </w:tcPr>
                <w:p w14:paraId="219A86D0">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≤20</w:t>
                  </w:r>
                </w:p>
              </w:tc>
              <w:tc>
                <w:tcPr>
                  <w:tcW w:w="0" w:type="auto"/>
                  <w:tcBorders>
                    <w:top w:val="single" w:color="auto" w:sz="4" w:space="0"/>
                    <w:left w:val="single" w:color="auto" w:sz="4" w:space="0"/>
                    <w:bottom w:val="single" w:color="auto" w:sz="4" w:space="0"/>
                    <w:right w:val="single" w:color="auto" w:sz="4" w:space="0"/>
                  </w:tcBorders>
                  <w:vAlign w:val="center"/>
                </w:tcPr>
                <w:p w14:paraId="1E190797">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≤20</w:t>
                  </w:r>
                </w:p>
              </w:tc>
              <w:tc>
                <w:tcPr>
                  <w:tcW w:w="0" w:type="auto"/>
                  <w:tcBorders>
                    <w:top w:val="single" w:color="auto" w:sz="4" w:space="0"/>
                    <w:left w:val="single" w:color="auto" w:sz="4" w:space="0"/>
                    <w:bottom w:val="single" w:color="auto" w:sz="4" w:space="0"/>
                    <w:right w:val="single" w:color="auto" w:sz="4" w:space="0"/>
                  </w:tcBorders>
                  <w:vAlign w:val="center"/>
                </w:tcPr>
                <w:p w14:paraId="091F8DC4">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≤1</w:t>
                  </w:r>
                </w:p>
              </w:tc>
              <w:tc>
                <w:tcPr>
                  <w:tcW w:w="0" w:type="auto"/>
                  <w:tcBorders>
                    <w:top w:val="single" w:color="auto" w:sz="4" w:space="0"/>
                    <w:left w:val="single" w:color="auto" w:sz="4" w:space="0"/>
                    <w:bottom w:val="single" w:color="auto" w:sz="4" w:space="0"/>
                    <w:right w:val="single" w:color="auto" w:sz="4" w:space="0"/>
                  </w:tcBorders>
                  <w:vAlign w:val="center"/>
                </w:tcPr>
                <w:p w14:paraId="314D12FF">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8（15）</w:t>
                  </w:r>
                </w:p>
              </w:tc>
              <w:tc>
                <w:tcPr>
                  <w:tcW w:w="0" w:type="auto"/>
                  <w:tcBorders>
                    <w:top w:val="single" w:color="auto" w:sz="4" w:space="0"/>
                    <w:left w:val="single" w:color="auto" w:sz="4" w:space="0"/>
                    <w:bottom w:val="single" w:color="auto" w:sz="4" w:space="0"/>
                    <w:right w:val="single" w:color="auto" w:sz="4" w:space="0"/>
                  </w:tcBorders>
                  <w:vAlign w:val="center"/>
                </w:tcPr>
                <w:p w14:paraId="0295CFFB">
                  <w:pPr>
                    <w:kinsoku/>
                    <w:autoSpaceDE/>
                    <w:autoSpaceDN/>
                    <w:adjustRightInd/>
                    <w:snapToGrid/>
                    <w:spacing w:line="400" w:lineRule="exact"/>
                    <w:jc w:val="center"/>
                    <w:rPr>
                      <w:rStyle w:val="38"/>
                      <w:rFonts w:ascii="宋体" w:hAnsi="宋体" w:eastAsia="宋体" w:cs="宋体"/>
                      <w:color w:val="auto"/>
                      <w:highlight w:val="none"/>
                      <w:lang w:eastAsia="zh-CN"/>
                    </w:rPr>
                  </w:pPr>
                  <w:r>
                    <w:rPr>
                      <w:rStyle w:val="38"/>
                      <w:rFonts w:hint="eastAsia" w:ascii="宋体" w:hAnsi="宋体" w:eastAsia="宋体" w:cs="宋体"/>
                      <w:color w:val="auto"/>
                      <w:highlight w:val="none"/>
                      <w:lang w:eastAsia="zh-CN"/>
                    </w:rPr>
                    <w:t>6-9</w:t>
                  </w:r>
                </w:p>
              </w:tc>
            </w:tr>
          </w:tbl>
          <w:p w14:paraId="02B1C654">
            <w:pPr>
              <w:kinsoku/>
              <w:autoSpaceDE/>
              <w:autoSpaceDN/>
              <w:adjustRightInd/>
              <w:snapToGrid/>
              <w:spacing w:line="400" w:lineRule="exact"/>
              <w:ind w:firstLine="420" w:firstLineChars="200"/>
              <w:jc w:val="both"/>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注：括号外数值为水温&gt;12℃时的控制指标，括号内数值为水温≤12℃时的控制指标。</w:t>
            </w:r>
          </w:p>
          <w:p w14:paraId="2E5A8835">
            <w:pPr>
              <w:kinsoku/>
              <w:autoSpaceDE/>
              <w:autoSpaceDN/>
              <w:adjustRightInd/>
              <w:snapToGrid/>
              <w:spacing w:line="400" w:lineRule="exact"/>
              <w:ind w:firstLine="420" w:firstLineChars="200"/>
              <w:jc w:val="both"/>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如上述指标调整，则按新指标执行或以环境主管部门指定为准。</w:t>
            </w:r>
          </w:p>
          <w:p w14:paraId="4DF39131">
            <w:pPr>
              <w:kinsoku/>
              <w:autoSpaceDE/>
              <w:autoSpaceDN/>
              <w:adjustRightInd/>
              <w:snapToGrid/>
              <w:spacing w:line="400" w:lineRule="exact"/>
              <w:ind w:firstLine="422" w:firstLineChars="200"/>
              <w:rPr>
                <w:rStyle w:val="38"/>
                <w:rFonts w:ascii="宋体" w:hAnsi="宋体" w:eastAsia="宋体" w:cs="宋体"/>
                <w:color w:val="auto"/>
                <w:highlight w:val="none"/>
                <w:lang w:eastAsia="zh-CN"/>
              </w:rPr>
            </w:pPr>
            <w:r>
              <w:rPr>
                <w:rStyle w:val="38"/>
                <w:rFonts w:hint="eastAsia" w:ascii="宋体" w:hAnsi="宋体" w:eastAsia="宋体" w:cs="宋体"/>
                <w:b/>
                <w:bCs/>
                <w:color w:val="auto"/>
                <w:highlight w:val="none"/>
                <w:lang w:eastAsia="zh-CN"/>
              </w:rPr>
              <w:t>（二）设备维护管理。</w:t>
            </w:r>
            <w:r>
              <w:rPr>
                <w:rStyle w:val="38"/>
                <w:rFonts w:hint="eastAsia" w:ascii="宋体" w:hAnsi="宋体" w:eastAsia="宋体" w:cs="宋体"/>
                <w:color w:val="auto"/>
                <w:highlight w:val="none"/>
                <w:lang w:eastAsia="zh-CN"/>
              </w:rPr>
              <w:t>按照合同约定及国家、自治区有关强制标准要求执行。设备零部件损坏需要维修或更换，单项费用</w:t>
            </w:r>
            <w:r>
              <w:rPr>
                <w:rStyle w:val="38"/>
                <w:rFonts w:hint="eastAsia" w:ascii="宋体" w:hAnsi="宋体" w:eastAsia="宋体" w:cs="宋体"/>
                <w:color w:val="auto"/>
                <w:highlight w:val="none"/>
                <w:lang w:val="en-US" w:eastAsia="zh-CN"/>
              </w:rPr>
              <w:t>3000</w:t>
            </w:r>
            <w:r>
              <w:rPr>
                <w:rStyle w:val="38"/>
                <w:rFonts w:hint="eastAsia" w:ascii="宋体" w:hAnsi="宋体" w:eastAsia="宋体" w:cs="宋体"/>
                <w:color w:val="auto"/>
                <w:highlight w:val="none"/>
                <w:lang w:eastAsia="zh-CN"/>
              </w:rPr>
              <w:t>元（含</w:t>
            </w:r>
            <w:r>
              <w:rPr>
                <w:rStyle w:val="38"/>
                <w:rFonts w:hint="eastAsia" w:ascii="宋体" w:hAnsi="宋体" w:eastAsia="宋体" w:cs="宋体"/>
                <w:color w:val="auto"/>
                <w:highlight w:val="none"/>
                <w:lang w:val="en-US" w:eastAsia="zh-CN"/>
              </w:rPr>
              <w:t>30</w:t>
            </w:r>
            <w:r>
              <w:rPr>
                <w:rStyle w:val="38"/>
                <w:rFonts w:hint="eastAsia" w:ascii="宋体" w:hAnsi="宋体" w:eastAsia="宋体" w:cs="宋体"/>
                <w:color w:val="auto"/>
                <w:highlight w:val="none"/>
                <w:lang w:eastAsia="zh-CN"/>
              </w:rPr>
              <w:t>00元）以内的，由运营方负责，单项费用</w:t>
            </w:r>
            <w:r>
              <w:rPr>
                <w:rStyle w:val="38"/>
                <w:rFonts w:hint="eastAsia" w:ascii="宋体" w:hAnsi="宋体" w:eastAsia="宋体" w:cs="宋体"/>
                <w:color w:val="auto"/>
                <w:highlight w:val="none"/>
                <w:lang w:val="en-US" w:eastAsia="zh-CN"/>
              </w:rPr>
              <w:t>30</w:t>
            </w:r>
            <w:r>
              <w:rPr>
                <w:rStyle w:val="38"/>
                <w:rFonts w:hint="eastAsia" w:ascii="宋体" w:hAnsi="宋体" w:eastAsia="宋体" w:cs="宋体"/>
                <w:color w:val="auto"/>
                <w:highlight w:val="none"/>
                <w:lang w:eastAsia="zh-CN"/>
              </w:rPr>
              <w:t>00元以上经双方现场勘察，必要时请第三方公司评估，如属于设备正常老化或非运营方原因的人为故意损坏、非操作失误导致损坏需要维修的，超出部分费用由甲方负责，如属于运营方原因的人为故意损坏、操作失误导致损坏需要维修的，费用由运营方负责。</w:t>
            </w:r>
          </w:p>
          <w:p w14:paraId="3ACC5BD3">
            <w:pPr>
              <w:kinsoku/>
              <w:autoSpaceDE/>
              <w:autoSpaceDN/>
              <w:adjustRightInd/>
              <w:snapToGrid/>
              <w:spacing w:line="320" w:lineRule="atLeast"/>
              <w:ind w:firstLine="420" w:firstLineChars="200"/>
              <w:jc w:val="both"/>
              <w:rPr>
                <w:rFonts w:ascii="宋体" w:hAnsi="宋体" w:eastAsia="宋体" w:cs="宋体"/>
                <w:color w:val="auto"/>
                <w:highlight w:val="none"/>
                <w:lang w:eastAsia="zh-CN"/>
              </w:rPr>
            </w:pPr>
          </w:p>
        </w:tc>
      </w:tr>
      <w:tr w14:paraId="0B4B8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335" w:type="dxa"/>
            <w:gridSpan w:val="6"/>
            <w:tcBorders>
              <w:top w:val="single" w:color="auto" w:sz="4" w:space="0"/>
              <w:left w:val="single" w:color="auto" w:sz="4" w:space="0"/>
              <w:bottom w:val="single" w:color="auto" w:sz="4" w:space="0"/>
              <w:right w:val="single" w:color="auto" w:sz="4" w:space="0"/>
            </w:tcBorders>
          </w:tcPr>
          <w:p w14:paraId="22FE868D">
            <w:pPr>
              <w:widowControl w:val="0"/>
              <w:kinsoku/>
              <w:wordWrap w:val="0"/>
              <w:autoSpaceDE/>
              <w:autoSpaceDN/>
              <w:adjustRightInd/>
              <w:snapToGrid/>
              <w:spacing w:line="440" w:lineRule="exact"/>
              <w:textAlignment w:val="auto"/>
              <w:rPr>
                <w:rFonts w:ascii="宋体" w:hAnsi="宋体"/>
                <w:b/>
                <w:bCs/>
                <w:color w:val="auto"/>
                <w:highlight w:val="none"/>
              </w:rPr>
            </w:pPr>
            <w:r>
              <w:rPr>
                <w:rFonts w:hint="eastAsia" w:ascii="宋体" w:hAnsi="宋体"/>
                <w:color w:val="auto"/>
                <w:highlight w:val="none"/>
              </w:rPr>
              <w:t>▲</w:t>
            </w:r>
            <w:r>
              <w:rPr>
                <w:rFonts w:hint="eastAsia" w:ascii="宋体" w:hAnsi="宋体"/>
                <w:b/>
                <w:color w:val="auto"/>
                <w:highlight w:val="none"/>
                <w:lang w:eastAsia="zh-CN"/>
              </w:rPr>
              <w:t>二</w:t>
            </w:r>
            <w:r>
              <w:rPr>
                <w:rFonts w:hint="eastAsia" w:ascii="宋体" w:hAnsi="宋体"/>
                <w:b/>
                <w:color w:val="auto"/>
                <w:highlight w:val="none"/>
              </w:rPr>
              <w:t>、商务要求</w:t>
            </w:r>
          </w:p>
        </w:tc>
      </w:tr>
      <w:tr w14:paraId="49B64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53" w:type="dxa"/>
            <w:gridSpan w:val="2"/>
            <w:tcBorders>
              <w:top w:val="single" w:color="auto" w:sz="4" w:space="0"/>
              <w:left w:val="single" w:color="auto" w:sz="4" w:space="0"/>
              <w:bottom w:val="single" w:color="auto" w:sz="4" w:space="0"/>
              <w:right w:val="single" w:color="auto" w:sz="4" w:space="0"/>
            </w:tcBorders>
            <w:vAlign w:val="center"/>
          </w:tcPr>
          <w:p w14:paraId="28DB38DA">
            <w:pPr>
              <w:widowControl w:val="0"/>
              <w:kinsoku/>
              <w:wordWrap w:val="0"/>
              <w:autoSpaceDE/>
              <w:autoSpaceDN/>
              <w:adjustRightInd/>
              <w:snapToGrid/>
              <w:spacing w:line="440" w:lineRule="exact"/>
              <w:jc w:val="center"/>
              <w:textAlignment w:val="auto"/>
              <w:rPr>
                <w:rFonts w:ascii="宋体" w:hAnsi="宋体"/>
                <w:b/>
                <w:bCs/>
                <w:color w:val="auto"/>
                <w:highlight w:val="none"/>
                <w:lang w:eastAsia="zh-CN"/>
              </w:rPr>
            </w:pPr>
            <w:r>
              <w:rPr>
                <w:rFonts w:hint="eastAsia" w:ascii="宋体" w:hAnsi="宋体" w:cs="宋体"/>
                <w:b/>
                <w:bCs/>
                <w:color w:val="auto"/>
                <w:highlight w:val="none"/>
                <w:lang w:eastAsia="zh-CN"/>
              </w:rPr>
              <w:t>合同履行期限和实施的地点或范围</w:t>
            </w:r>
          </w:p>
        </w:tc>
        <w:tc>
          <w:tcPr>
            <w:tcW w:w="8582" w:type="dxa"/>
            <w:gridSpan w:val="4"/>
            <w:tcBorders>
              <w:top w:val="single" w:color="auto" w:sz="4" w:space="0"/>
              <w:left w:val="single" w:color="auto" w:sz="4" w:space="0"/>
              <w:bottom w:val="single" w:color="auto" w:sz="4" w:space="0"/>
              <w:right w:val="single" w:color="auto" w:sz="4" w:space="0"/>
            </w:tcBorders>
            <w:vAlign w:val="center"/>
          </w:tcPr>
          <w:p w14:paraId="5AF9A015">
            <w:pPr>
              <w:widowControl w:val="0"/>
              <w:kinsoku/>
              <w:wordWrap w:val="0"/>
              <w:autoSpaceDE/>
              <w:autoSpaceDN/>
              <w:adjustRightInd/>
              <w:snapToGrid/>
              <w:spacing w:line="440" w:lineRule="exact"/>
              <w:textAlignment w:val="auto"/>
              <w:rPr>
                <w:rFonts w:ascii="宋体" w:hAnsi="宋体" w:eastAsia="宋体" w:cs="宋体"/>
                <w:color w:val="auto"/>
                <w:highlight w:val="none"/>
                <w:lang w:eastAsia="zh-CN"/>
              </w:rPr>
            </w:pPr>
            <w:r>
              <w:rPr>
                <w:rFonts w:hint="eastAsia" w:ascii="宋体" w:hAnsi="宋体"/>
                <w:bCs/>
                <w:color w:val="auto"/>
                <w:highlight w:val="none"/>
                <w:lang w:eastAsia="zh-CN"/>
              </w:rPr>
              <w:t>1.</w:t>
            </w:r>
            <w:r>
              <w:rPr>
                <w:rFonts w:hint="eastAsia" w:ascii="宋体" w:hAnsi="宋体" w:cs="宋体"/>
                <w:color w:val="auto"/>
                <w:highlight w:val="none"/>
                <w:lang w:eastAsia="zh-CN"/>
              </w:rPr>
              <w:t>合同履行期限：自签订合同之日起3年；</w:t>
            </w:r>
          </w:p>
          <w:p w14:paraId="5D61238D">
            <w:pPr>
              <w:widowControl w:val="0"/>
              <w:kinsoku/>
              <w:wordWrap w:val="0"/>
              <w:autoSpaceDE/>
              <w:autoSpaceDN/>
              <w:adjustRightInd/>
              <w:snapToGrid/>
              <w:spacing w:line="440" w:lineRule="exact"/>
              <w:textAlignment w:val="auto"/>
              <w:rPr>
                <w:rFonts w:ascii="宋体" w:hAnsi="宋体"/>
                <w:b/>
                <w:color w:val="auto"/>
                <w:highlight w:val="none"/>
                <w:lang w:eastAsia="zh-CN"/>
              </w:rPr>
            </w:pPr>
            <w:r>
              <w:rPr>
                <w:rFonts w:hint="eastAsia" w:ascii="宋体" w:hAnsi="宋体" w:cs="宋体"/>
                <w:color w:val="auto"/>
                <w:highlight w:val="none"/>
                <w:lang w:eastAsia="zh-CN"/>
              </w:rPr>
              <w:t>2.实施的地点或范围：</w:t>
            </w:r>
            <w:r>
              <w:rPr>
                <w:rFonts w:hint="eastAsia" w:ascii="宋体" w:hAnsi="宋体"/>
                <w:color w:val="auto"/>
                <w:highlight w:val="none"/>
                <w:lang w:eastAsia="zh-CN"/>
              </w:rPr>
              <w:t>采购人指定地点。</w:t>
            </w:r>
          </w:p>
        </w:tc>
      </w:tr>
      <w:tr w14:paraId="0F318F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53" w:type="dxa"/>
            <w:gridSpan w:val="2"/>
            <w:tcBorders>
              <w:top w:val="single" w:color="auto" w:sz="4" w:space="0"/>
              <w:left w:val="single" w:color="auto" w:sz="4" w:space="0"/>
              <w:bottom w:val="single" w:color="auto" w:sz="4" w:space="0"/>
              <w:right w:val="single" w:color="auto" w:sz="4" w:space="0"/>
            </w:tcBorders>
            <w:vAlign w:val="center"/>
          </w:tcPr>
          <w:p w14:paraId="2AA944A0">
            <w:pPr>
              <w:widowControl w:val="0"/>
              <w:kinsoku/>
              <w:wordWrap w:val="0"/>
              <w:autoSpaceDE/>
              <w:autoSpaceDN/>
              <w:adjustRightInd/>
              <w:snapToGrid/>
              <w:spacing w:line="440" w:lineRule="exact"/>
              <w:jc w:val="center"/>
              <w:textAlignment w:val="auto"/>
              <w:rPr>
                <w:rFonts w:ascii="宋体" w:hAnsi="宋体"/>
                <w:b/>
                <w:bCs/>
                <w:color w:val="auto"/>
                <w:highlight w:val="none"/>
              </w:rPr>
            </w:pPr>
            <w:r>
              <w:rPr>
                <w:rFonts w:hint="eastAsia" w:ascii="宋体" w:hAnsi="宋体"/>
                <w:b/>
                <w:bCs/>
                <w:color w:val="auto"/>
                <w:highlight w:val="none"/>
              </w:rPr>
              <w:t>合同签订时间</w:t>
            </w:r>
          </w:p>
        </w:tc>
        <w:tc>
          <w:tcPr>
            <w:tcW w:w="8582" w:type="dxa"/>
            <w:gridSpan w:val="4"/>
            <w:tcBorders>
              <w:top w:val="single" w:color="auto" w:sz="4" w:space="0"/>
              <w:left w:val="single" w:color="auto" w:sz="4" w:space="0"/>
              <w:bottom w:val="single" w:color="auto" w:sz="4" w:space="0"/>
              <w:right w:val="single" w:color="auto" w:sz="4" w:space="0"/>
            </w:tcBorders>
            <w:vAlign w:val="center"/>
          </w:tcPr>
          <w:p w14:paraId="29B86CB2">
            <w:pPr>
              <w:widowControl w:val="0"/>
              <w:kinsoku/>
              <w:wordWrap w:val="0"/>
              <w:autoSpaceDE/>
              <w:autoSpaceDN/>
              <w:adjustRightInd/>
              <w:snapToGrid/>
              <w:spacing w:line="440" w:lineRule="exact"/>
              <w:textAlignment w:val="auto"/>
              <w:rPr>
                <w:rFonts w:ascii="宋体" w:hAnsi="宋体" w:eastAsia="宋体"/>
                <w:b/>
                <w:color w:val="auto"/>
                <w:highlight w:val="none"/>
                <w:lang w:eastAsia="zh-CN"/>
              </w:rPr>
            </w:pPr>
            <w:r>
              <w:rPr>
                <w:rFonts w:hint="eastAsia" w:ascii="宋体" w:hAnsi="宋体"/>
                <w:color w:val="auto"/>
                <w:highlight w:val="none"/>
                <w:lang w:eastAsia="zh-CN"/>
              </w:rPr>
              <w:t>自中标通知书发出之日起</w:t>
            </w:r>
            <w:r>
              <w:rPr>
                <w:rFonts w:hint="eastAsia" w:ascii="宋体" w:hAnsi="宋体"/>
                <w:color w:val="auto"/>
                <w:highlight w:val="none"/>
                <w:u w:val="single"/>
                <w:lang w:eastAsia="zh-CN"/>
              </w:rPr>
              <w:t>15</w:t>
            </w:r>
            <w:r>
              <w:rPr>
                <w:rFonts w:hint="eastAsia" w:ascii="宋体" w:hAnsi="宋体"/>
                <w:color w:val="auto"/>
                <w:highlight w:val="none"/>
                <w:lang w:eastAsia="zh-CN"/>
              </w:rPr>
              <w:t>日内。</w:t>
            </w:r>
          </w:p>
        </w:tc>
      </w:tr>
      <w:tr w14:paraId="40E11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753" w:type="dxa"/>
            <w:gridSpan w:val="2"/>
            <w:tcBorders>
              <w:top w:val="single" w:color="auto" w:sz="4" w:space="0"/>
              <w:left w:val="single" w:color="auto" w:sz="4" w:space="0"/>
              <w:bottom w:val="single" w:color="auto" w:sz="4" w:space="0"/>
              <w:right w:val="single" w:color="auto" w:sz="4" w:space="0"/>
            </w:tcBorders>
            <w:vAlign w:val="center"/>
          </w:tcPr>
          <w:p w14:paraId="1E8E2F04">
            <w:pPr>
              <w:widowControl w:val="0"/>
              <w:kinsoku/>
              <w:wordWrap w:val="0"/>
              <w:autoSpaceDE/>
              <w:autoSpaceDN/>
              <w:adjustRightInd/>
              <w:snapToGrid/>
              <w:spacing w:line="440" w:lineRule="exact"/>
              <w:jc w:val="center"/>
              <w:textAlignment w:val="auto"/>
              <w:rPr>
                <w:rFonts w:ascii="宋体" w:hAnsi="宋体"/>
                <w:b/>
                <w:bCs/>
                <w:color w:val="auto"/>
                <w:highlight w:val="none"/>
              </w:rPr>
            </w:pPr>
            <w:r>
              <w:rPr>
                <w:rFonts w:hint="eastAsia" w:ascii="宋体" w:hAnsi="宋体"/>
                <w:b/>
                <w:bCs/>
                <w:color w:val="auto"/>
                <w:highlight w:val="none"/>
              </w:rPr>
              <w:t>付款方式）</w:t>
            </w:r>
          </w:p>
        </w:tc>
        <w:tc>
          <w:tcPr>
            <w:tcW w:w="8582" w:type="dxa"/>
            <w:gridSpan w:val="4"/>
            <w:tcBorders>
              <w:top w:val="single" w:color="auto" w:sz="4" w:space="0"/>
              <w:left w:val="single" w:color="auto" w:sz="4" w:space="0"/>
              <w:bottom w:val="single" w:color="auto" w:sz="4" w:space="0"/>
              <w:right w:val="single" w:color="auto" w:sz="4" w:space="0"/>
            </w:tcBorders>
            <w:vAlign w:val="center"/>
          </w:tcPr>
          <w:p w14:paraId="6C97F145">
            <w:pPr>
              <w:widowControl w:val="0"/>
              <w:kinsoku/>
              <w:wordWrap w:val="0"/>
              <w:autoSpaceDE/>
              <w:autoSpaceDN/>
              <w:adjustRightInd/>
              <w:snapToGrid/>
              <w:spacing w:line="440" w:lineRule="exact"/>
              <w:textAlignment w:val="auto"/>
              <w:rPr>
                <w:rFonts w:eastAsia="宋体"/>
                <w:color w:val="auto"/>
                <w:highlight w:val="none"/>
                <w:lang w:eastAsia="zh-CN"/>
              </w:rPr>
            </w:pPr>
            <w:r>
              <w:rPr>
                <w:rFonts w:hint="eastAsia" w:eastAsia="宋体"/>
                <w:color w:val="auto"/>
                <w:highlight w:val="none"/>
                <w:lang w:eastAsia="zh-CN"/>
              </w:rPr>
              <w:t>自合同签订之日起，服务费每三个月支付一次，在第三个月的后10个工作日内，甲方组织人员现场核查。确认乙方履行运维义务完毕后，通知乙方开具足额的税务发票。</w:t>
            </w:r>
          </w:p>
        </w:tc>
      </w:tr>
      <w:tr w14:paraId="69F40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53" w:type="dxa"/>
            <w:gridSpan w:val="2"/>
            <w:tcBorders>
              <w:top w:val="single" w:color="auto" w:sz="4" w:space="0"/>
              <w:left w:val="single" w:color="auto" w:sz="4" w:space="0"/>
              <w:bottom w:val="single" w:color="auto" w:sz="4" w:space="0"/>
              <w:right w:val="single" w:color="auto" w:sz="4" w:space="0"/>
            </w:tcBorders>
            <w:vAlign w:val="center"/>
          </w:tcPr>
          <w:p w14:paraId="4999F4FA">
            <w:pPr>
              <w:widowControl w:val="0"/>
              <w:kinsoku/>
              <w:wordWrap w:val="0"/>
              <w:autoSpaceDE/>
              <w:autoSpaceDN/>
              <w:adjustRightInd/>
              <w:snapToGrid/>
              <w:spacing w:line="440" w:lineRule="exact"/>
              <w:jc w:val="center"/>
              <w:textAlignment w:val="auto"/>
              <w:rPr>
                <w:rFonts w:ascii="宋体" w:hAnsi="宋体" w:eastAsia="宋体"/>
                <w:b/>
                <w:bCs/>
                <w:color w:val="auto"/>
                <w:highlight w:val="none"/>
                <w:lang w:eastAsia="zh-CN"/>
              </w:rPr>
            </w:pPr>
            <w:r>
              <w:rPr>
                <w:rFonts w:hint="eastAsia" w:ascii="宋体" w:hAnsi="宋体"/>
                <w:b/>
                <w:bCs/>
                <w:color w:val="auto"/>
                <w:highlight w:val="none"/>
                <w:lang w:eastAsia="zh-CN"/>
              </w:rPr>
              <w:t>售后服务要求</w:t>
            </w:r>
          </w:p>
        </w:tc>
        <w:tc>
          <w:tcPr>
            <w:tcW w:w="8582" w:type="dxa"/>
            <w:gridSpan w:val="4"/>
            <w:tcBorders>
              <w:top w:val="single" w:color="auto" w:sz="4" w:space="0"/>
              <w:left w:val="single" w:color="auto" w:sz="4" w:space="0"/>
              <w:bottom w:val="single" w:color="auto" w:sz="4" w:space="0"/>
              <w:right w:val="single" w:color="auto" w:sz="4" w:space="0"/>
            </w:tcBorders>
            <w:vAlign w:val="center"/>
          </w:tcPr>
          <w:p w14:paraId="052C24D2">
            <w:pPr>
              <w:widowControl w:val="0"/>
              <w:kinsoku/>
              <w:wordWrap w:val="0"/>
              <w:autoSpaceDE/>
              <w:autoSpaceDN/>
              <w:adjustRightInd/>
              <w:snapToGrid/>
              <w:spacing w:line="440" w:lineRule="exact"/>
              <w:textAlignment w:val="auto"/>
              <w:rPr>
                <w:rFonts w:ascii="宋体" w:hAnsi="宋体"/>
                <w:bCs/>
                <w:color w:val="auto"/>
                <w:highlight w:val="none"/>
                <w:lang w:eastAsia="zh-CN"/>
              </w:rPr>
            </w:pPr>
            <w:r>
              <w:rPr>
                <w:rFonts w:hint="eastAsia" w:ascii="宋体" w:hAnsi="宋体"/>
                <w:bCs/>
                <w:color w:val="auto"/>
                <w:highlight w:val="none"/>
                <w:lang w:eastAsia="zh-CN"/>
              </w:rPr>
              <w:t>1.服务要求：</w:t>
            </w:r>
          </w:p>
          <w:p w14:paraId="43D48CF9">
            <w:pPr>
              <w:widowControl w:val="0"/>
              <w:kinsoku/>
              <w:wordWrap w:val="0"/>
              <w:autoSpaceDE/>
              <w:autoSpaceDN/>
              <w:adjustRightInd/>
              <w:snapToGrid/>
              <w:spacing w:line="440" w:lineRule="exact"/>
              <w:textAlignment w:val="auto"/>
              <w:rPr>
                <w:rFonts w:ascii="宋体" w:hAnsi="宋体" w:eastAsia="宋体"/>
                <w:bCs/>
                <w:color w:val="auto"/>
                <w:highlight w:val="none"/>
                <w:lang w:eastAsia="zh-CN"/>
              </w:rPr>
            </w:pPr>
            <w:r>
              <w:rPr>
                <w:rFonts w:hint="eastAsia" w:ascii="宋体" w:hAnsi="宋体"/>
                <w:bCs/>
                <w:color w:val="auto"/>
                <w:highlight w:val="none"/>
                <w:lang w:eastAsia="zh-CN"/>
              </w:rPr>
              <w:t>（1）接到采购人处理问题通知后2小时内到达采购人指定现场。</w:t>
            </w:r>
          </w:p>
          <w:p w14:paraId="3B407A85">
            <w:pPr>
              <w:widowControl w:val="0"/>
              <w:kinsoku/>
              <w:wordWrap w:val="0"/>
              <w:autoSpaceDE/>
              <w:autoSpaceDN/>
              <w:adjustRightInd/>
              <w:snapToGrid/>
              <w:spacing w:line="440" w:lineRule="exact"/>
              <w:textAlignment w:val="auto"/>
              <w:rPr>
                <w:rFonts w:ascii="宋体" w:hAnsi="宋体"/>
                <w:bCs/>
                <w:color w:val="auto"/>
                <w:highlight w:val="none"/>
                <w:lang w:eastAsia="zh-CN"/>
              </w:rPr>
            </w:pPr>
            <w:r>
              <w:rPr>
                <w:rFonts w:hint="eastAsia" w:ascii="宋体" w:hAnsi="宋体"/>
                <w:bCs/>
                <w:color w:val="auto"/>
                <w:highlight w:val="none"/>
                <w:lang w:eastAsia="zh-CN"/>
              </w:rPr>
              <w:t>（1）在中标人运营管理期间，保证崇左市江州区左州镇、那隆镇污水处理厂的正常运行和各项成果符合技术规范、法律法规、政策、招标文件和合同要求。</w:t>
            </w:r>
          </w:p>
          <w:p w14:paraId="1C079230">
            <w:pPr>
              <w:widowControl w:val="0"/>
              <w:kinsoku/>
              <w:wordWrap w:val="0"/>
              <w:autoSpaceDE/>
              <w:autoSpaceDN/>
              <w:adjustRightInd/>
              <w:snapToGrid/>
              <w:spacing w:line="440" w:lineRule="exact"/>
              <w:textAlignment w:val="auto"/>
              <w:rPr>
                <w:rFonts w:ascii="宋体" w:hAnsi="宋体"/>
                <w:bCs/>
                <w:color w:val="auto"/>
                <w:highlight w:val="none"/>
                <w:lang w:eastAsia="zh-CN"/>
              </w:rPr>
            </w:pPr>
            <w:r>
              <w:rPr>
                <w:rFonts w:hint="eastAsia" w:ascii="宋体" w:hAnsi="宋体"/>
                <w:bCs/>
                <w:color w:val="auto"/>
                <w:highlight w:val="none"/>
                <w:lang w:eastAsia="zh-CN"/>
              </w:rPr>
              <w:t xml:space="preserve">（2）中标人在运营管理期间，必须严格按设备操作规程、安全操作规程进行操作，保证入场人员人身和财产安全，杜绝安全生产事故的发生。 </w:t>
            </w:r>
          </w:p>
          <w:p w14:paraId="1AE04E77">
            <w:pPr>
              <w:widowControl w:val="0"/>
              <w:kinsoku/>
              <w:wordWrap w:val="0"/>
              <w:autoSpaceDE/>
              <w:autoSpaceDN/>
              <w:adjustRightInd/>
              <w:snapToGrid/>
              <w:spacing w:line="440" w:lineRule="exact"/>
              <w:textAlignment w:val="auto"/>
              <w:rPr>
                <w:rFonts w:ascii="宋体" w:hAnsi="宋体"/>
                <w:bCs/>
                <w:color w:val="auto"/>
                <w:highlight w:val="none"/>
                <w:lang w:eastAsia="zh-CN"/>
              </w:rPr>
            </w:pPr>
            <w:r>
              <w:rPr>
                <w:rFonts w:hint="eastAsia" w:ascii="宋体" w:hAnsi="宋体"/>
                <w:bCs/>
                <w:color w:val="auto"/>
                <w:highlight w:val="none"/>
                <w:lang w:eastAsia="zh-CN"/>
              </w:rPr>
              <w:t xml:space="preserve">（3）崇左市江州区左州镇、那隆镇污水处理厂的各项设备的运行记录、维修记录、交接班记录表等必须由中标人详实纪录并妥善保存，当合同期满后，完整移交给采购人。 </w:t>
            </w:r>
          </w:p>
          <w:p w14:paraId="37EC90F5">
            <w:pPr>
              <w:widowControl w:val="0"/>
              <w:kinsoku/>
              <w:wordWrap w:val="0"/>
              <w:autoSpaceDE/>
              <w:autoSpaceDN/>
              <w:adjustRightInd/>
              <w:snapToGrid/>
              <w:spacing w:line="440" w:lineRule="exact"/>
              <w:textAlignment w:val="auto"/>
              <w:rPr>
                <w:rFonts w:ascii="宋体" w:hAnsi="宋体"/>
                <w:bCs/>
                <w:color w:val="auto"/>
                <w:highlight w:val="none"/>
                <w:lang w:eastAsia="zh-CN"/>
              </w:rPr>
            </w:pPr>
            <w:r>
              <w:rPr>
                <w:rFonts w:hint="eastAsia" w:ascii="宋体" w:hAnsi="宋体"/>
                <w:bCs/>
                <w:color w:val="auto"/>
                <w:highlight w:val="none"/>
                <w:lang w:eastAsia="zh-CN"/>
              </w:rPr>
              <w:t>（4）完成甲方临时安排的其他紧急或特殊事项，及协助负责处理污水管网存在问题等。</w:t>
            </w:r>
          </w:p>
          <w:p w14:paraId="5E6B399B">
            <w:pPr>
              <w:widowControl w:val="0"/>
              <w:kinsoku/>
              <w:wordWrap w:val="0"/>
              <w:autoSpaceDE/>
              <w:autoSpaceDN/>
              <w:adjustRightInd/>
              <w:snapToGrid/>
              <w:spacing w:line="440" w:lineRule="exact"/>
              <w:textAlignment w:val="auto"/>
              <w:rPr>
                <w:rFonts w:ascii="宋体" w:hAnsi="宋体" w:eastAsia="宋体"/>
                <w:bCs/>
                <w:color w:val="auto"/>
                <w:highlight w:val="none"/>
                <w:lang w:eastAsia="zh-CN"/>
              </w:rPr>
            </w:pPr>
            <w:r>
              <w:rPr>
                <w:rFonts w:hint="eastAsia" w:ascii="宋体" w:hAnsi="宋体"/>
                <w:bCs/>
                <w:color w:val="auto"/>
                <w:highlight w:val="none"/>
                <w:lang w:eastAsia="zh-CN"/>
              </w:rPr>
              <w:t>（5）中标人的工作人员必须服从采购人的管理人员检查和监督、考核，不得出现偷排等违法行为。</w:t>
            </w:r>
          </w:p>
        </w:tc>
      </w:tr>
      <w:tr w14:paraId="2642DE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53" w:type="dxa"/>
            <w:gridSpan w:val="2"/>
            <w:tcBorders>
              <w:top w:val="single" w:color="auto" w:sz="4" w:space="0"/>
              <w:left w:val="single" w:color="auto" w:sz="4" w:space="0"/>
              <w:bottom w:val="single" w:color="auto" w:sz="4" w:space="0"/>
              <w:right w:val="single" w:color="auto" w:sz="4" w:space="0"/>
            </w:tcBorders>
            <w:vAlign w:val="center"/>
          </w:tcPr>
          <w:p w14:paraId="0BB499B0">
            <w:pPr>
              <w:widowControl w:val="0"/>
              <w:kinsoku/>
              <w:wordWrap w:val="0"/>
              <w:autoSpaceDE/>
              <w:autoSpaceDN/>
              <w:adjustRightInd/>
              <w:snapToGrid/>
              <w:spacing w:line="440" w:lineRule="exact"/>
              <w:jc w:val="center"/>
              <w:textAlignment w:val="auto"/>
              <w:rPr>
                <w:rFonts w:ascii="宋体" w:hAnsi="宋体" w:eastAsia="宋体"/>
                <w:b/>
                <w:bCs/>
                <w:color w:val="auto"/>
                <w:highlight w:val="none"/>
                <w:lang w:eastAsia="zh-CN"/>
              </w:rPr>
            </w:pPr>
            <w:r>
              <w:rPr>
                <w:rFonts w:hint="eastAsia" w:ascii="宋体" w:hAnsi="宋体"/>
                <w:b/>
                <w:bCs/>
                <w:color w:val="auto"/>
                <w:highlight w:val="none"/>
                <w:lang w:eastAsia="zh-CN"/>
              </w:rPr>
              <w:t>报价要求</w:t>
            </w:r>
          </w:p>
        </w:tc>
        <w:tc>
          <w:tcPr>
            <w:tcW w:w="8582" w:type="dxa"/>
            <w:gridSpan w:val="4"/>
            <w:tcBorders>
              <w:top w:val="single" w:color="auto" w:sz="4" w:space="0"/>
              <w:left w:val="single" w:color="auto" w:sz="4" w:space="0"/>
              <w:bottom w:val="single" w:color="auto" w:sz="4" w:space="0"/>
              <w:right w:val="single" w:color="auto" w:sz="4" w:space="0"/>
            </w:tcBorders>
            <w:vAlign w:val="center"/>
          </w:tcPr>
          <w:p w14:paraId="0A1F36ED">
            <w:pPr>
              <w:widowControl w:val="0"/>
              <w:kinsoku/>
              <w:wordWrap w:val="0"/>
              <w:autoSpaceDE/>
              <w:autoSpaceDN/>
              <w:adjustRightInd/>
              <w:snapToGrid/>
              <w:spacing w:line="440" w:lineRule="exact"/>
              <w:ind w:firstLine="420" w:firstLineChars="200"/>
              <w:textAlignment w:val="auto"/>
              <w:rPr>
                <w:rFonts w:ascii="宋体" w:hAnsi="宋体"/>
                <w:bCs/>
                <w:color w:val="auto"/>
                <w:highlight w:val="none"/>
              </w:rPr>
            </w:pPr>
          </w:p>
        </w:tc>
      </w:tr>
      <w:tr w14:paraId="2709E4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53" w:type="dxa"/>
            <w:gridSpan w:val="2"/>
            <w:tcBorders>
              <w:top w:val="single" w:color="auto" w:sz="4" w:space="0"/>
              <w:left w:val="single" w:color="auto" w:sz="4" w:space="0"/>
              <w:bottom w:val="single" w:color="auto" w:sz="4" w:space="0"/>
              <w:right w:val="single" w:color="auto" w:sz="4" w:space="0"/>
            </w:tcBorders>
            <w:vAlign w:val="center"/>
          </w:tcPr>
          <w:p w14:paraId="6979F7DB">
            <w:pPr>
              <w:widowControl w:val="0"/>
              <w:kinsoku/>
              <w:wordWrap w:val="0"/>
              <w:autoSpaceDE/>
              <w:autoSpaceDN/>
              <w:adjustRightInd/>
              <w:snapToGrid/>
              <w:spacing w:line="440" w:lineRule="exact"/>
              <w:jc w:val="center"/>
              <w:textAlignment w:val="auto"/>
              <w:rPr>
                <w:rFonts w:ascii="宋体" w:hAnsi="宋体" w:eastAsia="宋体"/>
                <w:b/>
                <w:bCs/>
                <w:color w:val="auto"/>
                <w:highlight w:val="none"/>
                <w:lang w:eastAsia="zh-CN"/>
              </w:rPr>
            </w:pPr>
            <w:r>
              <w:rPr>
                <w:rFonts w:hint="eastAsia" w:ascii="宋体" w:hAnsi="宋体"/>
                <w:b/>
                <w:bCs/>
                <w:color w:val="auto"/>
                <w:highlight w:val="none"/>
                <w:lang w:eastAsia="zh-CN"/>
              </w:rPr>
              <w:t>质量要求</w:t>
            </w:r>
          </w:p>
        </w:tc>
        <w:tc>
          <w:tcPr>
            <w:tcW w:w="8582" w:type="dxa"/>
            <w:gridSpan w:val="4"/>
            <w:tcBorders>
              <w:top w:val="single" w:color="auto" w:sz="4" w:space="0"/>
              <w:left w:val="single" w:color="auto" w:sz="4" w:space="0"/>
              <w:bottom w:val="single" w:color="auto" w:sz="4" w:space="0"/>
              <w:right w:val="single" w:color="auto" w:sz="4" w:space="0"/>
            </w:tcBorders>
            <w:vAlign w:val="center"/>
          </w:tcPr>
          <w:p w14:paraId="7A4BCF2F">
            <w:pPr>
              <w:widowControl w:val="0"/>
              <w:kinsoku/>
              <w:wordWrap w:val="0"/>
              <w:autoSpaceDE/>
              <w:autoSpaceDN/>
              <w:adjustRightInd/>
              <w:snapToGrid/>
              <w:spacing w:line="440" w:lineRule="exact"/>
              <w:ind w:firstLine="420" w:firstLineChars="200"/>
              <w:textAlignment w:val="auto"/>
              <w:rPr>
                <w:rFonts w:ascii="宋体" w:hAnsi="宋体"/>
                <w:b/>
                <w:color w:val="auto"/>
                <w:highlight w:val="none"/>
                <w:lang w:eastAsia="zh-CN"/>
              </w:rPr>
            </w:pPr>
            <w:r>
              <w:rPr>
                <w:rFonts w:hint="eastAsia" w:ascii="宋体" w:hAnsi="宋体"/>
                <w:bCs/>
                <w:color w:val="auto"/>
                <w:highlight w:val="none"/>
                <w:lang w:eastAsia="zh-CN"/>
              </w:rPr>
              <w:t>达到国家现行的相关标准、符合招标文件和合同约定。</w:t>
            </w:r>
          </w:p>
        </w:tc>
      </w:tr>
    </w:tbl>
    <w:p w14:paraId="3DE9E8F2">
      <w:pPr>
        <w:widowControl w:val="0"/>
        <w:kinsoku/>
        <w:autoSpaceDE/>
        <w:autoSpaceDN/>
        <w:adjustRightInd/>
        <w:snapToGrid/>
        <w:spacing w:line="400" w:lineRule="exact"/>
        <w:textAlignment w:val="auto"/>
        <w:rPr>
          <w:rFonts w:ascii="宋体" w:hAnsi="宋体" w:eastAsia="宋体" w:cs="宋体"/>
          <w:b/>
          <w:bCs/>
          <w:color w:val="auto"/>
          <w:highlight w:val="none"/>
          <w:lang w:eastAsia="zh-CN"/>
        </w:rPr>
      </w:pPr>
    </w:p>
    <w:p w14:paraId="11ACA8EB">
      <w:pPr>
        <w:widowControl w:val="0"/>
        <w:kinsoku/>
        <w:autoSpaceDE/>
        <w:autoSpaceDN/>
        <w:adjustRightInd/>
        <w:snapToGrid/>
        <w:spacing w:line="400" w:lineRule="exact"/>
        <w:textAlignment w:val="auto"/>
        <w:outlineLvl w:val="1"/>
        <w:rPr>
          <w:rFonts w:ascii="宋体" w:hAnsi="宋体" w:eastAsia="宋体" w:cs="宋体"/>
          <w:b/>
          <w:bCs/>
          <w:color w:val="auto"/>
          <w:highlight w:val="none"/>
          <w:lang w:eastAsia="zh-CN"/>
        </w:rPr>
      </w:pPr>
      <w:bookmarkStart w:id="49" w:name="_Toc21131"/>
      <w:bookmarkStart w:id="50" w:name="_Toc6420"/>
      <w:r>
        <w:rPr>
          <w:rFonts w:hint="eastAsia" w:ascii="宋体" w:hAnsi="宋体" w:eastAsia="宋体" w:cs="宋体"/>
          <w:b/>
          <w:bCs/>
          <w:color w:val="auto"/>
          <w:highlight w:val="none"/>
          <w:lang w:eastAsia="zh-CN"/>
        </w:rPr>
        <w:t>三、与实现项目目标相关的其他要求</w:t>
      </w:r>
      <w:bookmarkEnd w:id="49"/>
      <w:bookmarkEnd w:id="50"/>
    </w:p>
    <w:tbl>
      <w:tblPr>
        <w:tblStyle w:val="24"/>
        <w:tblW w:w="961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15"/>
        <w:gridCol w:w="7496"/>
      </w:tblGrid>
      <w:tr w14:paraId="7B9038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2"/>
            <w:tcBorders>
              <w:top w:val="single" w:color="auto" w:sz="4" w:space="0"/>
              <w:left w:val="single" w:color="auto" w:sz="4" w:space="0"/>
              <w:bottom w:val="single" w:color="auto" w:sz="4" w:space="0"/>
              <w:right w:val="single" w:color="auto" w:sz="4" w:space="0"/>
            </w:tcBorders>
            <w:vAlign w:val="center"/>
          </w:tcPr>
          <w:p w14:paraId="23C2C11D">
            <w:pPr>
              <w:widowControl w:val="0"/>
              <w:kinsoku/>
              <w:autoSpaceDE/>
              <w:autoSpaceDN/>
              <w:adjustRightInd/>
              <w:snapToGrid/>
              <w:spacing w:line="400" w:lineRule="exact"/>
              <w:textAlignment w:val="auto"/>
              <w:rPr>
                <w:rFonts w:ascii="宋体" w:hAnsi="宋体" w:eastAsia="宋体" w:cs="宋体"/>
                <w:b/>
                <w:color w:val="auto"/>
                <w:highlight w:val="none"/>
                <w:lang w:eastAsia="zh-CN"/>
              </w:rPr>
            </w:pPr>
            <w:r>
              <w:rPr>
                <w:rFonts w:hint="eastAsia" w:ascii="宋体" w:hAnsi="宋体" w:eastAsia="宋体" w:cs="宋体"/>
                <w:b/>
                <w:color w:val="auto"/>
                <w:highlight w:val="none"/>
                <w:lang w:eastAsia="zh-CN"/>
              </w:rPr>
              <w:t>（一）投标人的履约能力要求</w:t>
            </w:r>
          </w:p>
        </w:tc>
      </w:tr>
      <w:tr w14:paraId="34BDB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15" w:type="dxa"/>
            <w:tcBorders>
              <w:top w:val="single" w:color="auto" w:sz="4" w:space="0"/>
              <w:left w:val="single" w:color="auto" w:sz="4" w:space="0"/>
              <w:bottom w:val="single" w:color="auto" w:sz="4" w:space="0"/>
              <w:right w:val="single" w:color="auto" w:sz="4" w:space="0"/>
            </w:tcBorders>
            <w:vAlign w:val="center"/>
          </w:tcPr>
          <w:p w14:paraId="6644F4FD">
            <w:pPr>
              <w:widowControl w:val="0"/>
              <w:kinsoku/>
              <w:autoSpaceDE/>
              <w:autoSpaceDN/>
              <w:adjustRightInd/>
              <w:snapToGrid/>
              <w:spacing w:line="400" w:lineRule="exact"/>
              <w:textAlignment w:val="auto"/>
              <w:rPr>
                <w:rFonts w:ascii="宋体" w:hAnsi="宋体" w:eastAsia="宋体" w:cs="宋体"/>
                <w:b/>
                <w:color w:val="auto"/>
                <w:highlight w:val="none"/>
              </w:rPr>
            </w:pPr>
            <w:r>
              <w:rPr>
                <w:rFonts w:hint="eastAsia" w:ascii="宋体" w:hAnsi="宋体" w:eastAsia="宋体" w:cs="宋体"/>
                <w:color w:val="auto"/>
                <w:highlight w:val="none"/>
              </w:rPr>
              <w:t>能力或业绩要求</w:t>
            </w:r>
          </w:p>
        </w:tc>
        <w:tc>
          <w:tcPr>
            <w:tcW w:w="7496" w:type="dxa"/>
            <w:tcBorders>
              <w:top w:val="single" w:color="auto" w:sz="4" w:space="0"/>
              <w:left w:val="single" w:color="auto" w:sz="4" w:space="0"/>
              <w:bottom w:val="single" w:color="auto" w:sz="4" w:space="0"/>
              <w:right w:val="single" w:color="auto" w:sz="4" w:space="0"/>
            </w:tcBorders>
            <w:vAlign w:val="center"/>
          </w:tcPr>
          <w:p w14:paraId="73DDCDE8">
            <w:pPr>
              <w:widowControl w:val="0"/>
              <w:kinsoku/>
              <w:autoSpaceDE/>
              <w:autoSpaceDN/>
              <w:adjustRightInd/>
              <w:snapToGrid/>
              <w:spacing w:line="400" w:lineRule="exact"/>
              <w:textAlignment w:val="auto"/>
              <w:rPr>
                <w:rFonts w:ascii="宋体" w:hAnsi="宋体" w:eastAsia="宋体" w:cs="宋体"/>
                <w:b/>
                <w:color w:val="auto"/>
                <w:highlight w:val="none"/>
                <w:lang w:eastAsia="zh-CN"/>
              </w:rPr>
            </w:pPr>
            <w:r>
              <w:rPr>
                <w:rFonts w:hint="eastAsia" w:ascii="宋体" w:hAnsi="宋体" w:eastAsia="宋体" w:cs="宋体"/>
                <w:color w:val="auto"/>
                <w:highlight w:val="none"/>
                <w:lang w:eastAsia="zh-CN"/>
              </w:rPr>
              <w:t>详见《第四章  评标方法及评标标准》</w:t>
            </w:r>
          </w:p>
        </w:tc>
      </w:tr>
      <w:tr w14:paraId="44726B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2"/>
            <w:tcBorders>
              <w:top w:val="single" w:color="auto" w:sz="4" w:space="0"/>
              <w:left w:val="single" w:color="auto" w:sz="4" w:space="0"/>
              <w:bottom w:val="single" w:color="auto" w:sz="4" w:space="0"/>
              <w:right w:val="single" w:color="auto" w:sz="4" w:space="0"/>
            </w:tcBorders>
            <w:vAlign w:val="center"/>
          </w:tcPr>
          <w:p w14:paraId="3E247FE6">
            <w:pPr>
              <w:widowControl w:val="0"/>
              <w:tabs>
                <w:tab w:val="left" w:pos="180"/>
                <w:tab w:val="left" w:pos="1620"/>
              </w:tabs>
              <w:kinsoku/>
              <w:autoSpaceDE/>
              <w:autoSpaceDN/>
              <w:adjustRightInd/>
              <w:snapToGrid/>
              <w:spacing w:line="400" w:lineRule="exact"/>
              <w:textAlignment w:val="auto"/>
              <w:rPr>
                <w:rFonts w:ascii="宋体" w:hAnsi="宋体" w:eastAsia="宋体" w:cs="宋体"/>
                <w:bCs/>
                <w:color w:val="auto"/>
                <w:highlight w:val="none"/>
              </w:rPr>
            </w:pPr>
            <w:r>
              <w:rPr>
                <w:rFonts w:hint="eastAsia" w:ascii="宋体" w:hAnsi="宋体" w:eastAsia="宋体" w:cs="宋体"/>
                <w:b/>
                <w:color w:val="auto"/>
                <w:highlight w:val="none"/>
              </w:rPr>
              <w:t>（二）验收标准</w:t>
            </w:r>
          </w:p>
        </w:tc>
      </w:tr>
      <w:tr w14:paraId="1782E3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2"/>
            <w:tcBorders>
              <w:top w:val="single" w:color="auto" w:sz="4" w:space="0"/>
              <w:left w:val="single" w:color="auto" w:sz="4" w:space="0"/>
              <w:bottom w:val="single" w:color="auto" w:sz="4" w:space="0"/>
              <w:right w:val="single" w:color="auto" w:sz="4" w:space="0"/>
            </w:tcBorders>
            <w:vAlign w:val="center"/>
          </w:tcPr>
          <w:p w14:paraId="3ED9CE55">
            <w:pPr>
              <w:widowControl w:val="0"/>
              <w:tabs>
                <w:tab w:val="left" w:pos="180"/>
                <w:tab w:val="left" w:pos="1620"/>
              </w:tabs>
              <w:kinsoku/>
              <w:autoSpaceDE/>
              <w:autoSpaceDN/>
              <w:adjustRightInd/>
              <w:snapToGrid/>
              <w:spacing w:line="400" w:lineRule="exact"/>
              <w:textAlignment w:val="auto"/>
              <w:rPr>
                <w:rFonts w:ascii="宋体" w:hAnsi="宋体" w:eastAsia="宋体" w:cs="宋体"/>
                <w:color w:val="auto"/>
                <w:highlight w:val="none"/>
                <w:lang w:eastAsia="zh-CN"/>
              </w:rPr>
            </w:pPr>
            <w:r>
              <w:rPr>
                <w:rFonts w:hint="eastAsia" w:ascii="宋体" w:hAnsi="宋体" w:eastAsia="宋体" w:cs="宋体"/>
                <w:color w:val="auto"/>
                <w:kern w:val="2"/>
                <w:highlight w:val="none"/>
                <w:lang w:eastAsia="zh-CN"/>
              </w:rPr>
              <w:t>1.</w:t>
            </w:r>
            <w:r>
              <w:rPr>
                <w:rFonts w:hint="eastAsia" w:ascii="宋体" w:hAnsi="宋体" w:eastAsia="宋体" w:cs="宋体"/>
                <w:color w:val="auto"/>
                <w:highlight w:val="none"/>
                <w:lang w:eastAsia="zh-CN"/>
              </w:rPr>
              <w:t>要求履约过程中所有服务行为、软件、成果文件等均不涉及任何法律纠纷。</w:t>
            </w:r>
          </w:p>
          <w:p w14:paraId="43B06936">
            <w:pPr>
              <w:widowControl w:val="0"/>
              <w:tabs>
                <w:tab w:val="left" w:pos="180"/>
                <w:tab w:val="left" w:pos="1620"/>
              </w:tabs>
              <w:kinsoku/>
              <w:autoSpaceDE/>
              <w:autoSpaceDN/>
              <w:adjustRightInd/>
              <w:snapToGrid/>
              <w:spacing w:line="400" w:lineRule="exact"/>
              <w:textAlignment w:val="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2.验收时由采购人或邀请有资质的第三方机构对照采购文件的技术指标全面核对检验，如不符合采购文件的技术需求或提供虚假承诺的，采购人有权拒绝验收，中标人承担所有责任和费用，采购人有权解除合同并保留进一步追究责任的权利。</w:t>
            </w:r>
          </w:p>
          <w:p w14:paraId="5153259A">
            <w:pPr>
              <w:widowControl w:val="0"/>
              <w:tabs>
                <w:tab w:val="left" w:pos="180"/>
                <w:tab w:val="left" w:pos="1620"/>
              </w:tabs>
              <w:kinsoku/>
              <w:autoSpaceDE/>
              <w:autoSpaceDN/>
              <w:adjustRightInd/>
              <w:snapToGrid/>
              <w:spacing w:line="400" w:lineRule="exact"/>
              <w:textAlignment w:val="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3.本项目须严格执行国家、地方及行业相关验收标准及规范。</w:t>
            </w:r>
          </w:p>
          <w:p w14:paraId="5154A39D">
            <w:pPr>
              <w:widowControl w:val="0"/>
              <w:tabs>
                <w:tab w:val="left" w:pos="180"/>
                <w:tab w:val="left" w:pos="1620"/>
              </w:tabs>
              <w:kinsoku/>
              <w:autoSpaceDE/>
              <w:autoSpaceDN/>
              <w:adjustRightInd/>
              <w:snapToGrid/>
              <w:spacing w:line="400" w:lineRule="exact"/>
              <w:textAlignment w:val="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4.验收过程中所产生的一切费用均由中标人承担，报价时应考虑相关费用。</w:t>
            </w:r>
          </w:p>
        </w:tc>
      </w:tr>
      <w:tr w14:paraId="13E01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611" w:type="dxa"/>
            <w:gridSpan w:val="2"/>
            <w:tcBorders>
              <w:top w:val="single" w:color="auto" w:sz="4" w:space="0"/>
              <w:left w:val="single" w:color="auto" w:sz="4" w:space="0"/>
              <w:bottom w:val="single" w:color="auto" w:sz="4" w:space="0"/>
              <w:right w:val="single" w:color="auto" w:sz="4" w:space="0"/>
            </w:tcBorders>
            <w:vAlign w:val="center"/>
          </w:tcPr>
          <w:p w14:paraId="1A88BF69">
            <w:pPr>
              <w:widowControl w:val="0"/>
              <w:kinsoku/>
              <w:autoSpaceDE/>
              <w:autoSpaceDN/>
              <w:adjustRightInd/>
              <w:snapToGrid/>
              <w:spacing w:line="400" w:lineRule="exact"/>
              <w:textAlignment w:val="auto"/>
              <w:rPr>
                <w:rFonts w:ascii="宋体" w:hAnsi="宋体" w:eastAsia="宋体" w:cs="宋体"/>
                <w:color w:val="auto"/>
                <w:highlight w:val="none"/>
              </w:rPr>
            </w:pPr>
            <w:r>
              <w:rPr>
                <w:rFonts w:hint="eastAsia" w:ascii="宋体" w:hAnsi="宋体" w:eastAsia="宋体" w:cs="宋体"/>
                <w:b/>
                <w:color w:val="auto"/>
                <w:highlight w:val="none"/>
              </w:rPr>
              <w:t>（三）其他要求</w:t>
            </w:r>
          </w:p>
        </w:tc>
      </w:tr>
      <w:tr w14:paraId="2826DE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15" w:type="dxa"/>
            <w:tcBorders>
              <w:top w:val="single" w:color="auto" w:sz="4" w:space="0"/>
              <w:left w:val="single" w:color="auto" w:sz="4" w:space="0"/>
              <w:bottom w:val="single" w:color="auto" w:sz="4" w:space="0"/>
              <w:right w:val="single" w:color="auto" w:sz="4" w:space="0"/>
            </w:tcBorders>
            <w:vAlign w:val="center"/>
          </w:tcPr>
          <w:p w14:paraId="061C4CEE">
            <w:pPr>
              <w:widowControl w:val="0"/>
              <w:kinsoku/>
              <w:autoSpaceDE/>
              <w:autoSpaceDN/>
              <w:adjustRightInd/>
              <w:snapToGrid/>
              <w:spacing w:line="400" w:lineRule="exact"/>
              <w:jc w:val="center"/>
              <w:textAlignment w:val="auto"/>
              <w:rPr>
                <w:rFonts w:ascii="宋体" w:hAnsi="宋体" w:eastAsia="宋体" w:cs="宋体"/>
                <w:color w:val="auto"/>
                <w:highlight w:val="none"/>
              </w:rPr>
            </w:pPr>
            <w:r>
              <w:rPr>
                <w:rFonts w:hint="eastAsia" w:ascii="宋体" w:hAnsi="宋体" w:eastAsia="宋体" w:cs="宋体"/>
                <w:color w:val="auto"/>
                <w:highlight w:val="none"/>
              </w:rPr>
              <w:t>供应商注册要求</w:t>
            </w:r>
          </w:p>
        </w:tc>
        <w:tc>
          <w:tcPr>
            <w:tcW w:w="7496" w:type="dxa"/>
            <w:tcBorders>
              <w:top w:val="single" w:color="auto" w:sz="4" w:space="0"/>
              <w:left w:val="single" w:color="auto" w:sz="4" w:space="0"/>
              <w:bottom w:val="single" w:color="auto" w:sz="4" w:space="0"/>
              <w:right w:val="single" w:color="auto" w:sz="4" w:space="0"/>
            </w:tcBorders>
            <w:vAlign w:val="center"/>
          </w:tcPr>
          <w:p w14:paraId="3AC0ECBF">
            <w:pPr>
              <w:widowControl w:val="0"/>
              <w:kinsoku/>
              <w:autoSpaceDE/>
              <w:autoSpaceDN/>
              <w:adjustRightInd/>
              <w:snapToGrid/>
              <w:spacing w:line="400" w:lineRule="exact"/>
              <w:ind w:firstLine="420" w:firstLineChars="200"/>
              <w:textAlignment w:val="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为配合采购人政府采购项目执行和备案，未在广西政府采购云平台注册的供应商可在获取招标文件后登录广西政府采购云平台进行注册，如在操作过程中遇到问题或者需要技术支持，请致电客服热线：95763。</w:t>
            </w:r>
          </w:p>
        </w:tc>
      </w:tr>
      <w:tr w14:paraId="3CA90B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115" w:type="dxa"/>
            <w:tcBorders>
              <w:top w:val="single" w:color="auto" w:sz="4" w:space="0"/>
              <w:left w:val="single" w:color="auto" w:sz="4" w:space="0"/>
              <w:bottom w:val="single" w:color="auto" w:sz="4" w:space="0"/>
              <w:right w:val="single" w:color="auto" w:sz="4" w:space="0"/>
            </w:tcBorders>
            <w:vAlign w:val="center"/>
          </w:tcPr>
          <w:p w14:paraId="20D2E186">
            <w:pPr>
              <w:widowControl w:val="0"/>
              <w:tabs>
                <w:tab w:val="left" w:pos="180"/>
                <w:tab w:val="left" w:pos="1620"/>
              </w:tabs>
              <w:kinsoku/>
              <w:autoSpaceDE/>
              <w:autoSpaceDN/>
              <w:adjustRightInd/>
              <w:snapToGrid/>
              <w:spacing w:line="400" w:lineRule="exact"/>
              <w:jc w:val="center"/>
              <w:textAlignment w:val="auto"/>
              <w:rPr>
                <w:rFonts w:ascii="宋体" w:hAnsi="宋体" w:eastAsia="宋体" w:cs="宋体"/>
                <w:bCs/>
                <w:color w:val="auto"/>
                <w:highlight w:val="none"/>
              </w:rPr>
            </w:pPr>
            <w:r>
              <w:rPr>
                <w:rFonts w:hint="eastAsia" w:ascii="宋体" w:hAnsi="宋体" w:eastAsia="宋体" w:cs="宋体"/>
                <w:color w:val="auto"/>
                <w:highlight w:val="none"/>
              </w:rPr>
              <w:t>供应商其他要求</w:t>
            </w:r>
          </w:p>
        </w:tc>
        <w:tc>
          <w:tcPr>
            <w:tcW w:w="7496" w:type="dxa"/>
            <w:tcBorders>
              <w:top w:val="single" w:color="auto" w:sz="4" w:space="0"/>
              <w:left w:val="single" w:color="auto" w:sz="4" w:space="0"/>
              <w:bottom w:val="single" w:color="auto" w:sz="4" w:space="0"/>
              <w:right w:val="single" w:color="auto" w:sz="4" w:space="0"/>
            </w:tcBorders>
            <w:vAlign w:val="center"/>
          </w:tcPr>
          <w:p w14:paraId="1B3ECC1C">
            <w:pPr>
              <w:widowControl w:val="0"/>
              <w:tabs>
                <w:tab w:val="left" w:pos="180"/>
                <w:tab w:val="left" w:pos="1620"/>
              </w:tabs>
              <w:kinsoku/>
              <w:autoSpaceDE/>
              <w:autoSpaceDN/>
              <w:adjustRightInd/>
              <w:snapToGrid/>
              <w:spacing w:line="400" w:lineRule="exact"/>
              <w:ind w:firstLine="420" w:firstLineChars="200"/>
              <w:textAlignment w:val="auto"/>
              <w:rPr>
                <w:rFonts w:ascii="宋体" w:hAnsi="宋体" w:eastAsia="宋体" w:cs="宋体"/>
                <w:color w:val="auto"/>
                <w:highlight w:val="none"/>
                <w:lang w:eastAsia="zh-CN"/>
              </w:rPr>
            </w:pPr>
            <w:r>
              <w:rPr>
                <w:rFonts w:hint="eastAsia" w:ascii="宋体" w:hAnsi="宋体" w:eastAsia="宋体" w:cs="宋体"/>
                <w:color w:val="auto"/>
                <w:highlight w:val="none"/>
                <w:lang w:eastAsia="zh-CN"/>
              </w:rPr>
              <w:t>投标人应根据项目要求，可在投标文件中提供包括但不限于：</w:t>
            </w:r>
          </w:p>
          <w:p w14:paraId="3A1E4EE8">
            <w:pPr>
              <w:widowControl w:val="0"/>
              <w:tabs>
                <w:tab w:val="left" w:pos="180"/>
                <w:tab w:val="left" w:pos="1620"/>
              </w:tabs>
              <w:kinsoku/>
              <w:autoSpaceDE/>
              <w:autoSpaceDN/>
              <w:adjustRightInd/>
              <w:snapToGrid/>
              <w:spacing w:line="400" w:lineRule="exact"/>
              <w:ind w:firstLine="420" w:firstLineChars="200"/>
              <w:textAlignment w:val="auto"/>
              <w:rPr>
                <w:rFonts w:eastAsia="宋体"/>
                <w:color w:val="auto"/>
                <w:highlight w:val="none"/>
                <w:lang w:eastAsia="zh-CN"/>
              </w:rPr>
            </w:pPr>
            <w:r>
              <w:rPr>
                <w:rFonts w:hint="eastAsia" w:ascii="宋体" w:hAnsi="宋体" w:eastAsia="宋体" w:cs="宋体"/>
                <w:color w:val="auto"/>
                <w:highlight w:val="none"/>
                <w:lang w:eastAsia="zh-CN"/>
              </w:rPr>
              <w:t>项目需求理解、项目服务方案、质量控制方案、售后服务、项目人员配置、信誉、业绩等内容。</w:t>
            </w:r>
          </w:p>
        </w:tc>
      </w:tr>
      <w:tr w14:paraId="301B8C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2" w:hRule="atLeast"/>
          <w:jc w:val="center"/>
        </w:trPr>
        <w:tc>
          <w:tcPr>
            <w:tcW w:w="2115" w:type="dxa"/>
            <w:tcBorders>
              <w:top w:val="single" w:color="auto" w:sz="4" w:space="0"/>
              <w:left w:val="single" w:color="auto" w:sz="4" w:space="0"/>
              <w:bottom w:val="single" w:color="auto" w:sz="4" w:space="0"/>
              <w:right w:val="single" w:color="auto" w:sz="4" w:space="0"/>
            </w:tcBorders>
            <w:vAlign w:val="center"/>
          </w:tcPr>
          <w:p w14:paraId="3FFCBDEB">
            <w:pPr>
              <w:widowControl w:val="0"/>
              <w:tabs>
                <w:tab w:val="left" w:pos="180"/>
                <w:tab w:val="left" w:pos="1620"/>
              </w:tabs>
              <w:kinsoku/>
              <w:autoSpaceDE/>
              <w:autoSpaceDN/>
              <w:adjustRightInd/>
              <w:snapToGrid/>
              <w:spacing w:line="400" w:lineRule="exact"/>
              <w:jc w:val="center"/>
              <w:textAlignment w:val="auto"/>
              <w:rPr>
                <w:rFonts w:ascii="宋体" w:hAnsi="宋体" w:eastAsia="宋体" w:cs="宋体"/>
                <w:bCs/>
                <w:color w:val="auto"/>
                <w:highlight w:val="none"/>
              </w:rPr>
            </w:pPr>
            <w:r>
              <w:rPr>
                <w:rFonts w:hint="eastAsia" w:ascii="宋体" w:hAnsi="宋体" w:eastAsia="宋体" w:cs="宋体"/>
                <w:color w:val="auto"/>
                <w:highlight w:val="none"/>
              </w:rPr>
              <w:t>说明</w:t>
            </w:r>
          </w:p>
        </w:tc>
        <w:tc>
          <w:tcPr>
            <w:tcW w:w="7496" w:type="dxa"/>
            <w:tcBorders>
              <w:top w:val="single" w:color="auto" w:sz="4" w:space="0"/>
              <w:left w:val="single" w:color="auto" w:sz="4" w:space="0"/>
              <w:bottom w:val="single" w:color="auto" w:sz="4" w:space="0"/>
              <w:right w:val="single" w:color="auto" w:sz="4" w:space="0"/>
            </w:tcBorders>
            <w:vAlign w:val="center"/>
          </w:tcPr>
          <w:p w14:paraId="0B0C647B">
            <w:pPr>
              <w:widowControl w:val="0"/>
              <w:tabs>
                <w:tab w:val="left" w:pos="180"/>
                <w:tab w:val="left" w:pos="1620"/>
              </w:tabs>
              <w:kinsoku/>
              <w:autoSpaceDE/>
              <w:autoSpaceDN/>
              <w:adjustRightInd/>
              <w:snapToGrid/>
              <w:spacing w:line="400" w:lineRule="exact"/>
              <w:ind w:left="420" w:leftChars="200"/>
              <w:textAlignment w:val="auto"/>
              <w:rPr>
                <w:rFonts w:ascii="宋体" w:hAnsi="宋体" w:eastAsia="宋体" w:cs="宋体"/>
                <w:bCs/>
                <w:color w:val="auto"/>
                <w:highlight w:val="none"/>
                <w:lang w:eastAsia="zh-CN"/>
              </w:rPr>
            </w:pPr>
            <w:r>
              <w:rPr>
                <w:rFonts w:hint="eastAsia" w:ascii="宋体" w:hAnsi="宋体" w:eastAsia="宋体" w:cs="宋体"/>
                <w:bCs/>
                <w:color w:val="auto"/>
                <w:kern w:val="2"/>
                <w:highlight w:val="none"/>
                <w:lang w:eastAsia="zh-CN"/>
              </w:rPr>
              <w:t>1.</w:t>
            </w:r>
            <w:r>
              <w:rPr>
                <w:rFonts w:hint="eastAsia" w:ascii="宋体" w:hAnsi="宋体" w:eastAsia="宋体" w:cs="宋体"/>
                <w:bCs/>
                <w:color w:val="auto"/>
                <w:highlight w:val="none"/>
                <w:lang w:eastAsia="zh-CN"/>
              </w:rPr>
              <w:t>本项目为服务采购，无核心产品。</w:t>
            </w:r>
          </w:p>
          <w:p w14:paraId="2B299BC3">
            <w:pPr>
              <w:widowControl w:val="0"/>
              <w:tabs>
                <w:tab w:val="left" w:pos="180"/>
                <w:tab w:val="left" w:pos="1620"/>
              </w:tabs>
              <w:kinsoku/>
              <w:autoSpaceDE/>
              <w:autoSpaceDN/>
              <w:adjustRightInd/>
              <w:snapToGrid/>
              <w:spacing w:line="400" w:lineRule="exact"/>
              <w:ind w:firstLine="420" w:firstLineChars="200"/>
              <w:textAlignment w:val="auto"/>
              <w:rPr>
                <w:rFonts w:ascii="宋体" w:hAnsi="宋体" w:eastAsia="宋体" w:cs="宋体"/>
                <w:bCs/>
                <w:color w:val="auto"/>
                <w:highlight w:val="none"/>
                <w:lang w:eastAsia="zh-CN"/>
              </w:rPr>
            </w:pPr>
            <w:r>
              <w:rPr>
                <w:rFonts w:hint="eastAsia" w:ascii="宋体" w:hAnsi="宋体" w:eastAsia="宋体" w:cs="宋体"/>
                <w:bCs/>
                <w:color w:val="auto"/>
                <w:kern w:val="2"/>
                <w:highlight w:val="none"/>
                <w:lang w:eastAsia="zh-CN"/>
              </w:rPr>
              <w:t>2.</w:t>
            </w:r>
            <w:r>
              <w:rPr>
                <w:rFonts w:hint="eastAsia" w:ascii="宋体" w:hAnsi="宋体" w:eastAsia="宋体" w:cs="宋体"/>
                <w:bCs/>
                <w:color w:val="auto"/>
                <w:highlight w:val="none"/>
                <w:lang w:eastAsia="zh-CN"/>
              </w:rPr>
              <w:t>服务类项目不涉及货物，不适用《国务院办公厅关于在政府采购中实施本国产品标准及相关政策的通知》要求。</w:t>
            </w:r>
          </w:p>
        </w:tc>
      </w:tr>
    </w:tbl>
    <w:p w14:paraId="253D3B8D">
      <w:pPr>
        <w:pStyle w:val="10"/>
        <w:spacing w:line="460" w:lineRule="exact"/>
        <w:rPr>
          <w:rFonts w:ascii="仿宋" w:hAnsi="仿宋" w:eastAsia="仿宋" w:cs="仿宋"/>
          <w:color w:val="auto"/>
          <w:highlight w:val="none"/>
          <w:lang w:eastAsia="zh-CN"/>
        </w:rPr>
      </w:pPr>
    </w:p>
    <w:p w14:paraId="3B645BBD">
      <w:pPr>
        <w:spacing w:line="460" w:lineRule="exact"/>
        <w:ind w:firstLine="240" w:firstLineChars="200"/>
        <w:rPr>
          <w:rFonts w:ascii="仿宋" w:hAnsi="仿宋" w:eastAsia="仿宋" w:cs="仿宋"/>
          <w:color w:val="auto"/>
          <w:sz w:val="12"/>
          <w:szCs w:val="12"/>
          <w:highlight w:val="none"/>
          <w:lang w:eastAsia="zh-CN"/>
        </w:rPr>
        <w:sectPr>
          <w:footerReference r:id="rId4" w:type="default"/>
          <w:pgSz w:w="11910" w:h="16830"/>
          <w:pgMar w:top="1144" w:right="896" w:bottom="1101" w:left="895" w:header="0" w:footer="957" w:gutter="0"/>
          <w:cols w:space="720" w:num="1"/>
        </w:sectPr>
      </w:pPr>
    </w:p>
    <w:p w14:paraId="0AEBA1D0">
      <w:pPr>
        <w:widowControl w:val="0"/>
        <w:kinsoku/>
        <w:autoSpaceDE/>
        <w:autoSpaceDN/>
        <w:adjustRightInd/>
        <w:snapToGrid/>
        <w:spacing w:line="528" w:lineRule="exact"/>
        <w:textAlignment w:val="auto"/>
        <w:rPr>
          <w:rFonts w:ascii="仿宋" w:hAnsi="仿宋" w:eastAsia="仿宋" w:cs="仿宋"/>
          <w:snapToGrid/>
          <w:color w:val="auto"/>
          <w:kern w:val="2"/>
          <w:szCs w:val="24"/>
          <w:highlight w:val="none"/>
          <w:lang w:eastAsia="zh-CN"/>
        </w:rPr>
      </w:pPr>
      <w:r>
        <w:rPr>
          <w:rFonts w:hint="eastAsia" w:ascii="仿宋" w:hAnsi="仿宋" w:eastAsia="仿宋" w:cs="仿宋"/>
          <w:snapToGrid/>
          <w:color w:val="auto"/>
          <w:kern w:val="2"/>
          <w:sz w:val="32"/>
          <w:szCs w:val="32"/>
          <w:highlight w:val="none"/>
          <w:lang w:eastAsia="zh-CN"/>
        </w:rPr>
        <w:t>附件1</w:t>
      </w:r>
    </w:p>
    <w:p w14:paraId="05F73CF6">
      <w:pPr>
        <w:widowControl w:val="0"/>
        <w:kinsoku/>
        <w:autoSpaceDE/>
        <w:autoSpaceDN/>
        <w:adjustRightInd/>
        <w:snapToGrid/>
        <w:spacing w:line="528" w:lineRule="exact"/>
        <w:jc w:val="center"/>
        <w:textAlignment w:val="auto"/>
        <w:rPr>
          <w:rFonts w:ascii="仿宋" w:hAnsi="仿宋" w:eastAsia="仿宋" w:cs="仿宋"/>
          <w:snapToGrid/>
          <w:color w:val="auto"/>
          <w:kern w:val="2"/>
          <w:sz w:val="40"/>
          <w:szCs w:val="40"/>
          <w:highlight w:val="none"/>
          <w:lang w:eastAsia="zh-CN"/>
        </w:rPr>
      </w:pPr>
      <w:r>
        <w:rPr>
          <w:rFonts w:hint="eastAsia" w:ascii="仿宋" w:hAnsi="仿宋" w:eastAsia="仿宋" w:cs="仿宋"/>
          <w:snapToGrid/>
          <w:color w:val="auto"/>
          <w:kern w:val="2"/>
          <w:sz w:val="40"/>
          <w:szCs w:val="40"/>
          <w:highlight w:val="none"/>
          <w:lang w:eastAsia="zh-CN"/>
        </w:rPr>
        <w:t>节能产品政府采购品目清单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335"/>
      </w:tblGrid>
      <w:tr w14:paraId="54AF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1" w:type="dxa"/>
          </w:tcPr>
          <w:p w14:paraId="1B1EBBB1">
            <w:pPr>
              <w:kinsoku/>
              <w:autoSpaceDE/>
              <w:autoSpaceDN/>
              <w:adjustRightInd/>
              <w:snapToGrid/>
              <w:jc w:val="center"/>
              <w:textAlignment w:val="auto"/>
              <w:rPr>
                <w:rFonts w:ascii="仿宋" w:hAnsi="仿宋" w:eastAsia="仿宋" w:cs="仿宋"/>
                <w:b/>
                <w:bCs/>
                <w:snapToGrid/>
                <w:color w:val="auto"/>
                <w:sz w:val="22"/>
                <w:szCs w:val="22"/>
                <w:highlight w:val="none"/>
                <w:lang w:eastAsia="zh-CN"/>
              </w:rPr>
            </w:pPr>
            <w:r>
              <w:rPr>
                <w:rFonts w:hint="eastAsia" w:ascii="仿宋" w:hAnsi="仿宋" w:eastAsia="仿宋" w:cs="仿宋"/>
                <w:b/>
                <w:bCs/>
                <w:snapToGrid/>
                <w:color w:val="auto"/>
                <w:sz w:val="22"/>
                <w:szCs w:val="22"/>
                <w:highlight w:val="none"/>
                <w:lang w:eastAsia="zh-CN"/>
              </w:rPr>
              <w:t>品目序号</w:t>
            </w:r>
          </w:p>
        </w:tc>
        <w:tc>
          <w:tcPr>
            <w:tcW w:w="4244" w:type="dxa"/>
            <w:gridSpan w:val="3"/>
            <w:vAlign w:val="center"/>
          </w:tcPr>
          <w:p w14:paraId="4C1174A5">
            <w:pPr>
              <w:kinsoku/>
              <w:autoSpaceDE/>
              <w:autoSpaceDN/>
              <w:adjustRightInd/>
              <w:snapToGrid/>
              <w:jc w:val="center"/>
              <w:textAlignment w:val="auto"/>
              <w:rPr>
                <w:rFonts w:ascii="仿宋" w:hAnsi="仿宋" w:eastAsia="仿宋" w:cs="仿宋"/>
                <w:b/>
                <w:bCs/>
                <w:snapToGrid/>
                <w:color w:val="auto"/>
                <w:sz w:val="22"/>
                <w:szCs w:val="22"/>
                <w:highlight w:val="none"/>
                <w:lang w:eastAsia="zh-CN"/>
              </w:rPr>
            </w:pPr>
            <w:r>
              <w:rPr>
                <w:rFonts w:hint="eastAsia" w:ascii="仿宋" w:hAnsi="仿宋" w:eastAsia="仿宋" w:cs="仿宋"/>
                <w:b/>
                <w:bCs/>
                <w:snapToGrid/>
                <w:color w:val="auto"/>
                <w:sz w:val="22"/>
                <w:szCs w:val="22"/>
                <w:highlight w:val="none"/>
                <w:lang w:eastAsia="zh-CN"/>
              </w:rPr>
              <w:t>名称</w:t>
            </w:r>
          </w:p>
        </w:tc>
        <w:tc>
          <w:tcPr>
            <w:tcW w:w="4335" w:type="dxa"/>
            <w:vAlign w:val="center"/>
          </w:tcPr>
          <w:p w14:paraId="4B18A02F">
            <w:pPr>
              <w:kinsoku/>
              <w:autoSpaceDE/>
              <w:autoSpaceDN/>
              <w:adjustRightInd/>
              <w:snapToGrid/>
              <w:jc w:val="center"/>
              <w:textAlignment w:val="auto"/>
              <w:rPr>
                <w:rFonts w:ascii="仿宋" w:hAnsi="仿宋" w:eastAsia="仿宋" w:cs="仿宋"/>
                <w:b/>
                <w:bCs/>
                <w:snapToGrid/>
                <w:color w:val="auto"/>
                <w:sz w:val="22"/>
                <w:szCs w:val="22"/>
                <w:highlight w:val="none"/>
                <w:lang w:eastAsia="zh-CN"/>
              </w:rPr>
            </w:pPr>
            <w:r>
              <w:rPr>
                <w:rFonts w:hint="eastAsia" w:ascii="仿宋" w:hAnsi="仿宋" w:eastAsia="仿宋" w:cs="仿宋"/>
                <w:b/>
                <w:bCs/>
                <w:snapToGrid/>
                <w:color w:val="auto"/>
                <w:sz w:val="22"/>
                <w:szCs w:val="22"/>
                <w:highlight w:val="none"/>
                <w:lang w:eastAsia="zh-CN"/>
              </w:rPr>
              <w:t>依据的标准</w:t>
            </w:r>
          </w:p>
        </w:tc>
      </w:tr>
      <w:tr w14:paraId="6870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3D07A4D9">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1</w:t>
            </w:r>
          </w:p>
        </w:tc>
        <w:tc>
          <w:tcPr>
            <w:tcW w:w="1116" w:type="dxa"/>
            <w:vMerge w:val="restart"/>
            <w:vAlign w:val="center"/>
          </w:tcPr>
          <w:p w14:paraId="5ECE06C5">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A020101计算机设备</w:t>
            </w:r>
          </w:p>
        </w:tc>
        <w:tc>
          <w:tcPr>
            <w:tcW w:w="1516" w:type="dxa"/>
            <w:vAlign w:val="center"/>
          </w:tcPr>
          <w:p w14:paraId="0CD5DF19">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★A02010104台式计算机</w:t>
            </w:r>
          </w:p>
        </w:tc>
        <w:tc>
          <w:tcPr>
            <w:tcW w:w="1612" w:type="dxa"/>
            <w:vAlign w:val="center"/>
          </w:tcPr>
          <w:p w14:paraId="36381D83">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43F1B6A0">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《微型计算机能效限定值及能效等级》（GB28380）</w:t>
            </w:r>
          </w:p>
        </w:tc>
      </w:tr>
      <w:tr w14:paraId="0F1C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1468E765">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337772C1">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7C4C64B4">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★A02010105便携式计算机</w:t>
            </w:r>
          </w:p>
        </w:tc>
        <w:tc>
          <w:tcPr>
            <w:tcW w:w="1612" w:type="dxa"/>
            <w:vAlign w:val="center"/>
          </w:tcPr>
          <w:p w14:paraId="2FB998DA">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2F262A2E">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《微型计算机能效限定值及能效等级》（GB28380）</w:t>
            </w:r>
          </w:p>
        </w:tc>
      </w:tr>
      <w:tr w14:paraId="7533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24B4AAF8">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552BE418">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55D26F0F">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★A02010107平板式微型计算机</w:t>
            </w:r>
          </w:p>
        </w:tc>
        <w:tc>
          <w:tcPr>
            <w:tcW w:w="1612" w:type="dxa"/>
            <w:vAlign w:val="center"/>
          </w:tcPr>
          <w:p w14:paraId="2F232E6E">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451FC4CA">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《微型计算机能效限定值及能效等级》（GB28380）</w:t>
            </w:r>
          </w:p>
        </w:tc>
      </w:tr>
      <w:tr w14:paraId="4209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3755331C">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2</w:t>
            </w:r>
          </w:p>
        </w:tc>
        <w:tc>
          <w:tcPr>
            <w:tcW w:w="1116" w:type="dxa"/>
            <w:vMerge w:val="restart"/>
            <w:vAlign w:val="center"/>
          </w:tcPr>
          <w:p w14:paraId="574385CB">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A020106输入输出设备</w:t>
            </w:r>
          </w:p>
        </w:tc>
        <w:tc>
          <w:tcPr>
            <w:tcW w:w="1516" w:type="dxa"/>
            <w:vMerge w:val="restart"/>
            <w:vAlign w:val="center"/>
          </w:tcPr>
          <w:p w14:paraId="7DD00966">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A02010601打印设备</w:t>
            </w:r>
          </w:p>
        </w:tc>
        <w:tc>
          <w:tcPr>
            <w:tcW w:w="1612" w:type="dxa"/>
            <w:vAlign w:val="center"/>
          </w:tcPr>
          <w:p w14:paraId="0B04D966">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A0201060101喷墨打印机</w:t>
            </w:r>
          </w:p>
        </w:tc>
        <w:tc>
          <w:tcPr>
            <w:tcW w:w="4335" w:type="dxa"/>
            <w:vAlign w:val="center"/>
          </w:tcPr>
          <w:p w14:paraId="5A9A3529">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《复印机、打印机和传真机能效限定值及能效等级》（GB21521）</w:t>
            </w:r>
          </w:p>
        </w:tc>
      </w:tr>
      <w:tr w14:paraId="618C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081F29E1">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58B96E5F">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continue"/>
            <w:vAlign w:val="center"/>
          </w:tcPr>
          <w:p w14:paraId="16B84D7F">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612" w:type="dxa"/>
            <w:vAlign w:val="center"/>
          </w:tcPr>
          <w:p w14:paraId="3AA4E792">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★A0201060102激光打印机</w:t>
            </w:r>
          </w:p>
        </w:tc>
        <w:tc>
          <w:tcPr>
            <w:tcW w:w="4335" w:type="dxa"/>
            <w:vAlign w:val="center"/>
          </w:tcPr>
          <w:p w14:paraId="278FB06A">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《复印机、打印机和传真机能效限定值及能效等级》（GB21521）</w:t>
            </w:r>
          </w:p>
        </w:tc>
      </w:tr>
      <w:tr w14:paraId="6AC5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3C67A06F">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2AFF0DE5">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continue"/>
            <w:vAlign w:val="center"/>
          </w:tcPr>
          <w:p w14:paraId="05037844">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612" w:type="dxa"/>
            <w:vAlign w:val="center"/>
          </w:tcPr>
          <w:p w14:paraId="1670D3DB">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★A0201060104针式打印机</w:t>
            </w:r>
          </w:p>
        </w:tc>
        <w:tc>
          <w:tcPr>
            <w:tcW w:w="4335" w:type="dxa"/>
            <w:vAlign w:val="center"/>
          </w:tcPr>
          <w:p w14:paraId="60FE841E">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《复印机、打印机和传真机能效限定值及能效等级》（GB21521）</w:t>
            </w:r>
          </w:p>
        </w:tc>
      </w:tr>
      <w:tr w14:paraId="3927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03B8A3F1">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5E585EB9">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3FC33EAF">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A02010604显示设备</w:t>
            </w:r>
          </w:p>
        </w:tc>
        <w:tc>
          <w:tcPr>
            <w:tcW w:w="1612" w:type="dxa"/>
            <w:vAlign w:val="center"/>
          </w:tcPr>
          <w:p w14:paraId="223354A1">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★A0201060401液晶显示器</w:t>
            </w:r>
          </w:p>
        </w:tc>
        <w:tc>
          <w:tcPr>
            <w:tcW w:w="4335" w:type="dxa"/>
            <w:vAlign w:val="center"/>
          </w:tcPr>
          <w:p w14:paraId="3C2F3337">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《计算机显示器能效限定值及能效等级》（GB21520）</w:t>
            </w:r>
          </w:p>
        </w:tc>
      </w:tr>
      <w:tr w14:paraId="2B19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14:paraId="7717E652">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00F5A37D">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09437FAC">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A02010609图形图像输入设备</w:t>
            </w:r>
          </w:p>
        </w:tc>
        <w:tc>
          <w:tcPr>
            <w:tcW w:w="1612" w:type="dxa"/>
            <w:vAlign w:val="center"/>
          </w:tcPr>
          <w:p w14:paraId="04FCE5F9">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A0201060901扫描仪</w:t>
            </w:r>
          </w:p>
        </w:tc>
        <w:tc>
          <w:tcPr>
            <w:tcW w:w="4335" w:type="dxa"/>
            <w:vAlign w:val="center"/>
          </w:tcPr>
          <w:p w14:paraId="19D292CD">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参照《复印机、打印机和传真机能效限定值及能效等级》（GB21521）中打印速度为15页/分的针式打印机相关要求</w:t>
            </w:r>
          </w:p>
        </w:tc>
      </w:tr>
      <w:tr w14:paraId="53BE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485CCB0A">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3</w:t>
            </w:r>
          </w:p>
        </w:tc>
        <w:tc>
          <w:tcPr>
            <w:tcW w:w="1116" w:type="dxa"/>
            <w:vAlign w:val="center"/>
          </w:tcPr>
          <w:p w14:paraId="49D52849">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A020202投影仪</w:t>
            </w:r>
          </w:p>
        </w:tc>
        <w:tc>
          <w:tcPr>
            <w:tcW w:w="1516" w:type="dxa"/>
            <w:vAlign w:val="center"/>
          </w:tcPr>
          <w:p w14:paraId="34CB9E50">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1612" w:type="dxa"/>
            <w:vAlign w:val="center"/>
          </w:tcPr>
          <w:p w14:paraId="39D21576">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50164705">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《投影机能效限定值及能效等级》（GB32028）</w:t>
            </w:r>
          </w:p>
        </w:tc>
      </w:tr>
      <w:tr w14:paraId="0477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6A16E090">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4</w:t>
            </w:r>
          </w:p>
        </w:tc>
        <w:tc>
          <w:tcPr>
            <w:tcW w:w="1116" w:type="dxa"/>
            <w:vAlign w:val="center"/>
          </w:tcPr>
          <w:p w14:paraId="781164DA">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A020204多功能一体机</w:t>
            </w:r>
          </w:p>
        </w:tc>
        <w:tc>
          <w:tcPr>
            <w:tcW w:w="1516" w:type="dxa"/>
            <w:vAlign w:val="center"/>
          </w:tcPr>
          <w:p w14:paraId="46BEFA92">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1612" w:type="dxa"/>
            <w:vAlign w:val="center"/>
          </w:tcPr>
          <w:p w14:paraId="6DA8F705">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3608CA2B">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《复印机、打印机和传真机能效限定值及能效等级》（GB21521）</w:t>
            </w:r>
          </w:p>
        </w:tc>
      </w:tr>
      <w:tr w14:paraId="50AD6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3EA8D9BF">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5</w:t>
            </w:r>
          </w:p>
        </w:tc>
        <w:tc>
          <w:tcPr>
            <w:tcW w:w="1116" w:type="dxa"/>
            <w:vAlign w:val="center"/>
          </w:tcPr>
          <w:p w14:paraId="751A8D26">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A020519泵</w:t>
            </w:r>
          </w:p>
        </w:tc>
        <w:tc>
          <w:tcPr>
            <w:tcW w:w="1516" w:type="dxa"/>
            <w:vAlign w:val="center"/>
          </w:tcPr>
          <w:p w14:paraId="5C1E6839">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A02051901离心泵</w:t>
            </w:r>
          </w:p>
        </w:tc>
        <w:tc>
          <w:tcPr>
            <w:tcW w:w="1612" w:type="dxa"/>
            <w:vAlign w:val="center"/>
          </w:tcPr>
          <w:p w14:paraId="04C9027B">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114B3F1A">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《清水离心泵能效限定值及节能评价值》（GB19762）</w:t>
            </w:r>
          </w:p>
        </w:tc>
      </w:tr>
      <w:tr w14:paraId="1C7E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restart"/>
            <w:vAlign w:val="center"/>
          </w:tcPr>
          <w:p w14:paraId="4B3DFB83">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6</w:t>
            </w:r>
          </w:p>
        </w:tc>
        <w:tc>
          <w:tcPr>
            <w:tcW w:w="1116" w:type="dxa"/>
            <w:vMerge w:val="restart"/>
            <w:vAlign w:val="center"/>
          </w:tcPr>
          <w:p w14:paraId="43F71F87">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A020523制冷空调设备</w:t>
            </w:r>
          </w:p>
        </w:tc>
        <w:tc>
          <w:tcPr>
            <w:tcW w:w="1516" w:type="dxa"/>
            <w:vMerge w:val="restart"/>
            <w:vAlign w:val="center"/>
          </w:tcPr>
          <w:p w14:paraId="36C90E37">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★A02052301制冷压缩机</w:t>
            </w:r>
          </w:p>
        </w:tc>
        <w:tc>
          <w:tcPr>
            <w:tcW w:w="1612" w:type="dxa"/>
            <w:vAlign w:val="center"/>
          </w:tcPr>
          <w:p w14:paraId="3ECE9819">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冷水机组</w:t>
            </w:r>
          </w:p>
        </w:tc>
        <w:tc>
          <w:tcPr>
            <w:tcW w:w="4335" w:type="dxa"/>
            <w:vAlign w:val="center"/>
          </w:tcPr>
          <w:p w14:paraId="611A5643">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《冷水机组能效限定值及能效等级》（GB19577），《低环境温度空气源热泵（冷水）机组能效限定值及能效等级》（GB37480）</w:t>
            </w:r>
          </w:p>
        </w:tc>
      </w:tr>
      <w:tr w14:paraId="2C6E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5964CDCE">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27141C24">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continue"/>
            <w:vAlign w:val="center"/>
          </w:tcPr>
          <w:p w14:paraId="5E14E92E">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612" w:type="dxa"/>
            <w:vAlign w:val="center"/>
          </w:tcPr>
          <w:p w14:paraId="1C2737F0">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水源热泵机组</w:t>
            </w:r>
          </w:p>
        </w:tc>
        <w:tc>
          <w:tcPr>
            <w:tcW w:w="4335" w:type="dxa"/>
            <w:vAlign w:val="center"/>
          </w:tcPr>
          <w:p w14:paraId="34DEEC9B">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《水（地）源热泵机组能效限定值及能效等级》（GB30721）</w:t>
            </w:r>
          </w:p>
        </w:tc>
      </w:tr>
      <w:tr w14:paraId="0C18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2D7A1510">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21A2537A">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continue"/>
            <w:vAlign w:val="center"/>
          </w:tcPr>
          <w:p w14:paraId="63FC7075">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612" w:type="dxa"/>
            <w:vAlign w:val="center"/>
          </w:tcPr>
          <w:p w14:paraId="397D8511">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溴化锂吸收式冷水机组</w:t>
            </w:r>
          </w:p>
        </w:tc>
        <w:tc>
          <w:tcPr>
            <w:tcW w:w="4335" w:type="dxa"/>
            <w:vAlign w:val="center"/>
          </w:tcPr>
          <w:p w14:paraId="2707AC4D">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《溴化锂吸收式冷水机组能效限定值及能效等级》（GB29540）</w:t>
            </w:r>
          </w:p>
        </w:tc>
      </w:tr>
      <w:tr w14:paraId="3FFD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1A2A6D0A">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265498E9">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restart"/>
            <w:vAlign w:val="center"/>
          </w:tcPr>
          <w:p w14:paraId="1994EBD3">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★A02052305空调机组</w:t>
            </w:r>
          </w:p>
        </w:tc>
        <w:tc>
          <w:tcPr>
            <w:tcW w:w="1612" w:type="dxa"/>
            <w:vAlign w:val="center"/>
          </w:tcPr>
          <w:p w14:paraId="3895BAAE">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多联式空调（热泵）机组(制冷量&gt;14000W)</w:t>
            </w:r>
          </w:p>
        </w:tc>
        <w:tc>
          <w:tcPr>
            <w:tcW w:w="4335" w:type="dxa"/>
            <w:vAlign w:val="center"/>
          </w:tcPr>
          <w:p w14:paraId="7F337F39">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《多联式空调（热泵）机组能效限定值及能源效率等级》（GB21454）</w:t>
            </w:r>
          </w:p>
        </w:tc>
      </w:tr>
      <w:tr w14:paraId="6732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120D7D5E">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48D0403C">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continue"/>
            <w:vAlign w:val="center"/>
          </w:tcPr>
          <w:p w14:paraId="4EEE3FED">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612" w:type="dxa"/>
            <w:vAlign w:val="center"/>
          </w:tcPr>
          <w:p w14:paraId="6C5D7560">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单元式空气调节机(制冷量&gt;14000W</w:t>
            </w:r>
          </w:p>
        </w:tc>
        <w:tc>
          <w:tcPr>
            <w:tcW w:w="4335" w:type="dxa"/>
            <w:vAlign w:val="center"/>
          </w:tcPr>
          <w:p w14:paraId="7172B469">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《单元式空气调节机能效限定值及能效等级》（GB19576）《风管送风式空调机组能效限定值及能效等级》（GB37479）</w:t>
            </w:r>
          </w:p>
        </w:tc>
      </w:tr>
      <w:tr w14:paraId="56FD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244F9D48">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3FF89608">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78F8A5F4">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★A02052309专用制冷、空调设备</w:t>
            </w:r>
          </w:p>
        </w:tc>
        <w:tc>
          <w:tcPr>
            <w:tcW w:w="1612" w:type="dxa"/>
            <w:vAlign w:val="center"/>
          </w:tcPr>
          <w:p w14:paraId="537B1A2E">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机房空调</w:t>
            </w:r>
          </w:p>
        </w:tc>
        <w:tc>
          <w:tcPr>
            <w:tcW w:w="4335" w:type="dxa"/>
            <w:vAlign w:val="center"/>
          </w:tcPr>
          <w:p w14:paraId="71CADC19">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《单元式空气调节机能效限定值及能效等级》（GB19576）</w:t>
            </w:r>
          </w:p>
        </w:tc>
      </w:tr>
      <w:tr w14:paraId="7E67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3CD03594">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5433B73F">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56F87147">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A02052399其他制冷空调设备</w:t>
            </w:r>
          </w:p>
        </w:tc>
        <w:tc>
          <w:tcPr>
            <w:tcW w:w="1612" w:type="dxa"/>
            <w:vAlign w:val="center"/>
          </w:tcPr>
          <w:p w14:paraId="6553B97F">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冷却塔</w:t>
            </w:r>
          </w:p>
        </w:tc>
        <w:tc>
          <w:tcPr>
            <w:tcW w:w="4335" w:type="dxa"/>
            <w:vAlign w:val="center"/>
          </w:tcPr>
          <w:p w14:paraId="3541FE5C">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《机械通风冷却塔第1部分：中小型开式冷却塔》（GB/T7190.1）；《机械通风冷却塔第2部分：大型开式冷却塔》（GB/T7190.2）</w:t>
            </w:r>
          </w:p>
        </w:tc>
      </w:tr>
      <w:tr w14:paraId="521C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40242FEB">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7</w:t>
            </w:r>
          </w:p>
        </w:tc>
        <w:tc>
          <w:tcPr>
            <w:tcW w:w="1116" w:type="dxa"/>
            <w:vAlign w:val="center"/>
          </w:tcPr>
          <w:p w14:paraId="0C39CFBC">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A020601电机</w:t>
            </w:r>
          </w:p>
        </w:tc>
        <w:tc>
          <w:tcPr>
            <w:tcW w:w="1516" w:type="dxa"/>
            <w:vAlign w:val="center"/>
          </w:tcPr>
          <w:p w14:paraId="0CC138F6">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1612" w:type="dxa"/>
            <w:vAlign w:val="center"/>
          </w:tcPr>
          <w:p w14:paraId="71152C57">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29C32304">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《中小型三相异步电动机能效限定值及能效等级》（GB18613）</w:t>
            </w:r>
          </w:p>
        </w:tc>
      </w:tr>
      <w:tr w14:paraId="2D88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340B96FE">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8</w:t>
            </w:r>
          </w:p>
        </w:tc>
        <w:tc>
          <w:tcPr>
            <w:tcW w:w="1116" w:type="dxa"/>
            <w:vAlign w:val="center"/>
          </w:tcPr>
          <w:p w14:paraId="0ADFE13A">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A020602变压器</w:t>
            </w:r>
          </w:p>
        </w:tc>
        <w:tc>
          <w:tcPr>
            <w:tcW w:w="1516" w:type="dxa"/>
            <w:vAlign w:val="center"/>
          </w:tcPr>
          <w:p w14:paraId="4475EAC6">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配电变压器</w:t>
            </w:r>
          </w:p>
        </w:tc>
        <w:tc>
          <w:tcPr>
            <w:tcW w:w="1612" w:type="dxa"/>
            <w:vAlign w:val="center"/>
          </w:tcPr>
          <w:p w14:paraId="17993A17">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47993DA4">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《三相配电变压器能效限定值及能效等级》（GB20052）</w:t>
            </w:r>
          </w:p>
        </w:tc>
      </w:tr>
      <w:tr w14:paraId="2A9A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57EC3F93">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9</w:t>
            </w:r>
          </w:p>
        </w:tc>
        <w:tc>
          <w:tcPr>
            <w:tcW w:w="1116" w:type="dxa"/>
            <w:vAlign w:val="center"/>
          </w:tcPr>
          <w:p w14:paraId="4A9A4EF3">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★A020609镇流器</w:t>
            </w:r>
          </w:p>
        </w:tc>
        <w:tc>
          <w:tcPr>
            <w:tcW w:w="1516" w:type="dxa"/>
            <w:vAlign w:val="center"/>
          </w:tcPr>
          <w:p w14:paraId="18D89C30">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管型荧光灯镇流器</w:t>
            </w:r>
          </w:p>
        </w:tc>
        <w:tc>
          <w:tcPr>
            <w:tcW w:w="1612" w:type="dxa"/>
            <w:vAlign w:val="center"/>
          </w:tcPr>
          <w:p w14:paraId="4964157E">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22AA8D2C">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《管形荧光灯镇流器能效限定值及能效等级》（GB17896）</w:t>
            </w:r>
          </w:p>
        </w:tc>
      </w:tr>
      <w:tr w14:paraId="2B64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5BB1DD8F">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10</w:t>
            </w:r>
          </w:p>
        </w:tc>
        <w:tc>
          <w:tcPr>
            <w:tcW w:w="1116" w:type="dxa"/>
            <w:vMerge w:val="restart"/>
            <w:vAlign w:val="center"/>
          </w:tcPr>
          <w:p w14:paraId="7F96872D">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A020618生活用电器</w:t>
            </w:r>
          </w:p>
        </w:tc>
        <w:tc>
          <w:tcPr>
            <w:tcW w:w="1516" w:type="dxa"/>
            <w:vAlign w:val="center"/>
          </w:tcPr>
          <w:p w14:paraId="575090A0">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A0206180101电冰箱</w:t>
            </w:r>
          </w:p>
        </w:tc>
        <w:tc>
          <w:tcPr>
            <w:tcW w:w="1612" w:type="dxa"/>
            <w:vAlign w:val="center"/>
          </w:tcPr>
          <w:p w14:paraId="7350560A">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6F6DA8B2">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《家用电冰箱耗电量限定值及能效等级》（GB 12021.2）</w:t>
            </w:r>
          </w:p>
        </w:tc>
      </w:tr>
      <w:tr w14:paraId="2015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vAlign w:val="center"/>
          </w:tcPr>
          <w:p w14:paraId="245C57BA">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265BB269">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restart"/>
            <w:vAlign w:val="center"/>
          </w:tcPr>
          <w:p w14:paraId="535EA54B">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★A0206180203空调机</w:t>
            </w:r>
          </w:p>
        </w:tc>
        <w:tc>
          <w:tcPr>
            <w:tcW w:w="1612" w:type="dxa"/>
            <w:vAlign w:val="center"/>
          </w:tcPr>
          <w:p w14:paraId="4D3C6BDD">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房间空气调节器</w:t>
            </w:r>
          </w:p>
        </w:tc>
        <w:tc>
          <w:tcPr>
            <w:tcW w:w="4335" w:type="dxa"/>
            <w:vAlign w:val="center"/>
          </w:tcPr>
          <w:p w14:paraId="41621BED">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《转速可控型房间空气调节器能效限定值及能效等级》（GB21455-2013），待2019年修订发布后，按《房间空气调节器能效限定值及能效等级》（GB21455-2019实施。</w:t>
            </w:r>
          </w:p>
        </w:tc>
      </w:tr>
      <w:tr w14:paraId="0830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150BA782">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2FC87498">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continue"/>
            <w:vAlign w:val="center"/>
          </w:tcPr>
          <w:p w14:paraId="06AEBF50">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612" w:type="dxa"/>
            <w:vAlign w:val="center"/>
          </w:tcPr>
          <w:p w14:paraId="7893FAD3">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多联式空调（热泵）机组（制冷量≤ 14000W）</w:t>
            </w:r>
          </w:p>
        </w:tc>
        <w:tc>
          <w:tcPr>
            <w:tcW w:w="4335" w:type="dxa"/>
            <w:vAlign w:val="center"/>
          </w:tcPr>
          <w:p w14:paraId="1E25D6B2">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《多联式空调（热泵）机组能效限定值及能源效率等级》（GB21454）</w:t>
            </w:r>
          </w:p>
        </w:tc>
      </w:tr>
      <w:tr w14:paraId="4303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17DF6864">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5F3EF578">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continue"/>
            <w:vAlign w:val="center"/>
          </w:tcPr>
          <w:p w14:paraId="013FD977">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612" w:type="dxa"/>
            <w:vAlign w:val="center"/>
          </w:tcPr>
          <w:p w14:paraId="3FA2F7EC">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单元式空气调节机(制冷量≤14000W)</w:t>
            </w:r>
          </w:p>
        </w:tc>
        <w:tc>
          <w:tcPr>
            <w:tcW w:w="4335" w:type="dxa"/>
            <w:vAlign w:val="center"/>
          </w:tcPr>
          <w:p w14:paraId="752F5E21">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《单元式空气调节机能效限定值及能源效率等级》（GB19576）《风管送风式空调机组能效限定值及能效等级》（GB37479）</w:t>
            </w:r>
          </w:p>
        </w:tc>
      </w:tr>
      <w:tr w14:paraId="5A55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116E9366">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3B87F3CC">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1245BC54">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A0206180301洗衣机</w:t>
            </w:r>
          </w:p>
        </w:tc>
        <w:tc>
          <w:tcPr>
            <w:tcW w:w="1612" w:type="dxa"/>
            <w:vAlign w:val="center"/>
          </w:tcPr>
          <w:p w14:paraId="55106235">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162F8DB7">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《电动洗衣机能效水效限定值及等级》（GB12021.4）</w:t>
            </w:r>
          </w:p>
        </w:tc>
      </w:tr>
      <w:tr w14:paraId="3C7E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478193F2">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67054A6A">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restart"/>
            <w:vAlign w:val="center"/>
          </w:tcPr>
          <w:p w14:paraId="24FA20CD">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A02061808热水器</w:t>
            </w:r>
          </w:p>
        </w:tc>
        <w:tc>
          <w:tcPr>
            <w:tcW w:w="1612" w:type="dxa"/>
            <w:vAlign w:val="center"/>
          </w:tcPr>
          <w:p w14:paraId="596B43EB">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★电热水器</w:t>
            </w:r>
          </w:p>
        </w:tc>
        <w:tc>
          <w:tcPr>
            <w:tcW w:w="4335" w:type="dxa"/>
            <w:vAlign w:val="center"/>
          </w:tcPr>
          <w:p w14:paraId="7ADDD0B7">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《储水式电热水器能效限定值及能效等级》（GB21519）</w:t>
            </w:r>
          </w:p>
        </w:tc>
      </w:tr>
      <w:tr w14:paraId="062D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2CC17624">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24FDA7EB">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continue"/>
            <w:vAlign w:val="center"/>
          </w:tcPr>
          <w:p w14:paraId="22D898C2">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612" w:type="dxa"/>
            <w:vAlign w:val="center"/>
          </w:tcPr>
          <w:p w14:paraId="5F287CB4">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燃气热水器</w:t>
            </w:r>
          </w:p>
        </w:tc>
        <w:tc>
          <w:tcPr>
            <w:tcW w:w="4335" w:type="dxa"/>
            <w:vAlign w:val="center"/>
          </w:tcPr>
          <w:p w14:paraId="30E4DFAE">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《家用燃气快速热水器和燃气采暖热水炉能效限定值及能效等级》（GB20665）</w:t>
            </w:r>
          </w:p>
        </w:tc>
      </w:tr>
      <w:tr w14:paraId="4215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13B07955">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64F50530">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continue"/>
            <w:vAlign w:val="center"/>
          </w:tcPr>
          <w:p w14:paraId="6BFF6E16">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612" w:type="dxa"/>
            <w:vAlign w:val="center"/>
          </w:tcPr>
          <w:p w14:paraId="038850A8">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热泵热水器</w:t>
            </w:r>
          </w:p>
        </w:tc>
        <w:tc>
          <w:tcPr>
            <w:tcW w:w="4335" w:type="dxa"/>
            <w:vAlign w:val="center"/>
          </w:tcPr>
          <w:p w14:paraId="2FCB6FF8">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《热泵热水机（器）能效限定值及能效等级》（GB29541）</w:t>
            </w:r>
          </w:p>
        </w:tc>
      </w:tr>
      <w:tr w14:paraId="2BCF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71250831">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39D96495">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Merge w:val="continue"/>
            <w:vAlign w:val="center"/>
          </w:tcPr>
          <w:p w14:paraId="1D9184F7">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612" w:type="dxa"/>
            <w:vAlign w:val="center"/>
          </w:tcPr>
          <w:p w14:paraId="6A8A8551">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太阳能热水系统</w:t>
            </w:r>
          </w:p>
        </w:tc>
        <w:tc>
          <w:tcPr>
            <w:tcW w:w="4335" w:type="dxa"/>
            <w:vAlign w:val="center"/>
          </w:tcPr>
          <w:p w14:paraId="5DA3637D">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《家用太阳能热水系统能效限定值及能效等级》（GB26969）</w:t>
            </w:r>
          </w:p>
        </w:tc>
      </w:tr>
      <w:tr w14:paraId="12A3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vAlign w:val="center"/>
          </w:tcPr>
          <w:p w14:paraId="50E8853F">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11</w:t>
            </w:r>
          </w:p>
        </w:tc>
        <w:tc>
          <w:tcPr>
            <w:tcW w:w="1116" w:type="dxa"/>
            <w:vMerge w:val="restart"/>
            <w:vAlign w:val="center"/>
          </w:tcPr>
          <w:p w14:paraId="58A55A55">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A020619照明设备</w:t>
            </w:r>
          </w:p>
        </w:tc>
        <w:tc>
          <w:tcPr>
            <w:tcW w:w="1516" w:type="dxa"/>
            <w:vAlign w:val="center"/>
          </w:tcPr>
          <w:p w14:paraId="642A95A3">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★普通照明用双端荧光灯</w:t>
            </w:r>
          </w:p>
        </w:tc>
        <w:tc>
          <w:tcPr>
            <w:tcW w:w="1612" w:type="dxa"/>
            <w:vAlign w:val="center"/>
          </w:tcPr>
          <w:p w14:paraId="5ECFB90F">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0D1C60CC">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《普通照明用双端荧光灯能效限定值及能效等级》（GB19043）</w:t>
            </w:r>
          </w:p>
        </w:tc>
      </w:tr>
      <w:tr w14:paraId="06C8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784DBE47">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1BD2CADB">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55CF2254">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LED道路/隧道照明产品</w:t>
            </w:r>
          </w:p>
        </w:tc>
        <w:tc>
          <w:tcPr>
            <w:tcW w:w="1612" w:type="dxa"/>
            <w:vAlign w:val="center"/>
          </w:tcPr>
          <w:p w14:paraId="46F3D190">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379D4CB2">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《道路和隧道照明用LED灯具能效限定值及能效等级》（GB37478）</w:t>
            </w:r>
          </w:p>
        </w:tc>
      </w:tr>
      <w:tr w14:paraId="4ADA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28592A17">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00ACAD3D">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319A5323">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LED筒灯</w:t>
            </w:r>
          </w:p>
        </w:tc>
        <w:tc>
          <w:tcPr>
            <w:tcW w:w="1612" w:type="dxa"/>
            <w:vAlign w:val="center"/>
          </w:tcPr>
          <w:p w14:paraId="3342A34C">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1CA1836F">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《室内照明用LED产品能效限定值及能效等级》（GB30255）</w:t>
            </w:r>
          </w:p>
        </w:tc>
      </w:tr>
      <w:tr w14:paraId="496A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vAlign w:val="center"/>
          </w:tcPr>
          <w:p w14:paraId="6FFC59FB">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7CC5FE6F">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746E46F0">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普通照明用非定向自镇流LED灯</w:t>
            </w:r>
          </w:p>
        </w:tc>
        <w:tc>
          <w:tcPr>
            <w:tcW w:w="1612" w:type="dxa"/>
            <w:vAlign w:val="center"/>
          </w:tcPr>
          <w:p w14:paraId="3C0B6CB2">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146A599E">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《室内照明用LED产品能效限定值及能效等级》（GB30255）</w:t>
            </w:r>
          </w:p>
        </w:tc>
      </w:tr>
      <w:tr w14:paraId="1209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Align w:val="center"/>
          </w:tcPr>
          <w:p w14:paraId="7B0C1FAC">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12</w:t>
            </w:r>
          </w:p>
        </w:tc>
        <w:tc>
          <w:tcPr>
            <w:tcW w:w="1116" w:type="dxa"/>
            <w:vAlign w:val="center"/>
          </w:tcPr>
          <w:p w14:paraId="1A573684">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★A020910电视设备</w:t>
            </w:r>
          </w:p>
        </w:tc>
        <w:tc>
          <w:tcPr>
            <w:tcW w:w="1516" w:type="dxa"/>
            <w:vAlign w:val="center"/>
          </w:tcPr>
          <w:p w14:paraId="527D53EA">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A02091001普通电视设备（电视机）</w:t>
            </w:r>
          </w:p>
        </w:tc>
        <w:tc>
          <w:tcPr>
            <w:tcW w:w="1612" w:type="dxa"/>
            <w:vAlign w:val="center"/>
          </w:tcPr>
          <w:p w14:paraId="20747E45">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3ECBAE15">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《平板电视能效限定值及能效等级》（GB24850）</w:t>
            </w:r>
          </w:p>
        </w:tc>
      </w:tr>
      <w:tr w14:paraId="3B6F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Align w:val="center"/>
          </w:tcPr>
          <w:p w14:paraId="2C2526F0">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13</w:t>
            </w:r>
          </w:p>
        </w:tc>
        <w:tc>
          <w:tcPr>
            <w:tcW w:w="1116" w:type="dxa"/>
            <w:vAlign w:val="center"/>
          </w:tcPr>
          <w:p w14:paraId="03B03D2D">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★A020911视频设备</w:t>
            </w:r>
          </w:p>
        </w:tc>
        <w:tc>
          <w:tcPr>
            <w:tcW w:w="1516" w:type="dxa"/>
            <w:vAlign w:val="center"/>
          </w:tcPr>
          <w:p w14:paraId="05C84E6F">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A02091107视频监控设备</w:t>
            </w:r>
          </w:p>
        </w:tc>
        <w:tc>
          <w:tcPr>
            <w:tcW w:w="1612" w:type="dxa"/>
            <w:vAlign w:val="center"/>
          </w:tcPr>
          <w:p w14:paraId="200590E1">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监视器</w:t>
            </w:r>
          </w:p>
        </w:tc>
        <w:tc>
          <w:tcPr>
            <w:tcW w:w="4335" w:type="dxa"/>
            <w:vAlign w:val="center"/>
          </w:tcPr>
          <w:p w14:paraId="1A0B4678">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1EF1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2ABDF4E1">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14</w:t>
            </w:r>
          </w:p>
        </w:tc>
        <w:tc>
          <w:tcPr>
            <w:tcW w:w="1116" w:type="dxa"/>
            <w:vAlign w:val="center"/>
          </w:tcPr>
          <w:p w14:paraId="4AC02498">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A031210饮食炊事机械</w:t>
            </w:r>
          </w:p>
        </w:tc>
        <w:tc>
          <w:tcPr>
            <w:tcW w:w="1516" w:type="dxa"/>
            <w:vAlign w:val="center"/>
          </w:tcPr>
          <w:p w14:paraId="7C0DA672">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商用燃气灶具</w:t>
            </w:r>
          </w:p>
        </w:tc>
        <w:tc>
          <w:tcPr>
            <w:tcW w:w="1612" w:type="dxa"/>
            <w:vAlign w:val="center"/>
          </w:tcPr>
          <w:p w14:paraId="2A4D2B8A">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5E0F131C">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《商用燃气灶具能效限定值及能效等级》（GB30531）</w:t>
            </w:r>
          </w:p>
        </w:tc>
      </w:tr>
      <w:tr w14:paraId="4677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41" w:type="dxa"/>
            <w:vMerge w:val="restart"/>
            <w:vAlign w:val="center"/>
          </w:tcPr>
          <w:p w14:paraId="5D45CFE7">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15</w:t>
            </w:r>
          </w:p>
        </w:tc>
        <w:tc>
          <w:tcPr>
            <w:tcW w:w="1116" w:type="dxa"/>
            <w:vMerge w:val="restart"/>
            <w:vAlign w:val="center"/>
          </w:tcPr>
          <w:p w14:paraId="424B70EE">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★A060805便器</w:t>
            </w:r>
          </w:p>
        </w:tc>
        <w:tc>
          <w:tcPr>
            <w:tcW w:w="1516" w:type="dxa"/>
            <w:vAlign w:val="center"/>
          </w:tcPr>
          <w:p w14:paraId="5F8A7E02">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坐便器</w:t>
            </w:r>
          </w:p>
        </w:tc>
        <w:tc>
          <w:tcPr>
            <w:tcW w:w="1612" w:type="dxa"/>
            <w:vAlign w:val="center"/>
          </w:tcPr>
          <w:p w14:paraId="1886C366">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0C3E5AA5">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《坐便器水效限定值及水效等级》（GB25502）</w:t>
            </w:r>
          </w:p>
        </w:tc>
      </w:tr>
      <w:tr w14:paraId="68A0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4C380CBD">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3F0A3885">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46B4B2F8">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蹲便器</w:t>
            </w:r>
          </w:p>
        </w:tc>
        <w:tc>
          <w:tcPr>
            <w:tcW w:w="1612" w:type="dxa"/>
            <w:vAlign w:val="center"/>
          </w:tcPr>
          <w:p w14:paraId="6ABDFAF2">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5369C731">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《蹲便器用水效率限定值及用水效率等级》（GB30717）</w:t>
            </w:r>
          </w:p>
        </w:tc>
      </w:tr>
      <w:tr w14:paraId="3B0A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vAlign w:val="center"/>
          </w:tcPr>
          <w:p w14:paraId="0FB6AE9C">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116" w:type="dxa"/>
            <w:vMerge w:val="continue"/>
            <w:vAlign w:val="center"/>
          </w:tcPr>
          <w:p w14:paraId="7E58B713">
            <w:pPr>
              <w:kinsoku/>
              <w:autoSpaceDE/>
              <w:autoSpaceDN/>
              <w:adjustRightInd/>
              <w:snapToGrid/>
              <w:textAlignment w:val="auto"/>
              <w:rPr>
                <w:rFonts w:ascii="仿宋" w:hAnsi="仿宋" w:eastAsia="仿宋" w:cs="仿宋"/>
                <w:snapToGrid/>
                <w:color w:val="auto"/>
                <w:sz w:val="20"/>
                <w:szCs w:val="20"/>
                <w:highlight w:val="none"/>
                <w:lang w:eastAsia="zh-CN"/>
              </w:rPr>
            </w:pPr>
          </w:p>
        </w:tc>
        <w:tc>
          <w:tcPr>
            <w:tcW w:w="1516" w:type="dxa"/>
            <w:vAlign w:val="center"/>
          </w:tcPr>
          <w:p w14:paraId="023EF036">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小便器</w:t>
            </w:r>
          </w:p>
        </w:tc>
        <w:tc>
          <w:tcPr>
            <w:tcW w:w="1612" w:type="dxa"/>
            <w:vAlign w:val="center"/>
          </w:tcPr>
          <w:p w14:paraId="72419595">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03C9485F">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《小便器用水效率限定值及用水效率等级》（GB28377）</w:t>
            </w:r>
          </w:p>
        </w:tc>
      </w:tr>
      <w:tr w14:paraId="2F44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70079852">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16</w:t>
            </w:r>
          </w:p>
        </w:tc>
        <w:tc>
          <w:tcPr>
            <w:tcW w:w="1116" w:type="dxa"/>
            <w:vAlign w:val="center"/>
          </w:tcPr>
          <w:p w14:paraId="2052723E">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★A060806水嘴</w:t>
            </w:r>
          </w:p>
        </w:tc>
        <w:tc>
          <w:tcPr>
            <w:tcW w:w="1516" w:type="dxa"/>
            <w:vAlign w:val="center"/>
          </w:tcPr>
          <w:p w14:paraId="4D1B39C7">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1612" w:type="dxa"/>
            <w:vAlign w:val="center"/>
          </w:tcPr>
          <w:p w14:paraId="01F560EC">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01A39BC7">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《水嘴用水效率限定值及用水效率等级》（GB 25501）</w:t>
            </w:r>
          </w:p>
        </w:tc>
      </w:tr>
      <w:tr w14:paraId="6283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349D1F62">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17</w:t>
            </w:r>
          </w:p>
        </w:tc>
        <w:tc>
          <w:tcPr>
            <w:tcW w:w="1116" w:type="dxa"/>
            <w:vAlign w:val="center"/>
          </w:tcPr>
          <w:p w14:paraId="294CAB9C">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A060807便器冲洗阀</w:t>
            </w:r>
          </w:p>
        </w:tc>
        <w:tc>
          <w:tcPr>
            <w:tcW w:w="1516" w:type="dxa"/>
            <w:vAlign w:val="center"/>
          </w:tcPr>
          <w:p w14:paraId="1AADD837">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1612" w:type="dxa"/>
            <w:vAlign w:val="center"/>
          </w:tcPr>
          <w:p w14:paraId="32D53961">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1606F5E2">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《便器冲洗阀用水效率限定值及用水效率等级》（GB28379）</w:t>
            </w:r>
          </w:p>
        </w:tc>
      </w:tr>
      <w:tr w14:paraId="02B1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Align w:val="center"/>
          </w:tcPr>
          <w:p w14:paraId="1A2E1BD2">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18</w:t>
            </w:r>
          </w:p>
        </w:tc>
        <w:tc>
          <w:tcPr>
            <w:tcW w:w="1116" w:type="dxa"/>
            <w:vAlign w:val="center"/>
          </w:tcPr>
          <w:p w14:paraId="563CCDF9">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A060810淋浴器</w:t>
            </w:r>
          </w:p>
        </w:tc>
        <w:tc>
          <w:tcPr>
            <w:tcW w:w="1516" w:type="dxa"/>
            <w:vAlign w:val="center"/>
          </w:tcPr>
          <w:p w14:paraId="29C0EA49">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1612" w:type="dxa"/>
            <w:vAlign w:val="center"/>
          </w:tcPr>
          <w:p w14:paraId="257DB386">
            <w:pPr>
              <w:kinsoku/>
              <w:autoSpaceDE/>
              <w:autoSpaceDN/>
              <w:adjustRightInd/>
              <w:snapToGrid/>
              <w:jc w:val="center"/>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　</w:t>
            </w:r>
          </w:p>
        </w:tc>
        <w:tc>
          <w:tcPr>
            <w:tcW w:w="4335" w:type="dxa"/>
            <w:vAlign w:val="center"/>
          </w:tcPr>
          <w:p w14:paraId="6D866624">
            <w:pPr>
              <w:kinsoku/>
              <w:autoSpaceDE/>
              <w:autoSpaceDN/>
              <w:adjustRightInd/>
              <w:snapToGrid/>
              <w:textAlignment w:val="auto"/>
              <w:rPr>
                <w:rFonts w:ascii="仿宋" w:hAnsi="仿宋" w:eastAsia="仿宋" w:cs="仿宋"/>
                <w:snapToGrid/>
                <w:color w:val="auto"/>
                <w:sz w:val="20"/>
                <w:szCs w:val="20"/>
                <w:highlight w:val="none"/>
                <w:lang w:eastAsia="zh-CN"/>
              </w:rPr>
            </w:pPr>
            <w:r>
              <w:rPr>
                <w:rFonts w:hint="eastAsia" w:ascii="仿宋" w:hAnsi="仿宋" w:eastAsia="仿宋" w:cs="仿宋"/>
                <w:snapToGrid/>
                <w:color w:val="auto"/>
                <w:sz w:val="20"/>
                <w:szCs w:val="20"/>
                <w:highlight w:val="none"/>
                <w:lang w:eastAsia="zh-CN"/>
              </w:rPr>
              <w:t>《淋浴器用水效率限定值及用水效率等级》（GB28378）</w:t>
            </w:r>
          </w:p>
        </w:tc>
      </w:tr>
    </w:tbl>
    <w:p w14:paraId="75F6403D">
      <w:pPr>
        <w:widowControl w:val="0"/>
        <w:kinsoku/>
        <w:autoSpaceDE/>
        <w:autoSpaceDN/>
        <w:adjustRightInd/>
        <w:snapToGrid/>
        <w:spacing w:after="120" w:line="360" w:lineRule="auto"/>
        <w:jc w:val="both"/>
        <w:textAlignment w:val="auto"/>
        <w:rPr>
          <w:rFonts w:ascii="仿宋" w:hAnsi="仿宋" w:eastAsia="仿宋" w:cs="仿宋"/>
          <w:snapToGrid/>
          <w:color w:val="auto"/>
          <w:spacing w:val="-3"/>
          <w:kern w:val="2"/>
          <w:highlight w:val="none"/>
          <w:lang w:eastAsia="zh-CN"/>
        </w:rPr>
      </w:pPr>
    </w:p>
    <w:p w14:paraId="31F02A64">
      <w:pPr>
        <w:widowControl w:val="0"/>
        <w:kinsoku/>
        <w:autoSpaceDE/>
        <w:autoSpaceDN/>
        <w:adjustRightInd/>
        <w:snapToGrid/>
        <w:spacing w:after="120" w:line="360" w:lineRule="auto"/>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spacing w:val="-3"/>
          <w:kern w:val="2"/>
          <w:highlight w:val="none"/>
          <w:lang w:eastAsia="zh-CN"/>
        </w:rPr>
        <w:t>注：1.节能产品认证应依据相关国家标准的最新版本，依据国家标准中二级能效（水效）</w:t>
      </w:r>
      <w:r>
        <w:rPr>
          <w:rFonts w:hint="eastAsia" w:ascii="仿宋" w:hAnsi="仿宋" w:eastAsia="仿宋" w:cs="仿宋"/>
          <w:snapToGrid/>
          <w:color w:val="auto"/>
          <w:kern w:val="2"/>
          <w:highlight w:val="none"/>
          <w:lang w:eastAsia="zh-CN"/>
        </w:rPr>
        <w:t>指标。</w:t>
      </w:r>
    </w:p>
    <w:p w14:paraId="0840B148">
      <w:pPr>
        <w:widowControl w:val="0"/>
        <w:numPr>
          <w:ilvl w:val="0"/>
          <w:numId w:val="3"/>
        </w:numPr>
        <w:kinsoku/>
        <w:autoSpaceDE/>
        <w:autoSpaceDN/>
        <w:adjustRightInd/>
        <w:snapToGrid/>
        <w:textAlignment w:val="auto"/>
        <w:rPr>
          <w:rFonts w:ascii="仿宋" w:hAnsi="仿宋" w:eastAsia="仿宋" w:cs="仿宋"/>
          <w:b/>
          <w:bCs/>
          <w:snapToGrid/>
          <w:color w:val="auto"/>
          <w:kern w:val="2"/>
          <w:highlight w:val="none"/>
          <w:lang w:eastAsia="zh-CN"/>
        </w:rPr>
      </w:pPr>
      <w:r>
        <w:rPr>
          <w:rFonts w:hint="eastAsia" w:ascii="仿宋" w:hAnsi="仿宋" w:eastAsia="仿宋" w:cs="仿宋"/>
          <w:b/>
          <w:bCs/>
          <w:snapToGrid/>
          <w:color w:val="auto"/>
          <w:kern w:val="2"/>
          <w:highlight w:val="none"/>
          <w:lang w:eastAsia="zh-CN"/>
        </w:rPr>
        <w:t>以“★”标注的为政府强制采购产品。</w:t>
      </w:r>
    </w:p>
    <w:p w14:paraId="6F2F3CC6">
      <w:pPr>
        <w:spacing w:line="460" w:lineRule="exact"/>
        <w:rPr>
          <w:rFonts w:ascii="仿宋" w:hAnsi="仿宋" w:eastAsia="仿宋" w:cs="仿宋"/>
          <w:color w:val="auto"/>
          <w:spacing w:val="32"/>
          <w:sz w:val="30"/>
          <w:szCs w:val="30"/>
          <w:highlight w:val="none"/>
          <w:lang w:eastAsia="zh-CN"/>
        </w:rPr>
        <w:sectPr>
          <w:footerReference r:id="rId5" w:type="default"/>
          <w:pgSz w:w="11910" w:h="16830"/>
          <w:pgMar w:top="1120" w:right="1100" w:bottom="1099" w:left="1110" w:header="0" w:footer="955" w:gutter="0"/>
          <w:cols w:space="720" w:num="1"/>
        </w:sectPr>
      </w:pPr>
    </w:p>
    <w:p w14:paraId="30499AE5">
      <w:pPr>
        <w:spacing w:line="460" w:lineRule="exact"/>
        <w:rPr>
          <w:rFonts w:ascii="仿宋" w:hAnsi="仿宋" w:eastAsia="仿宋" w:cs="仿宋"/>
          <w:color w:val="auto"/>
          <w:sz w:val="30"/>
          <w:szCs w:val="30"/>
          <w:highlight w:val="none"/>
          <w:lang w:eastAsia="zh-CN"/>
        </w:rPr>
      </w:pPr>
      <w:r>
        <w:rPr>
          <w:rFonts w:hint="eastAsia" w:ascii="仿宋" w:hAnsi="仿宋" w:eastAsia="仿宋" w:cs="仿宋"/>
          <w:color w:val="auto"/>
          <w:spacing w:val="32"/>
          <w:sz w:val="30"/>
          <w:szCs w:val="30"/>
          <w:highlight w:val="none"/>
          <w:lang w:eastAsia="zh-CN"/>
        </w:rPr>
        <w:t>附件2:</w:t>
      </w:r>
    </w:p>
    <w:p w14:paraId="550451F6">
      <w:pPr>
        <w:spacing w:line="460" w:lineRule="exact"/>
        <w:ind w:firstLine="590" w:firstLineChars="200"/>
        <w:jc w:val="center"/>
        <w:rPr>
          <w:rFonts w:ascii="仿宋" w:hAnsi="仿宋" w:eastAsia="仿宋" w:cs="仿宋"/>
          <w:color w:val="auto"/>
          <w:sz w:val="30"/>
          <w:szCs w:val="30"/>
          <w:highlight w:val="none"/>
          <w:lang w:eastAsia="zh-CN"/>
        </w:rPr>
      </w:pPr>
      <w:bookmarkStart w:id="51" w:name="bookmark9"/>
      <w:bookmarkEnd w:id="51"/>
      <w:r>
        <w:rPr>
          <w:rFonts w:hint="eastAsia" w:ascii="仿宋" w:hAnsi="仿宋" w:eastAsia="仿宋" w:cs="仿宋"/>
          <w:b/>
          <w:bCs/>
          <w:color w:val="auto"/>
          <w:spacing w:val="-3"/>
          <w:sz w:val="30"/>
          <w:szCs w:val="30"/>
          <w:highlight w:val="none"/>
          <w:lang w:eastAsia="zh-CN"/>
        </w:rPr>
        <w:t>统计上大中小微型企业划分标准</w:t>
      </w:r>
    </w:p>
    <w:tbl>
      <w:tblPr>
        <w:tblStyle w:val="31"/>
        <w:tblW w:w="9400" w:type="dxa"/>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83"/>
        <w:gridCol w:w="1379"/>
        <w:gridCol w:w="709"/>
        <w:gridCol w:w="1109"/>
        <w:gridCol w:w="1698"/>
        <w:gridCol w:w="1428"/>
        <w:gridCol w:w="994"/>
      </w:tblGrid>
      <w:tr w14:paraId="3ADC5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083" w:type="dxa"/>
            <w:shd w:val="clear" w:color="auto" w:fill="8DB3E2"/>
          </w:tcPr>
          <w:p w14:paraId="584A8823">
            <w:pPr>
              <w:pStyle w:val="32"/>
              <w:spacing w:line="460" w:lineRule="exact"/>
              <w:ind w:firstLine="365" w:firstLineChars="200"/>
              <w:jc w:val="center"/>
              <w:rPr>
                <w:rFonts w:ascii="仿宋" w:hAnsi="仿宋" w:eastAsia="仿宋" w:cs="仿宋"/>
                <w:color w:val="auto"/>
                <w:sz w:val="19"/>
                <w:szCs w:val="19"/>
                <w:highlight w:val="none"/>
              </w:rPr>
            </w:pPr>
            <w:r>
              <w:rPr>
                <w:rFonts w:hint="eastAsia" w:ascii="仿宋" w:hAnsi="仿宋" w:eastAsia="仿宋" w:cs="仿宋"/>
                <w:b/>
                <w:bCs/>
                <w:color w:val="auto"/>
                <w:spacing w:val="-4"/>
                <w:sz w:val="19"/>
                <w:szCs w:val="19"/>
                <w:highlight w:val="none"/>
              </w:rPr>
              <w:t>行业名称</w:t>
            </w:r>
          </w:p>
        </w:tc>
        <w:tc>
          <w:tcPr>
            <w:tcW w:w="1379" w:type="dxa"/>
            <w:shd w:val="clear" w:color="auto" w:fill="8DB3E2"/>
          </w:tcPr>
          <w:p w14:paraId="75FEE5D1">
            <w:pPr>
              <w:pStyle w:val="32"/>
              <w:spacing w:line="460" w:lineRule="exact"/>
              <w:ind w:firstLine="365" w:firstLineChars="200"/>
              <w:rPr>
                <w:rFonts w:ascii="仿宋" w:hAnsi="仿宋" w:eastAsia="仿宋" w:cs="仿宋"/>
                <w:color w:val="auto"/>
                <w:sz w:val="19"/>
                <w:szCs w:val="19"/>
                <w:highlight w:val="none"/>
              </w:rPr>
            </w:pPr>
            <w:r>
              <w:rPr>
                <w:rFonts w:hint="eastAsia" w:ascii="仿宋" w:hAnsi="仿宋" w:eastAsia="仿宋" w:cs="仿宋"/>
                <w:b/>
                <w:bCs/>
                <w:color w:val="auto"/>
                <w:spacing w:val="-4"/>
                <w:sz w:val="19"/>
                <w:szCs w:val="19"/>
                <w:highlight w:val="none"/>
              </w:rPr>
              <w:t>指标名称</w:t>
            </w:r>
          </w:p>
        </w:tc>
        <w:tc>
          <w:tcPr>
            <w:tcW w:w="709" w:type="dxa"/>
            <w:shd w:val="clear" w:color="auto" w:fill="8DB3E2"/>
          </w:tcPr>
          <w:p w14:paraId="25DD0BCE">
            <w:pPr>
              <w:pStyle w:val="32"/>
              <w:spacing w:line="460" w:lineRule="exact"/>
              <w:rPr>
                <w:rFonts w:ascii="仿宋" w:hAnsi="仿宋" w:eastAsia="仿宋" w:cs="仿宋"/>
                <w:color w:val="auto"/>
                <w:sz w:val="19"/>
                <w:szCs w:val="19"/>
                <w:highlight w:val="none"/>
              </w:rPr>
            </w:pPr>
            <w:r>
              <w:rPr>
                <w:rFonts w:hint="eastAsia" w:ascii="仿宋" w:hAnsi="仿宋" w:eastAsia="仿宋" w:cs="仿宋"/>
                <w:b/>
                <w:bCs/>
                <w:color w:val="auto"/>
                <w:spacing w:val="-4"/>
                <w:sz w:val="19"/>
                <w:szCs w:val="19"/>
                <w:highlight w:val="none"/>
              </w:rPr>
              <w:t>计量</w:t>
            </w:r>
          </w:p>
          <w:p w14:paraId="7EF6ADFE">
            <w:pPr>
              <w:pStyle w:val="32"/>
              <w:spacing w:line="460" w:lineRule="exact"/>
              <w:rPr>
                <w:rFonts w:ascii="仿宋" w:hAnsi="仿宋" w:eastAsia="仿宋" w:cs="仿宋"/>
                <w:color w:val="auto"/>
                <w:sz w:val="19"/>
                <w:szCs w:val="19"/>
                <w:highlight w:val="none"/>
              </w:rPr>
            </w:pPr>
            <w:r>
              <w:rPr>
                <w:rFonts w:hint="eastAsia" w:ascii="仿宋" w:hAnsi="仿宋" w:eastAsia="仿宋" w:cs="仿宋"/>
                <w:b/>
                <w:bCs/>
                <w:color w:val="auto"/>
                <w:spacing w:val="-5"/>
                <w:sz w:val="19"/>
                <w:szCs w:val="19"/>
                <w:highlight w:val="none"/>
              </w:rPr>
              <w:t>单位</w:t>
            </w:r>
          </w:p>
        </w:tc>
        <w:tc>
          <w:tcPr>
            <w:tcW w:w="1109" w:type="dxa"/>
            <w:shd w:val="clear" w:color="auto" w:fill="8DB3E2"/>
          </w:tcPr>
          <w:p w14:paraId="4D259A05">
            <w:pPr>
              <w:pStyle w:val="32"/>
              <w:spacing w:line="460" w:lineRule="exact"/>
              <w:ind w:firstLine="361" w:firstLineChars="200"/>
              <w:rPr>
                <w:rFonts w:ascii="仿宋" w:hAnsi="仿宋" w:eastAsia="仿宋" w:cs="仿宋"/>
                <w:color w:val="auto"/>
                <w:sz w:val="19"/>
                <w:szCs w:val="19"/>
                <w:highlight w:val="none"/>
              </w:rPr>
            </w:pPr>
            <w:r>
              <w:rPr>
                <w:rFonts w:hint="eastAsia" w:ascii="仿宋" w:hAnsi="仿宋" w:eastAsia="仿宋" w:cs="仿宋"/>
                <w:b/>
                <w:bCs/>
                <w:color w:val="auto"/>
                <w:spacing w:val="-5"/>
                <w:sz w:val="19"/>
                <w:szCs w:val="19"/>
                <w:highlight w:val="none"/>
              </w:rPr>
              <w:t>大型</w:t>
            </w:r>
          </w:p>
        </w:tc>
        <w:tc>
          <w:tcPr>
            <w:tcW w:w="1698" w:type="dxa"/>
            <w:shd w:val="clear" w:color="auto" w:fill="8DB3E2"/>
          </w:tcPr>
          <w:p w14:paraId="3EDB7E1F">
            <w:pPr>
              <w:pStyle w:val="32"/>
              <w:spacing w:line="460" w:lineRule="exact"/>
              <w:ind w:firstLine="385" w:firstLineChars="200"/>
              <w:rPr>
                <w:rFonts w:ascii="仿宋" w:hAnsi="仿宋" w:eastAsia="仿宋" w:cs="仿宋"/>
                <w:color w:val="auto"/>
                <w:sz w:val="19"/>
                <w:szCs w:val="19"/>
                <w:highlight w:val="none"/>
              </w:rPr>
            </w:pPr>
            <w:r>
              <w:rPr>
                <w:rFonts w:hint="eastAsia" w:ascii="仿宋" w:hAnsi="仿宋" w:eastAsia="仿宋" w:cs="仿宋"/>
                <w:b/>
                <w:bCs/>
                <w:color w:val="auto"/>
                <w:spacing w:val="1"/>
                <w:sz w:val="19"/>
                <w:szCs w:val="19"/>
                <w:highlight w:val="none"/>
              </w:rPr>
              <w:t>中型</w:t>
            </w:r>
          </w:p>
        </w:tc>
        <w:tc>
          <w:tcPr>
            <w:tcW w:w="1428" w:type="dxa"/>
            <w:shd w:val="clear" w:color="auto" w:fill="8DB3E2"/>
          </w:tcPr>
          <w:p w14:paraId="0E66392A">
            <w:pPr>
              <w:pStyle w:val="32"/>
              <w:spacing w:line="460" w:lineRule="exact"/>
              <w:ind w:firstLine="357" w:firstLineChars="200"/>
              <w:rPr>
                <w:rFonts w:ascii="仿宋" w:hAnsi="仿宋" w:eastAsia="仿宋" w:cs="仿宋"/>
                <w:color w:val="auto"/>
                <w:sz w:val="19"/>
                <w:szCs w:val="19"/>
                <w:highlight w:val="none"/>
              </w:rPr>
            </w:pPr>
            <w:r>
              <w:rPr>
                <w:rFonts w:hint="eastAsia" w:ascii="仿宋" w:hAnsi="仿宋" w:eastAsia="仿宋" w:cs="仿宋"/>
                <w:b/>
                <w:bCs/>
                <w:color w:val="auto"/>
                <w:spacing w:val="-6"/>
                <w:sz w:val="19"/>
                <w:szCs w:val="19"/>
                <w:highlight w:val="none"/>
              </w:rPr>
              <w:t>小型</w:t>
            </w:r>
          </w:p>
        </w:tc>
        <w:tc>
          <w:tcPr>
            <w:tcW w:w="994" w:type="dxa"/>
            <w:shd w:val="clear" w:color="auto" w:fill="8DB3E2"/>
          </w:tcPr>
          <w:p w14:paraId="73248096">
            <w:pPr>
              <w:pStyle w:val="32"/>
              <w:spacing w:line="460" w:lineRule="exact"/>
              <w:ind w:firstLine="365" w:firstLineChars="200"/>
              <w:rPr>
                <w:rFonts w:ascii="仿宋" w:hAnsi="仿宋" w:eastAsia="仿宋" w:cs="仿宋"/>
                <w:color w:val="auto"/>
                <w:sz w:val="19"/>
                <w:szCs w:val="19"/>
                <w:highlight w:val="none"/>
              </w:rPr>
            </w:pPr>
            <w:r>
              <w:rPr>
                <w:rFonts w:hint="eastAsia" w:ascii="仿宋" w:hAnsi="仿宋" w:eastAsia="仿宋" w:cs="仿宋"/>
                <w:b/>
                <w:bCs/>
                <w:color w:val="auto"/>
                <w:spacing w:val="-4"/>
                <w:sz w:val="19"/>
                <w:szCs w:val="19"/>
                <w:highlight w:val="none"/>
              </w:rPr>
              <w:t>微型</w:t>
            </w:r>
          </w:p>
        </w:tc>
      </w:tr>
      <w:tr w14:paraId="4168A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083" w:type="dxa"/>
          </w:tcPr>
          <w:p w14:paraId="71716B11">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农、林、牧、渔业</w:t>
            </w:r>
          </w:p>
        </w:tc>
        <w:tc>
          <w:tcPr>
            <w:tcW w:w="1379" w:type="dxa"/>
          </w:tcPr>
          <w:p w14:paraId="428AFAC5">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营业收入(I)</w:t>
            </w:r>
          </w:p>
        </w:tc>
        <w:tc>
          <w:tcPr>
            <w:tcW w:w="709" w:type="dxa"/>
          </w:tcPr>
          <w:p w14:paraId="068DB773">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357E099A">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I≥20000</w:t>
            </w:r>
          </w:p>
        </w:tc>
        <w:tc>
          <w:tcPr>
            <w:tcW w:w="1698" w:type="dxa"/>
          </w:tcPr>
          <w:p w14:paraId="3D6E9A2C">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500≤Y&lt;20000</w:t>
            </w:r>
          </w:p>
        </w:tc>
        <w:tc>
          <w:tcPr>
            <w:tcW w:w="1428" w:type="dxa"/>
          </w:tcPr>
          <w:p w14:paraId="5FEEE610">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50≤Y&lt;500</w:t>
            </w:r>
          </w:p>
        </w:tc>
        <w:tc>
          <w:tcPr>
            <w:tcW w:w="994" w:type="dxa"/>
          </w:tcPr>
          <w:p w14:paraId="58D04B1C">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Y&lt;50</w:t>
            </w:r>
          </w:p>
        </w:tc>
      </w:tr>
      <w:tr w14:paraId="52607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083" w:type="dxa"/>
            <w:vMerge w:val="restart"/>
            <w:tcBorders>
              <w:bottom w:val="nil"/>
            </w:tcBorders>
          </w:tcPr>
          <w:p w14:paraId="050B6830">
            <w:pPr>
              <w:spacing w:line="460" w:lineRule="exact"/>
              <w:ind w:firstLine="420" w:firstLineChars="200"/>
              <w:jc w:val="center"/>
              <w:rPr>
                <w:rFonts w:ascii="仿宋" w:hAnsi="仿宋" w:eastAsia="仿宋" w:cs="仿宋"/>
                <w:color w:val="auto"/>
                <w:highlight w:val="none"/>
              </w:rPr>
            </w:pPr>
          </w:p>
          <w:p w14:paraId="4AE82CCD">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工业*</w:t>
            </w:r>
          </w:p>
        </w:tc>
        <w:tc>
          <w:tcPr>
            <w:tcW w:w="1379" w:type="dxa"/>
          </w:tcPr>
          <w:p w14:paraId="36E445FC">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743FFCA4">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6C1FC94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X≥1000</w:t>
            </w:r>
          </w:p>
        </w:tc>
        <w:tc>
          <w:tcPr>
            <w:tcW w:w="1698" w:type="dxa"/>
          </w:tcPr>
          <w:p w14:paraId="11F34A4F">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300≤X&lt;1000</w:t>
            </w:r>
          </w:p>
        </w:tc>
        <w:tc>
          <w:tcPr>
            <w:tcW w:w="1428" w:type="dxa"/>
          </w:tcPr>
          <w:p w14:paraId="551085F3">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20≤X&lt;300</w:t>
            </w:r>
          </w:p>
        </w:tc>
        <w:tc>
          <w:tcPr>
            <w:tcW w:w="994" w:type="dxa"/>
          </w:tcPr>
          <w:p w14:paraId="07237A0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X&lt;20</w:t>
            </w:r>
          </w:p>
        </w:tc>
      </w:tr>
      <w:tr w14:paraId="38AA4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2083" w:type="dxa"/>
            <w:vMerge w:val="continue"/>
            <w:tcBorders>
              <w:top w:val="nil"/>
            </w:tcBorders>
          </w:tcPr>
          <w:p w14:paraId="15A20838">
            <w:pPr>
              <w:spacing w:line="460" w:lineRule="exact"/>
              <w:ind w:firstLine="420" w:firstLineChars="200"/>
              <w:jc w:val="center"/>
              <w:rPr>
                <w:rFonts w:ascii="仿宋" w:hAnsi="仿宋" w:eastAsia="仿宋" w:cs="仿宋"/>
                <w:color w:val="auto"/>
                <w:highlight w:val="none"/>
              </w:rPr>
            </w:pPr>
          </w:p>
        </w:tc>
        <w:tc>
          <w:tcPr>
            <w:tcW w:w="1379" w:type="dxa"/>
          </w:tcPr>
          <w:p w14:paraId="6C888E93">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4B18ED62">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15F0549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Y≥40000</w:t>
            </w:r>
          </w:p>
        </w:tc>
        <w:tc>
          <w:tcPr>
            <w:tcW w:w="1698" w:type="dxa"/>
          </w:tcPr>
          <w:p w14:paraId="5A830755">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2000≤Y&lt;40000</w:t>
            </w:r>
          </w:p>
        </w:tc>
        <w:tc>
          <w:tcPr>
            <w:tcW w:w="1428" w:type="dxa"/>
          </w:tcPr>
          <w:p w14:paraId="6B37816E">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300≤Y&lt;2000</w:t>
            </w:r>
          </w:p>
        </w:tc>
        <w:tc>
          <w:tcPr>
            <w:tcW w:w="994" w:type="dxa"/>
          </w:tcPr>
          <w:p w14:paraId="3D9D07F8">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Y&lt;300</w:t>
            </w:r>
          </w:p>
        </w:tc>
      </w:tr>
      <w:tr w14:paraId="7DB66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083" w:type="dxa"/>
            <w:vMerge w:val="restart"/>
            <w:tcBorders>
              <w:bottom w:val="nil"/>
            </w:tcBorders>
          </w:tcPr>
          <w:p w14:paraId="25402DF2">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建筑业</w:t>
            </w:r>
          </w:p>
        </w:tc>
        <w:tc>
          <w:tcPr>
            <w:tcW w:w="1379" w:type="dxa"/>
          </w:tcPr>
          <w:p w14:paraId="720853DE">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0F33EFD8">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43B5E540">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Y&gt;80000</w:t>
            </w:r>
          </w:p>
        </w:tc>
        <w:tc>
          <w:tcPr>
            <w:tcW w:w="1698" w:type="dxa"/>
          </w:tcPr>
          <w:p w14:paraId="0A2A4630">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6000≤Y&lt;80000</w:t>
            </w:r>
          </w:p>
        </w:tc>
        <w:tc>
          <w:tcPr>
            <w:tcW w:w="1428" w:type="dxa"/>
          </w:tcPr>
          <w:p w14:paraId="53C95B7F">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300≤Y&lt;6000</w:t>
            </w:r>
          </w:p>
        </w:tc>
        <w:tc>
          <w:tcPr>
            <w:tcW w:w="994" w:type="dxa"/>
          </w:tcPr>
          <w:p w14:paraId="5F36ED2B">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Y&lt;300</w:t>
            </w:r>
          </w:p>
        </w:tc>
      </w:tr>
      <w:tr w14:paraId="30FDF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083" w:type="dxa"/>
            <w:vMerge w:val="continue"/>
            <w:tcBorders>
              <w:top w:val="nil"/>
            </w:tcBorders>
          </w:tcPr>
          <w:p w14:paraId="44714E2E">
            <w:pPr>
              <w:spacing w:line="460" w:lineRule="exact"/>
              <w:ind w:firstLine="420" w:firstLineChars="200"/>
              <w:jc w:val="center"/>
              <w:rPr>
                <w:rFonts w:ascii="仿宋" w:hAnsi="仿宋" w:eastAsia="仿宋" w:cs="仿宋"/>
                <w:color w:val="auto"/>
                <w:highlight w:val="none"/>
              </w:rPr>
            </w:pPr>
          </w:p>
        </w:tc>
        <w:tc>
          <w:tcPr>
            <w:tcW w:w="1379" w:type="dxa"/>
          </w:tcPr>
          <w:p w14:paraId="5F121D8A">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资产总额(Z)</w:t>
            </w:r>
          </w:p>
        </w:tc>
        <w:tc>
          <w:tcPr>
            <w:tcW w:w="709" w:type="dxa"/>
          </w:tcPr>
          <w:p w14:paraId="6530BA24">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0F38BFB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Z&gt;80000</w:t>
            </w:r>
          </w:p>
        </w:tc>
        <w:tc>
          <w:tcPr>
            <w:tcW w:w="1698" w:type="dxa"/>
          </w:tcPr>
          <w:p w14:paraId="4E1C891E">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5000≤Z&lt;80000</w:t>
            </w:r>
          </w:p>
        </w:tc>
        <w:tc>
          <w:tcPr>
            <w:tcW w:w="1428" w:type="dxa"/>
          </w:tcPr>
          <w:p w14:paraId="264AFE7B">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300≤Z&lt;5000</w:t>
            </w:r>
          </w:p>
        </w:tc>
        <w:tc>
          <w:tcPr>
            <w:tcW w:w="994" w:type="dxa"/>
          </w:tcPr>
          <w:p w14:paraId="52BC84ED">
            <w:pPr>
              <w:pStyle w:val="32"/>
              <w:spacing w:line="460" w:lineRule="exact"/>
              <w:ind w:firstLine="372" w:firstLineChars="200"/>
              <w:jc w:val="both"/>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Z&lt;300</w:t>
            </w:r>
          </w:p>
        </w:tc>
      </w:tr>
      <w:tr w14:paraId="79A83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083" w:type="dxa"/>
            <w:vMerge w:val="restart"/>
            <w:tcBorders>
              <w:bottom w:val="nil"/>
            </w:tcBorders>
          </w:tcPr>
          <w:p w14:paraId="04D475B2">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批发业</w:t>
            </w:r>
          </w:p>
        </w:tc>
        <w:tc>
          <w:tcPr>
            <w:tcW w:w="1379" w:type="dxa"/>
          </w:tcPr>
          <w:p w14:paraId="6B0FD48A">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06BF8537">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0EEF716E">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X≥200</w:t>
            </w:r>
          </w:p>
        </w:tc>
        <w:tc>
          <w:tcPr>
            <w:tcW w:w="1698" w:type="dxa"/>
          </w:tcPr>
          <w:p w14:paraId="192A2E20">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20≤X&lt;200</w:t>
            </w:r>
          </w:p>
        </w:tc>
        <w:tc>
          <w:tcPr>
            <w:tcW w:w="1428" w:type="dxa"/>
          </w:tcPr>
          <w:p w14:paraId="7A2E8341">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5≤X&lt;20</w:t>
            </w:r>
          </w:p>
        </w:tc>
        <w:tc>
          <w:tcPr>
            <w:tcW w:w="994" w:type="dxa"/>
          </w:tcPr>
          <w:p w14:paraId="7580C9BF">
            <w:pPr>
              <w:pStyle w:val="32"/>
              <w:spacing w:line="460" w:lineRule="exact"/>
              <w:ind w:firstLine="372" w:firstLineChars="200"/>
              <w:jc w:val="both"/>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X≤5</w:t>
            </w:r>
          </w:p>
        </w:tc>
      </w:tr>
      <w:tr w14:paraId="2F5AA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083" w:type="dxa"/>
            <w:vMerge w:val="continue"/>
            <w:tcBorders>
              <w:top w:val="nil"/>
            </w:tcBorders>
          </w:tcPr>
          <w:p w14:paraId="119DCD09">
            <w:pPr>
              <w:spacing w:line="460" w:lineRule="exact"/>
              <w:ind w:firstLine="420" w:firstLineChars="200"/>
              <w:jc w:val="center"/>
              <w:rPr>
                <w:rFonts w:ascii="仿宋" w:hAnsi="仿宋" w:eastAsia="仿宋" w:cs="仿宋"/>
                <w:color w:val="auto"/>
                <w:highlight w:val="none"/>
              </w:rPr>
            </w:pPr>
          </w:p>
        </w:tc>
        <w:tc>
          <w:tcPr>
            <w:tcW w:w="1379" w:type="dxa"/>
          </w:tcPr>
          <w:p w14:paraId="74481FC5">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1BE5AF6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5C23BF90">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I≥40000</w:t>
            </w:r>
          </w:p>
        </w:tc>
        <w:tc>
          <w:tcPr>
            <w:tcW w:w="1698" w:type="dxa"/>
          </w:tcPr>
          <w:p w14:paraId="55FE518A">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5000≤Y&lt;40000</w:t>
            </w:r>
          </w:p>
        </w:tc>
        <w:tc>
          <w:tcPr>
            <w:tcW w:w="1428" w:type="dxa"/>
          </w:tcPr>
          <w:p w14:paraId="1842D0B1">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1000≤Y&lt;5000</w:t>
            </w:r>
          </w:p>
        </w:tc>
        <w:tc>
          <w:tcPr>
            <w:tcW w:w="994" w:type="dxa"/>
          </w:tcPr>
          <w:p w14:paraId="322C3B65">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Y&lt;1000</w:t>
            </w:r>
          </w:p>
        </w:tc>
      </w:tr>
      <w:tr w14:paraId="3AAB4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2083" w:type="dxa"/>
            <w:vMerge w:val="restart"/>
            <w:tcBorders>
              <w:bottom w:val="nil"/>
            </w:tcBorders>
          </w:tcPr>
          <w:p w14:paraId="26DAE56F">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零售业</w:t>
            </w:r>
          </w:p>
        </w:tc>
        <w:tc>
          <w:tcPr>
            <w:tcW w:w="1379" w:type="dxa"/>
          </w:tcPr>
          <w:p w14:paraId="4E82ED0A">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67A8465E">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1C0E424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X≥300</w:t>
            </w:r>
          </w:p>
        </w:tc>
        <w:tc>
          <w:tcPr>
            <w:tcW w:w="1698" w:type="dxa"/>
          </w:tcPr>
          <w:p w14:paraId="6AE42C62">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50≤X&lt;300</w:t>
            </w:r>
          </w:p>
        </w:tc>
        <w:tc>
          <w:tcPr>
            <w:tcW w:w="1428" w:type="dxa"/>
          </w:tcPr>
          <w:p w14:paraId="2D8ECB68">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10≤X&lt;50</w:t>
            </w:r>
          </w:p>
        </w:tc>
        <w:tc>
          <w:tcPr>
            <w:tcW w:w="994" w:type="dxa"/>
          </w:tcPr>
          <w:p w14:paraId="14601B04">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X&lt;10</w:t>
            </w:r>
          </w:p>
        </w:tc>
      </w:tr>
      <w:tr w14:paraId="2EFA4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083" w:type="dxa"/>
            <w:vMerge w:val="continue"/>
            <w:tcBorders>
              <w:top w:val="nil"/>
            </w:tcBorders>
          </w:tcPr>
          <w:p w14:paraId="772283B6">
            <w:pPr>
              <w:spacing w:line="460" w:lineRule="exact"/>
              <w:ind w:firstLine="420" w:firstLineChars="200"/>
              <w:jc w:val="center"/>
              <w:rPr>
                <w:rFonts w:ascii="仿宋" w:hAnsi="仿宋" w:eastAsia="仿宋" w:cs="仿宋"/>
                <w:color w:val="auto"/>
                <w:highlight w:val="none"/>
              </w:rPr>
            </w:pPr>
          </w:p>
        </w:tc>
        <w:tc>
          <w:tcPr>
            <w:tcW w:w="1379" w:type="dxa"/>
          </w:tcPr>
          <w:p w14:paraId="30F398E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79C56FA6">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19A1D230">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Y≥20000</w:t>
            </w:r>
          </w:p>
        </w:tc>
        <w:tc>
          <w:tcPr>
            <w:tcW w:w="1698" w:type="dxa"/>
          </w:tcPr>
          <w:p w14:paraId="4BFD8F10">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500≤Y&lt;20000</w:t>
            </w:r>
          </w:p>
        </w:tc>
        <w:tc>
          <w:tcPr>
            <w:tcW w:w="1428" w:type="dxa"/>
          </w:tcPr>
          <w:p w14:paraId="341B725D">
            <w:pPr>
              <w:pStyle w:val="32"/>
              <w:spacing w:line="460" w:lineRule="exact"/>
              <w:ind w:firstLine="368"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100≤Y&lt;500</w:t>
            </w:r>
          </w:p>
        </w:tc>
        <w:tc>
          <w:tcPr>
            <w:tcW w:w="994" w:type="dxa"/>
          </w:tcPr>
          <w:p w14:paraId="56554997">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Y&lt;100</w:t>
            </w:r>
          </w:p>
        </w:tc>
      </w:tr>
      <w:tr w14:paraId="3A350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083" w:type="dxa"/>
            <w:vMerge w:val="restart"/>
            <w:tcBorders>
              <w:bottom w:val="nil"/>
            </w:tcBorders>
          </w:tcPr>
          <w:p w14:paraId="0A28FE83">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交通运输业*</w:t>
            </w:r>
          </w:p>
        </w:tc>
        <w:tc>
          <w:tcPr>
            <w:tcW w:w="1379" w:type="dxa"/>
          </w:tcPr>
          <w:p w14:paraId="2BBDF0B4">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66629246">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30938925">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X≥1000</w:t>
            </w:r>
          </w:p>
        </w:tc>
        <w:tc>
          <w:tcPr>
            <w:tcW w:w="1698" w:type="dxa"/>
          </w:tcPr>
          <w:p w14:paraId="7923EAA0">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300≤X&lt;1000</w:t>
            </w:r>
          </w:p>
        </w:tc>
        <w:tc>
          <w:tcPr>
            <w:tcW w:w="1428" w:type="dxa"/>
          </w:tcPr>
          <w:p w14:paraId="52A41488">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20≤X&lt;300</w:t>
            </w:r>
          </w:p>
        </w:tc>
        <w:tc>
          <w:tcPr>
            <w:tcW w:w="994" w:type="dxa"/>
          </w:tcPr>
          <w:p w14:paraId="70D4163B">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X&lt;20</w:t>
            </w:r>
          </w:p>
        </w:tc>
      </w:tr>
      <w:tr w14:paraId="490E8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083" w:type="dxa"/>
            <w:vMerge w:val="continue"/>
            <w:tcBorders>
              <w:top w:val="nil"/>
            </w:tcBorders>
          </w:tcPr>
          <w:p w14:paraId="4B8C4A7E">
            <w:pPr>
              <w:spacing w:line="460" w:lineRule="exact"/>
              <w:ind w:firstLine="420" w:firstLineChars="200"/>
              <w:jc w:val="center"/>
              <w:rPr>
                <w:rFonts w:ascii="仿宋" w:hAnsi="仿宋" w:eastAsia="仿宋" w:cs="仿宋"/>
                <w:color w:val="auto"/>
                <w:highlight w:val="none"/>
              </w:rPr>
            </w:pPr>
          </w:p>
        </w:tc>
        <w:tc>
          <w:tcPr>
            <w:tcW w:w="1379" w:type="dxa"/>
          </w:tcPr>
          <w:p w14:paraId="1F312A88">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0FD56FE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10749C43">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I&gt;30000</w:t>
            </w:r>
          </w:p>
        </w:tc>
        <w:tc>
          <w:tcPr>
            <w:tcW w:w="1698" w:type="dxa"/>
          </w:tcPr>
          <w:p w14:paraId="732C35D5">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3000≤Y&lt;30000</w:t>
            </w:r>
          </w:p>
        </w:tc>
        <w:tc>
          <w:tcPr>
            <w:tcW w:w="1428" w:type="dxa"/>
          </w:tcPr>
          <w:p w14:paraId="7BDEF994">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200≤Y&lt;3000</w:t>
            </w:r>
          </w:p>
        </w:tc>
        <w:tc>
          <w:tcPr>
            <w:tcW w:w="994" w:type="dxa"/>
          </w:tcPr>
          <w:p w14:paraId="66BBCA20">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Y&lt;200</w:t>
            </w:r>
          </w:p>
        </w:tc>
      </w:tr>
      <w:tr w14:paraId="5628C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083" w:type="dxa"/>
            <w:vMerge w:val="restart"/>
            <w:tcBorders>
              <w:bottom w:val="nil"/>
            </w:tcBorders>
          </w:tcPr>
          <w:p w14:paraId="460D880B">
            <w:pPr>
              <w:spacing w:line="460" w:lineRule="exact"/>
              <w:ind w:firstLine="420" w:firstLineChars="200"/>
              <w:jc w:val="center"/>
              <w:rPr>
                <w:rFonts w:ascii="仿宋" w:hAnsi="仿宋" w:eastAsia="仿宋" w:cs="仿宋"/>
                <w:color w:val="auto"/>
                <w:highlight w:val="none"/>
              </w:rPr>
            </w:pPr>
          </w:p>
          <w:p w14:paraId="4E642402">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仓储业*</w:t>
            </w:r>
          </w:p>
        </w:tc>
        <w:tc>
          <w:tcPr>
            <w:tcW w:w="1379" w:type="dxa"/>
          </w:tcPr>
          <w:p w14:paraId="275F093F">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24521175">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54709676">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X≥200</w:t>
            </w:r>
          </w:p>
        </w:tc>
        <w:tc>
          <w:tcPr>
            <w:tcW w:w="1698" w:type="dxa"/>
          </w:tcPr>
          <w:p w14:paraId="7130E5E7">
            <w:pPr>
              <w:pStyle w:val="32"/>
              <w:spacing w:line="460" w:lineRule="exact"/>
              <w:ind w:firstLine="368"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100≤X&lt;200</w:t>
            </w:r>
          </w:p>
        </w:tc>
        <w:tc>
          <w:tcPr>
            <w:tcW w:w="1428" w:type="dxa"/>
          </w:tcPr>
          <w:p w14:paraId="4B685409">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20≤X&lt;100</w:t>
            </w:r>
          </w:p>
        </w:tc>
        <w:tc>
          <w:tcPr>
            <w:tcW w:w="994" w:type="dxa"/>
          </w:tcPr>
          <w:p w14:paraId="082B06DA">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X&lt;20</w:t>
            </w:r>
          </w:p>
        </w:tc>
      </w:tr>
      <w:tr w14:paraId="57E22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083" w:type="dxa"/>
            <w:vMerge w:val="continue"/>
            <w:tcBorders>
              <w:top w:val="nil"/>
            </w:tcBorders>
          </w:tcPr>
          <w:p w14:paraId="643334FC">
            <w:pPr>
              <w:spacing w:line="460" w:lineRule="exact"/>
              <w:ind w:firstLine="420" w:firstLineChars="200"/>
              <w:jc w:val="center"/>
              <w:rPr>
                <w:rFonts w:ascii="仿宋" w:hAnsi="仿宋" w:eastAsia="仿宋" w:cs="仿宋"/>
                <w:color w:val="auto"/>
                <w:highlight w:val="none"/>
              </w:rPr>
            </w:pPr>
          </w:p>
        </w:tc>
        <w:tc>
          <w:tcPr>
            <w:tcW w:w="1379" w:type="dxa"/>
          </w:tcPr>
          <w:p w14:paraId="2E95E9A9">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30C7891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3ECB2EE1">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I≥30000</w:t>
            </w:r>
          </w:p>
        </w:tc>
        <w:tc>
          <w:tcPr>
            <w:tcW w:w="1698" w:type="dxa"/>
          </w:tcPr>
          <w:p w14:paraId="066F65CF">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1000≤Y&lt;30000</w:t>
            </w:r>
          </w:p>
        </w:tc>
        <w:tc>
          <w:tcPr>
            <w:tcW w:w="1428" w:type="dxa"/>
          </w:tcPr>
          <w:p w14:paraId="429D78E5">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100≤Y&lt;1000</w:t>
            </w:r>
          </w:p>
        </w:tc>
        <w:tc>
          <w:tcPr>
            <w:tcW w:w="994" w:type="dxa"/>
          </w:tcPr>
          <w:p w14:paraId="2369AB38">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Y&lt;100</w:t>
            </w:r>
          </w:p>
        </w:tc>
      </w:tr>
      <w:tr w14:paraId="2284C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083" w:type="dxa"/>
            <w:vMerge w:val="restart"/>
            <w:tcBorders>
              <w:bottom w:val="nil"/>
            </w:tcBorders>
          </w:tcPr>
          <w:p w14:paraId="5570F310">
            <w:pPr>
              <w:spacing w:line="460" w:lineRule="exact"/>
              <w:ind w:firstLine="420" w:firstLineChars="200"/>
              <w:jc w:val="center"/>
              <w:rPr>
                <w:rFonts w:ascii="仿宋" w:hAnsi="仿宋" w:eastAsia="仿宋" w:cs="仿宋"/>
                <w:color w:val="auto"/>
                <w:highlight w:val="none"/>
              </w:rPr>
            </w:pPr>
          </w:p>
          <w:p w14:paraId="706C90D8">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邮政业</w:t>
            </w:r>
          </w:p>
        </w:tc>
        <w:tc>
          <w:tcPr>
            <w:tcW w:w="1379" w:type="dxa"/>
          </w:tcPr>
          <w:p w14:paraId="56C136BA">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52AC48B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14E69C3D">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X≥1000</w:t>
            </w:r>
          </w:p>
        </w:tc>
        <w:tc>
          <w:tcPr>
            <w:tcW w:w="1698" w:type="dxa"/>
          </w:tcPr>
          <w:p w14:paraId="020130A6">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300≤X&lt;1000</w:t>
            </w:r>
          </w:p>
        </w:tc>
        <w:tc>
          <w:tcPr>
            <w:tcW w:w="1428" w:type="dxa"/>
          </w:tcPr>
          <w:p w14:paraId="4917CAB8">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20≤X&lt;300</w:t>
            </w:r>
          </w:p>
        </w:tc>
        <w:tc>
          <w:tcPr>
            <w:tcW w:w="994" w:type="dxa"/>
          </w:tcPr>
          <w:p w14:paraId="32AF95E4">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X&lt;20</w:t>
            </w:r>
          </w:p>
        </w:tc>
      </w:tr>
      <w:tr w14:paraId="25879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083" w:type="dxa"/>
            <w:vMerge w:val="continue"/>
            <w:tcBorders>
              <w:top w:val="nil"/>
            </w:tcBorders>
          </w:tcPr>
          <w:p w14:paraId="4F321386">
            <w:pPr>
              <w:spacing w:line="460" w:lineRule="exact"/>
              <w:ind w:firstLine="420" w:firstLineChars="200"/>
              <w:jc w:val="center"/>
              <w:rPr>
                <w:rFonts w:ascii="仿宋" w:hAnsi="仿宋" w:eastAsia="仿宋" w:cs="仿宋"/>
                <w:color w:val="auto"/>
                <w:highlight w:val="none"/>
              </w:rPr>
            </w:pPr>
          </w:p>
        </w:tc>
        <w:tc>
          <w:tcPr>
            <w:tcW w:w="1379" w:type="dxa"/>
          </w:tcPr>
          <w:p w14:paraId="5AF6C1AF">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7565FE85">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72905EE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I≥30000</w:t>
            </w:r>
          </w:p>
        </w:tc>
        <w:tc>
          <w:tcPr>
            <w:tcW w:w="1698" w:type="dxa"/>
          </w:tcPr>
          <w:p w14:paraId="0DC8CE2B">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2000≤Y&lt;30000</w:t>
            </w:r>
          </w:p>
        </w:tc>
        <w:tc>
          <w:tcPr>
            <w:tcW w:w="1428" w:type="dxa"/>
          </w:tcPr>
          <w:p w14:paraId="68AC7FB7">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100≤Y&lt;2000</w:t>
            </w:r>
          </w:p>
        </w:tc>
        <w:tc>
          <w:tcPr>
            <w:tcW w:w="994" w:type="dxa"/>
          </w:tcPr>
          <w:p w14:paraId="7AACD3FE">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Y&lt;100</w:t>
            </w:r>
          </w:p>
        </w:tc>
      </w:tr>
      <w:tr w14:paraId="071D5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2083" w:type="dxa"/>
            <w:vMerge w:val="restart"/>
            <w:tcBorders>
              <w:bottom w:val="nil"/>
            </w:tcBorders>
          </w:tcPr>
          <w:p w14:paraId="15E4BBF7">
            <w:pPr>
              <w:spacing w:line="460" w:lineRule="exact"/>
              <w:ind w:firstLine="420" w:firstLineChars="200"/>
              <w:jc w:val="center"/>
              <w:rPr>
                <w:rFonts w:ascii="仿宋" w:hAnsi="仿宋" w:eastAsia="仿宋" w:cs="仿宋"/>
                <w:color w:val="auto"/>
                <w:highlight w:val="none"/>
              </w:rPr>
            </w:pPr>
          </w:p>
          <w:p w14:paraId="58905DF3">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住宿业</w:t>
            </w:r>
          </w:p>
        </w:tc>
        <w:tc>
          <w:tcPr>
            <w:tcW w:w="1379" w:type="dxa"/>
          </w:tcPr>
          <w:p w14:paraId="4D9EE1F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5A9BA26A">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635945D3">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X≥300</w:t>
            </w:r>
          </w:p>
        </w:tc>
        <w:tc>
          <w:tcPr>
            <w:tcW w:w="1698" w:type="dxa"/>
          </w:tcPr>
          <w:p w14:paraId="7ED30B1C">
            <w:pPr>
              <w:pStyle w:val="32"/>
              <w:spacing w:line="460" w:lineRule="exact"/>
              <w:ind w:firstLine="368"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100≤X&lt;300</w:t>
            </w:r>
          </w:p>
        </w:tc>
        <w:tc>
          <w:tcPr>
            <w:tcW w:w="1428" w:type="dxa"/>
          </w:tcPr>
          <w:p w14:paraId="14F3C9D6">
            <w:pPr>
              <w:pStyle w:val="32"/>
              <w:spacing w:line="460" w:lineRule="exact"/>
              <w:ind w:firstLine="368"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10≤X&lt;100</w:t>
            </w:r>
          </w:p>
        </w:tc>
        <w:tc>
          <w:tcPr>
            <w:tcW w:w="994" w:type="dxa"/>
          </w:tcPr>
          <w:p w14:paraId="7F3BF18B">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X&lt;10</w:t>
            </w:r>
          </w:p>
        </w:tc>
      </w:tr>
      <w:tr w14:paraId="73B73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083" w:type="dxa"/>
            <w:vMerge w:val="continue"/>
            <w:tcBorders>
              <w:top w:val="nil"/>
            </w:tcBorders>
          </w:tcPr>
          <w:p w14:paraId="54780FAC">
            <w:pPr>
              <w:spacing w:line="460" w:lineRule="exact"/>
              <w:ind w:firstLine="420" w:firstLineChars="200"/>
              <w:jc w:val="center"/>
              <w:rPr>
                <w:rFonts w:ascii="仿宋" w:hAnsi="仿宋" w:eastAsia="仿宋" w:cs="仿宋"/>
                <w:color w:val="auto"/>
                <w:highlight w:val="none"/>
              </w:rPr>
            </w:pPr>
          </w:p>
        </w:tc>
        <w:tc>
          <w:tcPr>
            <w:tcW w:w="1379" w:type="dxa"/>
          </w:tcPr>
          <w:p w14:paraId="0D804968">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2E491084">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2DB162C7">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I&gt;10000</w:t>
            </w:r>
          </w:p>
        </w:tc>
        <w:tc>
          <w:tcPr>
            <w:tcW w:w="1698" w:type="dxa"/>
          </w:tcPr>
          <w:p w14:paraId="40EC527C">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2000≤Y&lt;10000</w:t>
            </w:r>
          </w:p>
        </w:tc>
        <w:tc>
          <w:tcPr>
            <w:tcW w:w="1428" w:type="dxa"/>
          </w:tcPr>
          <w:p w14:paraId="304C8DA4">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100≤Y&lt;2000</w:t>
            </w:r>
          </w:p>
        </w:tc>
        <w:tc>
          <w:tcPr>
            <w:tcW w:w="994" w:type="dxa"/>
          </w:tcPr>
          <w:p w14:paraId="75C26D1D">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Y&lt;100</w:t>
            </w:r>
          </w:p>
        </w:tc>
      </w:tr>
      <w:tr w14:paraId="2F473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2083" w:type="dxa"/>
            <w:vMerge w:val="restart"/>
            <w:tcBorders>
              <w:bottom w:val="nil"/>
            </w:tcBorders>
          </w:tcPr>
          <w:p w14:paraId="68E9E8A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餐饮业</w:t>
            </w:r>
          </w:p>
        </w:tc>
        <w:tc>
          <w:tcPr>
            <w:tcW w:w="1379" w:type="dxa"/>
          </w:tcPr>
          <w:p w14:paraId="42FBDB87">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30A4E77E">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62AD0260">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X≥300</w:t>
            </w:r>
          </w:p>
        </w:tc>
        <w:tc>
          <w:tcPr>
            <w:tcW w:w="1698" w:type="dxa"/>
          </w:tcPr>
          <w:p w14:paraId="7D310B7A">
            <w:pPr>
              <w:pStyle w:val="32"/>
              <w:spacing w:line="460" w:lineRule="exact"/>
              <w:ind w:firstLine="368"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100≤X&lt;300</w:t>
            </w:r>
          </w:p>
        </w:tc>
        <w:tc>
          <w:tcPr>
            <w:tcW w:w="1428" w:type="dxa"/>
          </w:tcPr>
          <w:p w14:paraId="684DD502">
            <w:pPr>
              <w:pStyle w:val="32"/>
              <w:spacing w:line="460" w:lineRule="exact"/>
              <w:ind w:firstLine="368"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10≤X&lt;100</w:t>
            </w:r>
          </w:p>
        </w:tc>
        <w:tc>
          <w:tcPr>
            <w:tcW w:w="994" w:type="dxa"/>
          </w:tcPr>
          <w:p w14:paraId="4475D151">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X&lt;10</w:t>
            </w:r>
          </w:p>
        </w:tc>
      </w:tr>
      <w:tr w14:paraId="59D5A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083" w:type="dxa"/>
            <w:vMerge w:val="continue"/>
            <w:tcBorders>
              <w:top w:val="nil"/>
            </w:tcBorders>
          </w:tcPr>
          <w:p w14:paraId="7A086AD1">
            <w:pPr>
              <w:spacing w:line="460" w:lineRule="exact"/>
              <w:ind w:firstLine="420" w:firstLineChars="200"/>
              <w:jc w:val="center"/>
              <w:rPr>
                <w:rFonts w:ascii="仿宋" w:hAnsi="仿宋" w:eastAsia="仿宋" w:cs="仿宋"/>
                <w:color w:val="auto"/>
                <w:highlight w:val="none"/>
              </w:rPr>
            </w:pPr>
          </w:p>
        </w:tc>
        <w:tc>
          <w:tcPr>
            <w:tcW w:w="1379" w:type="dxa"/>
          </w:tcPr>
          <w:p w14:paraId="4AA747D7">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营业收入(I)</w:t>
            </w:r>
          </w:p>
        </w:tc>
        <w:tc>
          <w:tcPr>
            <w:tcW w:w="709" w:type="dxa"/>
          </w:tcPr>
          <w:p w14:paraId="50667E98">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6EA2DBBE">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Y≥10000</w:t>
            </w:r>
          </w:p>
        </w:tc>
        <w:tc>
          <w:tcPr>
            <w:tcW w:w="1698" w:type="dxa"/>
          </w:tcPr>
          <w:p w14:paraId="344B3718">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2000≤Y&lt;10000</w:t>
            </w:r>
          </w:p>
        </w:tc>
        <w:tc>
          <w:tcPr>
            <w:tcW w:w="1428" w:type="dxa"/>
          </w:tcPr>
          <w:p w14:paraId="3CE1635D">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100≤Y&lt;2000</w:t>
            </w:r>
          </w:p>
        </w:tc>
        <w:tc>
          <w:tcPr>
            <w:tcW w:w="994" w:type="dxa"/>
          </w:tcPr>
          <w:p w14:paraId="6445BB85">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Y&lt;100</w:t>
            </w:r>
          </w:p>
        </w:tc>
      </w:tr>
      <w:tr w14:paraId="13DD3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083" w:type="dxa"/>
            <w:vMerge w:val="restart"/>
            <w:tcBorders>
              <w:bottom w:val="nil"/>
            </w:tcBorders>
          </w:tcPr>
          <w:p w14:paraId="0895EA69">
            <w:pPr>
              <w:spacing w:line="460" w:lineRule="exact"/>
              <w:ind w:firstLine="420" w:firstLineChars="200"/>
              <w:jc w:val="center"/>
              <w:rPr>
                <w:rFonts w:ascii="仿宋" w:hAnsi="仿宋" w:eastAsia="仿宋" w:cs="仿宋"/>
                <w:color w:val="auto"/>
                <w:highlight w:val="none"/>
              </w:rPr>
            </w:pPr>
          </w:p>
          <w:p w14:paraId="7F6D5F1A">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信息传输业*</w:t>
            </w:r>
          </w:p>
        </w:tc>
        <w:tc>
          <w:tcPr>
            <w:tcW w:w="1379" w:type="dxa"/>
          </w:tcPr>
          <w:p w14:paraId="4407E881">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17E8C8B3">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7A50704D">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X≥2000</w:t>
            </w:r>
          </w:p>
        </w:tc>
        <w:tc>
          <w:tcPr>
            <w:tcW w:w="1698" w:type="dxa"/>
          </w:tcPr>
          <w:p w14:paraId="08F1DF97">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100≤X&lt;2000</w:t>
            </w:r>
          </w:p>
        </w:tc>
        <w:tc>
          <w:tcPr>
            <w:tcW w:w="1428" w:type="dxa"/>
          </w:tcPr>
          <w:p w14:paraId="0AB1F533">
            <w:pPr>
              <w:pStyle w:val="32"/>
              <w:spacing w:line="460" w:lineRule="exact"/>
              <w:ind w:firstLine="368"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10≤X&lt;100</w:t>
            </w:r>
          </w:p>
        </w:tc>
        <w:tc>
          <w:tcPr>
            <w:tcW w:w="994" w:type="dxa"/>
          </w:tcPr>
          <w:p w14:paraId="6915BD68">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X&lt;10</w:t>
            </w:r>
          </w:p>
        </w:tc>
      </w:tr>
      <w:tr w14:paraId="1A1C5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083" w:type="dxa"/>
            <w:vMerge w:val="continue"/>
            <w:tcBorders>
              <w:top w:val="nil"/>
            </w:tcBorders>
          </w:tcPr>
          <w:p w14:paraId="2D513036">
            <w:pPr>
              <w:spacing w:line="460" w:lineRule="exact"/>
              <w:ind w:firstLine="420" w:firstLineChars="200"/>
              <w:jc w:val="center"/>
              <w:rPr>
                <w:rFonts w:ascii="仿宋" w:hAnsi="仿宋" w:eastAsia="仿宋" w:cs="仿宋"/>
                <w:color w:val="auto"/>
                <w:highlight w:val="none"/>
              </w:rPr>
            </w:pPr>
          </w:p>
        </w:tc>
        <w:tc>
          <w:tcPr>
            <w:tcW w:w="1379" w:type="dxa"/>
          </w:tcPr>
          <w:p w14:paraId="6C8CB1AF">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20BB64D3">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0D5AA9DF">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Y≥100000</w:t>
            </w:r>
          </w:p>
        </w:tc>
        <w:tc>
          <w:tcPr>
            <w:tcW w:w="1698" w:type="dxa"/>
          </w:tcPr>
          <w:p w14:paraId="5C9013A4">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1000≤Y&lt;100000</w:t>
            </w:r>
          </w:p>
        </w:tc>
        <w:tc>
          <w:tcPr>
            <w:tcW w:w="1428" w:type="dxa"/>
          </w:tcPr>
          <w:p w14:paraId="3B65F9C7">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100≤Y&lt;1000</w:t>
            </w:r>
          </w:p>
        </w:tc>
        <w:tc>
          <w:tcPr>
            <w:tcW w:w="994" w:type="dxa"/>
          </w:tcPr>
          <w:p w14:paraId="750A707B">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Y&lt;100</w:t>
            </w:r>
          </w:p>
        </w:tc>
      </w:tr>
      <w:tr w14:paraId="32468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083" w:type="dxa"/>
            <w:vMerge w:val="restart"/>
            <w:tcBorders>
              <w:bottom w:val="nil"/>
            </w:tcBorders>
          </w:tcPr>
          <w:p w14:paraId="5220038A">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软件和信息技术服业</w:t>
            </w:r>
          </w:p>
        </w:tc>
        <w:tc>
          <w:tcPr>
            <w:tcW w:w="1379" w:type="dxa"/>
          </w:tcPr>
          <w:p w14:paraId="3BD5636C">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62E14382">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2694E23C">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X≥300</w:t>
            </w:r>
          </w:p>
        </w:tc>
        <w:tc>
          <w:tcPr>
            <w:tcW w:w="1698" w:type="dxa"/>
          </w:tcPr>
          <w:p w14:paraId="7A46CDE4">
            <w:pPr>
              <w:pStyle w:val="32"/>
              <w:spacing w:line="460" w:lineRule="exact"/>
              <w:ind w:firstLine="368"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100≤X&lt;300</w:t>
            </w:r>
          </w:p>
        </w:tc>
        <w:tc>
          <w:tcPr>
            <w:tcW w:w="1428" w:type="dxa"/>
          </w:tcPr>
          <w:p w14:paraId="036ACF6C">
            <w:pPr>
              <w:pStyle w:val="32"/>
              <w:spacing w:line="460" w:lineRule="exact"/>
              <w:ind w:firstLine="368"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10≤X&lt;100</w:t>
            </w:r>
          </w:p>
        </w:tc>
        <w:tc>
          <w:tcPr>
            <w:tcW w:w="994" w:type="dxa"/>
          </w:tcPr>
          <w:p w14:paraId="6594B90F">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X&lt;10</w:t>
            </w:r>
          </w:p>
        </w:tc>
      </w:tr>
      <w:tr w14:paraId="06830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2083" w:type="dxa"/>
            <w:vMerge w:val="continue"/>
            <w:tcBorders>
              <w:top w:val="nil"/>
            </w:tcBorders>
          </w:tcPr>
          <w:p w14:paraId="71A0937A">
            <w:pPr>
              <w:spacing w:line="460" w:lineRule="exact"/>
              <w:ind w:firstLine="420" w:firstLineChars="200"/>
              <w:jc w:val="center"/>
              <w:rPr>
                <w:rFonts w:ascii="仿宋" w:hAnsi="仿宋" w:eastAsia="仿宋" w:cs="仿宋"/>
                <w:color w:val="auto"/>
                <w:highlight w:val="none"/>
              </w:rPr>
            </w:pPr>
          </w:p>
        </w:tc>
        <w:tc>
          <w:tcPr>
            <w:tcW w:w="1379" w:type="dxa"/>
          </w:tcPr>
          <w:p w14:paraId="601B5026">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45D23DBA">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79B97E06">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I≥10000</w:t>
            </w:r>
          </w:p>
        </w:tc>
        <w:tc>
          <w:tcPr>
            <w:tcW w:w="1698" w:type="dxa"/>
          </w:tcPr>
          <w:p w14:paraId="6B50109B">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1000≤Y&lt;10000</w:t>
            </w:r>
          </w:p>
        </w:tc>
        <w:tc>
          <w:tcPr>
            <w:tcW w:w="1428" w:type="dxa"/>
          </w:tcPr>
          <w:p w14:paraId="7647542E">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50≤Y&lt;1000</w:t>
            </w:r>
          </w:p>
        </w:tc>
        <w:tc>
          <w:tcPr>
            <w:tcW w:w="994" w:type="dxa"/>
          </w:tcPr>
          <w:p w14:paraId="0E9FD918">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Y&lt;50</w:t>
            </w:r>
          </w:p>
        </w:tc>
      </w:tr>
      <w:tr w14:paraId="18553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083" w:type="dxa"/>
            <w:vMerge w:val="restart"/>
            <w:tcBorders>
              <w:bottom w:val="nil"/>
            </w:tcBorders>
          </w:tcPr>
          <w:p w14:paraId="016AB0C6">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房地产开发经营</w:t>
            </w:r>
          </w:p>
        </w:tc>
        <w:tc>
          <w:tcPr>
            <w:tcW w:w="1379" w:type="dxa"/>
          </w:tcPr>
          <w:p w14:paraId="380A3D88">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4F1E3F92">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336BE878">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Y≥200000</w:t>
            </w:r>
          </w:p>
        </w:tc>
        <w:tc>
          <w:tcPr>
            <w:tcW w:w="1698" w:type="dxa"/>
          </w:tcPr>
          <w:p w14:paraId="3933B2CB">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1000≤Y&lt;200000</w:t>
            </w:r>
          </w:p>
        </w:tc>
        <w:tc>
          <w:tcPr>
            <w:tcW w:w="1428" w:type="dxa"/>
          </w:tcPr>
          <w:p w14:paraId="69F76BEA">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100≤Y&lt;1000</w:t>
            </w:r>
          </w:p>
        </w:tc>
        <w:tc>
          <w:tcPr>
            <w:tcW w:w="994" w:type="dxa"/>
          </w:tcPr>
          <w:p w14:paraId="2B0B15CA">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Y&lt;100</w:t>
            </w:r>
          </w:p>
        </w:tc>
      </w:tr>
      <w:tr w14:paraId="7DE3B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2083" w:type="dxa"/>
            <w:vMerge w:val="continue"/>
            <w:tcBorders>
              <w:top w:val="nil"/>
            </w:tcBorders>
          </w:tcPr>
          <w:p w14:paraId="176CF950">
            <w:pPr>
              <w:spacing w:line="460" w:lineRule="exact"/>
              <w:ind w:firstLine="420" w:firstLineChars="200"/>
              <w:jc w:val="center"/>
              <w:rPr>
                <w:rFonts w:ascii="仿宋" w:hAnsi="仿宋" w:eastAsia="仿宋" w:cs="仿宋"/>
                <w:color w:val="auto"/>
                <w:highlight w:val="none"/>
              </w:rPr>
            </w:pPr>
          </w:p>
        </w:tc>
        <w:tc>
          <w:tcPr>
            <w:tcW w:w="1379" w:type="dxa"/>
          </w:tcPr>
          <w:p w14:paraId="6C40855D">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资产总额(Z)</w:t>
            </w:r>
          </w:p>
        </w:tc>
        <w:tc>
          <w:tcPr>
            <w:tcW w:w="709" w:type="dxa"/>
          </w:tcPr>
          <w:p w14:paraId="75C0909C">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3C937C22">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Z≥10000</w:t>
            </w:r>
          </w:p>
        </w:tc>
        <w:tc>
          <w:tcPr>
            <w:tcW w:w="1698" w:type="dxa"/>
          </w:tcPr>
          <w:p w14:paraId="463F6205">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5000≤Z&lt;10000</w:t>
            </w:r>
          </w:p>
        </w:tc>
        <w:tc>
          <w:tcPr>
            <w:tcW w:w="1428" w:type="dxa"/>
          </w:tcPr>
          <w:p w14:paraId="6E83DBB9">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2000≤Z&lt;5000</w:t>
            </w:r>
          </w:p>
        </w:tc>
        <w:tc>
          <w:tcPr>
            <w:tcW w:w="994" w:type="dxa"/>
          </w:tcPr>
          <w:p w14:paraId="2B80778E">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lang w:eastAsia="zh-CN"/>
              </w:rPr>
              <w:t xml:space="preserve"> </w:t>
            </w:r>
            <w:r>
              <w:rPr>
                <w:rFonts w:hint="eastAsia" w:ascii="仿宋" w:hAnsi="仿宋" w:eastAsia="仿宋" w:cs="仿宋"/>
                <w:color w:val="auto"/>
                <w:spacing w:val="-1"/>
                <w:sz w:val="19"/>
                <w:szCs w:val="19"/>
                <w:highlight w:val="none"/>
              </w:rPr>
              <w:t>Z&lt;2000</w:t>
            </w:r>
          </w:p>
        </w:tc>
      </w:tr>
      <w:tr w14:paraId="50B20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083" w:type="dxa"/>
            <w:vMerge w:val="restart"/>
            <w:tcBorders>
              <w:bottom w:val="nil"/>
            </w:tcBorders>
          </w:tcPr>
          <w:p w14:paraId="443ED731">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物业管理</w:t>
            </w:r>
          </w:p>
        </w:tc>
        <w:tc>
          <w:tcPr>
            <w:tcW w:w="1379" w:type="dxa"/>
          </w:tcPr>
          <w:p w14:paraId="587EB52B">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5EB91995">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3A40F5ED">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X≥1000</w:t>
            </w:r>
          </w:p>
        </w:tc>
        <w:tc>
          <w:tcPr>
            <w:tcW w:w="1698" w:type="dxa"/>
          </w:tcPr>
          <w:p w14:paraId="70B1E858">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300≤X&lt;1000</w:t>
            </w:r>
          </w:p>
        </w:tc>
        <w:tc>
          <w:tcPr>
            <w:tcW w:w="1428" w:type="dxa"/>
          </w:tcPr>
          <w:p w14:paraId="35E5CFC1">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3"/>
                <w:sz w:val="19"/>
                <w:szCs w:val="19"/>
                <w:highlight w:val="none"/>
              </w:rPr>
              <w:t>100≤X&lt;300</w:t>
            </w:r>
          </w:p>
        </w:tc>
        <w:tc>
          <w:tcPr>
            <w:tcW w:w="994" w:type="dxa"/>
          </w:tcPr>
          <w:p w14:paraId="256C384D">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X&lt;100</w:t>
            </w:r>
          </w:p>
        </w:tc>
      </w:tr>
      <w:tr w14:paraId="35B19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083" w:type="dxa"/>
            <w:vMerge w:val="continue"/>
            <w:tcBorders>
              <w:top w:val="nil"/>
            </w:tcBorders>
          </w:tcPr>
          <w:p w14:paraId="03C1D37A">
            <w:pPr>
              <w:spacing w:line="460" w:lineRule="exact"/>
              <w:ind w:firstLine="420" w:firstLineChars="200"/>
              <w:jc w:val="center"/>
              <w:rPr>
                <w:rFonts w:ascii="仿宋" w:hAnsi="仿宋" w:eastAsia="仿宋" w:cs="仿宋"/>
                <w:color w:val="auto"/>
                <w:highlight w:val="none"/>
              </w:rPr>
            </w:pPr>
          </w:p>
        </w:tc>
        <w:tc>
          <w:tcPr>
            <w:tcW w:w="1379" w:type="dxa"/>
          </w:tcPr>
          <w:p w14:paraId="08ADBCCE">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营业收入(Y)</w:t>
            </w:r>
          </w:p>
        </w:tc>
        <w:tc>
          <w:tcPr>
            <w:tcW w:w="709" w:type="dxa"/>
          </w:tcPr>
          <w:p w14:paraId="4E406F69">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32FE85EC">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Y≥5000</w:t>
            </w:r>
          </w:p>
        </w:tc>
        <w:tc>
          <w:tcPr>
            <w:tcW w:w="1698" w:type="dxa"/>
          </w:tcPr>
          <w:p w14:paraId="491AF0E9">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1000≤Y&lt;5000</w:t>
            </w:r>
          </w:p>
        </w:tc>
        <w:tc>
          <w:tcPr>
            <w:tcW w:w="1428" w:type="dxa"/>
          </w:tcPr>
          <w:p w14:paraId="0A3EFC96">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500≤Y&lt;1000</w:t>
            </w:r>
          </w:p>
        </w:tc>
        <w:tc>
          <w:tcPr>
            <w:tcW w:w="994" w:type="dxa"/>
          </w:tcPr>
          <w:p w14:paraId="6D2E3B52">
            <w:pPr>
              <w:pStyle w:val="32"/>
              <w:spacing w:line="460" w:lineRule="exact"/>
              <w:ind w:firstLine="376" w:firstLineChars="200"/>
              <w:jc w:val="both"/>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Y&lt;500</w:t>
            </w:r>
          </w:p>
        </w:tc>
      </w:tr>
      <w:tr w14:paraId="18975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083" w:type="dxa"/>
            <w:vMerge w:val="restart"/>
            <w:tcBorders>
              <w:bottom w:val="nil"/>
            </w:tcBorders>
          </w:tcPr>
          <w:p w14:paraId="10B33A94">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租赁和商务服务业</w:t>
            </w:r>
          </w:p>
        </w:tc>
        <w:tc>
          <w:tcPr>
            <w:tcW w:w="1379" w:type="dxa"/>
          </w:tcPr>
          <w:p w14:paraId="49E18DD6">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35B6CDBD">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75D30555">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X≥300</w:t>
            </w:r>
          </w:p>
        </w:tc>
        <w:tc>
          <w:tcPr>
            <w:tcW w:w="1698" w:type="dxa"/>
          </w:tcPr>
          <w:p w14:paraId="6C30B6CC">
            <w:pPr>
              <w:pStyle w:val="32"/>
              <w:spacing w:line="460" w:lineRule="exact"/>
              <w:ind w:firstLine="361" w:firstLineChars="200"/>
              <w:jc w:val="center"/>
              <w:rPr>
                <w:rFonts w:ascii="仿宋" w:hAnsi="仿宋" w:eastAsia="仿宋" w:cs="仿宋"/>
                <w:color w:val="auto"/>
                <w:sz w:val="19"/>
                <w:szCs w:val="19"/>
                <w:highlight w:val="none"/>
              </w:rPr>
            </w:pPr>
            <w:r>
              <w:rPr>
                <w:rFonts w:hint="eastAsia" w:ascii="仿宋" w:hAnsi="仿宋" w:eastAsia="仿宋" w:cs="仿宋"/>
                <w:b/>
                <w:bCs/>
                <w:color w:val="auto"/>
                <w:spacing w:val="-5"/>
                <w:sz w:val="19"/>
                <w:szCs w:val="19"/>
                <w:highlight w:val="none"/>
              </w:rPr>
              <w:t>100≤X&lt;300</w:t>
            </w:r>
          </w:p>
        </w:tc>
        <w:tc>
          <w:tcPr>
            <w:tcW w:w="1428" w:type="dxa"/>
          </w:tcPr>
          <w:p w14:paraId="20FA4C01">
            <w:pPr>
              <w:pStyle w:val="32"/>
              <w:spacing w:line="460" w:lineRule="exact"/>
              <w:ind w:firstLine="361" w:firstLineChars="200"/>
              <w:jc w:val="center"/>
              <w:rPr>
                <w:rFonts w:ascii="仿宋" w:hAnsi="仿宋" w:eastAsia="仿宋" w:cs="仿宋"/>
                <w:color w:val="auto"/>
                <w:sz w:val="19"/>
                <w:szCs w:val="19"/>
                <w:highlight w:val="none"/>
              </w:rPr>
            </w:pPr>
            <w:r>
              <w:rPr>
                <w:rFonts w:hint="eastAsia" w:ascii="仿宋" w:hAnsi="仿宋" w:eastAsia="仿宋" w:cs="仿宋"/>
                <w:b/>
                <w:bCs/>
                <w:color w:val="auto"/>
                <w:spacing w:val="-5"/>
                <w:sz w:val="19"/>
                <w:szCs w:val="19"/>
                <w:highlight w:val="none"/>
              </w:rPr>
              <w:t>10≤X&lt;100</w:t>
            </w:r>
          </w:p>
        </w:tc>
        <w:tc>
          <w:tcPr>
            <w:tcW w:w="994" w:type="dxa"/>
          </w:tcPr>
          <w:p w14:paraId="15505A7D">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X&lt;10</w:t>
            </w:r>
          </w:p>
        </w:tc>
      </w:tr>
      <w:tr w14:paraId="3BC3A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083" w:type="dxa"/>
            <w:vMerge w:val="continue"/>
            <w:tcBorders>
              <w:top w:val="nil"/>
            </w:tcBorders>
          </w:tcPr>
          <w:p w14:paraId="46F9166F">
            <w:pPr>
              <w:spacing w:line="460" w:lineRule="exact"/>
              <w:ind w:firstLine="420" w:firstLineChars="200"/>
              <w:jc w:val="center"/>
              <w:rPr>
                <w:rFonts w:ascii="仿宋" w:hAnsi="仿宋" w:eastAsia="仿宋" w:cs="仿宋"/>
                <w:color w:val="auto"/>
                <w:highlight w:val="none"/>
              </w:rPr>
            </w:pPr>
          </w:p>
        </w:tc>
        <w:tc>
          <w:tcPr>
            <w:tcW w:w="1379" w:type="dxa"/>
          </w:tcPr>
          <w:p w14:paraId="0DF46715">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资产总额(Z)</w:t>
            </w:r>
          </w:p>
        </w:tc>
        <w:tc>
          <w:tcPr>
            <w:tcW w:w="709" w:type="dxa"/>
          </w:tcPr>
          <w:p w14:paraId="64EE5EEF">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4"/>
                <w:sz w:val="19"/>
                <w:szCs w:val="19"/>
                <w:highlight w:val="none"/>
              </w:rPr>
              <w:t>万元</w:t>
            </w:r>
          </w:p>
        </w:tc>
        <w:tc>
          <w:tcPr>
            <w:tcW w:w="1109" w:type="dxa"/>
          </w:tcPr>
          <w:p w14:paraId="4F4A84D3">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Z≥120000</w:t>
            </w:r>
          </w:p>
        </w:tc>
        <w:tc>
          <w:tcPr>
            <w:tcW w:w="1698" w:type="dxa"/>
          </w:tcPr>
          <w:p w14:paraId="2814E53B">
            <w:pPr>
              <w:pStyle w:val="32"/>
              <w:spacing w:line="460" w:lineRule="exact"/>
              <w:ind w:firstLine="369" w:firstLineChars="200"/>
              <w:jc w:val="center"/>
              <w:rPr>
                <w:rFonts w:ascii="仿宋" w:hAnsi="仿宋" w:eastAsia="仿宋" w:cs="仿宋"/>
                <w:color w:val="auto"/>
                <w:sz w:val="19"/>
                <w:szCs w:val="19"/>
                <w:highlight w:val="none"/>
              </w:rPr>
            </w:pPr>
            <w:r>
              <w:rPr>
                <w:rFonts w:hint="eastAsia" w:ascii="仿宋" w:hAnsi="仿宋" w:eastAsia="仿宋" w:cs="仿宋"/>
                <w:b/>
                <w:bCs/>
                <w:color w:val="auto"/>
                <w:spacing w:val="-3"/>
                <w:sz w:val="19"/>
                <w:szCs w:val="19"/>
                <w:highlight w:val="none"/>
              </w:rPr>
              <w:t>8000≤Z&lt;120000</w:t>
            </w:r>
          </w:p>
        </w:tc>
        <w:tc>
          <w:tcPr>
            <w:tcW w:w="1428" w:type="dxa"/>
          </w:tcPr>
          <w:p w14:paraId="72D0C84C">
            <w:pPr>
              <w:pStyle w:val="32"/>
              <w:spacing w:line="460" w:lineRule="exact"/>
              <w:ind w:firstLine="365" w:firstLineChars="200"/>
              <w:jc w:val="center"/>
              <w:rPr>
                <w:rFonts w:ascii="仿宋" w:hAnsi="仿宋" w:eastAsia="仿宋" w:cs="仿宋"/>
                <w:color w:val="auto"/>
                <w:sz w:val="19"/>
                <w:szCs w:val="19"/>
                <w:highlight w:val="none"/>
              </w:rPr>
            </w:pPr>
            <w:r>
              <w:rPr>
                <w:rFonts w:hint="eastAsia" w:ascii="仿宋" w:hAnsi="仿宋" w:eastAsia="仿宋" w:cs="仿宋"/>
                <w:b/>
                <w:bCs/>
                <w:color w:val="auto"/>
                <w:spacing w:val="-4"/>
                <w:sz w:val="19"/>
                <w:szCs w:val="19"/>
                <w:highlight w:val="none"/>
              </w:rPr>
              <w:t>100≤z&lt;8000</w:t>
            </w:r>
          </w:p>
        </w:tc>
        <w:tc>
          <w:tcPr>
            <w:tcW w:w="994" w:type="dxa"/>
          </w:tcPr>
          <w:p w14:paraId="1044506E">
            <w:pPr>
              <w:pStyle w:val="32"/>
              <w:spacing w:line="460" w:lineRule="exact"/>
              <w:ind w:firstLine="372"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2"/>
                <w:sz w:val="19"/>
                <w:szCs w:val="19"/>
                <w:highlight w:val="none"/>
              </w:rPr>
              <w:t>Z&lt;100</w:t>
            </w:r>
          </w:p>
        </w:tc>
      </w:tr>
      <w:tr w14:paraId="0C276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083" w:type="dxa"/>
          </w:tcPr>
          <w:p w14:paraId="7F5887F1">
            <w:pPr>
              <w:pStyle w:val="32"/>
              <w:spacing w:line="460" w:lineRule="exact"/>
              <w:ind w:firstLine="384"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其他未列明行业*</w:t>
            </w:r>
          </w:p>
        </w:tc>
        <w:tc>
          <w:tcPr>
            <w:tcW w:w="1379" w:type="dxa"/>
          </w:tcPr>
          <w:p w14:paraId="08C96BE6">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6"/>
                <w:sz w:val="19"/>
                <w:szCs w:val="19"/>
                <w:highlight w:val="none"/>
              </w:rPr>
              <w:t>从业人员(X)</w:t>
            </w:r>
          </w:p>
        </w:tc>
        <w:tc>
          <w:tcPr>
            <w:tcW w:w="709" w:type="dxa"/>
          </w:tcPr>
          <w:p w14:paraId="4FFFC0B6">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z w:val="19"/>
                <w:szCs w:val="19"/>
                <w:highlight w:val="none"/>
              </w:rPr>
              <w:t>人</w:t>
            </w:r>
          </w:p>
        </w:tc>
        <w:tc>
          <w:tcPr>
            <w:tcW w:w="1109" w:type="dxa"/>
          </w:tcPr>
          <w:p w14:paraId="049EB1F8">
            <w:pPr>
              <w:pStyle w:val="32"/>
              <w:spacing w:line="460" w:lineRule="exact"/>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X≥300</w:t>
            </w:r>
          </w:p>
        </w:tc>
        <w:tc>
          <w:tcPr>
            <w:tcW w:w="1698" w:type="dxa"/>
          </w:tcPr>
          <w:p w14:paraId="2B6127DB">
            <w:pPr>
              <w:pStyle w:val="32"/>
              <w:spacing w:line="460" w:lineRule="exact"/>
              <w:ind w:firstLine="361" w:firstLineChars="200"/>
              <w:jc w:val="center"/>
              <w:rPr>
                <w:rFonts w:ascii="仿宋" w:hAnsi="仿宋" w:eastAsia="仿宋" w:cs="仿宋"/>
                <w:color w:val="auto"/>
                <w:sz w:val="19"/>
                <w:szCs w:val="19"/>
                <w:highlight w:val="none"/>
              </w:rPr>
            </w:pPr>
            <w:r>
              <w:rPr>
                <w:rFonts w:hint="eastAsia" w:ascii="仿宋" w:hAnsi="仿宋" w:eastAsia="仿宋" w:cs="仿宋"/>
                <w:b/>
                <w:bCs/>
                <w:color w:val="auto"/>
                <w:spacing w:val="-5"/>
                <w:sz w:val="19"/>
                <w:szCs w:val="19"/>
                <w:highlight w:val="none"/>
              </w:rPr>
              <w:t>100≤X&lt;300</w:t>
            </w:r>
          </w:p>
        </w:tc>
        <w:tc>
          <w:tcPr>
            <w:tcW w:w="1428" w:type="dxa"/>
          </w:tcPr>
          <w:p w14:paraId="141A3C56">
            <w:pPr>
              <w:pStyle w:val="32"/>
              <w:spacing w:line="460" w:lineRule="exact"/>
              <w:ind w:firstLine="361" w:firstLineChars="200"/>
              <w:jc w:val="center"/>
              <w:rPr>
                <w:rFonts w:ascii="仿宋" w:hAnsi="仿宋" w:eastAsia="仿宋" w:cs="仿宋"/>
                <w:color w:val="auto"/>
                <w:sz w:val="19"/>
                <w:szCs w:val="19"/>
                <w:highlight w:val="none"/>
              </w:rPr>
            </w:pPr>
            <w:r>
              <w:rPr>
                <w:rFonts w:hint="eastAsia" w:ascii="仿宋" w:hAnsi="仿宋" w:eastAsia="仿宋" w:cs="仿宋"/>
                <w:b/>
                <w:bCs/>
                <w:color w:val="auto"/>
                <w:spacing w:val="-5"/>
                <w:sz w:val="19"/>
                <w:szCs w:val="19"/>
                <w:highlight w:val="none"/>
              </w:rPr>
              <w:t>10≤X&lt;100</w:t>
            </w:r>
          </w:p>
        </w:tc>
        <w:tc>
          <w:tcPr>
            <w:tcW w:w="994" w:type="dxa"/>
          </w:tcPr>
          <w:p w14:paraId="672CF33F">
            <w:pPr>
              <w:pStyle w:val="32"/>
              <w:spacing w:line="460" w:lineRule="exact"/>
              <w:ind w:firstLine="376" w:firstLineChars="200"/>
              <w:jc w:val="center"/>
              <w:rPr>
                <w:rFonts w:ascii="仿宋" w:hAnsi="仿宋" w:eastAsia="仿宋" w:cs="仿宋"/>
                <w:color w:val="auto"/>
                <w:sz w:val="19"/>
                <w:szCs w:val="19"/>
                <w:highlight w:val="none"/>
              </w:rPr>
            </w:pPr>
            <w:r>
              <w:rPr>
                <w:rFonts w:hint="eastAsia" w:ascii="仿宋" w:hAnsi="仿宋" w:eastAsia="仿宋" w:cs="仿宋"/>
                <w:color w:val="auto"/>
                <w:spacing w:val="-1"/>
                <w:sz w:val="19"/>
                <w:szCs w:val="19"/>
                <w:highlight w:val="none"/>
              </w:rPr>
              <w:t>X&lt;10</w:t>
            </w:r>
          </w:p>
        </w:tc>
      </w:tr>
    </w:tbl>
    <w:p w14:paraId="1F8018AA">
      <w:pPr>
        <w:pStyle w:val="10"/>
        <w:spacing w:line="460" w:lineRule="exact"/>
        <w:rPr>
          <w:rFonts w:ascii="仿宋" w:hAnsi="仿宋" w:eastAsia="仿宋" w:cs="仿宋"/>
          <w:color w:val="auto"/>
          <w:highlight w:val="none"/>
        </w:rPr>
      </w:pPr>
    </w:p>
    <w:p w14:paraId="2E3B3673">
      <w:pPr>
        <w:spacing w:line="460" w:lineRule="exact"/>
        <w:ind w:firstLine="344" w:firstLineChars="200"/>
        <w:rPr>
          <w:rFonts w:ascii="仿宋" w:hAnsi="仿宋" w:eastAsia="仿宋" w:cs="仿宋"/>
          <w:color w:val="auto"/>
          <w:sz w:val="19"/>
          <w:szCs w:val="19"/>
          <w:highlight w:val="none"/>
        </w:rPr>
      </w:pPr>
      <w:r>
        <w:rPr>
          <w:rFonts w:hint="eastAsia" w:ascii="仿宋" w:hAnsi="仿宋" w:eastAsia="仿宋" w:cs="仿宋"/>
          <w:color w:val="auto"/>
          <w:spacing w:val="-9"/>
          <w:sz w:val="19"/>
          <w:szCs w:val="19"/>
          <w:highlight w:val="none"/>
        </w:rPr>
        <w:t>说</w:t>
      </w:r>
      <w:r>
        <w:rPr>
          <w:rFonts w:hint="eastAsia" w:ascii="仿宋" w:hAnsi="仿宋" w:eastAsia="仿宋" w:cs="仿宋"/>
          <w:color w:val="auto"/>
          <w:spacing w:val="-19"/>
          <w:sz w:val="19"/>
          <w:szCs w:val="19"/>
          <w:highlight w:val="none"/>
        </w:rPr>
        <w:t xml:space="preserve"> </w:t>
      </w:r>
      <w:r>
        <w:rPr>
          <w:rFonts w:hint="eastAsia" w:ascii="仿宋" w:hAnsi="仿宋" w:eastAsia="仿宋" w:cs="仿宋"/>
          <w:color w:val="auto"/>
          <w:spacing w:val="-9"/>
          <w:sz w:val="19"/>
          <w:szCs w:val="19"/>
          <w:highlight w:val="none"/>
        </w:rPr>
        <w:t>明</w:t>
      </w:r>
      <w:r>
        <w:rPr>
          <w:rFonts w:hint="eastAsia" w:ascii="仿宋" w:hAnsi="仿宋" w:eastAsia="仿宋" w:cs="仿宋"/>
          <w:color w:val="auto"/>
          <w:spacing w:val="-35"/>
          <w:sz w:val="19"/>
          <w:szCs w:val="19"/>
          <w:highlight w:val="none"/>
        </w:rPr>
        <w:t xml:space="preserve"> </w:t>
      </w:r>
      <w:r>
        <w:rPr>
          <w:rFonts w:hint="eastAsia" w:ascii="仿宋" w:hAnsi="仿宋" w:eastAsia="仿宋" w:cs="仿宋"/>
          <w:color w:val="auto"/>
          <w:spacing w:val="-9"/>
          <w:sz w:val="19"/>
          <w:szCs w:val="19"/>
          <w:highlight w:val="none"/>
        </w:rPr>
        <w:t>：</w:t>
      </w:r>
    </w:p>
    <w:p w14:paraId="3638A195">
      <w:pPr>
        <w:spacing w:line="460" w:lineRule="exact"/>
        <w:ind w:firstLine="456" w:firstLineChars="200"/>
        <w:rPr>
          <w:rFonts w:ascii="仿宋" w:hAnsi="仿宋" w:eastAsia="仿宋" w:cs="仿宋"/>
          <w:color w:val="auto"/>
          <w:sz w:val="22"/>
          <w:szCs w:val="22"/>
          <w:highlight w:val="none"/>
          <w:lang w:eastAsia="zh-CN"/>
        </w:rPr>
      </w:pPr>
      <w:r>
        <w:rPr>
          <w:rFonts w:hint="eastAsia" w:ascii="仿宋" w:hAnsi="仿宋" w:eastAsia="仿宋" w:cs="仿宋"/>
          <w:color w:val="auto"/>
          <w:spacing w:val="4"/>
          <w:sz w:val="22"/>
          <w:szCs w:val="22"/>
          <w:highlight w:val="none"/>
          <w:lang w:eastAsia="zh-CN"/>
        </w:rPr>
        <w:t>1.大型、中型和小型企业须同时满足所列指标的下限，否则下划一档；微型企业只须满足所列</w:t>
      </w:r>
      <w:r>
        <w:rPr>
          <w:rFonts w:hint="eastAsia" w:ascii="仿宋" w:hAnsi="仿宋" w:eastAsia="仿宋" w:cs="仿宋"/>
          <w:b/>
          <w:bCs/>
          <w:color w:val="auto"/>
          <w:spacing w:val="3"/>
          <w:sz w:val="22"/>
          <w:szCs w:val="22"/>
          <w:highlight w:val="none"/>
          <w:lang w:eastAsia="zh-CN"/>
        </w:rPr>
        <w:t>指标中的一项即可。</w:t>
      </w:r>
    </w:p>
    <w:p w14:paraId="0B138802">
      <w:pPr>
        <w:spacing w:line="460" w:lineRule="exact"/>
        <w:ind w:firstLine="452" w:firstLineChars="200"/>
        <w:jc w:val="both"/>
        <w:rPr>
          <w:rFonts w:ascii="仿宋" w:hAnsi="仿宋" w:eastAsia="仿宋" w:cs="仿宋"/>
          <w:color w:val="auto"/>
          <w:sz w:val="19"/>
          <w:szCs w:val="19"/>
          <w:highlight w:val="none"/>
          <w:lang w:eastAsia="zh-CN"/>
        </w:rPr>
      </w:pPr>
      <w:r>
        <w:rPr>
          <w:rFonts w:hint="eastAsia" w:ascii="仿宋" w:hAnsi="仿宋" w:eastAsia="仿宋" w:cs="仿宋"/>
          <w:color w:val="auto"/>
          <w:spacing w:val="3"/>
          <w:sz w:val="22"/>
          <w:szCs w:val="22"/>
          <w:highlight w:val="none"/>
          <w:lang w:eastAsia="zh-CN"/>
        </w:rPr>
        <w:t>2.附表中各行业的范围以《国民经济行业分类》(</w:t>
      </w:r>
      <w:r>
        <w:rPr>
          <w:rFonts w:hint="eastAsia" w:ascii="仿宋" w:hAnsi="仿宋" w:eastAsia="仿宋" w:cs="仿宋"/>
          <w:color w:val="auto"/>
          <w:sz w:val="22"/>
          <w:szCs w:val="22"/>
          <w:highlight w:val="none"/>
          <w:lang w:eastAsia="zh-CN"/>
        </w:rPr>
        <w:t>GB</w:t>
      </w:r>
      <w:r>
        <w:rPr>
          <w:rFonts w:hint="eastAsia" w:ascii="仿宋" w:hAnsi="仿宋" w:eastAsia="仿宋" w:cs="仿宋"/>
          <w:color w:val="auto"/>
          <w:spacing w:val="3"/>
          <w:sz w:val="22"/>
          <w:szCs w:val="22"/>
          <w:highlight w:val="none"/>
          <w:lang w:eastAsia="zh-CN"/>
        </w:rPr>
        <w:t>/T4754-2017)</w:t>
      </w:r>
      <w:r>
        <w:rPr>
          <w:rFonts w:hint="eastAsia" w:ascii="仿宋" w:hAnsi="仿宋" w:eastAsia="仿宋" w:cs="仿宋"/>
          <w:color w:val="auto"/>
          <w:spacing w:val="118"/>
          <w:sz w:val="22"/>
          <w:szCs w:val="22"/>
          <w:highlight w:val="none"/>
          <w:lang w:eastAsia="zh-CN"/>
        </w:rPr>
        <w:t xml:space="preserve"> </w:t>
      </w:r>
      <w:r>
        <w:rPr>
          <w:rFonts w:hint="eastAsia" w:ascii="仿宋" w:hAnsi="仿宋" w:eastAsia="仿宋" w:cs="仿宋"/>
          <w:color w:val="auto"/>
          <w:spacing w:val="3"/>
          <w:sz w:val="22"/>
          <w:szCs w:val="22"/>
          <w:highlight w:val="none"/>
          <w:lang w:eastAsia="zh-CN"/>
        </w:rPr>
        <w:t>为准。带*的项为行业组合</w:t>
      </w:r>
      <w:r>
        <w:rPr>
          <w:rFonts w:hint="eastAsia" w:ascii="仿宋" w:hAnsi="仿宋" w:eastAsia="仿宋" w:cs="仿宋"/>
          <w:color w:val="auto"/>
          <w:sz w:val="22"/>
          <w:szCs w:val="22"/>
          <w:highlight w:val="none"/>
          <w:lang w:eastAsia="zh-CN"/>
        </w:rPr>
        <w:t xml:space="preserve"> </w:t>
      </w:r>
      <w:r>
        <w:rPr>
          <w:rFonts w:hint="eastAsia" w:ascii="仿宋" w:hAnsi="仿宋" w:eastAsia="仿宋" w:cs="仿宋"/>
          <w:color w:val="auto"/>
          <w:spacing w:val="4"/>
          <w:sz w:val="22"/>
          <w:szCs w:val="22"/>
          <w:highlight w:val="none"/>
          <w:lang w:eastAsia="zh-CN"/>
        </w:rPr>
        <w:t>类别，其中，工业包括采矿业，制造业，电力、热力、燃气及水生</w:t>
      </w:r>
      <w:r>
        <w:rPr>
          <w:rFonts w:hint="eastAsia" w:ascii="仿宋" w:hAnsi="仿宋" w:eastAsia="仿宋" w:cs="仿宋"/>
          <w:color w:val="auto"/>
          <w:spacing w:val="3"/>
          <w:sz w:val="22"/>
          <w:szCs w:val="22"/>
          <w:highlight w:val="none"/>
          <w:lang w:eastAsia="zh-CN"/>
        </w:rPr>
        <w:t>产和供应业；交通运输业包括道</w:t>
      </w:r>
      <w:r>
        <w:rPr>
          <w:rFonts w:hint="eastAsia" w:ascii="仿宋" w:hAnsi="仿宋" w:eastAsia="仿宋" w:cs="仿宋"/>
          <w:color w:val="auto"/>
          <w:sz w:val="22"/>
          <w:szCs w:val="22"/>
          <w:highlight w:val="none"/>
          <w:lang w:eastAsia="zh-CN"/>
        </w:rPr>
        <w:t xml:space="preserve"> </w:t>
      </w:r>
      <w:r>
        <w:rPr>
          <w:rFonts w:hint="eastAsia" w:ascii="仿宋" w:hAnsi="仿宋" w:eastAsia="仿宋" w:cs="仿宋"/>
          <w:color w:val="auto"/>
          <w:spacing w:val="4"/>
          <w:sz w:val="22"/>
          <w:szCs w:val="22"/>
          <w:highlight w:val="none"/>
          <w:lang w:eastAsia="zh-CN"/>
        </w:rPr>
        <w:t>路运输业，水上运输业，航空运输业，管道运输业，多式联运和运输代理业、装卸搬运，不包括铁 路运输业；仓储业包括通用仓储，低温仓储，危险品仓储，谷物</w:t>
      </w:r>
      <w:r>
        <w:rPr>
          <w:rFonts w:hint="eastAsia" w:ascii="仿宋" w:hAnsi="仿宋" w:eastAsia="仿宋" w:cs="仿宋"/>
          <w:color w:val="auto"/>
          <w:spacing w:val="3"/>
          <w:sz w:val="22"/>
          <w:szCs w:val="22"/>
          <w:highlight w:val="none"/>
          <w:lang w:eastAsia="zh-CN"/>
        </w:rPr>
        <w:t>、棉花等农产品仓储，中药材仓储</w:t>
      </w:r>
      <w:r>
        <w:rPr>
          <w:rFonts w:hint="eastAsia" w:ascii="仿宋" w:hAnsi="仿宋" w:eastAsia="仿宋" w:cs="仿宋"/>
          <w:color w:val="auto"/>
          <w:sz w:val="22"/>
          <w:szCs w:val="22"/>
          <w:highlight w:val="none"/>
          <w:lang w:eastAsia="zh-CN"/>
        </w:rPr>
        <w:t xml:space="preserve"> </w:t>
      </w:r>
      <w:r>
        <w:rPr>
          <w:rFonts w:hint="eastAsia" w:ascii="仿宋" w:hAnsi="仿宋" w:eastAsia="仿宋" w:cs="仿宋"/>
          <w:color w:val="auto"/>
          <w:spacing w:val="4"/>
          <w:sz w:val="22"/>
          <w:szCs w:val="22"/>
          <w:highlight w:val="none"/>
          <w:lang w:eastAsia="zh-CN"/>
        </w:rPr>
        <w:t>和其他仓储业；信息传输业包括电信、广播电视和卫星传输服务，互联网和相关服务；其他未列明</w:t>
      </w:r>
      <w:r>
        <w:rPr>
          <w:rFonts w:hint="eastAsia" w:ascii="仿宋" w:hAnsi="仿宋" w:eastAsia="仿宋" w:cs="仿宋"/>
          <w:color w:val="auto"/>
          <w:spacing w:val="18"/>
          <w:sz w:val="22"/>
          <w:szCs w:val="22"/>
          <w:highlight w:val="none"/>
          <w:lang w:eastAsia="zh-CN"/>
        </w:rPr>
        <w:t xml:space="preserve"> </w:t>
      </w:r>
      <w:r>
        <w:rPr>
          <w:rFonts w:hint="eastAsia" w:ascii="仿宋" w:hAnsi="仿宋" w:eastAsia="仿宋" w:cs="仿宋"/>
          <w:color w:val="auto"/>
          <w:spacing w:val="6"/>
          <w:sz w:val="22"/>
          <w:szCs w:val="22"/>
          <w:highlight w:val="none"/>
          <w:lang w:eastAsia="zh-CN"/>
        </w:rPr>
        <w:t>行业包括科学研究和技术服务业，水利、环境和公共</w:t>
      </w:r>
      <w:r>
        <w:rPr>
          <w:rFonts w:hint="eastAsia" w:ascii="仿宋" w:hAnsi="仿宋" w:eastAsia="仿宋" w:cs="仿宋"/>
          <w:color w:val="auto"/>
          <w:spacing w:val="5"/>
          <w:sz w:val="22"/>
          <w:szCs w:val="22"/>
          <w:highlight w:val="none"/>
          <w:lang w:eastAsia="zh-CN"/>
        </w:rPr>
        <w:t>设施管理业，居民服务、修理和其他服务业，</w:t>
      </w:r>
      <w:r>
        <w:rPr>
          <w:rFonts w:hint="eastAsia" w:ascii="仿宋" w:hAnsi="仿宋" w:eastAsia="仿宋" w:cs="仿宋"/>
          <w:color w:val="auto"/>
          <w:sz w:val="22"/>
          <w:szCs w:val="22"/>
          <w:highlight w:val="none"/>
          <w:lang w:eastAsia="zh-CN"/>
        </w:rPr>
        <w:t xml:space="preserve"> </w:t>
      </w:r>
      <w:r>
        <w:rPr>
          <w:rFonts w:hint="eastAsia" w:ascii="仿宋" w:hAnsi="仿宋" w:eastAsia="仿宋" w:cs="仿宋"/>
          <w:color w:val="auto"/>
          <w:spacing w:val="4"/>
          <w:sz w:val="22"/>
          <w:szCs w:val="22"/>
          <w:highlight w:val="none"/>
          <w:lang w:eastAsia="zh-CN"/>
        </w:rPr>
        <w:t>社会工作，文化、体育和娱乐业，以及房地产中介服务，其他房地产业等，不包括自有房地产经营</w:t>
      </w:r>
      <w:r>
        <w:rPr>
          <w:rFonts w:hint="eastAsia" w:ascii="仿宋" w:hAnsi="仿宋" w:eastAsia="仿宋" w:cs="仿宋"/>
          <w:color w:val="auto"/>
          <w:spacing w:val="9"/>
          <w:sz w:val="22"/>
          <w:szCs w:val="22"/>
          <w:highlight w:val="none"/>
          <w:lang w:eastAsia="zh-CN"/>
        </w:rPr>
        <w:t xml:space="preserve"> </w:t>
      </w:r>
      <w:r>
        <w:rPr>
          <w:rFonts w:hint="eastAsia" w:ascii="仿宋" w:hAnsi="仿宋" w:eastAsia="仿宋" w:cs="仿宋"/>
          <w:color w:val="auto"/>
          <w:spacing w:val="-7"/>
          <w:sz w:val="19"/>
          <w:szCs w:val="19"/>
          <w:highlight w:val="none"/>
          <w:lang w:eastAsia="zh-CN"/>
        </w:rPr>
        <w:t>活</w:t>
      </w:r>
      <w:r>
        <w:rPr>
          <w:rFonts w:hint="eastAsia" w:ascii="仿宋" w:hAnsi="仿宋" w:eastAsia="仿宋" w:cs="仿宋"/>
          <w:color w:val="auto"/>
          <w:spacing w:val="-22"/>
          <w:sz w:val="19"/>
          <w:szCs w:val="19"/>
          <w:highlight w:val="none"/>
          <w:lang w:eastAsia="zh-CN"/>
        </w:rPr>
        <w:t xml:space="preserve"> </w:t>
      </w:r>
      <w:r>
        <w:rPr>
          <w:rFonts w:hint="eastAsia" w:ascii="仿宋" w:hAnsi="仿宋" w:eastAsia="仿宋" w:cs="仿宋"/>
          <w:color w:val="auto"/>
          <w:spacing w:val="-7"/>
          <w:sz w:val="19"/>
          <w:szCs w:val="19"/>
          <w:highlight w:val="none"/>
          <w:lang w:eastAsia="zh-CN"/>
        </w:rPr>
        <w:t>动</w:t>
      </w:r>
      <w:r>
        <w:rPr>
          <w:rFonts w:hint="eastAsia" w:ascii="仿宋" w:hAnsi="仿宋" w:eastAsia="仿宋" w:cs="仿宋"/>
          <w:color w:val="auto"/>
          <w:spacing w:val="-29"/>
          <w:sz w:val="19"/>
          <w:szCs w:val="19"/>
          <w:highlight w:val="none"/>
          <w:lang w:eastAsia="zh-CN"/>
        </w:rPr>
        <w:t xml:space="preserve"> </w:t>
      </w:r>
      <w:r>
        <w:rPr>
          <w:rFonts w:hint="eastAsia" w:ascii="仿宋" w:hAnsi="仿宋" w:eastAsia="仿宋" w:cs="仿宋"/>
          <w:color w:val="auto"/>
          <w:spacing w:val="-7"/>
          <w:sz w:val="19"/>
          <w:szCs w:val="19"/>
          <w:highlight w:val="none"/>
          <w:lang w:eastAsia="zh-CN"/>
        </w:rPr>
        <w:t>。</w:t>
      </w:r>
    </w:p>
    <w:p w14:paraId="03A7A511">
      <w:pPr>
        <w:spacing w:line="460" w:lineRule="exact"/>
        <w:ind w:firstLine="488" w:firstLineChars="200"/>
        <w:rPr>
          <w:rFonts w:ascii="仿宋" w:hAnsi="仿宋" w:eastAsia="仿宋" w:cs="仿宋"/>
          <w:color w:val="auto"/>
          <w:sz w:val="22"/>
          <w:szCs w:val="22"/>
          <w:highlight w:val="none"/>
          <w:lang w:eastAsia="zh-CN"/>
        </w:rPr>
      </w:pPr>
      <w:r>
        <w:rPr>
          <w:rFonts w:hint="eastAsia" w:ascii="仿宋" w:hAnsi="仿宋" w:eastAsia="仿宋" w:cs="仿宋"/>
          <w:color w:val="auto"/>
          <w:spacing w:val="12"/>
          <w:sz w:val="22"/>
          <w:szCs w:val="22"/>
          <w:highlight w:val="none"/>
          <w:lang w:eastAsia="zh-CN"/>
        </w:rPr>
        <w:t>3.企业划分指标以现行统计制度为准。(1)从业人员，是指</w:t>
      </w:r>
      <w:r>
        <w:rPr>
          <w:rFonts w:hint="eastAsia" w:ascii="仿宋" w:hAnsi="仿宋" w:eastAsia="仿宋" w:cs="仿宋"/>
          <w:color w:val="auto"/>
          <w:spacing w:val="11"/>
          <w:sz w:val="22"/>
          <w:szCs w:val="22"/>
          <w:highlight w:val="none"/>
          <w:lang w:eastAsia="zh-CN"/>
        </w:rPr>
        <w:t>期末从业人员数，没有期末从业</w:t>
      </w:r>
      <w:r>
        <w:rPr>
          <w:rFonts w:hint="eastAsia" w:ascii="仿宋" w:hAnsi="仿宋" w:eastAsia="仿宋" w:cs="仿宋"/>
          <w:color w:val="auto"/>
          <w:sz w:val="22"/>
          <w:szCs w:val="22"/>
          <w:highlight w:val="none"/>
          <w:lang w:eastAsia="zh-CN"/>
        </w:rPr>
        <w:t xml:space="preserve"> </w:t>
      </w:r>
      <w:r>
        <w:rPr>
          <w:rFonts w:hint="eastAsia" w:ascii="仿宋" w:hAnsi="仿宋" w:eastAsia="仿宋" w:cs="仿宋"/>
          <w:color w:val="auto"/>
          <w:spacing w:val="11"/>
          <w:sz w:val="22"/>
          <w:szCs w:val="22"/>
          <w:highlight w:val="none"/>
          <w:lang w:eastAsia="zh-CN"/>
        </w:rPr>
        <w:t>人员数的，采用全年平均人员数代替。(2)营业收入，工业、建筑业、限额以上批发和零售业、</w:t>
      </w:r>
      <w:r>
        <w:rPr>
          <w:rFonts w:hint="eastAsia" w:ascii="仿宋" w:hAnsi="仿宋" w:eastAsia="仿宋" w:cs="仿宋"/>
          <w:color w:val="auto"/>
          <w:spacing w:val="16"/>
          <w:sz w:val="22"/>
          <w:szCs w:val="22"/>
          <w:highlight w:val="none"/>
          <w:lang w:eastAsia="zh-CN"/>
        </w:rPr>
        <w:t xml:space="preserve"> </w:t>
      </w:r>
      <w:r>
        <w:rPr>
          <w:rFonts w:hint="eastAsia" w:ascii="仿宋" w:hAnsi="仿宋" w:eastAsia="仿宋" w:cs="仿宋"/>
          <w:color w:val="auto"/>
          <w:spacing w:val="4"/>
          <w:sz w:val="22"/>
          <w:szCs w:val="22"/>
          <w:highlight w:val="none"/>
          <w:lang w:eastAsia="zh-CN"/>
        </w:rPr>
        <w:t>限额以上住宿和餐饮业以及其他设置主营业务收入指标的行业，采用主营业务收入；限额以下批发</w:t>
      </w:r>
      <w:r>
        <w:rPr>
          <w:rFonts w:hint="eastAsia" w:ascii="仿宋" w:hAnsi="仿宋" w:eastAsia="仿宋" w:cs="仿宋"/>
          <w:color w:val="auto"/>
          <w:spacing w:val="12"/>
          <w:sz w:val="22"/>
          <w:szCs w:val="22"/>
          <w:highlight w:val="none"/>
          <w:lang w:eastAsia="zh-CN"/>
        </w:rPr>
        <w:t xml:space="preserve"> </w:t>
      </w:r>
      <w:r>
        <w:rPr>
          <w:rFonts w:hint="eastAsia" w:ascii="仿宋" w:hAnsi="仿宋" w:eastAsia="仿宋" w:cs="仿宋"/>
          <w:color w:val="auto"/>
          <w:spacing w:val="4"/>
          <w:sz w:val="22"/>
          <w:szCs w:val="22"/>
          <w:highlight w:val="none"/>
          <w:lang w:eastAsia="zh-CN"/>
        </w:rPr>
        <w:t>与零售业企业采用商品销售额代替；限额以下住宿与餐饮业企业采用营</w:t>
      </w:r>
      <w:r>
        <w:rPr>
          <w:rFonts w:hint="eastAsia" w:ascii="仿宋" w:hAnsi="仿宋" w:eastAsia="仿宋" w:cs="仿宋"/>
          <w:color w:val="auto"/>
          <w:spacing w:val="3"/>
          <w:sz w:val="22"/>
          <w:szCs w:val="22"/>
          <w:highlight w:val="none"/>
          <w:lang w:eastAsia="zh-CN"/>
        </w:rPr>
        <w:t>业额代替；农、林、牧、渔</w:t>
      </w:r>
      <w:r>
        <w:rPr>
          <w:rFonts w:hint="eastAsia" w:ascii="仿宋" w:hAnsi="仿宋" w:eastAsia="仿宋" w:cs="仿宋"/>
          <w:color w:val="auto"/>
          <w:sz w:val="22"/>
          <w:szCs w:val="22"/>
          <w:highlight w:val="none"/>
          <w:lang w:eastAsia="zh-CN"/>
        </w:rPr>
        <w:t xml:space="preserve"> </w:t>
      </w:r>
      <w:r>
        <w:rPr>
          <w:rFonts w:hint="eastAsia" w:ascii="仿宋" w:hAnsi="仿宋" w:eastAsia="仿宋" w:cs="仿宋"/>
          <w:color w:val="auto"/>
          <w:spacing w:val="12"/>
          <w:sz w:val="22"/>
          <w:szCs w:val="22"/>
          <w:highlight w:val="none"/>
          <w:lang w:eastAsia="zh-CN"/>
        </w:rPr>
        <w:t>业企业采用营业总收入代替；其他未设置主营业务收入的行业，采用营业收入指标。(3</w:t>
      </w:r>
      <w:r>
        <w:rPr>
          <w:rFonts w:hint="eastAsia" w:ascii="仿宋" w:hAnsi="仿宋" w:eastAsia="仿宋" w:cs="仿宋"/>
          <w:color w:val="auto"/>
          <w:spacing w:val="11"/>
          <w:sz w:val="22"/>
          <w:szCs w:val="22"/>
          <w:highlight w:val="none"/>
          <w:lang w:eastAsia="zh-CN"/>
        </w:rPr>
        <w:t>)资产总</w:t>
      </w:r>
      <w:r>
        <w:rPr>
          <w:rFonts w:hint="eastAsia" w:ascii="仿宋" w:hAnsi="仿宋" w:eastAsia="仿宋" w:cs="仿宋"/>
          <w:color w:val="auto"/>
          <w:sz w:val="22"/>
          <w:szCs w:val="22"/>
          <w:highlight w:val="none"/>
          <w:lang w:eastAsia="zh-CN"/>
        </w:rPr>
        <w:t xml:space="preserve"> </w:t>
      </w:r>
      <w:r>
        <w:rPr>
          <w:rFonts w:hint="eastAsia" w:ascii="仿宋" w:hAnsi="仿宋" w:eastAsia="仿宋" w:cs="仿宋"/>
          <w:color w:val="auto"/>
          <w:spacing w:val="6"/>
          <w:sz w:val="22"/>
          <w:szCs w:val="22"/>
          <w:highlight w:val="none"/>
          <w:lang w:eastAsia="zh-CN"/>
        </w:rPr>
        <w:t>额，采用资产总计代替。</w:t>
      </w:r>
    </w:p>
    <w:p w14:paraId="5AB9BDDA">
      <w:pPr>
        <w:spacing w:line="460" w:lineRule="exact"/>
        <w:ind w:firstLine="440" w:firstLineChars="200"/>
        <w:rPr>
          <w:rFonts w:ascii="仿宋" w:hAnsi="仿宋" w:eastAsia="仿宋" w:cs="仿宋"/>
          <w:color w:val="auto"/>
          <w:sz w:val="22"/>
          <w:szCs w:val="22"/>
          <w:highlight w:val="none"/>
          <w:lang w:eastAsia="zh-CN"/>
        </w:rPr>
        <w:sectPr>
          <w:pgSz w:w="11910" w:h="16830"/>
          <w:pgMar w:top="1120" w:right="1100" w:bottom="1099" w:left="1110" w:header="0" w:footer="955" w:gutter="0"/>
          <w:cols w:space="720" w:num="1"/>
        </w:sectPr>
      </w:pPr>
    </w:p>
    <w:p w14:paraId="7CF07EB6">
      <w:pPr>
        <w:shd w:val="clear" w:color="auto" w:fill="FFFFFF"/>
        <w:spacing w:before="30" w:after="30"/>
        <w:rPr>
          <w:rFonts w:ascii="仿宋" w:hAnsi="仿宋" w:eastAsia="仿宋" w:cs="仿宋"/>
          <w:color w:val="auto"/>
          <w:sz w:val="32"/>
          <w:szCs w:val="32"/>
          <w:highlight w:val="none"/>
          <w:lang w:eastAsia="zh-CN" w:bidi="ar"/>
        </w:rPr>
      </w:pPr>
      <w:r>
        <w:rPr>
          <w:rFonts w:hint="eastAsia" w:ascii="仿宋" w:hAnsi="仿宋" w:eastAsia="仿宋" w:cs="仿宋"/>
          <w:color w:val="auto"/>
          <w:sz w:val="32"/>
          <w:szCs w:val="32"/>
          <w:highlight w:val="none"/>
          <w:lang w:eastAsia="zh-CN" w:bidi="ar"/>
        </w:rPr>
        <w:t>附件3</w:t>
      </w:r>
    </w:p>
    <w:p w14:paraId="7C38352F">
      <w:pPr>
        <w:shd w:val="clear" w:color="auto" w:fill="FFFFFF"/>
        <w:spacing w:before="30" w:after="30"/>
        <w:rPr>
          <w:rFonts w:ascii="仿宋" w:hAnsi="仿宋" w:eastAsia="仿宋" w:cs="仿宋"/>
          <w:color w:val="auto"/>
          <w:sz w:val="32"/>
          <w:szCs w:val="32"/>
          <w:highlight w:val="none"/>
          <w:lang w:eastAsia="zh-CN" w:bidi="ar"/>
        </w:rPr>
      </w:pPr>
    </w:p>
    <w:p w14:paraId="76F53F4D">
      <w:pPr>
        <w:shd w:val="clear" w:color="auto" w:fill="FFFFFF"/>
        <w:spacing w:before="30" w:after="30"/>
        <w:jc w:val="center"/>
        <w:rPr>
          <w:rFonts w:ascii="仿宋" w:hAnsi="仿宋" w:eastAsia="仿宋" w:cs="仿宋"/>
          <w:color w:val="auto"/>
          <w:sz w:val="36"/>
          <w:szCs w:val="36"/>
          <w:highlight w:val="none"/>
          <w:lang w:eastAsia="zh-CN" w:bidi="ar"/>
        </w:rPr>
      </w:pPr>
      <w:r>
        <w:rPr>
          <w:rStyle w:val="27"/>
          <w:rFonts w:hint="eastAsia" w:ascii="仿宋" w:hAnsi="仿宋" w:eastAsia="仿宋" w:cs="仿宋"/>
          <w:color w:val="auto"/>
          <w:kern w:val="2"/>
          <w:sz w:val="36"/>
          <w:szCs w:val="36"/>
          <w:highlight w:val="none"/>
          <w:shd w:val="clear" w:color="auto" w:fill="FFFFFF"/>
          <w:lang w:eastAsia="zh-CN"/>
        </w:rPr>
        <w:t>中国境内生产的组件成本核算基本规则</w:t>
      </w:r>
    </w:p>
    <w:p w14:paraId="3DF7DF72">
      <w:pPr>
        <w:shd w:val="clear" w:color="auto" w:fill="FFFFFF"/>
        <w:spacing w:before="30" w:after="30"/>
        <w:jc w:val="both"/>
        <w:rPr>
          <w:rFonts w:ascii="仿宋" w:hAnsi="仿宋" w:eastAsia="仿宋" w:cs="仿宋"/>
          <w:color w:val="auto"/>
          <w:sz w:val="24"/>
          <w:szCs w:val="24"/>
          <w:highlight w:val="none"/>
          <w:lang w:eastAsia="zh-CN" w:bidi="ar"/>
        </w:rPr>
      </w:pPr>
    </w:p>
    <w:p w14:paraId="0CB7B57B">
      <w:pPr>
        <w:shd w:val="clear" w:color="auto" w:fill="FFFFFF"/>
        <w:spacing w:before="30" w:after="30"/>
        <w:ind w:firstLine="420"/>
        <w:jc w:val="both"/>
        <w:rPr>
          <w:rFonts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shd w:val="clear" w:color="auto" w:fill="FFFFFF"/>
          <w:lang w:eastAsia="zh-CN" w:bidi="ar"/>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6D9BE18">
      <w:pPr>
        <w:shd w:val="clear" w:color="auto" w:fill="FFFFFF"/>
        <w:spacing w:before="30" w:after="30"/>
        <w:ind w:firstLine="420"/>
        <w:jc w:val="both"/>
        <w:rPr>
          <w:rFonts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shd w:val="clear" w:color="auto" w:fill="FFFFFF"/>
          <w:lang w:eastAsia="zh-CN" w:bidi="ar"/>
        </w:rPr>
        <w:t>一、产品的一级组件是指直接组成产品的组件。产品的二级组件是指直接组成产品一级组件的组件。一级组件不可分解的，视同二级组件。</w:t>
      </w:r>
    </w:p>
    <w:p w14:paraId="6CCAF70C">
      <w:pPr>
        <w:shd w:val="clear" w:color="auto" w:fill="FFFFFF"/>
        <w:spacing w:before="30" w:after="30"/>
        <w:ind w:firstLine="420"/>
        <w:jc w:val="both"/>
        <w:rPr>
          <w:rFonts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shd w:val="clear" w:color="auto" w:fill="FFFFFF"/>
          <w:lang w:eastAsia="zh-CN" w:bidi="ar"/>
        </w:rPr>
        <w:t>二、二级组件在中国境内生产的，其全部成本计入中国境内生产的组件成本；二级组件不在中国境内生产的，其成本不计入中国境内生产的组件成本。</w:t>
      </w:r>
    </w:p>
    <w:p w14:paraId="3B97BCFC">
      <w:pPr>
        <w:shd w:val="clear" w:color="auto" w:fill="FFFFFF"/>
        <w:spacing w:before="30" w:after="30"/>
        <w:ind w:firstLine="420"/>
        <w:jc w:val="both"/>
        <w:rPr>
          <w:rFonts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shd w:val="clear" w:color="auto" w:fill="FFFFFF"/>
          <w:lang w:eastAsia="zh-CN" w:bidi="ar"/>
        </w:rPr>
        <w:t>三、产品总成本和组件成本以相关会计核算数据、采购合同、进货记录等为基础进行计算。</w:t>
      </w:r>
    </w:p>
    <w:p w14:paraId="4822ECD6">
      <w:pPr>
        <w:shd w:val="clear" w:color="auto" w:fill="FFFFFF"/>
        <w:spacing w:before="30" w:after="30"/>
        <w:ind w:firstLine="420"/>
        <w:jc w:val="both"/>
        <w:rPr>
          <w:rFonts w:ascii="仿宋" w:hAnsi="仿宋" w:eastAsia="仿宋" w:cs="仿宋"/>
          <w:color w:val="auto"/>
          <w:sz w:val="24"/>
          <w:szCs w:val="24"/>
          <w:highlight w:val="none"/>
          <w:lang w:eastAsia="zh-CN" w:bidi="ar"/>
        </w:rPr>
      </w:pPr>
      <w:r>
        <w:rPr>
          <w:rFonts w:hint="eastAsia" w:ascii="仿宋" w:hAnsi="仿宋" w:eastAsia="仿宋" w:cs="仿宋"/>
          <w:color w:val="auto"/>
          <w:sz w:val="24"/>
          <w:szCs w:val="24"/>
          <w:highlight w:val="none"/>
          <w:shd w:val="clear" w:color="auto" w:fill="FFFFFF"/>
          <w:lang w:eastAsia="zh-CN" w:bidi="ar"/>
        </w:rPr>
        <w:t>四、需要对成本核算规则予以进一步明确的其他有关事项，由财政部会同有关部门另行规定。</w:t>
      </w:r>
    </w:p>
    <w:p w14:paraId="306F7027">
      <w:pPr>
        <w:spacing w:line="460" w:lineRule="exact"/>
        <w:rPr>
          <w:rFonts w:ascii="仿宋" w:hAnsi="仿宋" w:eastAsia="仿宋" w:cs="仿宋"/>
          <w:color w:val="auto"/>
          <w:sz w:val="22"/>
          <w:szCs w:val="22"/>
          <w:highlight w:val="none"/>
          <w:lang w:eastAsia="zh-CN"/>
        </w:rPr>
        <w:sectPr>
          <w:pgSz w:w="11910" w:h="16830"/>
          <w:pgMar w:top="1120" w:right="1100" w:bottom="1099" w:left="1110" w:header="0" w:footer="955" w:gutter="0"/>
          <w:cols w:space="720" w:num="1"/>
        </w:sectPr>
      </w:pPr>
    </w:p>
    <w:p w14:paraId="6912F431">
      <w:pPr>
        <w:widowControl w:val="0"/>
        <w:kinsoku/>
        <w:autoSpaceDE/>
        <w:autoSpaceDN/>
        <w:adjustRightInd/>
        <w:ind w:left="3360" w:hanging="420"/>
        <w:jc w:val="both"/>
        <w:textAlignment w:val="auto"/>
        <w:rPr>
          <w:rFonts w:ascii="仿宋" w:hAnsi="仿宋" w:eastAsia="仿宋" w:cs="仿宋"/>
          <w:snapToGrid/>
          <w:color w:val="auto"/>
          <w:sz w:val="20"/>
          <w:highlight w:val="none"/>
          <w:lang w:eastAsia="zh-CN"/>
        </w:rPr>
      </w:pPr>
    </w:p>
    <w:p w14:paraId="28CA26D6">
      <w:pPr>
        <w:spacing w:line="460" w:lineRule="exact"/>
        <w:ind w:firstLine="863" w:firstLineChars="200"/>
        <w:jc w:val="center"/>
        <w:outlineLvl w:val="0"/>
        <w:rPr>
          <w:rFonts w:ascii="仿宋" w:hAnsi="仿宋" w:eastAsia="仿宋" w:cs="仿宋"/>
          <w:color w:val="auto"/>
          <w:sz w:val="44"/>
          <w:szCs w:val="44"/>
          <w:highlight w:val="none"/>
          <w:lang w:eastAsia="zh-CN"/>
        </w:rPr>
      </w:pPr>
      <w:bookmarkStart w:id="52" w:name="_Toc31274"/>
      <w:r>
        <w:rPr>
          <w:rFonts w:hint="eastAsia" w:ascii="仿宋" w:hAnsi="仿宋" w:eastAsia="仿宋" w:cs="仿宋"/>
          <w:b/>
          <w:bCs/>
          <w:color w:val="auto"/>
          <w:spacing w:val="-5"/>
          <w:sz w:val="44"/>
          <w:szCs w:val="44"/>
          <w:highlight w:val="none"/>
          <w:lang w:eastAsia="zh-CN"/>
        </w:rPr>
        <w:t>第四章</w:t>
      </w:r>
      <w:r>
        <w:rPr>
          <w:rFonts w:hint="eastAsia" w:ascii="仿宋" w:hAnsi="仿宋" w:eastAsia="仿宋" w:cs="仿宋"/>
          <w:color w:val="auto"/>
          <w:spacing w:val="-5"/>
          <w:sz w:val="44"/>
          <w:szCs w:val="44"/>
          <w:highlight w:val="none"/>
          <w:lang w:eastAsia="zh-CN"/>
        </w:rPr>
        <w:t xml:space="preserve">  </w:t>
      </w:r>
      <w:r>
        <w:rPr>
          <w:rFonts w:hint="eastAsia" w:ascii="仿宋" w:hAnsi="仿宋" w:eastAsia="仿宋" w:cs="仿宋"/>
          <w:b/>
          <w:bCs/>
          <w:color w:val="auto"/>
          <w:spacing w:val="-5"/>
          <w:sz w:val="44"/>
          <w:szCs w:val="44"/>
          <w:highlight w:val="none"/>
          <w:lang w:eastAsia="zh-CN"/>
        </w:rPr>
        <w:t>评审程序、评审方法和评审标准</w:t>
      </w:r>
      <w:bookmarkEnd w:id="52"/>
    </w:p>
    <w:p w14:paraId="72CB3A5D">
      <w:pPr>
        <w:pStyle w:val="10"/>
        <w:spacing w:line="460" w:lineRule="exact"/>
        <w:ind w:firstLine="420" w:firstLineChars="200"/>
        <w:jc w:val="center"/>
        <w:rPr>
          <w:rFonts w:ascii="仿宋" w:hAnsi="仿宋" w:eastAsia="仿宋" w:cs="仿宋"/>
          <w:color w:val="auto"/>
          <w:highlight w:val="none"/>
          <w:lang w:eastAsia="zh-CN"/>
        </w:rPr>
      </w:pPr>
    </w:p>
    <w:p w14:paraId="3014BE18">
      <w:pPr>
        <w:spacing w:line="460" w:lineRule="exact"/>
        <w:ind w:firstLine="688" w:firstLineChars="200"/>
        <w:jc w:val="center"/>
        <w:rPr>
          <w:rFonts w:ascii="仿宋" w:hAnsi="仿宋" w:eastAsia="仿宋" w:cs="仿宋"/>
          <w:color w:val="auto"/>
          <w:sz w:val="32"/>
          <w:szCs w:val="32"/>
          <w:highlight w:val="none"/>
          <w:lang w:eastAsia="zh-CN"/>
        </w:rPr>
      </w:pPr>
      <w:r>
        <w:rPr>
          <w:rFonts w:hint="eastAsia" w:ascii="仿宋" w:hAnsi="仿宋" w:eastAsia="仿宋" w:cs="仿宋"/>
          <w:color w:val="auto"/>
          <w:spacing w:val="12"/>
          <w:sz w:val="32"/>
          <w:szCs w:val="32"/>
          <w:highlight w:val="none"/>
          <w:lang w:eastAsia="zh-CN"/>
        </w:rPr>
        <w:t>第一节评审程序和评审方法</w:t>
      </w:r>
    </w:p>
    <w:p w14:paraId="21CA8CF1">
      <w:pPr>
        <w:spacing w:line="460" w:lineRule="exact"/>
        <w:rPr>
          <w:rFonts w:ascii="仿宋" w:hAnsi="仿宋" w:eastAsia="仿宋" w:cs="仿宋"/>
          <w:color w:val="auto"/>
          <w:highlight w:val="none"/>
          <w:lang w:eastAsia="zh-CN"/>
        </w:rPr>
      </w:pPr>
      <w:r>
        <w:rPr>
          <w:rFonts w:hint="eastAsia" w:ascii="仿宋" w:hAnsi="仿宋" w:eastAsia="仿宋" w:cs="仿宋"/>
          <w:b/>
          <w:bCs/>
          <w:color w:val="auto"/>
          <w:spacing w:val="20"/>
          <w:highlight w:val="none"/>
          <w:lang w:eastAsia="zh-CN"/>
        </w:rPr>
        <w:t>1.</w:t>
      </w:r>
      <w:r>
        <w:rPr>
          <w:rFonts w:hint="eastAsia" w:ascii="仿宋" w:hAnsi="仿宋" w:eastAsia="仿宋" w:cs="仿宋"/>
          <w:color w:val="auto"/>
          <w:spacing w:val="-60"/>
          <w:highlight w:val="none"/>
          <w:lang w:eastAsia="zh-CN"/>
        </w:rPr>
        <w:t xml:space="preserve"> </w:t>
      </w:r>
      <w:r>
        <w:rPr>
          <w:rFonts w:hint="eastAsia" w:ascii="仿宋" w:hAnsi="仿宋" w:eastAsia="仿宋" w:cs="仿宋"/>
          <w:b/>
          <w:bCs/>
          <w:color w:val="auto"/>
          <w:spacing w:val="20"/>
          <w:highlight w:val="none"/>
          <w:lang w:eastAsia="zh-CN"/>
        </w:rPr>
        <w:t>确认磋商文件</w:t>
      </w:r>
    </w:p>
    <w:p w14:paraId="4B9C8778">
      <w:pPr>
        <w:spacing w:line="460" w:lineRule="exact"/>
        <w:ind w:firstLine="424" w:firstLineChars="200"/>
        <w:rPr>
          <w:rFonts w:ascii="仿宋" w:hAnsi="仿宋" w:eastAsia="仿宋" w:cs="仿宋"/>
          <w:color w:val="auto"/>
          <w:highlight w:val="none"/>
          <w:lang w:eastAsia="zh-CN"/>
        </w:rPr>
      </w:pPr>
      <w:r>
        <w:rPr>
          <w:rFonts w:hint="eastAsia" w:ascii="仿宋" w:hAnsi="仿宋" w:eastAsia="仿宋" w:cs="仿宋"/>
          <w:color w:val="auto"/>
          <w:spacing w:val="1"/>
          <w:highlight w:val="none"/>
          <w:lang w:eastAsia="zh-CN"/>
        </w:rPr>
        <w:t>由磋商小组确认磋商文件。</w:t>
      </w:r>
    </w:p>
    <w:p w14:paraId="1210BFCF">
      <w:pPr>
        <w:spacing w:line="460" w:lineRule="exact"/>
        <w:rPr>
          <w:rFonts w:ascii="仿宋" w:hAnsi="仿宋" w:eastAsia="仿宋" w:cs="仿宋"/>
          <w:color w:val="auto"/>
          <w:highlight w:val="none"/>
          <w:lang w:eastAsia="zh-CN"/>
        </w:rPr>
      </w:pPr>
      <w:r>
        <w:rPr>
          <w:rFonts w:hint="eastAsia" w:ascii="仿宋" w:hAnsi="仿宋" w:eastAsia="仿宋" w:cs="仿宋"/>
          <w:b/>
          <w:bCs/>
          <w:color w:val="auto"/>
          <w:spacing w:val="-4"/>
          <w:highlight w:val="none"/>
          <w:lang w:eastAsia="zh-CN"/>
        </w:rPr>
        <w:t>2.资格审查</w:t>
      </w:r>
    </w:p>
    <w:p w14:paraId="0C41FE7F">
      <w:pPr>
        <w:spacing w:line="460" w:lineRule="exact"/>
        <w:ind w:firstLine="424" w:firstLineChars="200"/>
        <w:rPr>
          <w:rFonts w:ascii="仿宋" w:hAnsi="仿宋" w:eastAsia="仿宋" w:cs="仿宋"/>
          <w:color w:val="auto"/>
          <w:highlight w:val="none"/>
          <w:lang w:eastAsia="zh-CN"/>
        </w:rPr>
      </w:pPr>
      <w:r>
        <w:rPr>
          <w:rFonts w:hint="eastAsia" w:ascii="仿宋" w:hAnsi="仿宋" w:eastAsia="仿宋" w:cs="仿宋"/>
          <w:color w:val="auto"/>
          <w:spacing w:val="1"/>
          <w:highlight w:val="none"/>
          <w:lang w:eastAsia="zh-CN"/>
        </w:rPr>
        <w:t>2.1响应文件开启后，磋商小组依法对供应商的资格证明文件进行审查。</w:t>
      </w:r>
    </w:p>
    <w:p w14:paraId="49F87CD7">
      <w:pPr>
        <w:spacing w:line="460" w:lineRule="exact"/>
        <w:ind w:firstLine="42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注：采购人代表或者采购代理机构在资格审查结束前，对供应商进行信用查询。</w:t>
      </w:r>
    </w:p>
    <w:p w14:paraId="7F525896">
      <w:pPr>
        <w:spacing w:line="460" w:lineRule="exact"/>
        <w:ind w:firstLine="432" w:firstLineChars="200"/>
        <w:rPr>
          <w:rFonts w:ascii="仿宋" w:hAnsi="仿宋" w:eastAsia="仿宋" w:cs="仿宋"/>
          <w:color w:val="auto"/>
          <w:highlight w:val="none"/>
          <w:lang w:eastAsia="zh-CN"/>
        </w:rPr>
      </w:pPr>
      <w:r>
        <w:rPr>
          <w:rFonts w:hint="eastAsia" w:ascii="仿宋" w:hAnsi="仿宋" w:eastAsia="仿宋" w:cs="仿宋"/>
          <w:color w:val="auto"/>
          <w:spacing w:val="3"/>
          <w:highlight w:val="none"/>
          <w:lang w:eastAsia="zh-CN"/>
        </w:rPr>
        <w:t>(1)查询渠道：广西政府采购云平台“信用中国”网站(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hint="eastAsia" w:ascii="仿宋" w:hAnsi="仿宋" w:eastAsia="仿宋" w:cs="仿宋"/>
          <w:color w:val="auto"/>
          <w:highlight w:val="none"/>
          <w:u w:val="single"/>
          <w:lang w:eastAsia="zh-CN"/>
        </w:rPr>
        <w:t>www</w:t>
      </w:r>
      <w:r>
        <w:rPr>
          <w:rFonts w:hint="eastAsia" w:ascii="仿宋" w:hAnsi="仿宋" w:eastAsia="仿宋" w:cs="仿宋"/>
          <w:color w:val="auto"/>
          <w:spacing w:val="3"/>
          <w:highlight w:val="none"/>
          <w:u w:val="single"/>
          <w:lang w:eastAsia="zh-CN"/>
        </w:rPr>
        <w:t>.</w:t>
      </w:r>
      <w:r>
        <w:rPr>
          <w:rFonts w:hint="eastAsia" w:ascii="仿宋" w:hAnsi="仿宋" w:eastAsia="仿宋" w:cs="仿宋"/>
          <w:color w:val="auto"/>
          <w:highlight w:val="none"/>
          <w:u w:val="single"/>
          <w:lang w:eastAsia="zh-CN"/>
        </w:rPr>
        <w:t>creditchina</w:t>
      </w:r>
      <w:r>
        <w:rPr>
          <w:rFonts w:hint="eastAsia" w:ascii="仿宋" w:hAnsi="仿宋" w:eastAsia="仿宋" w:cs="仿宋"/>
          <w:color w:val="auto"/>
          <w:spacing w:val="3"/>
          <w:highlight w:val="none"/>
          <w:u w:val="single"/>
          <w:lang w:eastAsia="zh-CN"/>
        </w:rPr>
        <w:t>.</w:t>
      </w:r>
      <w:r>
        <w:rPr>
          <w:rFonts w:hint="eastAsia" w:ascii="仿宋" w:hAnsi="仿宋" w:eastAsia="仿宋" w:cs="仿宋"/>
          <w:color w:val="auto"/>
          <w:highlight w:val="none"/>
          <w:u w:val="single"/>
          <w:lang w:eastAsia="zh-CN"/>
        </w:rPr>
        <w:t>gov</w:t>
      </w:r>
      <w:r>
        <w:rPr>
          <w:rFonts w:hint="eastAsia" w:ascii="仿宋" w:hAnsi="仿宋" w:eastAsia="仿宋" w:cs="仿宋"/>
          <w:color w:val="auto"/>
          <w:spacing w:val="3"/>
          <w:highlight w:val="none"/>
          <w:u w:val="single"/>
          <w:lang w:eastAsia="zh-CN"/>
        </w:rPr>
        <w:t>.</w:t>
      </w:r>
      <w:r>
        <w:rPr>
          <w:rFonts w:hint="eastAsia" w:ascii="仿宋" w:hAnsi="仿宋" w:eastAsia="仿宋" w:cs="仿宋"/>
          <w:color w:val="auto"/>
          <w:highlight w:val="none"/>
          <w:u w:val="single"/>
          <w:lang w:eastAsia="zh-CN"/>
        </w:rPr>
        <w:t>cn</w:t>
      </w:r>
      <w:r>
        <w:rPr>
          <w:rFonts w:hint="eastAsia" w:ascii="仿宋" w:hAnsi="仿宋" w:eastAsia="仿宋" w:cs="仿宋"/>
          <w:color w:val="auto"/>
          <w:highlight w:val="none"/>
          <w:u w:val="single"/>
          <w:lang w:eastAsia="zh-CN"/>
        </w:rPr>
        <w:fldChar w:fldCharType="end"/>
      </w:r>
      <w:r>
        <w:rPr>
          <w:rFonts w:hint="eastAsia" w:ascii="仿宋" w:hAnsi="仿宋" w:eastAsia="仿宋" w:cs="仿宋"/>
          <w:color w:val="auto"/>
          <w:spacing w:val="3"/>
          <w:highlight w:val="none"/>
          <w:lang w:eastAsia="zh-CN"/>
        </w:rPr>
        <w:t xml:space="preserve"> )、中国政府采购</w:t>
      </w:r>
      <w:r>
        <w:rPr>
          <w:rFonts w:hint="eastAsia" w:ascii="仿宋" w:hAnsi="仿宋" w:eastAsia="仿宋" w:cs="仿宋"/>
          <w:color w:val="auto"/>
          <w:spacing w:val="12"/>
          <w:highlight w:val="none"/>
          <w:lang w:eastAsia="zh-CN"/>
        </w:rPr>
        <w:t xml:space="preserve"> </w:t>
      </w:r>
      <w:r>
        <w:rPr>
          <w:rFonts w:hint="eastAsia" w:ascii="仿宋" w:hAnsi="仿宋" w:eastAsia="仿宋" w:cs="仿宋"/>
          <w:color w:val="auto"/>
          <w:highlight w:val="none"/>
          <w:lang w:eastAsia="zh-CN"/>
        </w:rPr>
        <w:t>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hint="eastAsia" w:ascii="仿宋" w:hAnsi="仿宋" w:eastAsia="仿宋" w:cs="仿宋"/>
          <w:color w:val="auto"/>
          <w:highlight w:val="none"/>
          <w:u w:val="single"/>
          <w:lang w:eastAsia="zh-CN"/>
        </w:rPr>
        <w:t>www.ccgp.gov.cn</w:t>
      </w:r>
      <w:r>
        <w:rPr>
          <w:rFonts w:hint="eastAsia" w:ascii="仿宋" w:hAnsi="仿宋" w:eastAsia="仿宋" w:cs="仿宋"/>
          <w:color w:val="auto"/>
          <w:highlight w:val="none"/>
          <w:u w:val="single"/>
          <w:lang w:eastAsia="zh-CN"/>
        </w:rPr>
        <w:fldChar w:fldCharType="end"/>
      </w:r>
      <w:r>
        <w:rPr>
          <w:rFonts w:hint="eastAsia" w:ascii="仿宋" w:hAnsi="仿宋" w:eastAsia="仿宋" w:cs="仿宋"/>
          <w:color w:val="auto"/>
          <w:highlight w:val="none"/>
          <w:lang w:eastAsia="zh-CN"/>
        </w:rPr>
        <w:t>)链接入口。</w:t>
      </w:r>
    </w:p>
    <w:p w14:paraId="411746B3">
      <w:pPr>
        <w:spacing w:line="460" w:lineRule="exact"/>
        <w:ind w:firstLine="444" w:firstLineChars="200"/>
        <w:rPr>
          <w:rFonts w:ascii="仿宋" w:hAnsi="仿宋" w:eastAsia="仿宋" w:cs="仿宋"/>
          <w:color w:val="auto"/>
          <w:highlight w:val="none"/>
          <w:lang w:eastAsia="zh-CN"/>
        </w:rPr>
      </w:pPr>
      <w:r>
        <w:rPr>
          <w:rFonts w:hint="eastAsia" w:ascii="仿宋" w:hAnsi="仿宋" w:eastAsia="仿宋" w:cs="仿宋"/>
          <w:color w:val="auto"/>
          <w:spacing w:val="6"/>
          <w:highlight w:val="none"/>
          <w:lang w:eastAsia="zh-CN"/>
        </w:rPr>
        <w:t>(2)信用查询截止时点：资格审查结束前。</w:t>
      </w:r>
    </w:p>
    <w:p w14:paraId="00F4D864">
      <w:pPr>
        <w:spacing w:line="460" w:lineRule="exact"/>
        <w:ind w:firstLine="424" w:firstLineChars="200"/>
        <w:rPr>
          <w:rFonts w:ascii="仿宋" w:hAnsi="仿宋" w:eastAsia="仿宋" w:cs="仿宋"/>
          <w:color w:val="auto"/>
          <w:highlight w:val="none"/>
          <w:lang w:eastAsia="zh-CN"/>
        </w:rPr>
      </w:pPr>
      <w:r>
        <w:rPr>
          <w:rFonts w:hint="eastAsia" w:ascii="仿宋" w:hAnsi="仿宋" w:eastAsia="仿宋" w:cs="仿宋"/>
          <w:color w:val="auto"/>
          <w:spacing w:val="1"/>
          <w:highlight w:val="none"/>
          <w:lang w:eastAsia="zh-CN"/>
        </w:rPr>
        <w:t>查询记录和证据留存方式：在查询网站中直接查询记录</w:t>
      </w:r>
      <w:r>
        <w:rPr>
          <w:rFonts w:hint="eastAsia" w:ascii="仿宋" w:hAnsi="仿宋" w:eastAsia="仿宋" w:cs="仿宋"/>
          <w:color w:val="auto"/>
          <w:highlight w:val="none"/>
          <w:lang w:eastAsia="zh-CN"/>
        </w:rPr>
        <w:t>，截图另存为电子文档作为评审资料保存。</w:t>
      </w:r>
    </w:p>
    <w:p w14:paraId="1C876B81">
      <w:pPr>
        <w:spacing w:line="460" w:lineRule="exact"/>
        <w:ind w:firstLine="476" w:firstLineChars="200"/>
        <w:jc w:val="both"/>
        <w:rPr>
          <w:rFonts w:ascii="仿宋" w:hAnsi="仿宋" w:eastAsia="仿宋" w:cs="仿宋"/>
          <w:color w:val="auto"/>
          <w:highlight w:val="none"/>
          <w:lang w:eastAsia="zh-CN"/>
        </w:rPr>
      </w:pPr>
      <w:r>
        <w:rPr>
          <w:rFonts w:hint="eastAsia" w:ascii="仿宋" w:hAnsi="仿宋" w:eastAsia="仿宋" w:cs="仿宋"/>
          <w:color w:val="auto"/>
          <w:spacing w:val="14"/>
          <w:highlight w:val="none"/>
          <w:lang w:eastAsia="zh-CN"/>
        </w:rPr>
        <w:t>(3)信用信息使用规则：对在“信用中国”网站(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hint="eastAsia" w:ascii="仿宋" w:hAnsi="仿宋" w:eastAsia="仿宋" w:cs="仿宋"/>
          <w:color w:val="auto"/>
          <w:highlight w:val="none"/>
          <w:lang w:eastAsia="zh-CN"/>
        </w:rPr>
        <w:t>www</w:t>
      </w:r>
      <w:r>
        <w:rPr>
          <w:rFonts w:hint="eastAsia" w:ascii="仿宋" w:hAnsi="仿宋" w:eastAsia="仿宋" w:cs="仿宋"/>
          <w:color w:val="auto"/>
          <w:spacing w:val="14"/>
          <w:highlight w:val="none"/>
          <w:lang w:eastAsia="zh-CN"/>
        </w:rPr>
        <w:t>.</w:t>
      </w:r>
      <w:r>
        <w:rPr>
          <w:rFonts w:hint="eastAsia" w:ascii="仿宋" w:hAnsi="仿宋" w:eastAsia="仿宋" w:cs="仿宋"/>
          <w:color w:val="auto"/>
          <w:highlight w:val="none"/>
          <w:lang w:eastAsia="zh-CN"/>
        </w:rPr>
        <w:t>creditchina</w:t>
      </w:r>
      <w:r>
        <w:rPr>
          <w:rFonts w:hint="eastAsia" w:ascii="仿宋" w:hAnsi="仿宋" w:eastAsia="仿宋" w:cs="仿宋"/>
          <w:color w:val="auto"/>
          <w:spacing w:val="14"/>
          <w:highlight w:val="none"/>
          <w:lang w:eastAsia="zh-CN"/>
        </w:rPr>
        <w:t>.</w:t>
      </w:r>
      <w:r>
        <w:rPr>
          <w:rFonts w:hint="eastAsia" w:ascii="仿宋" w:hAnsi="仿宋" w:eastAsia="仿宋" w:cs="仿宋"/>
          <w:color w:val="auto"/>
          <w:highlight w:val="none"/>
          <w:lang w:eastAsia="zh-CN"/>
        </w:rPr>
        <w:t>gov</w:t>
      </w:r>
      <w:r>
        <w:rPr>
          <w:rFonts w:hint="eastAsia" w:ascii="仿宋" w:hAnsi="仿宋" w:eastAsia="仿宋" w:cs="仿宋"/>
          <w:color w:val="auto"/>
          <w:spacing w:val="14"/>
          <w:highlight w:val="none"/>
          <w:lang w:eastAsia="zh-CN"/>
        </w:rPr>
        <w:t>.</w:t>
      </w:r>
      <w:r>
        <w:rPr>
          <w:rFonts w:hint="eastAsia" w:ascii="仿宋" w:hAnsi="仿宋" w:eastAsia="仿宋" w:cs="仿宋"/>
          <w:color w:val="auto"/>
          <w:highlight w:val="none"/>
          <w:lang w:eastAsia="zh-CN"/>
        </w:rPr>
        <w:t>cn</w:t>
      </w:r>
      <w:r>
        <w:rPr>
          <w:rFonts w:hint="eastAsia" w:ascii="仿宋" w:hAnsi="仿宋" w:eastAsia="仿宋" w:cs="仿宋"/>
          <w:color w:val="auto"/>
          <w:highlight w:val="none"/>
          <w:lang w:eastAsia="zh-CN"/>
        </w:rPr>
        <w:fldChar w:fldCharType="end"/>
      </w:r>
      <w:r>
        <w:rPr>
          <w:rFonts w:hint="eastAsia" w:ascii="仿宋" w:hAnsi="仿宋" w:eastAsia="仿宋" w:cs="仿宋"/>
          <w:color w:val="auto"/>
          <w:spacing w:val="14"/>
          <w:highlight w:val="none"/>
          <w:lang w:eastAsia="zh-CN"/>
        </w:rPr>
        <w:t>)、</w:t>
      </w:r>
      <w:r>
        <w:rPr>
          <w:rFonts w:hint="eastAsia" w:ascii="仿宋" w:hAnsi="仿宋" w:eastAsia="仿宋" w:cs="仿宋"/>
          <w:color w:val="auto"/>
          <w:spacing w:val="51"/>
          <w:highlight w:val="none"/>
          <w:lang w:eastAsia="zh-CN"/>
        </w:rPr>
        <w:t xml:space="preserve"> </w:t>
      </w:r>
      <w:r>
        <w:rPr>
          <w:rFonts w:hint="eastAsia" w:ascii="仿宋" w:hAnsi="仿宋" w:eastAsia="仿宋" w:cs="仿宋"/>
          <w:color w:val="auto"/>
          <w:spacing w:val="14"/>
          <w:highlight w:val="none"/>
          <w:lang w:eastAsia="zh-CN"/>
        </w:rPr>
        <w:t>中国</w:t>
      </w:r>
      <w:r>
        <w:rPr>
          <w:rFonts w:hint="eastAsia" w:ascii="仿宋" w:hAnsi="仿宋" w:eastAsia="仿宋" w:cs="仿宋"/>
          <w:color w:val="auto"/>
          <w:spacing w:val="13"/>
          <w:highlight w:val="none"/>
          <w:lang w:eastAsia="zh-CN"/>
        </w:rPr>
        <w:t>政府采购网</w:t>
      </w:r>
      <w:r>
        <w:rPr>
          <w:rFonts w:hint="eastAsia" w:ascii="仿宋" w:hAnsi="仿宋" w:eastAsia="仿宋" w:cs="仿宋"/>
          <w:color w:val="auto"/>
          <w:highlight w:val="none"/>
          <w:lang w:eastAsia="zh-CN"/>
        </w:rPr>
        <w:t xml:space="preserve"> </w:t>
      </w:r>
      <w:r>
        <w:rPr>
          <w:rFonts w:hint="eastAsia" w:ascii="仿宋" w:hAnsi="仿宋" w:eastAsia="仿宋" w:cs="仿宋"/>
          <w:color w:val="auto"/>
          <w:spacing w:val="1"/>
          <w:highlight w:val="none"/>
          <w:lang w:eastAsia="zh-CN"/>
        </w:rPr>
        <w:t>(</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hint="eastAsia" w:ascii="仿宋" w:hAnsi="仿宋" w:eastAsia="仿宋" w:cs="仿宋"/>
          <w:color w:val="auto"/>
          <w:highlight w:val="none"/>
          <w:lang w:eastAsia="zh-CN"/>
        </w:rPr>
        <w:t>www</w:t>
      </w:r>
      <w:r>
        <w:rPr>
          <w:rFonts w:hint="eastAsia" w:ascii="仿宋" w:hAnsi="仿宋" w:eastAsia="仿宋" w:cs="仿宋"/>
          <w:color w:val="auto"/>
          <w:spacing w:val="1"/>
          <w:highlight w:val="none"/>
          <w:lang w:eastAsia="zh-CN"/>
        </w:rPr>
        <w:t>.</w:t>
      </w:r>
      <w:r>
        <w:rPr>
          <w:rFonts w:hint="eastAsia" w:ascii="仿宋" w:hAnsi="仿宋" w:eastAsia="仿宋" w:cs="仿宋"/>
          <w:color w:val="auto"/>
          <w:highlight w:val="none"/>
          <w:lang w:eastAsia="zh-CN"/>
        </w:rPr>
        <w:t>ccgp</w:t>
      </w:r>
      <w:r>
        <w:rPr>
          <w:rFonts w:hint="eastAsia" w:ascii="仿宋" w:hAnsi="仿宋" w:eastAsia="仿宋" w:cs="仿宋"/>
          <w:color w:val="auto"/>
          <w:spacing w:val="1"/>
          <w:highlight w:val="none"/>
          <w:lang w:eastAsia="zh-CN"/>
        </w:rPr>
        <w:t>.</w:t>
      </w:r>
      <w:r>
        <w:rPr>
          <w:rFonts w:hint="eastAsia" w:ascii="仿宋" w:hAnsi="仿宋" w:eastAsia="仿宋" w:cs="仿宋"/>
          <w:color w:val="auto"/>
          <w:highlight w:val="none"/>
          <w:lang w:eastAsia="zh-CN"/>
        </w:rPr>
        <w:t>gov</w:t>
      </w:r>
      <w:r>
        <w:rPr>
          <w:rFonts w:hint="eastAsia" w:ascii="仿宋" w:hAnsi="仿宋" w:eastAsia="仿宋" w:cs="仿宋"/>
          <w:color w:val="auto"/>
          <w:spacing w:val="1"/>
          <w:highlight w:val="none"/>
          <w:lang w:eastAsia="zh-CN"/>
        </w:rPr>
        <w:t>.</w:t>
      </w:r>
      <w:r>
        <w:rPr>
          <w:rFonts w:hint="eastAsia" w:ascii="仿宋" w:hAnsi="仿宋" w:eastAsia="仿宋" w:cs="仿宋"/>
          <w:color w:val="auto"/>
          <w:highlight w:val="none"/>
          <w:lang w:eastAsia="zh-CN"/>
        </w:rPr>
        <w:t>cn</w:t>
      </w:r>
      <w:r>
        <w:rPr>
          <w:rFonts w:hint="eastAsia" w:ascii="仿宋" w:hAnsi="仿宋" w:eastAsia="仿宋" w:cs="仿宋"/>
          <w:color w:val="auto"/>
          <w:highlight w:val="none"/>
          <w:lang w:eastAsia="zh-CN"/>
        </w:rPr>
        <w:fldChar w:fldCharType="end"/>
      </w:r>
      <w:r>
        <w:rPr>
          <w:rFonts w:hint="eastAsia" w:ascii="仿宋" w:hAnsi="仿宋" w:eastAsia="仿宋" w:cs="仿宋"/>
          <w:color w:val="auto"/>
          <w:spacing w:val="1"/>
          <w:highlight w:val="none"/>
          <w:lang w:eastAsia="zh-CN"/>
        </w:rPr>
        <w:t>)被列入失信被执行人、重大税收违法失信主体、政府采购严重违法失信行为记录名单</w:t>
      </w:r>
      <w:r>
        <w:rPr>
          <w:rFonts w:hint="eastAsia" w:ascii="仿宋" w:hAnsi="仿宋" w:eastAsia="仿宋" w:cs="仿宋"/>
          <w:color w:val="auto"/>
          <w:spacing w:val="14"/>
          <w:highlight w:val="none"/>
          <w:lang w:eastAsia="zh-CN"/>
        </w:rPr>
        <w:t xml:space="preserve"> </w:t>
      </w:r>
      <w:r>
        <w:rPr>
          <w:rFonts w:hint="eastAsia" w:ascii="仿宋" w:hAnsi="仿宋" w:eastAsia="仿宋" w:cs="仿宋"/>
          <w:color w:val="auto"/>
          <w:highlight w:val="none"/>
          <w:lang w:eastAsia="zh-CN"/>
        </w:rPr>
        <w:t>及其他不符合《中华人民共和国政府采购法》第二十二条规定条件的供应商，资格</w:t>
      </w:r>
      <w:r>
        <w:rPr>
          <w:rFonts w:hint="eastAsia" w:ascii="仿宋" w:hAnsi="仿宋" w:eastAsia="仿宋" w:cs="仿宋"/>
          <w:color w:val="auto"/>
          <w:spacing w:val="-1"/>
          <w:highlight w:val="none"/>
          <w:lang w:eastAsia="zh-CN"/>
        </w:rPr>
        <w:t>审查不通过，不得参与</w:t>
      </w:r>
      <w:r>
        <w:rPr>
          <w:rFonts w:hint="eastAsia" w:ascii="仿宋" w:hAnsi="仿宋" w:eastAsia="仿宋" w:cs="仿宋"/>
          <w:color w:val="auto"/>
          <w:highlight w:val="none"/>
          <w:lang w:eastAsia="zh-CN"/>
        </w:rPr>
        <w:t xml:space="preserve"> 政府采购活动。两个以上的自然人、法人或者其他组织组成一个联合体，以一个供应商</w:t>
      </w:r>
      <w:r>
        <w:rPr>
          <w:rFonts w:hint="eastAsia" w:ascii="仿宋" w:hAnsi="仿宋" w:eastAsia="仿宋" w:cs="仿宋"/>
          <w:color w:val="auto"/>
          <w:spacing w:val="-1"/>
          <w:highlight w:val="none"/>
          <w:lang w:eastAsia="zh-CN"/>
        </w:rPr>
        <w:t>的身份共同参加政</w:t>
      </w:r>
      <w:r>
        <w:rPr>
          <w:rFonts w:hint="eastAsia" w:ascii="仿宋" w:hAnsi="仿宋" w:eastAsia="仿宋" w:cs="仿宋"/>
          <w:color w:val="auto"/>
          <w:highlight w:val="none"/>
          <w:lang w:eastAsia="zh-CN"/>
        </w:rPr>
        <w:t xml:space="preserve"> 府采购活动的，应当对所有联合体成员进行信用记录查询，联合体成员存在不良信用</w:t>
      </w:r>
      <w:r>
        <w:rPr>
          <w:rFonts w:hint="eastAsia" w:ascii="仿宋" w:hAnsi="仿宋" w:eastAsia="仿宋" w:cs="仿宋"/>
          <w:color w:val="auto"/>
          <w:spacing w:val="-1"/>
          <w:highlight w:val="none"/>
          <w:lang w:eastAsia="zh-CN"/>
        </w:rPr>
        <w:t>记录的，视同联合体</w:t>
      </w:r>
      <w:r>
        <w:rPr>
          <w:rFonts w:hint="eastAsia" w:ascii="仿宋" w:hAnsi="仿宋" w:eastAsia="仿宋" w:cs="仿宋"/>
          <w:color w:val="auto"/>
          <w:highlight w:val="none"/>
          <w:lang w:eastAsia="zh-CN"/>
        </w:rPr>
        <w:t xml:space="preserve"> </w:t>
      </w:r>
      <w:r>
        <w:rPr>
          <w:rFonts w:hint="eastAsia" w:ascii="仿宋" w:hAnsi="仿宋" w:eastAsia="仿宋" w:cs="仿宋"/>
          <w:color w:val="auto"/>
          <w:spacing w:val="-1"/>
          <w:highlight w:val="none"/>
          <w:lang w:eastAsia="zh-CN"/>
        </w:rPr>
        <w:t>存在不良信用记录。</w:t>
      </w:r>
    </w:p>
    <w:p w14:paraId="7112FFB8">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2.2资格审查标准为本磋商文件中载明对供应商资格要求的条件。资格审查采用合格制，凡符</w:t>
      </w:r>
      <w:r>
        <w:rPr>
          <w:rFonts w:hint="eastAsia" w:ascii="仿宋" w:hAnsi="仿宋" w:eastAsia="仿宋" w:cs="仿宋"/>
          <w:color w:val="auto"/>
          <w:spacing w:val="1"/>
          <w:highlight w:val="none"/>
          <w:lang w:eastAsia="zh-CN"/>
        </w:rPr>
        <w:t>合磋商</w:t>
      </w:r>
      <w:r>
        <w:rPr>
          <w:rFonts w:hint="eastAsia" w:ascii="仿宋" w:hAnsi="仿宋" w:eastAsia="仿宋" w:cs="仿宋"/>
          <w:color w:val="auto"/>
          <w:highlight w:val="none"/>
          <w:lang w:eastAsia="zh-CN"/>
        </w:rPr>
        <w:t xml:space="preserve"> </w:t>
      </w:r>
      <w:r>
        <w:rPr>
          <w:rFonts w:hint="eastAsia" w:ascii="仿宋" w:hAnsi="仿宋" w:eastAsia="仿宋" w:cs="仿宋"/>
          <w:color w:val="auto"/>
          <w:spacing w:val="-1"/>
          <w:highlight w:val="none"/>
          <w:lang w:eastAsia="zh-CN"/>
        </w:rPr>
        <w:t>文件规定的供应商资格要求的响应文件均通过资格审查。</w:t>
      </w:r>
    </w:p>
    <w:p w14:paraId="225982EC">
      <w:pPr>
        <w:spacing w:line="460" w:lineRule="exact"/>
        <w:ind w:firstLine="422" w:firstLineChars="200"/>
        <w:rPr>
          <w:rFonts w:ascii="仿宋" w:hAnsi="仿宋" w:eastAsia="仿宋" w:cs="仿宋"/>
          <w:color w:val="auto"/>
          <w:highlight w:val="none"/>
          <w:lang w:eastAsia="zh-CN"/>
        </w:rPr>
      </w:pPr>
      <w:r>
        <w:rPr>
          <w:rFonts w:hint="eastAsia" w:ascii="仿宋" w:hAnsi="仿宋" w:eastAsia="仿宋" w:cs="仿宋"/>
          <w:b/>
          <w:bCs/>
          <w:color w:val="auto"/>
          <w:highlight w:val="none"/>
          <w:lang w:eastAsia="zh-CN"/>
        </w:rPr>
        <w:t>2.3供应商有下列情形之一的，资格审查不通过，其响应文件按</w:t>
      </w:r>
      <w:r>
        <w:rPr>
          <w:rFonts w:hint="eastAsia" w:ascii="仿宋" w:hAnsi="仿宋" w:eastAsia="仿宋" w:cs="仿宋"/>
          <w:b/>
          <w:bCs/>
          <w:color w:val="auto"/>
          <w:spacing w:val="-1"/>
          <w:highlight w:val="none"/>
          <w:lang w:eastAsia="zh-CN"/>
        </w:rPr>
        <w:t>无效响应处理：</w:t>
      </w:r>
    </w:p>
    <w:p w14:paraId="2F749AED">
      <w:pPr>
        <w:spacing w:line="460" w:lineRule="exact"/>
        <w:ind w:firstLine="436" w:firstLineChars="200"/>
        <w:rPr>
          <w:rFonts w:ascii="仿宋" w:hAnsi="仿宋" w:eastAsia="仿宋" w:cs="仿宋"/>
          <w:color w:val="auto"/>
          <w:highlight w:val="none"/>
          <w:lang w:eastAsia="zh-CN"/>
        </w:rPr>
      </w:pPr>
      <w:r>
        <w:rPr>
          <w:rFonts w:hint="eastAsia" w:ascii="仿宋" w:hAnsi="仿宋" w:eastAsia="仿宋" w:cs="仿宋"/>
          <w:color w:val="auto"/>
          <w:spacing w:val="4"/>
          <w:highlight w:val="none"/>
          <w:lang w:eastAsia="zh-CN"/>
        </w:rPr>
        <w:t>(1)不具备磋商文件中规定的资格要求的；</w:t>
      </w:r>
    </w:p>
    <w:p w14:paraId="1E7952BC">
      <w:pPr>
        <w:spacing w:line="460" w:lineRule="exact"/>
        <w:ind w:firstLine="428" w:firstLineChars="200"/>
        <w:jc w:val="both"/>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(2)响应文件未提供任一项“供应商须知前附表”资格文件规定的“必须提供”的文件资料的；</w:t>
      </w:r>
    </w:p>
    <w:p w14:paraId="39E1E07F">
      <w:pPr>
        <w:spacing w:line="460" w:lineRule="exact"/>
        <w:ind w:firstLine="42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(3)响应文件提供的资格文件出现任一项不符合“供应商须知前附表”资格文件规定的“必</w:t>
      </w:r>
      <w:r>
        <w:rPr>
          <w:rFonts w:hint="eastAsia" w:ascii="仿宋" w:hAnsi="仿宋" w:eastAsia="仿宋" w:cs="仿宋"/>
          <w:color w:val="auto"/>
          <w:spacing w:val="2"/>
          <w:highlight w:val="none"/>
          <w:lang w:eastAsia="zh-CN"/>
        </w:rPr>
        <w:t xml:space="preserve"> </w:t>
      </w:r>
      <w:r>
        <w:rPr>
          <w:rFonts w:hint="eastAsia" w:ascii="仿宋" w:hAnsi="仿宋" w:eastAsia="仿宋" w:cs="仿宋"/>
          <w:color w:val="auto"/>
          <w:highlight w:val="none"/>
          <w:lang w:eastAsia="zh-CN"/>
        </w:rPr>
        <w:t>须提供”的文件资料要求或者无效的。</w:t>
      </w:r>
    </w:p>
    <w:p w14:paraId="7C8E6D0E">
      <w:pPr>
        <w:spacing w:line="460" w:lineRule="exact"/>
        <w:ind w:firstLine="440" w:firstLineChars="200"/>
        <w:rPr>
          <w:rFonts w:ascii="仿宋" w:hAnsi="仿宋" w:eastAsia="仿宋" w:cs="仿宋"/>
          <w:color w:val="auto"/>
          <w:highlight w:val="none"/>
          <w:lang w:eastAsia="zh-CN"/>
        </w:rPr>
      </w:pPr>
      <w:r>
        <w:rPr>
          <w:rFonts w:hint="eastAsia" w:ascii="仿宋" w:hAnsi="仿宋" w:eastAsia="仿宋" w:cs="仿宋"/>
          <w:color w:val="auto"/>
          <w:spacing w:val="5"/>
          <w:highlight w:val="none"/>
          <w:lang w:eastAsia="zh-CN"/>
        </w:rPr>
        <w:t>(4)同一合同项下的不同供应商，单位负责人为同一人或者存在直接控股、管理关系的；为本项目</w:t>
      </w:r>
    </w:p>
    <w:p w14:paraId="3E5D5302">
      <w:pPr>
        <w:spacing w:line="460" w:lineRule="exact"/>
        <w:rPr>
          <w:rFonts w:ascii="仿宋" w:hAnsi="仿宋" w:eastAsia="仿宋" w:cs="仿宋"/>
          <w:color w:val="auto"/>
          <w:highlight w:val="none"/>
          <w:lang w:eastAsia="zh-CN"/>
        </w:rPr>
      </w:pPr>
      <w:r>
        <w:rPr>
          <w:rFonts w:hint="eastAsia" w:ascii="仿宋" w:hAnsi="仿宋" w:eastAsia="仿宋" w:cs="仿宋"/>
          <w:color w:val="auto"/>
          <w:highlight w:val="none"/>
          <w:lang w:eastAsia="zh-CN"/>
        </w:rPr>
        <w:t>提供过整体设计、规范编制或者项目管理、监理、检测等服务的。</w:t>
      </w:r>
    </w:p>
    <w:p w14:paraId="4BC8792D">
      <w:pPr>
        <w:spacing w:line="460" w:lineRule="exact"/>
        <w:ind w:firstLine="436" w:firstLineChars="200"/>
        <w:rPr>
          <w:rFonts w:ascii="仿宋" w:hAnsi="仿宋" w:eastAsia="仿宋" w:cs="仿宋"/>
          <w:color w:val="auto"/>
          <w:highlight w:val="none"/>
          <w:lang w:eastAsia="zh-CN"/>
        </w:rPr>
      </w:pPr>
      <w:r>
        <w:rPr>
          <w:rFonts w:hint="eastAsia" w:ascii="仿宋" w:hAnsi="仿宋" w:eastAsia="仿宋" w:cs="仿宋"/>
          <w:color w:val="auto"/>
          <w:spacing w:val="4"/>
          <w:highlight w:val="none"/>
          <w:lang w:eastAsia="zh-CN"/>
        </w:rPr>
        <w:t>2.4通过资格审查的合格供应商不足3家的，不得进入符合性审查环节，采购人或者采购代理机构应</w:t>
      </w:r>
      <w:r>
        <w:rPr>
          <w:rFonts w:hint="eastAsia" w:ascii="仿宋" w:hAnsi="仿宋" w:eastAsia="仿宋" w:cs="仿宋"/>
          <w:color w:val="auto"/>
          <w:spacing w:val="14"/>
          <w:highlight w:val="none"/>
          <w:lang w:eastAsia="zh-CN"/>
        </w:rPr>
        <w:t xml:space="preserve"> </w:t>
      </w:r>
      <w:r>
        <w:rPr>
          <w:rFonts w:hint="eastAsia" w:ascii="仿宋" w:hAnsi="仿宋" w:eastAsia="仿宋" w:cs="仿宋"/>
          <w:color w:val="auto"/>
          <w:spacing w:val="-3"/>
          <w:highlight w:val="none"/>
          <w:lang w:eastAsia="zh-CN"/>
        </w:rPr>
        <w:t>当重新开展采购活动。</w:t>
      </w:r>
    </w:p>
    <w:p w14:paraId="2830EB57">
      <w:pPr>
        <w:spacing w:line="460" w:lineRule="exact"/>
        <w:rPr>
          <w:rFonts w:ascii="仿宋" w:hAnsi="仿宋" w:eastAsia="仿宋" w:cs="仿宋"/>
          <w:color w:val="auto"/>
          <w:highlight w:val="none"/>
          <w:lang w:eastAsia="zh-CN"/>
        </w:rPr>
      </w:pPr>
      <w:r>
        <w:rPr>
          <w:rFonts w:hint="eastAsia" w:ascii="仿宋" w:hAnsi="仿宋" w:eastAsia="仿宋" w:cs="仿宋"/>
          <w:b/>
          <w:bCs/>
          <w:color w:val="auto"/>
          <w:spacing w:val="23"/>
          <w:highlight w:val="none"/>
          <w:lang w:eastAsia="zh-CN"/>
        </w:rPr>
        <w:t>3.符合性审查</w:t>
      </w:r>
    </w:p>
    <w:p w14:paraId="7D250121">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3.1由磋商小组对通过资格审查的合格供应商的响应文件</w:t>
      </w:r>
      <w:r>
        <w:rPr>
          <w:rFonts w:hint="eastAsia" w:ascii="仿宋" w:hAnsi="仿宋" w:eastAsia="仿宋" w:cs="仿宋"/>
          <w:color w:val="auto"/>
          <w:spacing w:val="1"/>
          <w:highlight w:val="none"/>
          <w:lang w:eastAsia="zh-CN"/>
        </w:rPr>
        <w:t>的响应报价、商务、技术等实质性要求进行</w:t>
      </w:r>
      <w:r>
        <w:rPr>
          <w:rFonts w:hint="eastAsia" w:ascii="仿宋" w:hAnsi="仿宋" w:eastAsia="仿宋" w:cs="仿宋"/>
          <w:color w:val="auto"/>
          <w:highlight w:val="none"/>
          <w:lang w:eastAsia="zh-CN"/>
        </w:rPr>
        <w:t>符合性审查，以确定其是否满足磋商文件的实质性要求。</w:t>
      </w:r>
    </w:p>
    <w:p w14:paraId="75A93F82">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3.2磋商小组在对响应文件进行符合性审查时，可以要求供应</w:t>
      </w:r>
      <w:r>
        <w:rPr>
          <w:rFonts w:hint="eastAsia" w:ascii="仿宋" w:hAnsi="仿宋" w:eastAsia="仿宋" w:cs="仿宋"/>
          <w:color w:val="auto"/>
          <w:spacing w:val="1"/>
          <w:highlight w:val="none"/>
          <w:lang w:eastAsia="zh-CN"/>
        </w:rPr>
        <w:t>商对响应文件中含义不明确、同类问题</w:t>
      </w:r>
      <w:r>
        <w:rPr>
          <w:rFonts w:hint="eastAsia" w:ascii="仿宋" w:hAnsi="仿宋" w:eastAsia="仿宋" w:cs="仿宋"/>
          <w:color w:val="auto"/>
          <w:highlight w:val="none"/>
          <w:lang w:eastAsia="zh-CN"/>
        </w:rPr>
        <w:t xml:space="preserve"> 表述不一致或者有明显文字和计算错误的内容等作出必要的澄清、说明或者</w:t>
      </w:r>
      <w:r>
        <w:rPr>
          <w:rFonts w:hint="eastAsia" w:ascii="仿宋" w:hAnsi="仿宋" w:eastAsia="仿宋" w:cs="仿宋"/>
          <w:color w:val="auto"/>
          <w:spacing w:val="-1"/>
          <w:highlight w:val="none"/>
          <w:lang w:eastAsia="zh-CN"/>
        </w:rPr>
        <w:t>更正。供应商的澄清、说明或</w:t>
      </w:r>
      <w:r>
        <w:rPr>
          <w:rFonts w:hint="eastAsia" w:ascii="仿宋" w:hAnsi="仿宋" w:eastAsia="仿宋" w:cs="仿宋"/>
          <w:color w:val="auto"/>
          <w:highlight w:val="none"/>
          <w:lang w:eastAsia="zh-CN"/>
        </w:rPr>
        <w:t>者更正不得超出响应文件的范围或者改变响应文件的实质性内容。</w:t>
      </w:r>
    </w:p>
    <w:p w14:paraId="561E7E6D">
      <w:pPr>
        <w:spacing w:line="460" w:lineRule="exact"/>
        <w:ind w:firstLine="424" w:firstLineChars="200"/>
        <w:rPr>
          <w:rFonts w:ascii="仿宋" w:hAnsi="仿宋" w:eastAsia="仿宋" w:cs="仿宋"/>
          <w:color w:val="auto"/>
          <w:highlight w:val="none"/>
          <w:lang w:eastAsia="zh-CN"/>
        </w:rPr>
      </w:pPr>
      <w:r>
        <w:rPr>
          <w:rFonts w:hint="eastAsia" w:ascii="仿宋" w:hAnsi="仿宋" w:eastAsia="仿宋" w:cs="仿宋"/>
          <w:color w:val="auto"/>
          <w:spacing w:val="1"/>
          <w:highlight w:val="none"/>
          <w:lang w:eastAsia="zh-CN"/>
        </w:rPr>
        <w:t>3.3磋商小组要求供应商澄清、说明或者更正响应文件应当以电子澄清函形式作出。供应商的澄清、</w:t>
      </w:r>
      <w:r>
        <w:rPr>
          <w:rFonts w:hint="eastAsia" w:ascii="仿宋" w:hAnsi="仿宋" w:eastAsia="仿宋" w:cs="仿宋"/>
          <w:color w:val="auto"/>
          <w:highlight w:val="none"/>
          <w:lang w:eastAsia="zh-CN"/>
        </w:rPr>
        <w:t>说明或者更正应当以电子回函形式按照磋商小组的要求作出明确的澄清、说</w:t>
      </w:r>
      <w:r>
        <w:rPr>
          <w:rFonts w:hint="eastAsia" w:ascii="仿宋" w:hAnsi="仿宋" w:eastAsia="仿宋" w:cs="仿宋"/>
          <w:color w:val="auto"/>
          <w:spacing w:val="-1"/>
          <w:highlight w:val="none"/>
          <w:lang w:eastAsia="zh-CN"/>
        </w:rPr>
        <w:t>明或者更正，未按磋商小组的</w:t>
      </w:r>
      <w:r>
        <w:rPr>
          <w:rFonts w:hint="eastAsia" w:ascii="仿宋" w:hAnsi="仿宋" w:eastAsia="仿宋" w:cs="仿宋"/>
          <w:color w:val="auto"/>
          <w:spacing w:val="1"/>
          <w:highlight w:val="none"/>
          <w:lang w:eastAsia="zh-CN"/>
        </w:rPr>
        <w:t>要求作出明确澄清、说明或者更正的供应商的响应文</w:t>
      </w:r>
      <w:r>
        <w:rPr>
          <w:rFonts w:hint="eastAsia" w:ascii="仿宋" w:hAnsi="仿宋" w:eastAsia="仿宋" w:cs="仿宋"/>
          <w:color w:val="auto"/>
          <w:highlight w:val="none"/>
          <w:lang w:eastAsia="zh-CN"/>
        </w:rPr>
        <w:t>件将按照有利于采购人的原则由磋商小组进行判定。</w:t>
      </w:r>
      <w:r>
        <w:rPr>
          <w:rFonts w:hint="eastAsia" w:ascii="仿宋" w:hAnsi="仿宋" w:eastAsia="仿宋" w:cs="仿宋"/>
          <w:color w:val="auto"/>
          <w:spacing w:val="-5"/>
          <w:highlight w:val="none"/>
          <w:lang w:eastAsia="zh-CN"/>
        </w:rPr>
        <w:t>供应商的澄清、说明或者更正必须由法定代表人或其授权代表签字或者加盖公章。供应</w:t>
      </w:r>
      <w:r>
        <w:rPr>
          <w:rFonts w:hint="eastAsia" w:ascii="仿宋" w:hAnsi="仿宋" w:eastAsia="仿宋" w:cs="仿宋"/>
          <w:color w:val="auto"/>
          <w:spacing w:val="-6"/>
          <w:highlight w:val="none"/>
          <w:lang w:eastAsia="zh-CN"/>
        </w:rPr>
        <w:t>商为自然人的，必须由本人签字并附身份证明。</w:t>
      </w:r>
    </w:p>
    <w:p w14:paraId="494BC964">
      <w:pPr>
        <w:spacing w:line="460" w:lineRule="exact"/>
        <w:ind w:firstLine="42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3.4首次响应文件报价出现前后不一致的，按照下列规定修正：</w:t>
      </w:r>
    </w:p>
    <w:p w14:paraId="4D85CEF8">
      <w:pPr>
        <w:spacing w:line="460" w:lineRule="exact"/>
        <w:ind w:firstLine="432" w:firstLineChars="200"/>
        <w:rPr>
          <w:rFonts w:ascii="仿宋" w:hAnsi="仿宋" w:eastAsia="仿宋" w:cs="仿宋"/>
          <w:color w:val="auto"/>
          <w:highlight w:val="none"/>
          <w:lang w:eastAsia="zh-CN"/>
        </w:rPr>
      </w:pPr>
      <w:r>
        <w:rPr>
          <w:rFonts w:hint="eastAsia" w:ascii="仿宋" w:hAnsi="仿宋" w:eastAsia="仿宋" w:cs="仿宋"/>
          <w:color w:val="auto"/>
          <w:spacing w:val="3"/>
          <w:highlight w:val="none"/>
          <w:lang w:eastAsia="zh-CN"/>
        </w:rPr>
        <w:t>(1)响应文件中响应报价表内容与响应文件中相应内容不一致的，以响应报价表为准；</w:t>
      </w:r>
    </w:p>
    <w:p w14:paraId="44D6DBF5">
      <w:pPr>
        <w:spacing w:line="460" w:lineRule="exact"/>
        <w:ind w:firstLine="436" w:firstLineChars="200"/>
        <w:rPr>
          <w:rFonts w:ascii="仿宋" w:hAnsi="仿宋" w:eastAsia="仿宋" w:cs="仿宋"/>
          <w:color w:val="auto"/>
          <w:highlight w:val="none"/>
          <w:lang w:eastAsia="zh-CN"/>
        </w:rPr>
      </w:pPr>
      <w:r>
        <w:rPr>
          <w:rFonts w:hint="eastAsia" w:ascii="仿宋" w:hAnsi="仿宋" w:eastAsia="仿宋" w:cs="仿宋"/>
          <w:color w:val="auto"/>
          <w:spacing w:val="4"/>
          <w:highlight w:val="none"/>
          <w:lang w:eastAsia="zh-CN"/>
        </w:rPr>
        <w:t>(2)大写金额和小写金额不一致的，以大写金额为准；</w:t>
      </w:r>
    </w:p>
    <w:p w14:paraId="1F11C738">
      <w:pPr>
        <w:spacing w:line="460" w:lineRule="exact"/>
        <w:ind w:firstLine="432" w:firstLineChars="200"/>
        <w:rPr>
          <w:rFonts w:ascii="仿宋" w:hAnsi="仿宋" w:eastAsia="仿宋" w:cs="仿宋"/>
          <w:color w:val="auto"/>
          <w:highlight w:val="none"/>
          <w:lang w:eastAsia="zh-CN"/>
        </w:rPr>
      </w:pPr>
      <w:r>
        <w:rPr>
          <w:rFonts w:hint="eastAsia" w:ascii="仿宋" w:hAnsi="仿宋" w:eastAsia="仿宋" w:cs="仿宋"/>
          <w:color w:val="auto"/>
          <w:spacing w:val="3"/>
          <w:highlight w:val="none"/>
          <w:lang w:eastAsia="zh-CN"/>
        </w:rPr>
        <w:t>(3)单价金额小数点或者百分比有明显错位的，以响应报价表的总价为准，并修改单</w:t>
      </w:r>
      <w:r>
        <w:rPr>
          <w:rFonts w:hint="eastAsia" w:ascii="仿宋" w:hAnsi="仿宋" w:eastAsia="仿宋" w:cs="仿宋"/>
          <w:color w:val="auto"/>
          <w:spacing w:val="2"/>
          <w:highlight w:val="none"/>
          <w:lang w:eastAsia="zh-CN"/>
        </w:rPr>
        <w:t>价；</w:t>
      </w:r>
    </w:p>
    <w:p w14:paraId="33E5B364">
      <w:pPr>
        <w:spacing w:line="460" w:lineRule="exact"/>
        <w:ind w:firstLine="436" w:firstLineChars="200"/>
        <w:rPr>
          <w:rFonts w:ascii="仿宋" w:hAnsi="仿宋" w:eastAsia="仿宋" w:cs="仿宋"/>
          <w:color w:val="auto"/>
          <w:highlight w:val="none"/>
          <w:lang w:eastAsia="zh-CN"/>
        </w:rPr>
      </w:pPr>
      <w:r>
        <w:rPr>
          <w:rFonts w:hint="eastAsia" w:ascii="仿宋" w:hAnsi="仿宋" w:eastAsia="仿宋" w:cs="仿宋"/>
          <w:color w:val="auto"/>
          <w:spacing w:val="4"/>
          <w:highlight w:val="none"/>
          <w:lang w:eastAsia="zh-CN"/>
        </w:rPr>
        <w:t>(4)总价金额与按单价汇总金额不一致的，以单</w:t>
      </w:r>
      <w:r>
        <w:rPr>
          <w:rFonts w:hint="eastAsia" w:ascii="仿宋" w:hAnsi="仿宋" w:eastAsia="仿宋" w:cs="仿宋"/>
          <w:color w:val="auto"/>
          <w:spacing w:val="3"/>
          <w:highlight w:val="none"/>
          <w:lang w:eastAsia="zh-CN"/>
        </w:rPr>
        <w:t>价金额计算结果为准。</w:t>
      </w:r>
    </w:p>
    <w:p w14:paraId="75909892">
      <w:pPr>
        <w:spacing w:line="460" w:lineRule="exact"/>
        <w:ind w:firstLine="468" w:firstLineChars="200"/>
        <w:rPr>
          <w:rFonts w:ascii="仿宋" w:hAnsi="仿宋" w:eastAsia="仿宋" w:cs="仿宋"/>
          <w:color w:val="auto"/>
          <w:highlight w:val="none"/>
          <w:lang w:eastAsia="zh-CN"/>
        </w:rPr>
      </w:pPr>
      <w:r>
        <w:rPr>
          <w:rFonts w:hint="eastAsia" w:ascii="仿宋" w:hAnsi="仿宋" w:eastAsia="仿宋" w:cs="仿宋"/>
          <w:color w:val="auto"/>
          <w:spacing w:val="12"/>
          <w:highlight w:val="none"/>
          <w:lang w:eastAsia="zh-CN"/>
        </w:rPr>
        <w:t>同时出现两种以上不一致的，按照以上(1)-(4)规定的顺序逐条进行修</w:t>
      </w:r>
      <w:r>
        <w:rPr>
          <w:rFonts w:hint="eastAsia" w:ascii="仿宋" w:hAnsi="仿宋" w:eastAsia="仿宋" w:cs="仿宋"/>
          <w:color w:val="auto"/>
          <w:spacing w:val="11"/>
          <w:highlight w:val="none"/>
          <w:lang w:eastAsia="zh-CN"/>
        </w:rPr>
        <w:t>正。修正后的报价经供应</w:t>
      </w:r>
      <w:r>
        <w:rPr>
          <w:rFonts w:hint="eastAsia" w:ascii="仿宋" w:hAnsi="仿宋" w:eastAsia="仿宋" w:cs="仿宋"/>
          <w:color w:val="auto"/>
          <w:highlight w:val="none"/>
          <w:lang w:eastAsia="zh-CN"/>
        </w:rPr>
        <w:t>商确认后产生约束力，供应商不确认的，其响应文件按无效响应处理。</w:t>
      </w:r>
    </w:p>
    <w:p w14:paraId="64A401FC">
      <w:pPr>
        <w:spacing w:line="460" w:lineRule="exact"/>
        <w:ind w:firstLine="436" w:firstLineChars="200"/>
        <w:rPr>
          <w:rFonts w:ascii="仿宋" w:hAnsi="仿宋" w:eastAsia="仿宋" w:cs="仿宋"/>
          <w:color w:val="auto"/>
          <w:highlight w:val="none"/>
          <w:lang w:eastAsia="zh-CN"/>
        </w:rPr>
      </w:pPr>
      <w:r>
        <w:rPr>
          <w:rFonts w:hint="eastAsia" w:ascii="仿宋" w:hAnsi="仿宋" w:eastAsia="仿宋" w:cs="仿宋"/>
          <w:color w:val="auto"/>
          <w:spacing w:val="4"/>
          <w:highlight w:val="none"/>
          <w:lang w:eastAsia="zh-CN"/>
        </w:rPr>
        <w:t>3.5商务技术、报价评审</w:t>
      </w:r>
    </w:p>
    <w:p w14:paraId="4CFEB9C3">
      <w:pPr>
        <w:spacing w:line="460" w:lineRule="exact"/>
        <w:ind w:firstLine="418" w:firstLineChars="200"/>
        <w:rPr>
          <w:rFonts w:ascii="仿宋" w:hAnsi="仿宋" w:eastAsia="仿宋" w:cs="仿宋"/>
          <w:color w:val="auto"/>
          <w:highlight w:val="none"/>
          <w:lang w:eastAsia="zh-CN"/>
        </w:rPr>
      </w:pPr>
      <w:r>
        <w:rPr>
          <w:rFonts w:hint="eastAsia" w:ascii="仿宋" w:hAnsi="仿宋" w:eastAsia="仿宋" w:cs="仿宋"/>
          <w:b/>
          <w:bCs/>
          <w:color w:val="auto"/>
          <w:spacing w:val="-1"/>
          <w:highlight w:val="none"/>
          <w:lang w:eastAsia="zh-CN"/>
        </w:rPr>
        <w:t>在评审时，如发现下列情形之一的，将被视为响应文件无效处理：</w:t>
      </w:r>
    </w:p>
    <w:p w14:paraId="206B7464">
      <w:pPr>
        <w:spacing w:line="460" w:lineRule="exact"/>
        <w:ind w:firstLine="476" w:firstLineChars="200"/>
        <w:rPr>
          <w:rFonts w:ascii="仿宋" w:hAnsi="仿宋" w:eastAsia="仿宋" w:cs="仿宋"/>
          <w:color w:val="auto"/>
          <w:highlight w:val="none"/>
          <w:lang w:eastAsia="zh-CN"/>
        </w:rPr>
      </w:pPr>
      <w:r>
        <w:rPr>
          <w:rFonts w:hint="eastAsia" w:ascii="仿宋" w:hAnsi="仿宋" w:eastAsia="仿宋" w:cs="仿宋"/>
          <w:color w:val="auto"/>
          <w:spacing w:val="14"/>
          <w:highlight w:val="none"/>
          <w:lang w:eastAsia="zh-CN"/>
        </w:rPr>
        <w:t>(1)商务技术评审</w:t>
      </w:r>
    </w:p>
    <w:p w14:paraId="6CAA8061">
      <w:pPr>
        <w:spacing w:line="460" w:lineRule="exact"/>
        <w:ind w:firstLine="436" w:firstLineChars="200"/>
        <w:rPr>
          <w:rFonts w:ascii="仿宋" w:hAnsi="仿宋" w:eastAsia="仿宋" w:cs="仿宋"/>
          <w:color w:val="auto"/>
          <w:highlight w:val="none"/>
          <w:lang w:eastAsia="zh-CN"/>
        </w:rPr>
      </w:pPr>
      <w:r>
        <w:rPr>
          <w:rFonts w:hint="eastAsia" w:ascii="仿宋" w:hAnsi="仿宋" w:eastAsia="仿宋" w:cs="仿宋"/>
          <w:color w:val="auto"/>
          <w:spacing w:val="4"/>
          <w:highlight w:val="none"/>
          <w:lang w:eastAsia="zh-CN"/>
        </w:rPr>
        <w:t>1)响应文件未按磋商文件要求签署、盖章；</w:t>
      </w:r>
    </w:p>
    <w:p w14:paraId="7434FC90">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2)委托代理人未能出具有效身份证明或者出具的身份证明与授权委托书中的信息不符；</w:t>
      </w:r>
    </w:p>
    <w:p w14:paraId="625541BC">
      <w:pPr>
        <w:widowControl w:val="0"/>
        <w:kinsoku/>
        <w:autoSpaceDE/>
        <w:autoSpaceDN/>
        <w:adjustRightInd/>
        <w:snapToGrid/>
        <w:spacing w:line="360" w:lineRule="auto"/>
        <w:ind w:firstLine="420" w:firstLineChars="200"/>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kern w:val="2"/>
          <w:highlight w:val="none"/>
          <w:lang w:eastAsia="zh-CN"/>
        </w:rPr>
        <w:t>3）未对竞标有效期作出响应或者响应文件承诺的竞标有效期不满足磋商文件要求；</w:t>
      </w:r>
    </w:p>
    <w:p w14:paraId="7242A5B4">
      <w:pPr>
        <w:widowControl w:val="0"/>
        <w:kinsoku/>
        <w:autoSpaceDE/>
        <w:autoSpaceDN/>
        <w:adjustRightInd/>
        <w:snapToGrid/>
        <w:spacing w:line="360" w:lineRule="auto"/>
        <w:ind w:firstLine="420" w:firstLineChars="200"/>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kern w:val="2"/>
          <w:highlight w:val="none"/>
          <w:lang w:eastAsia="zh-CN"/>
        </w:rPr>
        <w:t>4）响应文件的实质性内容未使用中文表述、使用计量单位不符合磋商文件要求；</w:t>
      </w:r>
    </w:p>
    <w:p w14:paraId="00F5AC72">
      <w:pPr>
        <w:widowControl w:val="0"/>
        <w:kinsoku/>
        <w:autoSpaceDE/>
        <w:autoSpaceDN/>
        <w:adjustRightInd/>
        <w:snapToGrid/>
        <w:spacing w:line="360" w:lineRule="auto"/>
        <w:ind w:firstLine="420" w:firstLineChars="200"/>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kern w:val="2"/>
          <w:highlight w:val="none"/>
          <w:lang w:eastAsia="zh-CN"/>
        </w:rPr>
        <w:t>5）响应文件中的文件资料因填写不齐全或者内容虚假或者出现其他情形而导致被磋商小组认定无效；</w:t>
      </w:r>
    </w:p>
    <w:p w14:paraId="19F8FF5F">
      <w:pPr>
        <w:widowControl w:val="0"/>
        <w:kinsoku/>
        <w:autoSpaceDE/>
        <w:autoSpaceDN/>
        <w:adjustRightInd/>
        <w:snapToGrid/>
        <w:spacing w:line="360" w:lineRule="auto"/>
        <w:ind w:firstLine="420" w:firstLineChars="200"/>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kern w:val="2"/>
          <w:highlight w:val="none"/>
          <w:lang w:eastAsia="zh-CN"/>
        </w:rPr>
        <w:t>6）响应文件含有采购人不能接受的附加条件；</w:t>
      </w:r>
    </w:p>
    <w:p w14:paraId="7588A2EB">
      <w:pPr>
        <w:widowControl w:val="0"/>
        <w:kinsoku/>
        <w:autoSpaceDE/>
        <w:autoSpaceDN/>
        <w:adjustRightInd/>
        <w:snapToGrid/>
        <w:spacing w:line="360" w:lineRule="auto"/>
        <w:ind w:firstLine="420" w:firstLineChars="200"/>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kern w:val="2"/>
          <w:highlight w:val="none"/>
          <w:lang w:eastAsia="zh-CN"/>
        </w:rPr>
        <w:t>7）属于“供应商须知正文”第7.5条情形；</w:t>
      </w:r>
    </w:p>
    <w:p w14:paraId="125F1D17">
      <w:pPr>
        <w:widowControl w:val="0"/>
        <w:kinsoku/>
        <w:autoSpaceDE/>
        <w:autoSpaceDN/>
        <w:adjustRightInd/>
        <w:snapToGrid/>
        <w:spacing w:line="360" w:lineRule="auto"/>
        <w:ind w:firstLine="420" w:firstLineChars="200"/>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kern w:val="2"/>
          <w:highlight w:val="none"/>
          <w:lang w:eastAsia="zh-CN"/>
        </w:rPr>
        <w:t>8）虚假竞标，或者出现其他情形而导致被磋商小组认定无效；</w:t>
      </w:r>
    </w:p>
    <w:p w14:paraId="182E198F">
      <w:pPr>
        <w:widowControl w:val="0"/>
        <w:kinsoku/>
        <w:autoSpaceDE/>
        <w:autoSpaceDN/>
        <w:adjustRightInd/>
        <w:snapToGrid/>
        <w:spacing w:line="360" w:lineRule="auto"/>
        <w:ind w:firstLine="420" w:firstLineChars="200"/>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kern w:val="2"/>
          <w:highlight w:val="none"/>
          <w:lang w:eastAsia="zh-CN"/>
        </w:rPr>
        <w:t>9）竞标技术方案不明确，磋商文件未允许但响应文件中存在一个或者一个以上备选（替代）竞标方案；</w:t>
      </w:r>
    </w:p>
    <w:p w14:paraId="18B59182">
      <w:pPr>
        <w:widowControl w:val="0"/>
        <w:kinsoku/>
        <w:autoSpaceDE/>
        <w:autoSpaceDN/>
        <w:adjustRightInd/>
        <w:snapToGrid/>
        <w:spacing w:line="360" w:lineRule="auto"/>
        <w:ind w:firstLine="420" w:firstLineChars="200"/>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kern w:val="2"/>
          <w:highlight w:val="none"/>
          <w:lang w:eastAsia="zh-CN"/>
        </w:rPr>
        <w:t>10）响应文件标注的项目名称或者项目编号与竞争性磋商文件标注的项目名称或者项目编号不一致的；</w:t>
      </w:r>
    </w:p>
    <w:p w14:paraId="38C1174A">
      <w:pPr>
        <w:widowControl w:val="0"/>
        <w:kinsoku/>
        <w:autoSpaceDE/>
        <w:autoSpaceDN/>
        <w:adjustRightInd/>
        <w:snapToGrid/>
        <w:spacing w:line="360" w:lineRule="auto"/>
        <w:ind w:firstLine="420" w:firstLineChars="200"/>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kern w:val="2"/>
          <w:highlight w:val="none"/>
          <w:lang w:eastAsia="zh-CN"/>
        </w:rPr>
        <w:t>11）未响应磋商文件实质性要求的；</w:t>
      </w:r>
    </w:p>
    <w:p w14:paraId="167820E0">
      <w:pPr>
        <w:widowControl w:val="0"/>
        <w:spacing w:after="120"/>
        <w:ind w:firstLine="420" w:firstLineChars="200"/>
        <w:jc w:val="both"/>
        <w:rPr>
          <w:rFonts w:ascii="仿宋" w:hAnsi="仿宋" w:eastAsia="仿宋" w:cs="仿宋"/>
          <w:color w:val="auto"/>
          <w:kern w:val="2"/>
          <w:szCs w:val="24"/>
          <w:highlight w:val="none"/>
          <w:lang w:eastAsia="zh-CN"/>
        </w:rPr>
      </w:pPr>
      <w:r>
        <w:rPr>
          <w:rFonts w:hint="eastAsia" w:ascii="仿宋" w:hAnsi="仿宋" w:eastAsia="仿宋" w:cs="仿宋"/>
          <w:color w:val="auto"/>
          <w:kern w:val="2"/>
          <w:highlight w:val="none"/>
          <w:lang w:eastAsia="zh-CN"/>
        </w:rPr>
        <w:t>12）提交的磋商保证金无效的或者未按照磋商文件的规定提交磋商保证金；</w:t>
      </w:r>
    </w:p>
    <w:p w14:paraId="72744FC0">
      <w:pPr>
        <w:widowControl w:val="0"/>
        <w:kinsoku/>
        <w:autoSpaceDE/>
        <w:autoSpaceDN/>
        <w:adjustRightInd/>
        <w:snapToGrid/>
        <w:spacing w:line="360" w:lineRule="auto"/>
        <w:ind w:firstLine="420" w:firstLineChars="200"/>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kern w:val="2"/>
          <w:highlight w:val="none"/>
          <w:lang w:eastAsia="zh-CN"/>
        </w:rPr>
        <w:t>13）法律、法规和磋商文件规定的其他无效情形。</w:t>
      </w:r>
    </w:p>
    <w:p w14:paraId="7DD8BED9">
      <w:pPr>
        <w:spacing w:line="460" w:lineRule="exact"/>
        <w:ind w:firstLine="488" w:firstLineChars="200"/>
        <w:rPr>
          <w:rFonts w:ascii="仿宋" w:hAnsi="仿宋" w:eastAsia="仿宋" w:cs="仿宋"/>
          <w:color w:val="auto"/>
          <w:highlight w:val="none"/>
          <w:lang w:eastAsia="zh-CN"/>
        </w:rPr>
      </w:pPr>
      <w:r>
        <w:rPr>
          <w:rFonts w:hint="eastAsia" w:ascii="仿宋" w:hAnsi="仿宋" w:eastAsia="仿宋" w:cs="仿宋"/>
          <w:color w:val="auto"/>
          <w:spacing w:val="17"/>
          <w:highlight w:val="none"/>
          <w:lang w:eastAsia="zh-CN"/>
        </w:rPr>
        <w:t>(2)报价评审</w:t>
      </w:r>
    </w:p>
    <w:p w14:paraId="377187D7">
      <w:pPr>
        <w:spacing w:line="460" w:lineRule="exact"/>
        <w:ind w:firstLine="448" w:firstLineChars="200"/>
        <w:rPr>
          <w:rFonts w:ascii="仿宋" w:hAnsi="仿宋" w:eastAsia="仿宋" w:cs="仿宋"/>
          <w:color w:val="auto"/>
          <w:highlight w:val="none"/>
          <w:lang w:eastAsia="zh-CN"/>
        </w:rPr>
      </w:pPr>
      <w:r>
        <w:rPr>
          <w:rFonts w:hint="eastAsia" w:ascii="仿宋" w:hAnsi="仿宋" w:eastAsia="仿宋" w:cs="仿宋"/>
          <w:color w:val="auto"/>
          <w:spacing w:val="7"/>
          <w:highlight w:val="none"/>
          <w:lang w:eastAsia="zh-CN"/>
        </w:rPr>
        <w:t>1)响应文件未提供“供应商须知前附表”报价文件中规定的“响</w:t>
      </w:r>
      <w:r>
        <w:rPr>
          <w:rFonts w:hint="eastAsia" w:ascii="仿宋" w:hAnsi="仿宋" w:eastAsia="仿宋" w:cs="仿宋"/>
          <w:color w:val="auto"/>
          <w:spacing w:val="6"/>
          <w:highlight w:val="none"/>
          <w:lang w:eastAsia="zh-CN"/>
        </w:rPr>
        <w:t>应报价表”;</w:t>
      </w:r>
    </w:p>
    <w:p w14:paraId="0DFBF001">
      <w:pPr>
        <w:spacing w:line="460" w:lineRule="exact"/>
        <w:ind w:firstLine="432" w:firstLineChars="200"/>
        <w:rPr>
          <w:rFonts w:ascii="仿宋" w:hAnsi="仿宋" w:eastAsia="仿宋" w:cs="仿宋"/>
          <w:color w:val="auto"/>
          <w:highlight w:val="none"/>
          <w:lang w:eastAsia="zh-CN"/>
        </w:rPr>
      </w:pPr>
      <w:r>
        <w:rPr>
          <w:rFonts w:hint="eastAsia" w:ascii="仿宋" w:hAnsi="仿宋" w:eastAsia="仿宋" w:cs="仿宋"/>
          <w:color w:val="auto"/>
          <w:spacing w:val="3"/>
          <w:highlight w:val="none"/>
          <w:lang w:eastAsia="zh-CN"/>
        </w:rPr>
        <w:t>2)未采用人民币报价或者未按照磋商文件标明的币种报价；</w:t>
      </w:r>
    </w:p>
    <w:p w14:paraId="62353F20">
      <w:pPr>
        <w:spacing w:line="460" w:lineRule="exact"/>
        <w:ind w:firstLine="440" w:firstLineChars="200"/>
        <w:rPr>
          <w:rFonts w:ascii="仿宋" w:hAnsi="仿宋" w:eastAsia="仿宋" w:cs="仿宋"/>
          <w:color w:val="auto"/>
          <w:highlight w:val="none"/>
          <w:lang w:eastAsia="zh-CN"/>
        </w:rPr>
      </w:pPr>
      <w:r>
        <w:rPr>
          <w:rFonts w:hint="eastAsia" w:ascii="仿宋" w:hAnsi="仿宋" w:eastAsia="仿宋" w:cs="仿宋"/>
          <w:color w:val="auto"/>
          <w:spacing w:val="5"/>
          <w:highlight w:val="none"/>
          <w:lang w:eastAsia="zh-CN"/>
        </w:rPr>
        <w:t>3)供应商未就所竞标项目/分标进行报价或者存在漏项报价；供应商未就所竞标项目/分标的单项内</w:t>
      </w:r>
      <w:r>
        <w:rPr>
          <w:rFonts w:hint="eastAsia" w:ascii="仿宋" w:hAnsi="仿宋" w:eastAsia="仿宋" w:cs="仿宋"/>
          <w:color w:val="auto"/>
          <w:spacing w:val="4"/>
          <w:highlight w:val="none"/>
          <w:lang w:eastAsia="zh-CN"/>
        </w:rPr>
        <w:t>容作唯一报</w:t>
      </w:r>
      <w:r>
        <w:rPr>
          <w:rFonts w:hint="eastAsia" w:ascii="仿宋" w:hAnsi="仿宋" w:eastAsia="仿宋" w:cs="仿宋"/>
          <w:color w:val="auto"/>
          <w:spacing w:val="-2"/>
          <w:highlight w:val="none"/>
          <w:lang w:eastAsia="zh-CN"/>
        </w:rPr>
        <w:t>价；供应商未就所竞标项目/分标的全部内容作唯一总价</w:t>
      </w:r>
      <w:r>
        <w:rPr>
          <w:rFonts w:hint="eastAsia" w:ascii="仿宋" w:hAnsi="仿宋" w:eastAsia="仿宋" w:cs="仿宋"/>
          <w:color w:val="auto"/>
          <w:spacing w:val="-3"/>
          <w:highlight w:val="none"/>
          <w:lang w:eastAsia="zh-CN"/>
        </w:rPr>
        <w:t>报价；供应商响应文件中存在有选择、有条件报价的(磋</w:t>
      </w:r>
      <w:r>
        <w:rPr>
          <w:rFonts w:hint="eastAsia" w:ascii="仿宋" w:hAnsi="仿宋" w:eastAsia="仿宋" w:cs="仿宋"/>
          <w:color w:val="auto"/>
          <w:spacing w:val="6"/>
          <w:highlight w:val="none"/>
          <w:lang w:eastAsia="zh-CN"/>
        </w:rPr>
        <w:t>商文件允许有备选方案或者其他约定的除外);</w:t>
      </w:r>
    </w:p>
    <w:p w14:paraId="39314594">
      <w:pPr>
        <w:spacing w:line="460" w:lineRule="exact"/>
        <w:ind w:firstLine="468" w:firstLineChars="200"/>
        <w:rPr>
          <w:rFonts w:ascii="仿宋" w:hAnsi="仿宋" w:eastAsia="仿宋" w:cs="仿宋"/>
          <w:color w:val="auto"/>
          <w:highlight w:val="none"/>
          <w:lang w:eastAsia="zh-CN"/>
        </w:rPr>
      </w:pPr>
      <w:r>
        <w:rPr>
          <w:rFonts w:hint="eastAsia" w:ascii="仿宋" w:hAnsi="仿宋" w:eastAsia="仿宋" w:cs="仿宋"/>
          <w:color w:val="auto"/>
          <w:spacing w:val="12"/>
          <w:highlight w:val="none"/>
          <w:lang w:eastAsia="zh-CN"/>
        </w:rPr>
        <w:t>4)响应报价(包含首次报价、最后报价)超过所竞标项目/分标规定的采购预算金额或者最</w:t>
      </w:r>
      <w:r>
        <w:rPr>
          <w:rFonts w:hint="eastAsia" w:ascii="仿宋" w:hAnsi="仿宋" w:eastAsia="仿宋" w:cs="仿宋"/>
          <w:color w:val="auto"/>
          <w:spacing w:val="11"/>
          <w:highlight w:val="none"/>
          <w:lang w:eastAsia="zh-CN"/>
        </w:rPr>
        <w:t>高限价的(如</w:t>
      </w:r>
      <w:r>
        <w:rPr>
          <w:rFonts w:hint="eastAsia" w:ascii="仿宋" w:hAnsi="仿宋" w:eastAsia="仿宋" w:cs="仿宋"/>
          <w:color w:val="auto"/>
          <w:spacing w:val="9"/>
          <w:highlight w:val="none"/>
          <w:lang w:eastAsia="zh-CN"/>
        </w:rPr>
        <w:t>本项目公布了最高限价);响应报价(包含首次报价、最后报价)超过磋商文件分项采购预算金额或者最</w:t>
      </w:r>
      <w:r>
        <w:rPr>
          <w:rFonts w:hint="eastAsia" w:ascii="仿宋" w:hAnsi="仿宋" w:eastAsia="仿宋" w:cs="仿宋"/>
          <w:color w:val="auto"/>
          <w:spacing w:val="13"/>
          <w:highlight w:val="none"/>
          <w:lang w:eastAsia="zh-CN"/>
        </w:rPr>
        <w:t>高限价的(如本项目公布了最高限价);</w:t>
      </w:r>
    </w:p>
    <w:p w14:paraId="55CEA2C6">
      <w:pPr>
        <w:spacing w:line="460" w:lineRule="exact"/>
        <w:ind w:firstLine="448" w:firstLineChars="200"/>
        <w:rPr>
          <w:rFonts w:ascii="仿宋" w:hAnsi="仿宋" w:eastAsia="仿宋" w:cs="仿宋"/>
          <w:color w:val="auto"/>
          <w:highlight w:val="none"/>
          <w:lang w:eastAsia="zh-CN"/>
        </w:rPr>
      </w:pPr>
      <w:r>
        <w:rPr>
          <w:rFonts w:hint="eastAsia" w:ascii="仿宋" w:hAnsi="仿宋" w:eastAsia="仿宋" w:cs="仿宋"/>
          <w:color w:val="auto"/>
          <w:spacing w:val="7"/>
          <w:highlight w:val="none"/>
          <w:lang w:eastAsia="zh-CN"/>
        </w:rPr>
        <w:t>5)修正后的报价，供应商不确认的；或者经供应商确认修正后的响应报价(包含首次报价、最后报</w:t>
      </w:r>
      <w:r>
        <w:rPr>
          <w:rFonts w:hint="eastAsia" w:ascii="仿宋" w:hAnsi="仿宋" w:eastAsia="仿宋" w:cs="仿宋"/>
          <w:color w:val="auto"/>
          <w:spacing w:val="9"/>
          <w:highlight w:val="none"/>
          <w:lang w:eastAsia="zh-CN"/>
        </w:rPr>
        <w:t>价)超过所竞标项目规定的采购预算金额或者最高限价(如本项目公布了最高限价);或</w:t>
      </w:r>
      <w:r>
        <w:rPr>
          <w:rFonts w:hint="eastAsia" w:ascii="仿宋" w:hAnsi="仿宋" w:eastAsia="仿宋" w:cs="仿宋"/>
          <w:color w:val="auto"/>
          <w:spacing w:val="8"/>
          <w:highlight w:val="none"/>
          <w:lang w:eastAsia="zh-CN"/>
        </w:rPr>
        <w:t>者经供应商确认</w:t>
      </w:r>
      <w:r>
        <w:rPr>
          <w:rFonts w:hint="eastAsia" w:ascii="仿宋" w:hAnsi="仿宋" w:eastAsia="仿宋" w:cs="仿宋"/>
          <w:color w:val="auto"/>
          <w:spacing w:val="7"/>
          <w:highlight w:val="none"/>
          <w:lang w:eastAsia="zh-CN"/>
        </w:rPr>
        <w:t>修正后响应报价(包含首次报价、最后报价)超过磋商文件分项采购预算金额或者最高限价的(如本项目</w:t>
      </w:r>
      <w:r>
        <w:rPr>
          <w:rFonts w:hint="eastAsia" w:ascii="仿宋" w:hAnsi="仿宋" w:eastAsia="仿宋" w:cs="仿宋"/>
          <w:color w:val="auto"/>
          <w:spacing w:val="11"/>
          <w:highlight w:val="none"/>
          <w:lang w:eastAsia="zh-CN"/>
        </w:rPr>
        <w:t>公布了最高限价)。</w:t>
      </w:r>
    </w:p>
    <w:p w14:paraId="21F76B8F">
      <w:pPr>
        <w:spacing w:line="460" w:lineRule="exact"/>
        <w:ind w:firstLine="436" w:firstLineChars="200"/>
        <w:rPr>
          <w:rFonts w:ascii="仿宋" w:hAnsi="仿宋" w:eastAsia="仿宋" w:cs="仿宋"/>
          <w:color w:val="auto"/>
          <w:highlight w:val="none"/>
          <w:lang w:eastAsia="zh-CN"/>
        </w:rPr>
      </w:pPr>
      <w:r>
        <w:rPr>
          <w:rFonts w:hint="eastAsia" w:ascii="仿宋" w:hAnsi="仿宋" w:eastAsia="仿宋" w:cs="仿宋"/>
          <w:color w:val="auto"/>
          <w:spacing w:val="4"/>
          <w:highlight w:val="none"/>
          <w:lang w:eastAsia="zh-CN"/>
        </w:rPr>
        <w:t>6)响应文件响应的标的数量及单位与竞争性磋商文件要求</w:t>
      </w:r>
      <w:r>
        <w:rPr>
          <w:rFonts w:hint="eastAsia" w:ascii="仿宋" w:hAnsi="仿宋" w:eastAsia="仿宋" w:cs="仿宋"/>
          <w:color w:val="auto"/>
          <w:spacing w:val="3"/>
          <w:highlight w:val="none"/>
          <w:lang w:eastAsia="zh-CN"/>
        </w:rPr>
        <w:t>实质性不一致的。</w:t>
      </w:r>
    </w:p>
    <w:p w14:paraId="6AE0619C">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3.6磋商小组对响应文件进行评审，未实质性响应磋商文件的响应文件按无效处理，磋商小组应当将</w:t>
      </w:r>
      <w:r>
        <w:rPr>
          <w:rFonts w:hint="eastAsia" w:ascii="仿宋" w:hAnsi="仿宋" w:eastAsia="仿宋" w:cs="仿宋"/>
          <w:color w:val="auto"/>
          <w:highlight w:val="none"/>
          <w:lang w:eastAsia="zh-CN"/>
        </w:rPr>
        <w:t>资格和符合性不通过的情况告知有关供应商。磋商小组从符合磋商</w:t>
      </w:r>
      <w:r>
        <w:rPr>
          <w:rFonts w:hint="eastAsia" w:ascii="仿宋" w:hAnsi="仿宋" w:eastAsia="仿宋" w:cs="仿宋"/>
          <w:color w:val="auto"/>
          <w:spacing w:val="-1"/>
          <w:highlight w:val="none"/>
          <w:lang w:eastAsia="zh-CN"/>
        </w:rPr>
        <w:t>文件规定的相应资格条件的供应商名单</w:t>
      </w:r>
      <w:r>
        <w:rPr>
          <w:rFonts w:hint="eastAsia" w:ascii="仿宋" w:hAnsi="仿宋" w:eastAsia="仿宋" w:cs="仿宋"/>
          <w:color w:val="auto"/>
          <w:spacing w:val="4"/>
          <w:highlight w:val="none"/>
          <w:lang w:eastAsia="zh-CN"/>
        </w:rPr>
        <w:t>中确定不少于3家的供应商参加磋商。</w:t>
      </w:r>
    </w:p>
    <w:p w14:paraId="77A4AD63">
      <w:pPr>
        <w:spacing w:line="460" w:lineRule="exact"/>
        <w:ind w:firstLine="436" w:firstLineChars="200"/>
        <w:rPr>
          <w:rFonts w:ascii="仿宋" w:hAnsi="仿宋" w:eastAsia="仿宋" w:cs="仿宋"/>
          <w:color w:val="auto"/>
          <w:highlight w:val="none"/>
          <w:lang w:eastAsia="zh-CN"/>
        </w:rPr>
      </w:pPr>
      <w:r>
        <w:rPr>
          <w:rFonts w:hint="eastAsia" w:ascii="仿宋" w:hAnsi="仿宋" w:eastAsia="仿宋" w:cs="仿宋"/>
          <w:color w:val="auto"/>
          <w:spacing w:val="4"/>
          <w:highlight w:val="none"/>
          <w:lang w:eastAsia="zh-CN"/>
        </w:rPr>
        <w:t>3.7非政府购买服务项目，通过符合性审查的合格供应商不足3家的，不得进入磋商环节，采购人或</w:t>
      </w:r>
      <w:r>
        <w:rPr>
          <w:rFonts w:hint="eastAsia" w:ascii="仿宋" w:hAnsi="仿宋" w:eastAsia="仿宋" w:cs="仿宋"/>
          <w:color w:val="auto"/>
          <w:highlight w:val="none"/>
          <w:lang w:eastAsia="zh-CN"/>
        </w:rPr>
        <w:t>者采购代理机构应当重新开展采购活动。政府购买服务项目，按《财政部关于政</w:t>
      </w:r>
      <w:r>
        <w:rPr>
          <w:rFonts w:hint="eastAsia" w:ascii="仿宋" w:hAnsi="仿宋" w:eastAsia="仿宋" w:cs="仿宋"/>
          <w:color w:val="auto"/>
          <w:spacing w:val="-1"/>
          <w:highlight w:val="none"/>
          <w:lang w:eastAsia="zh-CN"/>
        </w:rPr>
        <w:t>府采购竞争性磋商采购方</w:t>
      </w:r>
      <w:r>
        <w:rPr>
          <w:rFonts w:hint="eastAsia" w:ascii="仿宋" w:hAnsi="仿宋" w:eastAsia="仿宋" w:cs="仿宋"/>
          <w:color w:val="auto"/>
          <w:spacing w:val="6"/>
          <w:highlight w:val="none"/>
          <w:lang w:eastAsia="zh-CN"/>
        </w:rPr>
        <w:t>式管理暂行办法有关问题的补充通知》(财库〔2015〕124号)规定，采购过程中通过符合性审查的供应</w:t>
      </w:r>
      <w:r>
        <w:rPr>
          <w:rFonts w:hint="eastAsia" w:ascii="仿宋" w:hAnsi="仿宋" w:eastAsia="仿宋" w:cs="仿宋"/>
          <w:color w:val="auto"/>
          <w:spacing w:val="12"/>
          <w:highlight w:val="none"/>
          <w:lang w:eastAsia="zh-CN"/>
        </w:rPr>
        <w:t>商(社会资本)只有2家的，磋商采购活动可以继</w:t>
      </w:r>
      <w:r>
        <w:rPr>
          <w:rFonts w:hint="eastAsia" w:ascii="仿宋" w:hAnsi="仿宋" w:eastAsia="仿宋" w:cs="仿宋"/>
          <w:color w:val="auto"/>
          <w:spacing w:val="11"/>
          <w:highlight w:val="none"/>
          <w:lang w:eastAsia="zh-CN"/>
        </w:rPr>
        <w:t>续进行。</w:t>
      </w:r>
    </w:p>
    <w:p w14:paraId="2B3E695A">
      <w:pPr>
        <w:spacing w:line="460" w:lineRule="exact"/>
        <w:ind w:firstLine="390" w:firstLineChars="200"/>
        <w:rPr>
          <w:rFonts w:ascii="仿宋" w:hAnsi="仿宋" w:eastAsia="仿宋" w:cs="仿宋"/>
          <w:color w:val="auto"/>
          <w:highlight w:val="none"/>
          <w:lang w:eastAsia="zh-CN"/>
        </w:rPr>
      </w:pPr>
      <w:r>
        <w:rPr>
          <w:rFonts w:hint="eastAsia" w:ascii="仿宋" w:hAnsi="仿宋" w:eastAsia="仿宋" w:cs="仿宋"/>
          <w:b/>
          <w:bCs/>
          <w:color w:val="auto"/>
          <w:spacing w:val="-8"/>
          <w:highlight w:val="none"/>
          <w:lang w:eastAsia="zh-CN"/>
        </w:rPr>
        <w:t>4.磋商程序</w:t>
      </w:r>
    </w:p>
    <w:p w14:paraId="24AF1A49">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4.1磋商小组按照“供应商须知前附表”确定的顺序，集中与单一供</w:t>
      </w:r>
      <w:r>
        <w:rPr>
          <w:rFonts w:hint="eastAsia" w:ascii="仿宋" w:hAnsi="仿宋" w:eastAsia="仿宋" w:cs="仿宋"/>
          <w:color w:val="auto"/>
          <w:spacing w:val="1"/>
          <w:highlight w:val="none"/>
          <w:lang w:eastAsia="zh-CN"/>
        </w:rPr>
        <w:t>应商分别进行磋商，并给予所有</w:t>
      </w:r>
      <w:r>
        <w:rPr>
          <w:rFonts w:hint="eastAsia" w:ascii="仿宋" w:hAnsi="仿宋" w:eastAsia="仿宋" w:cs="仿宋"/>
          <w:color w:val="auto"/>
          <w:highlight w:val="none"/>
          <w:lang w:eastAsia="zh-CN"/>
        </w:rPr>
        <w:t>参加磋商的供应商平等的磋商机会。符合磋商资格的供应商必须在接到磋商通知后规定时间内参加磋商，未在规定时间内参加磋商的视同放弃参加磋商权利，其响应文件按无效响应处理。</w:t>
      </w:r>
    </w:p>
    <w:p w14:paraId="2FF60664">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4.2在磋商过程中，磋商小组可以根据磋商文件和磋商情况实质性</w:t>
      </w:r>
      <w:r>
        <w:rPr>
          <w:rFonts w:hint="eastAsia" w:ascii="仿宋" w:hAnsi="仿宋" w:eastAsia="仿宋" w:cs="仿宋"/>
          <w:color w:val="auto"/>
          <w:spacing w:val="1"/>
          <w:highlight w:val="none"/>
          <w:lang w:eastAsia="zh-CN"/>
        </w:rPr>
        <w:t>变动采购需求中的商务、服务要求</w:t>
      </w:r>
      <w:r>
        <w:rPr>
          <w:rFonts w:hint="eastAsia" w:ascii="仿宋" w:hAnsi="仿宋" w:eastAsia="仿宋" w:cs="仿宋"/>
          <w:color w:val="auto"/>
          <w:highlight w:val="none"/>
          <w:lang w:eastAsia="zh-CN"/>
        </w:rPr>
        <w:t>以及合同草案条款，但不得变动磋商文件中的其他内容。实质性变动的内容，须经采购人代表确认。可能实质性变动的内容为采购需求中的商务、服务要求以及合同草案条款。</w:t>
      </w:r>
    </w:p>
    <w:p w14:paraId="5CFC0669">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4.3对磋商文件作出的实质性变动是磋商文件的有效组成部分，由磋商小组及时以</w:t>
      </w:r>
      <w:r>
        <w:rPr>
          <w:rFonts w:hint="eastAsia" w:ascii="仿宋" w:hAnsi="仿宋" w:eastAsia="仿宋" w:cs="仿宋"/>
          <w:color w:val="auto"/>
          <w:spacing w:val="1"/>
          <w:highlight w:val="none"/>
          <w:lang w:eastAsia="zh-CN"/>
        </w:rPr>
        <w:t>电子澄清函形式同</w:t>
      </w:r>
      <w:r>
        <w:rPr>
          <w:rFonts w:hint="eastAsia" w:ascii="仿宋" w:hAnsi="仿宋" w:eastAsia="仿宋" w:cs="仿宋"/>
          <w:color w:val="auto"/>
          <w:highlight w:val="none"/>
          <w:lang w:eastAsia="zh-CN"/>
        </w:rPr>
        <w:t>时通知所有参加磋商的供应商。</w:t>
      </w:r>
    </w:p>
    <w:p w14:paraId="43A0C8F3">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4.4供应商必须按照磋商文件的变动情况和磋商小组的要求以回函的形式重新提交响应文件，并加盖</w:t>
      </w:r>
      <w:r>
        <w:rPr>
          <w:rFonts w:hint="eastAsia" w:ascii="仿宋" w:hAnsi="仿宋" w:eastAsia="仿宋" w:cs="仿宋"/>
          <w:color w:val="auto"/>
          <w:highlight w:val="none"/>
          <w:lang w:eastAsia="zh-CN"/>
        </w:rPr>
        <w:t>供应商公章。供应商为自然人的，必须由本人签字并附身份证明。参加磋商的供应商</w:t>
      </w:r>
      <w:r>
        <w:rPr>
          <w:rFonts w:hint="eastAsia" w:ascii="仿宋" w:hAnsi="仿宋" w:eastAsia="仿宋" w:cs="仿宋"/>
          <w:color w:val="auto"/>
          <w:spacing w:val="-1"/>
          <w:highlight w:val="none"/>
          <w:lang w:eastAsia="zh-CN"/>
        </w:rPr>
        <w:t>未在规定时间内重新提交响应文件的，视同退出磋商。</w:t>
      </w:r>
    </w:p>
    <w:p w14:paraId="72EA9A93">
      <w:pPr>
        <w:spacing w:line="460" w:lineRule="exact"/>
        <w:ind w:firstLine="384" w:firstLineChars="200"/>
        <w:rPr>
          <w:rFonts w:ascii="仿宋" w:hAnsi="仿宋" w:eastAsia="仿宋" w:cs="仿宋"/>
          <w:color w:val="auto"/>
          <w:highlight w:val="none"/>
          <w:lang w:eastAsia="zh-CN"/>
        </w:rPr>
      </w:pPr>
      <w:r>
        <w:rPr>
          <w:rFonts w:hint="eastAsia" w:ascii="仿宋" w:hAnsi="仿宋" w:eastAsia="仿宋" w:cs="仿宋"/>
          <w:color w:val="auto"/>
          <w:spacing w:val="-9"/>
          <w:highlight w:val="none"/>
          <w:lang w:eastAsia="zh-CN"/>
        </w:rPr>
        <w:t>4.5磋商中，磋商的任何一方不得透露与磋商有关的其他供应商的技术资料、价格和其他信息。</w:t>
      </w:r>
    </w:p>
    <w:p w14:paraId="06357DB0">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4.6磋商小组应对磋商过程和重要磋商内容</w:t>
      </w:r>
      <w:r>
        <w:rPr>
          <w:rFonts w:hint="eastAsia" w:ascii="仿宋" w:hAnsi="仿宋" w:eastAsia="仿宋" w:cs="仿宋"/>
          <w:color w:val="auto"/>
          <w:spacing w:val="1"/>
          <w:highlight w:val="none"/>
          <w:lang w:eastAsia="zh-CN"/>
        </w:rPr>
        <w:t>进行记录，作为评审报告一部分，磋商小组在记录上签字</w:t>
      </w:r>
      <w:r>
        <w:rPr>
          <w:rFonts w:hint="eastAsia" w:ascii="仿宋" w:hAnsi="仿宋" w:eastAsia="仿宋" w:cs="仿宋"/>
          <w:color w:val="auto"/>
          <w:highlight w:val="none"/>
          <w:lang w:eastAsia="zh-CN"/>
        </w:rPr>
        <w:t>确认。</w:t>
      </w:r>
    </w:p>
    <w:p w14:paraId="0A0F61AB">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4.7磋商过程中重新提交的响应文件，供应商可以在开</w:t>
      </w:r>
      <w:r>
        <w:rPr>
          <w:rFonts w:hint="eastAsia" w:ascii="仿宋" w:hAnsi="仿宋" w:eastAsia="仿宋" w:cs="仿宋"/>
          <w:color w:val="auto"/>
          <w:spacing w:val="1"/>
          <w:highlight w:val="none"/>
          <w:lang w:eastAsia="zh-CN"/>
        </w:rPr>
        <w:t>启前补充、修改。</w:t>
      </w:r>
    </w:p>
    <w:p w14:paraId="12506778">
      <w:pPr>
        <w:spacing w:line="460" w:lineRule="exact"/>
        <w:ind w:firstLine="436" w:firstLineChars="200"/>
        <w:rPr>
          <w:rFonts w:ascii="仿宋" w:hAnsi="仿宋" w:eastAsia="仿宋" w:cs="仿宋"/>
          <w:color w:val="auto"/>
          <w:highlight w:val="none"/>
          <w:lang w:eastAsia="zh-CN"/>
        </w:rPr>
      </w:pPr>
      <w:r>
        <w:rPr>
          <w:rFonts w:hint="eastAsia" w:ascii="仿宋" w:hAnsi="仿宋" w:eastAsia="仿宋" w:cs="仿宋"/>
          <w:color w:val="auto"/>
          <w:spacing w:val="4"/>
          <w:highlight w:val="none"/>
          <w:lang w:eastAsia="zh-CN"/>
        </w:rPr>
        <w:t>4.8对磋商过程提交的响应文件进行有效性、完整性和响应程度审查，通过审查的合格供应商不足3</w:t>
      </w:r>
      <w:r>
        <w:rPr>
          <w:rFonts w:hint="eastAsia" w:ascii="仿宋" w:hAnsi="仿宋" w:eastAsia="仿宋" w:cs="仿宋"/>
          <w:color w:val="auto"/>
          <w:highlight w:val="none"/>
          <w:lang w:eastAsia="zh-CN"/>
        </w:rPr>
        <w:t>家的，采购人或者采购代理机构应当重新开</w:t>
      </w:r>
      <w:r>
        <w:rPr>
          <w:rFonts w:hint="eastAsia" w:ascii="仿宋" w:hAnsi="仿宋" w:eastAsia="仿宋" w:cs="仿宋"/>
          <w:color w:val="auto"/>
          <w:spacing w:val="-1"/>
          <w:highlight w:val="none"/>
          <w:lang w:eastAsia="zh-CN"/>
        </w:rPr>
        <w:t>展采购活动。</w:t>
      </w:r>
    </w:p>
    <w:p w14:paraId="6DC588A6">
      <w:pPr>
        <w:spacing w:line="460" w:lineRule="exact"/>
        <w:ind w:firstLine="386" w:firstLineChars="200"/>
        <w:rPr>
          <w:rFonts w:ascii="仿宋" w:hAnsi="仿宋" w:eastAsia="仿宋" w:cs="仿宋"/>
          <w:color w:val="auto"/>
          <w:highlight w:val="none"/>
          <w:lang w:eastAsia="zh-CN"/>
        </w:rPr>
      </w:pPr>
      <w:r>
        <w:rPr>
          <w:rFonts w:hint="eastAsia" w:ascii="仿宋" w:hAnsi="仿宋" w:eastAsia="仿宋" w:cs="仿宋"/>
          <w:b/>
          <w:bCs/>
          <w:color w:val="auto"/>
          <w:spacing w:val="-9"/>
          <w:highlight w:val="none"/>
          <w:lang w:eastAsia="zh-CN"/>
        </w:rPr>
        <w:t>5.</w:t>
      </w:r>
      <w:r>
        <w:rPr>
          <w:rFonts w:hint="eastAsia" w:ascii="仿宋" w:hAnsi="仿宋" w:eastAsia="仿宋" w:cs="仿宋"/>
          <w:color w:val="auto"/>
          <w:spacing w:val="47"/>
          <w:highlight w:val="none"/>
          <w:lang w:eastAsia="zh-CN"/>
        </w:rPr>
        <w:t xml:space="preserve"> </w:t>
      </w:r>
      <w:r>
        <w:rPr>
          <w:rFonts w:hint="eastAsia" w:ascii="仿宋" w:hAnsi="仿宋" w:eastAsia="仿宋" w:cs="仿宋"/>
          <w:b/>
          <w:bCs/>
          <w:color w:val="auto"/>
          <w:spacing w:val="-9"/>
          <w:highlight w:val="none"/>
          <w:lang w:eastAsia="zh-CN"/>
        </w:rPr>
        <w:t>最</w:t>
      </w:r>
      <w:r>
        <w:rPr>
          <w:rFonts w:hint="eastAsia" w:ascii="仿宋" w:hAnsi="仿宋" w:eastAsia="仿宋" w:cs="仿宋"/>
          <w:color w:val="auto"/>
          <w:spacing w:val="-49"/>
          <w:highlight w:val="none"/>
          <w:lang w:eastAsia="zh-CN"/>
        </w:rPr>
        <w:t xml:space="preserve"> </w:t>
      </w:r>
      <w:r>
        <w:rPr>
          <w:rFonts w:hint="eastAsia" w:ascii="仿宋" w:hAnsi="仿宋" w:eastAsia="仿宋" w:cs="仿宋"/>
          <w:b/>
          <w:bCs/>
          <w:color w:val="auto"/>
          <w:spacing w:val="-9"/>
          <w:highlight w:val="none"/>
          <w:lang w:eastAsia="zh-CN"/>
        </w:rPr>
        <w:t>后</w:t>
      </w:r>
      <w:r>
        <w:rPr>
          <w:rFonts w:hint="eastAsia" w:ascii="仿宋" w:hAnsi="仿宋" w:eastAsia="仿宋" w:cs="仿宋"/>
          <w:color w:val="auto"/>
          <w:spacing w:val="-50"/>
          <w:highlight w:val="none"/>
          <w:lang w:eastAsia="zh-CN"/>
        </w:rPr>
        <w:t xml:space="preserve"> </w:t>
      </w:r>
      <w:r>
        <w:rPr>
          <w:rFonts w:hint="eastAsia" w:ascii="仿宋" w:hAnsi="仿宋" w:eastAsia="仿宋" w:cs="仿宋"/>
          <w:b/>
          <w:bCs/>
          <w:color w:val="auto"/>
          <w:spacing w:val="-9"/>
          <w:highlight w:val="none"/>
          <w:lang w:eastAsia="zh-CN"/>
        </w:rPr>
        <w:t>报</w:t>
      </w:r>
      <w:r>
        <w:rPr>
          <w:rFonts w:hint="eastAsia" w:ascii="仿宋" w:hAnsi="仿宋" w:eastAsia="仿宋" w:cs="仿宋"/>
          <w:color w:val="auto"/>
          <w:spacing w:val="-49"/>
          <w:highlight w:val="none"/>
          <w:lang w:eastAsia="zh-CN"/>
        </w:rPr>
        <w:t xml:space="preserve"> </w:t>
      </w:r>
      <w:r>
        <w:rPr>
          <w:rFonts w:hint="eastAsia" w:ascii="仿宋" w:hAnsi="仿宋" w:eastAsia="仿宋" w:cs="仿宋"/>
          <w:b/>
          <w:bCs/>
          <w:color w:val="auto"/>
          <w:spacing w:val="-9"/>
          <w:highlight w:val="none"/>
          <w:lang w:eastAsia="zh-CN"/>
        </w:rPr>
        <w:t>价</w:t>
      </w:r>
    </w:p>
    <w:p w14:paraId="623C890F">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5.1磋商文件能够详细列明采购标的的技术、服务要求的，磋商结束后，由磋商</w:t>
      </w:r>
      <w:r>
        <w:rPr>
          <w:rFonts w:hint="eastAsia" w:ascii="仿宋" w:hAnsi="仿宋" w:eastAsia="仿宋" w:cs="仿宋"/>
          <w:color w:val="auto"/>
          <w:spacing w:val="1"/>
          <w:highlight w:val="none"/>
          <w:lang w:eastAsia="zh-CN"/>
        </w:rPr>
        <w:t>小组要求所有继续参</w:t>
      </w:r>
      <w:r>
        <w:rPr>
          <w:rFonts w:hint="eastAsia" w:ascii="仿宋" w:hAnsi="仿宋" w:eastAsia="仿宋" w:cs="仿宋"/>
          <w:color w:val="auto"/>
          <w:spacing w:val="4"/>
          <w:highlight w:val="none"/>
          <w:lang w:eastAsia="zh-CN"/>
        </w:rPr>
        <w:t>加磋商的供应商在规定时间内提交最后报价，除本章第5.3条外，提交最后报价</w:t>
      </w:r>
      <w:r>
        <w:rPr>
          <w:rFonts w:hint="eastAsia" w:ascii="仿宋" w:hAnsi="仿宋" w:eastAsia="仿宋" w:cs="仿宋"/>
          <w:color w:val="auto"/>
          <w:spacing w:val="3"/>
          <w:highlight w:val="none"/>
          <w:lang w:eastAsia="zh-CN"/>
        </w:rPr>
        <w:t>的供应商不得少于3</w:t>
      </w:r>
      <w:r>
        <w:rPr>
          <w:rFonts w:hint="eastAsia" w:ascii="仿宋" w:hAnsi="仿宋" w:eastAsia="仿宋" w:cs="仿宋"/>
          <w:color w:val="auto"/>
          <w:highlight w:val="none"/>
          <w:lang w:eastAsia="zh-CN"/>
        </w:rPr>
        <w:t xml:space="preserve"> </w:t>
      </w:r>
      <w:r>
        <w:rPr>
          <w:rFonts w:hint="eastAsia" w:ascii="仿宋" w:hAnsi="仿宋" w:eastAsia="仿宋" w:cs="仿宋"/>
          <w:color w:val="auto"/>
          <w:spacing w:val="1"/>
          <w:highlight w:val="none"/>
          <w:lang w:eastAsia="zh-CN"/>
        </w:rPr>
        <w:t>家，否则必须重新采购。</w:t>
      </w:r>
    </w:p>
    <w:p w14:paraId="7CC1BEFD">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5.2磋商文件不能详细列明采购标的的技术、服务要求，需经磋商由供应商提供</w:t>
      </w:r>
      <w:r>
        <w:rPr>
          <w:rFonts w:hint="eastAsia" w:ascii="仿宋" w:hAnsi="仿宋" w:eastAsia="仿宋" w:cs="仿宋"/>
          <w:color w:val="auto"/>
          <w:spacing w:val="1"/>
          <w:highlight w:val="none"/>
          <w:lang w:eastAsia="zh-CN"/>
        </w:rPr>
        <w:t>最后设计方案或者解</w:t>
      </w:r>
      <w:r>
        <w:rPr>
          <w:rFonts w:hint="eastAsia" w:ascii="仿宋" w:hAnsi="仿宋" w:eastAsia="仿宋" w:cs="仿宋"/>
          <w:color w:val="auto"/>
          <w:spacing w:val="2"/>
          <w:highlight w:val="none"/>
          <w:lang w:eastAsia="zh-CN"/>
        </w:rPr>
        <w:t>决方案的，磋商结束后，由磋商小组按照少数服从多数的原则投票推荐3家以上供应商的设计方案或者解</w:t>
      </w:r>
      <w:r>
        <w:rPr>
          <w:rFonts w:hint="eastAsia" w:ascii="仿宋" w:hAnsi="仿宋" w:eastAsia="仿宋" w:cs="仿宋"/>
          <w:color w:val="auto"/>
          <w:highlight w:val="none"/>
          <w:lang w:eastAsia="zh-CN"/>
        </w:rPr>
        <w:t>决方案，并要求其在规定时间内提交最后报价。</w:t>
      </w:r>
    </w:p>
    <w:p w14:paraId="6BB2535A">
      <w:pPr>
        <w:tabs>
          <w:tab w:val="left" w:pos="108"/>
        </w:tabs>
        <w:spacing w:line="460" w:lineRule="exact"/>
        <w:ind w:firstLine="424" w:firstLineChars="200"/>
        <w:rPr>
          <w:rFonts w:ascii="仿宋" w:hAnsi="仿宋" w:eastAsia="仿宋" w:cs="仿宋"/>
          <w:color w:val="auto"/>
          <w:highlight w:val="none"/>
          <w:lang w:eastAsia="zh-CN"/>
        </w:rPr>
      </w:pPr>
      <w:r>
        <w:rPr>
          <w:rFonts w:hint="eastAsia" w:ascii="仿宋" w:hAnsi="仿宋" w:eastAsia="仿宋" w:cs="仿宋"/>
          <w:color w:val="auto"/>
          <w:spacing w:val="1"/>
          <w:highlight w:val="none"/>
          <w:lang w:eastAsia="zh-CN"/>
        </w:rPr>
        <w:t>5.3最后报价是供应商响应文件的有效组成部分。符合《政府采购竞争性磋商采购方</w:t>
      </w:r>
      <w:r>
        <w:rPr>
          <w:rFonts w:hint="eastAsia" w:ascii="仿宋" w:hAnsi="仿宋" w:eastAsia="仿宋" w:cs="仿宋"/>
          <w:color w:val="auto"/>
          <w:highlight w:val="none"/>
          <w:lang w:eastAsia="zh-CN"/>
        </w:rPr>
        <w:t xml:space="preserve">式管理暂行办法》  </w:t>
      </w:r>
      <w:r>
        <w:rPr>
          <w:rFonts w:hint="eastAsia" w:ascii="仿宋" w:hAnsi="仿宋" w:eastAsia="仿宋" w:cs="仿宋"/>
          <w:color w:val="auto"/>
          <w:highlight w:val="none"/>
          <w:lang w:eastAsia="zh-CN"/>
        </w:rPr>
        <w:tab/>
      </w:r>
      <w:r>
        <w:rPr>
          <w:rFonts w:hint="eastAsia" w:ascii="仿宋" w:hAnsi="仿宋" w:eastAsia="仿宋" w:cs="仿宋"/>
          <w:color w:val="auto"/>
          <w:spacing w:val="5"/>
          <w:highlight w:val="none"/>
          <w:lang w:eastAsia="zh-CN"/>
        </w:rPr>
        <w:t>(财库〔2014〕214号)第三条第四项“市场竞争不充分的科研项目，以及需要扶持的科技成果转化项</w:t>
      </w:r>
      <w:r>
        <w:rPr>
          <w:rFonts w:hint="eastAsia" w:ascii="仿宋" w:hAnsi="仿宋" w:eastAsia="仿宋" w:cs="仿宋"/>
          <w:color w:val="auto"/>
          <w:spacing w:val="4"/>
          <w:highlight w:val="none"/>
          <w:lang w:eastAsia="zh-CN"/>
        </w:rPr>
        <w:t>目”</w:t>
      </w:r>
      <w:r>
        <w:rPr>
          <w:rFonts w:hint="eastAsia" w:ascii="仿宋" w:hAnsi="仿宋" w:eastAsia="仿宋" w:cs="仿宋"/>
          <w:color w:val="auto"/>
          <w:highlight w:val="none"/>
          <w:lang w:eastAsia="zh-CN"/>
        </w:rPr>
        <w:t xml:space="preserve"> </w:t>
      </w:r>
      <w:r>
        <w:rPr>
          <w:rFonts w:hint="eastAsia" w:ascii="仿宋" w:hAnsi="仿宋" w:eastAsia="仿宋" w:cs="仿宋"/>
          <w:color w:val="auto"/>
          <w:spacing w:val="6"/>
          <w:highlight w:val="none"/>
          <w:lang w:eastAsia="zh-CN"/>
        </w:rPr>
        <w:t>的，提交最后报价的供应商可以为2家。</w:t>
      </w:r>
    </w:p>
    <w:p w14:paraId="660514F3">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5.4已经提交响应文件的供应商，在提交最后报价之前，可以根据磋商情况退出磋商，退出磋</w:t>
      </w:r>
      <w:r>
        <w:rPr>
          <w:rFonts w:hint="eastAsia" w:ascii="仿宋" w:hAnsi="仿宋" w:eastAsia="仿宋" w:cs="仿宋"/>
          <w:color w:val="auto"/>
          <w:spacing w:val="1"/>
          <w:highlight w:val="none"/>
          <w:lang w:eastAsia="zh-CN"/>
        </w:rPr>
        <w:t>商的供</w:t>
      </w:r>
      <w:r>
        <w:rPr>
          <w:rFonts w:hint="eastAsia" w:ascii="仿宋" w:hAnsi="仿宋" w:eastAsia="仿宋" w:cs="仿宋"/>
          <w:color w:val="auto"/>
          <w:spacing w:val="-1"/>
          <w:highlight w:val="none"/>
          <w:lang w:eastAsia="zh-CN"/>
        </w:rPr>
        <w:t>应商的响应文件按无效响应处理。</w:t>
      </w:r>
    </w:p>
    <w:p w14:paraId="065B0147">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5.5供应商未在规定时间内提交最后报价</w:t>
      </w:r>
      <w:r>
        <w:rPr>
          <w:rFonts w:hint="eastAsia" w:ascii="仿宋" w:hAnsi="仿宋" w:eastAsia="仿宋" w:cs="仿宋"/>
          <w:color w:val="auto"/>
          <w:spacing w:val="1"/>
          <w:highlight w:val="none"/>
          <w:lang w:eastAsia="zh-CN"/>
        </w:rPr>
        <w:t>的，视同退出磋商，其响应文件按无效处理。</w:t>
      </w:r>
    </w:p>
    <w:p w14:paraId="69C42428">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5.6磋商小组收齐本项目/某一分标最后报价后统一开启，磋商小组对最后报价进行有效性、完</w:t>
      </w:r>
      <w:r>
        <w:rPr>
          <w:rFonts w:hint="eastAsia" w:ascii="仿宋" w:hAnsi="仿宋" w:eastAsia="仿宋" w:cs="仿宋"/>
          <w:color w:val="auto"/>
          <w:spacing w:val="1"/>
          <w:highlight w:val="none"/>
          <w:lang w:eastAsia="zh-CN"/>
        </w:rPr>
        <w:t>整性和响应程度</w:t>
      </w:r>
      <w:r>
        <w:rPr>
          <w:rFonts w:hint="eastAsia" w:ascii="仿宋" w:hAnsi="仿宋" w:eastAsia="仿宋" w:cs="仿宋"/>
          <w:color w:val="auto"/>
          <w:spacing w:val="3"/>
          <w:highlight w:val="none"/>
          <w:lang w:eastAsia="zh-CN"/>
        </w:rPr>
        <w:t>的审查。</w:t>
      </w:r>
    </w:p>
    <w:p w14:paraId="146FE95A">
      <w:pPr>
        <w:spacing w:line="460" w:lineRule="exact"/>
        <w:ind w:firstLine="436" w:firstLineChars="200"/>
        <w:rPr>
          <w:rFonts w:ascii="仿宋" w:hAnsi="仿宋" w:eastAsia="仿宋" w:cs="仿宋"/>
          <w:color w:val="auto"/>
          <w:highlight w:val="none"/>
          <w:lang w:eastAsia="zh-CN"/>
        </w:rPr>
      </w:pPr>
      <w:r>
        <w:rPr>
          <w:rFonts w:hint="eastAsia" w:ascii="仿宋" w:hAnsi="仿宋" w:eastAsia="仿宋" w:cs="仿宋"/>
          <w:color w:val="auto"/>
          <w:spacing w:val="4"/>
          <w:highlight w:val="none"/>
          <w:lang w:eastAsia="zh-CN"/>
        </w:rPr>
        <w:t>5.7最终响应文件的报价出现前后不一致的，按照本章第3.4条的规定修正。</w:t>
      </w:r>
    </w:p>
    <w:p w14:paraId="3ACE26FB">
      <w:pPr>
        <w:spacing w:line="460" w:lineRule="exact"/>
        <w:ind w:firstLine="42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5.8修正后的最后报价出现下列情形的，按无效响应处理：</w:t>
      </w:r>
    </w:p>
    <w:p w14:paraId="05E98B0E">
      <w:pPr>
        <w:spacing w:line="460" w:lineRule="exact"/>
        <w:ind w:firstLine="468" w:firstLineChars="200"/>
        <w:rPr>
          <w:rFonts w:ascii="仿宋" w:hAnsi="仿宋" w:eastAsia="仿宋" w:cs="仿宋"/>
          <w:color w:val="auto"/>
          <w:highlight w:val="none"/>
          <w:lang w:eastAsia="zh-CN"/>
        </w:rPr>
      </w:pPr>
      <w:r>
        <w:rPr>
          <w:rFonts w:hint="eastAsia" w:ascii="仿宋" w:hAnsi="仿宋" w:eastAsia="仿宋" w:cs="仿宋"/>
          <w:color w:val="auto"/>
          <w:spacing w:val="12"/>
          <w:highlight w:val="none"/>
          <w:lang w:eastAsia="zh-CN"/>
        </w:rPr>
        <w:t>(1)供应商不确认的(全流程电子化评标采取在线确认);</w:t>
      </w:r>
    </w:p>
    <w:p w14:paraId="742F1E87">
      <w:pPr>
        <w:spacing w:line="460" w:lineRule="exact"/>
        <w:ind w:firstLine="460" w:firstLineChars="200"/>
        <w:rPr>
          <w:rFonts w:ascii="仿宋" w:hAnsi="仿宋" w:eastAsia="仿宋" w:cs="仿宋"/>
          <w:color w:val="auto"/>
          <w:highlight w:val="none"/>
          <w:lang w:eastAsia="zh-CN"/>
        </w:rPr>
      </w:pPr>
      <w:r>
        <w:rPr>
          <w:rFonts w:hint="eastAsia" w:ascii="仿宋" w:hAnsi="仿宋" w:eastAsia="仿宋" w:cs="仿宋"/>
          <w:color w:val="auto"/>
          <w:spacing w:val="10"/>
          <w:highlight w:val="none"/>
          <w:lang w:eastAsia="zh-CN"/>
        </w:rPr>
        <w:t>(2)经供应商确认修正后的响应报价(包含首次报价、最后报价)超过所竞标项</w:t>
      </w:r>
      <w:r>
        <w:rPr>
          <w:rFonts w:hint="eastAsia" w:ascii="仿宋" w:hAnsi="仿宋" w:eastAsia="仿宋" w:cs="仿宋"/>
          <w:color w:val="auto"/>
          <w:spacing w:val="9"/>
          <w:highlight w:val="none"/>
          <w:lang w:eastAsia="zh-CN"/>
        </w:rPr>
        <w:t>目/分标规定的采购预算</w:t>
      </w:r>
      <w:r>
        <w:rPr>
          <w:rFonts w:hint="eastAsia" w:ascii="仿宋" w:hAnsi="仿宋" w:eastAsia="仿宋" w:cs="仿宋"/>
          <w:color w:val="auto"/>
          <w:spacing w:val="10"/>
          <w:highlight w:val="none"/>
          <w:lang w:eastAsia="zh-CN"/>
        </w:rPr>
        <w:t>金额或者最高限价的(如本项目公布了最高限价);</w:t>
      </w:r>
    </w:p>
    <w:p w14:paraId="398448EB">
      <w:pPr>
        <w:spacing w:line="460" w:lineRule="exact"/>
        <w:ind w:firstLine="460" w:firstLineChars="200"/>
        <w:rPr>
          <w:rFonts w:ascii="仿宋" w:hAnsi="仿宋" w:eastAsia="仿宋" w:cs="仿宋"/>
          <w:color w:val="auto"/>
          <w:highlight w:val="none"/>
          <w:lang w:eastAsia="zh-CN"/>
        </w:rPr>
      </w:pPr>
      <w:r>
        <w:rPr>
          <w:rFonts w:hint="eastAsia" w:ascii="仿宋" w:hAnsi="仿宋" w:eastAsia="仿宋" w:cs="仿宋"/>
          <w:color w:val="auto"/>
          <w:spacing w:val="10"/>
          <w:highlight w:val="none"/>
          <w:lang w:eastAsia="zh-CN"/>
        </w:rPr>
        <w:t>(3)经供应商确认修正后的响应报价(包含首次报价、最后报价)超过分项采购预算金额或者</w:t>
      </w:r>
      <w:r>
        <w:rPr>
          <w:rFonts w:hint="eastAsia" w:ascii="仿宋" w:hAnsi="仿宋" w:eastAsia="仿宋" w:cs="仿宋"/>
          <w:color w:val="auto"/>
          <w:spacing w:val="9"/>
          <w:highlight w:val="none"/>
          <w:lang w:eastAsia="zh-CN"/>
        </w:rPr>
        <w:t>最高</w:t>
      </w:r>
      <w:r>
        <w:rPr>
          <w:rFonts w:hint="eastAsia" w:ascii="仿宋" w:hAnsi="仿宋" w:eastAsia="仿宋" w:cs="仿宋"/>
          <w:color w:val="auto"/>
          <w:spacing w:val="12"/>
          <w:highlight w:val="none"/>
          <w:lang w:eastAsia="zh-CN"/>
        </w:rPr>
        <w:t>限价的(如本项目公布了最高限价)。</w:t>
      </w:r>
    </w:p>
    <w:p w14:paraId="65790D41">
      <w:pPr>
        <w:spacing w:line="460" w:lineRule="exact"/>
        <w:ind w:firstLine="428" w:firstLineChars="200"/>
        <w:rPr>
          <w:rFonts w:ascii="仿宋" w:hAnsi="仿宋" w:eastAsia="仿宋" w:cs="仿宋"/>
          <w:color w:val="auto"/>
          <w:highlight w:val="none"/>
          <w:lang w:eastAsia="zh-CN"/>
        </w:rPr>
      </w:pPr>
      <w:r>
        <w:rPr>
          <w:rFonts w:hint="eastAsia" w:ascii="仿宋" w:hAnsi="仿宋" w:eastAsia="仿宋" w:cs="仿宋"/>
          <w:color w:val="auto"/>
          <w:spacing w:val="2"/>
          <w:highlight w:val="none"/>
          <w:lang w:eastAsia="zh-CN"/>
        </w:rPr>
        <w:t>5.9经供应商确认修正后的最后报价作为</w:t>
      </w:r>
      <w:r>
        <w:rPr>
          <w:rFonts w:hint="eastAsia" w:ascii="仿宋" w:hAnsi="仿宋" w:eastAsia="仿宋" w:cs="仿宋"/>
          <w:color w:val="auto"/>
          <w:spacing w:val="1"/>
          <w:highlight w:val="none"/>
          <w:lang w:eastAsia="zh-CN"/>
        </w:rPr>
        <w:t>评审及签订合同的依据。</w:t>
      </w:r>
    </w:p>
    <w:p w14:paraId="20912A4C">
      <w:pPr>
        <w:spacing w:line="460" w:lineRule="exact"/>
        <w:ind w:firstLine="440" w:firstLineChars="200"/>
        <w:rPr>
          <w:rFonts w:ascii="仿宋" w:hAnsi="仿宋" w:eastAsia="仿宋" w:cs="仿宋"/>
          <w:color w:val="auto"/>
          <w:highlight w:val="none"/>
          <w:lang w:eastAsia="zh-CN"/>
        </w:rPr>
      </w:pPr>
      <w:r>
        <w:rPr>
          <w:rFonts w:hint="eastAsia" w:ascii="仿宋" w:hAnsi="仿宋" w:eastAsia="仿宋" w:cs="仿宋"/>
          <w:color w:val="auto"/>
          <w:spacing w:val="5"/>
          <w:highlight w:val="none"/>
          <w:lang w:eastAsia="zh-CN"/>
        </w:rPr>
        <w:t>5.10供应商出现最后报价按无效响应处理或者响应文件按无效处理时，磋</w:t>
      </w:r>
      <w:r>
        <w:rPr>
          <w:rFonts w:hint="eastAsia" w:ascii="仿宋" w:hAnsi="仿宋" w:eastAsia="仿宋" w:cs="仿宋"/>
          <w:color w:val="auto"/>
          <w:spacing w:val="4"/>
          <w:highlight w:val="none"/>
          <w:lang w:eastAsia="zh-CN"/>
        </w:rPr>
        <w:t>商小组应当告知有关供应</w:t>
      </w:r>
      <w:r>
        <w:rPr>
          <w:rFonts w:hint="eastAsia" w:ascii="仿宋" w:hAnsi="仿宋" w:eastAsia="仿宋" w:cs="仿宋"/>
          <w:color w:val="auto"/>
          <w:spacing w:val="-2"/>
          <w:highlight w:val="none"/>
          <w:lang w:eastAsia="zh-CN"/>
        </w:rPr>
        <w:t>商。</w:t>
      </w:r>
    </w:p>
    <w:p w14:paraId="2A823CF6">
      <w:pPr>
        <w:spacing w:line="460" w:lineRule="exact"/>
        <w:ind w:firstLine="424"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5.11最后报价结束后，磋商小组不得再与供应商进行任何形式的商谈。</w:t>
      </w:r>
    </w:p>
    <w:p w14:paraId="2DC91314">
      <w:pPr>
        <w:spacing w:line="460" w:lineRule="exact"/>
        <w:ind w:firstLine="424"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5.12采购评审中出现下列情形之一的，磋商小组应当启动异常低价响应审查程序：</w:t>
      </w:r>
    </w:p>
    <w:p w14:paraId="6D72512B">
      <w:pPr>
        <w:spacing w:line="460" w:lineRule="exact"/>
        <w:ind w:firstLine="424"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 xml:space="preserve">A.最后报价低于全部通过符合性审查供应商最后报价平均值65%的，即最后报价＜全部通过符合性审查供应商最后报价平均值×65%； </w:t>
      </w:r>
    </w:p>
    <w:p w14:paraId="48E99002">
      <w:pPr>
        <w:spacing w:line="460" w:lineRule="exact"/>
        <w:ind w:firstLine="424"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 xml:space="preserve">B.最后报价低于通过符合性审查的次低报价供应商最后报价65%的，即最后报价＜通过符合性审查的次低报价供应商最后报价×65%； </w:t>
      </w:r>
    </w:p>
    <w:p w14:paraId="09A30571">
      <w:pPr>
        <w:spacing w:line="460" w:lineRule="exact"/>
        <w:ind w:firstLine="424"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C.最后报价低于采购项目最高限价65%的，即最后报价＜采购项目最高限价×65%；</w:t>
      </w:r>
    </w:p>
    <w:p w14:paraId="3C47264D">
      <w:pPr>
        <w:spacing w:line="460" w:lineRule="exact"/>
        <w:ind w:firstLine="424"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D.磋商小组基于专业判断，认为供应商报价过低，有可能影响产品质量或者不能诚信履约的其他情形。</w:t>
      </w:r>
    </w:p>
    <w:p w14:paraId="2C1CA9FE">
      <w:pPr>
        <w:spacing w:line="460" w:lineRule="exact"/>
        <w:ind w:firstLine="424"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相关法律法规对供应商报价有规定的，从其规定。</w:t>
      </w:r>
    </w:p>
    <w:p w14:paraId="6CBCB82E">
      <w:pPr>
        <w:spacing w:line="460" w:lineRule="exact"/>
        <w:ind w:firstLine="424"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磋商小组启动异常低价响应审查后，属于上述A项至D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上述C项情形，供应商已随响应文件一并提交相关书面说明及必要的证明材料的，在评审现场可不再重复提交。</w:t>
      </w:r>
    </w:p>
    <w:p w14:paraId="4240F8A0">
      <w:pPr>
        <w:spacing w:line="460" w:lineRule="exact"/>
        <w:ind w:firstLine="424"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0CB1509F">
      <w:pPr>
        <w:spacing w:line="460" w:lineRule="exact"/>
        <w:ind w:firstLine="510" w:firstLineChars="200"/>
        <w:rPr>
          <w:rFonts w:ascii="仿宋" w:hAnsi="仿宋" w:eastAsia="仿宋" w:cs="仿宋"/>
          <w:color w:val="auto"/>
          <w:highlight w:val="none"/>
          <w:lang w:eastAsia="zh-CN"/>
        </w:rPr>
      </w:pPr>
      <w:r>
        <w:rPr>
          <w:rFonts w:hint="eastAsia" w:ascii="仿宋" w:hAnsi="仿宋" w:eastAsia="仿宋" w:cs="仿宋"/>
          <w:b/>
          <w:bCs/>
          <w:color w:val="auto"/>
          <w:spacing w:val="22"/>
          <w:highlight w:val="none"/>
          <w:lang w:eastAsia="zh-CN"/>
        </w:rPr>
        <w:t>6.比较与评价</w:t>
      </w:r>
    </w:p>
    <w:p w14:paraId="457483A5">
      <w:pPr>
        <w:spacing w:line="460" w:lineRule="exact"/>
        <w:ind w:firstLine="436" w:firstLineChars="200"/>
        <w:rPr>
          <w:rFonts w:ascii="仿宋" w:hAnsi="仿宋" w:eastAsia="仿宋" w:cs="仿宋"/>
          <w:color w:val="auto"/>
          <w:highlight w:val="none"/>
          <w:lang w:eastAsia="zh-CN"/>
        </w:rPr>
      </w:pPr>
      <w:r>
        <w:rPr>
          <w:rFonts w:hint="eastAsia" w:ascii="仿宋" w:hAnsi="仿宋" w:eastAsia="仿宋" w:cs="仿宋"/>
          <w:color w:val="auto"/>
          <w:spacing w:val="4"/>
          <w:highlight w:val="none"/>
          <w:lang w:eastAsia="zh-CN"/>
        </w:rPr>
        <w:t>6.1评审方法：综合评分法。</w:t>
      </w:r>
    </w:p>
    <w:p w14:paraId="553290F4">
      <w:pPr>
        <w:spacing w:line="460" w:lineRule="exact"/>
        <w:ind w:firstLine="428" w:firstLineChars="200"/>
        <w:rPr>
          <w:rFonts w:ascii="仿宋" w:hAnsi="仿宋" w:eastAsia="仿宋" w:cs="仿宋"/>
          <w:color w:val="auto"/>
          <w:spacing w:val="-1"/>
          <w:highlight w:val="none"/>
          <w:lang w:eastAsia="zh-CN"/>
        </w:rPr>
      </w:pPr>
      <w:r>
        <w:rPr>
          <w:rFonts w:hint="eastAsia" w:ascii="仿宋" w:hAnsi="仿宋" w:eastAsia="仿宋" w:cs="仿宋"/>
          <w:color w:val="auto"/>
          <w:spacing w:val="2"/>
          <w:highlight w:val="none"/>
          <w:lang w:eastAsia="zh-CN"/>
        </w:rPr>
        <w:t>6.2经磋商确定最终采购需求和提交最后报价的供应商后，由磋商小组采用综合评分法对提交最后报</w:t>
      </w:r>
      <w:r>
        <w:rPr>
          <w:rFonts w:hint="eastAsia" w:ascii="仿宋" w:hAnsi="仿宋" w:eastAsia="仿宋" w:cs="仿宋"/>
          <w:color w:val="auto"/>
          <w:spacing w:val="-1"/>
          <w:highlight w:val="none"/>
          <w:lang w:eastAsia="zh-CN"/>
        </w:rPr>
        <w:t>价的供应商的响应文件和最后报价进行综合评分。</w:t>
      </w:r>
    </w:p>
    <w:p w14:paraId="79AB061C">
      <w:pPr>
        <w:spacing w:line="460" w:lineRule="exact"/>
        <w:ind w:firstLine="416"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6.3评审时，磋商小组各成员应当独立对每个有效响应的文件进行评价、打分，然后汇总每个供应商每项评分因素的得分。</w:t>
      </w:r>
    </w:p>
    <w:p w14:paraId="6EB156DB">
      <w:pPr>
        <w:spacing w:line="460" w:lineRule="exact"/>
        <w:ind w:firstLine="416"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1）磋商小组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40AA6EA">
      <w:pPr>
        <w:spacing w:line="460" w:lineRule="exact"/>
        <w:ind w:firstLine="416"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（2）磋商小组按照磋商文件中规定的评审标准计算各供应商的报价得分。项目评审过程中，不得去掉最后报价中的最高报价和最低报价。</w:t>
      </w:r>
    </w:p>
    <w:p w14:paraId="5EBFAE72">
      <w:pPr>
        <w:spacing w:line="460" w:lineRule="exact"/>
        <w:ind w:firstLine="416" w:firstLineChars="200"/>
        <w:rPr>
          <w:rFonts w:ascii="仿宋" w:hAnsi="仿宋" w:eastAsia="仿宋" w:cs="仿宋"/>
          <w:color w:val="auto"/>
          <w:spacing w:val="-1"/>
          <w:highlight w:val="none"/>
          <w:lang w:eastAsia="zh-CN"/>
        </w:rPr>
      </w:pPr>
      <w:r>
        <w:rPr>
          <w:rFonts w:hint="eastAsia" w:ascii="仿宋" w:hAnsi="仿宋" w:eastAsia="仿宋" w:cs="仿宋"/>
          <w:color w:val="auto"/>
          <w:spacing w:val="-1"/>
          <w:highlight w:val="none"/>
          <w:lang w:eastAsia="zh-CN"/>
        </w:rPr>
        <w:t>（3）各供应商的得分为磋商小组所有成员的有效评分的算术平均数。</w:t>
      </w:r>
    </w:p>
    <w:p w14:paraId="73840584">
      <w:pPr>
        <w:spacing w:line="460" w:lineRule="exact"/>
        <w:ind w:firstLine="428" w:firstLineChars="200"/>
        <w:rPr>
          <w:rFonts w:ascii="仿宋" w:hAnsi="仿宋" w:eastAsia="仿宋" w:cs="仿宋"/>
          <w:color w:val="auto"/>
          <w:spacing w:val="2"/>
          <w:highlight w:val="none"/>
          <w:lang w:eastAsia="zh-CN"/>
        </w:rPr>
      </w:pPr>
      <w:r>
        <w:rPr>
          <w:rFonts w:hint="eastAsia" w:ascii="仿宋" w:hAnsi="仿宋" w:eastAsia="仿宋" w:cs="仿宋"/>
          <w:color w:val="auto"/>
          <w:spacing w:val="2"/>
          <w:highlight w:val="none"/>
          <w:lang w:eastAsia="zh-CN"/>
        </w:rPr>
        <w:t>6.4评审价为供应商的最后报价进行政策性扣除后的价格，评审价只是作为评审时使用。最终成交供应商的成交金额等于最后报价（如有修正，以确认修正后的最后报价为准）。</w:t>
      </w:r>
    </w:p>
    <w:p w14:paraId="48E4AC00">
      <w:pPr>
        <w:spacing w:line="460" w:lineRule="exact"/>
        <w:ind w:firstLine="428" w:firstLineChars="200"/>
        <w:rPr>
          <w:rFonts w:ascii="仿宋" w:hAnsi="仿宋" w:eastAsia="仿宋" w:cs="仿宋"/>
          <w:color w:val="auto"/>
          <w:spacing w:val="2"/>
          <w:highlight w:val="none"/>
          <w:lang w:eastAsia="zh-CN"/>
        </w:rPr>
      </w:pPr>
      <w:r>
        <w:rPr>
          <w:rFonts w:hint="eastAsia" w:ascii="仿宋" w:hAnsi="仿宋" w:eastAsia="仿宋" w:cs="仿宋"/>
          <w:color w:val="auto"/>
          <w:spacing w:val="2"/>
          <w:highlight w:val="none"/>
          <w:lang w:eastAsia="zh-CN"/>
        </w:rPr>
        <w:t>6.5磋商小组根据综合评分情况，按照评审得分由高到低顺序推荐3名以上成交候选供应商，并编写评审报告。符合本章第5.3条情形的，可以推荐2家成交候选供应商。评审得分相同的，按照最后报价由低到高的顺序推荐。评审得分且最后报价相同的，按照技术指标优劣顺序推荐。</w:t>
      </w:r>
    </w:p>
    <w:p w14:paraId="03460FE1">
      <w:pPr>
        <w:spacing w:line="460" w:lineRule="exact"/>
        <w:ind w:firstLine="428" w:firstLineChars="200"/>
        <w:rPr>
          <w:rFonts w:ascii="仿宋" w:hAnsi="仿宋" w:eastAsia="仿宋" w:cs="仿宋"/>
          <w:color w:val="auto"/>
          <w:spacing w:val="2"/>
          <w:highlight w:val="none"/>
          <w:lang w:eastAsia="zh-CN"/>
        </w:rPr>
      </w:pPr>
      <w:r>
        <w:rPr>
          <w:rFonts w:hint="eastAsia" w:ascii="仿宋" w:hAnsi="仿宋" w:eastAsia="仿宋" w:cs="仿宋"/>
          <w:color w:val="auto"/>
          <w:spacing w:val="2"/>
          <w:highlight w:val="none"/>
          <w:lang w:eastAsia="zh-CN"/>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8DD6C89">
      <w:pPr>
        <w:spacing w:line="460" w:lineRule="exact"/>
        <w:ind w:firstLine="478" w:firstLineChars="200"/>
        <w:rPr>
          <w:rFonts w:ascii="仿宋" w:hAnsi="仿宋" w:eastAsia="仿宋" w:cs="仿宋"/>
          <w:color w:val="auto"/>
          <w:sz w:val="25"/>
          <w:szCs w:val="25"/>
          <w:highlight w:val="none"/>
          <w:lang w:eastAsia="zh-CN"/>
        </w:rPr>
      </w:pPr>
      <w:r>
        <w:rPr>
          <w:rFonts w:hint="eastAsia" w:ascii="仿宋" w:hAnsi="仿宋" w:eastAsia="仿宋" w:cs="仿宋"/>
          <w:b/>
          <w:bCs/>
          <w:color w:val="auto"/>
          <w:spacing w:val="-6"/>
          <w:sz w:val="25"/>
          <w:szCs w:val="25"/>
          <w:highlight w:val="none"/>
          <w:lang w:eastAsia="zh-CN"/>
        </w:rPr>
        <w:t>7.评审标准</w:t>
      </w:r>
    </w:p>
    <w:p w14:paraId="1705F750">
      <w:pPr>
        <w:spacing w:line="460" w:lineRule="exact"/>
        <w:ind w:firstLine="42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7.1评审依据：磋商小组将以磋商响应文件为评审依据，对供应商的报价、技术、商务等方面内容按百分制打分。（计分方法按四舍五入取至百分位）</w:t>
      </w:r>
    </w:p>
    <w:p w14:paraId="49F83890">
      <w:pPr>
        <w:pStyle w:val="4"/>
        <w:rPr>
          <w:rFonts w:ascii="仿宋" w:hAnsi="仿宋" w:eastAsia="仿宋" w:cs="仿宋"/>
          <w:color w:val="auto"/>
          <w:sz w:val="21"/>
          <w:szCs w:val="21"/>
          <w:highlight w:val="none"/>
        </w:rPr>
        <w:sectPr>
          <w:footerReference r:id="rId6" w:type="default"/>
          <w:pgSz w:w="11910" w:h="16830"/>
          <w:pgMar w:top="1134" w:right="885" w:bottom="1146" w:left="855" w:header="0" w:footer="925" w:gutter="0"/>
          <w:cols w:space="720" w:num="1"/>
        </w:sectPr>
      </w:pPr>
    </w:p>
    <w:tbl>
      <w:tblPr>
        <w:tblStyle w:val="24"/>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405"/>
        <w:gridCol w:w="6006"/>
        <w:gridCol w:w="851"/>
      </w:tblGrid>
      <w:tr w14:paraId="06AB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vAlign w:val="center"/>
          </w:tcPr>
          <w:p w14:paraId="1920ABE2">
            <w:pPr>
              <w:kinsoku/>
              <w:autoSpaceDE/>
              <w:autoSpaceDN/>
              <w:adjustRightInd/>
              <w:snapToGrid/>
              <w:spacing w:line="360" w:lineRule="auto"/>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序号</w:t>
            </w:r>
          </w:p>
        </w:tc>
        <w:tc>
          <w:tcPr>
            <w:tcW w:w="1405" w:type="dxa"/>
            <w:vAlign w:val="center"/>
          </w:tcPr>
          <w:p w14:paraId="3BBD4219">
            <w:pPr>
              <w:kinsoku/>
              <w:autoSpaceDE/>
              <w:autoSpaceDN/>
              <w:adjustRightInd/>
              <w:snapToGrid/>
              <w:spacing w:line="360" w:lineRule="auto"/>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评审因素</w:t>
            </w:r>
          </w:p>
        </w:tc>
        <w:tc>
          <w:tcPr>
            <w:tcW w:w="6006" w:type="dxa"/>
            <w:vAlign w:val="center"/>
          </w:tcPr>
          <w:p w14:paraId="4853C967">
            <w:pPr>
              <w:kinsoku/>
              <w:autoSpaceDE/>
              <w:autoSpaceDN/>
              <w:adjustRightInd/>
              <w:snapToGrid/>
              <w:spacing w:line="360" w:lineRule="auto"/>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评审因素具体内容</w:t>
            </w:r>
          </w:p>
        </w:tc>
        <w:tc>
          <w:tcPr>
            <w:tcW w:w="851" w:type="dxa"/>
            <w:vAlign w:val="center"/>
          </w:tcPr>
          <w:p w14:paraId="33CF566D">
            <w:pPr>
              <w:kinsoku/>
              <w:autoSpaceDE/>
              <w:autoSpaceDN/>
              <w:adjustRightInd/>
              <w:snapToGrid/>
              <w:spacing w:line="360" w:lineRule="auto"/>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分值</w:t>
            </w:r>
          </w:p>
        </w:tc>
      </w:tr>
      <w:tr w14:paraId="1FB3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28" w:type="dxa"/>
            <w:vAlign w:val="center"/>
          </w:tcPr>
          <w:p w14:paraId="1B5778C7">
            <w:pPr>
              <w:kinsoku/>
              <w:autoSpaceDE/>
              <w:autoSpaceDN/>
              <w:adjustRightInd/>
              <w:snapToGrid/>
              <w:spacing w:line="360" w:lineRule="auto"/>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1</w:t>
            </w:r>
          </w:p>
        </w:tc>
        <w:tc>
          <w:tcPr>
            <w:tcW w:w="1405" w:type="dxa"/>
            <w:vAlign w:val="center"/>
          </w:tcPr>
          <w:p w14:paraId="1FFD1800">
            <w:pPr>
              <w:kinsoku/>
              <w:autoSpaceDE/>
              <w:autoSpaceDN/>
              <w:adjustRightInd/>
              <w:snapToGrid/>
              <w:spacing w:line="360" w:lineRule="auto"/>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价格分</w:t>
            </w:r>
          </w:p>
        </w:tc>
        <w:tc>
          <w:tcPr>
            <w:tcW w:w="6006" w:type="dxa"/>
          </w:tcPr>
          <w:p w14:paraId="07394B87">
            <w:pPr>
              <w:pStyle w:val="14"/>
              <w:widowControl/>
              <w:kinsoku/>
              <w:autoSpaceDE/>
              <w:autoSpaceDN/>
              <w:adjustRightInd/>
              <w:snapToGrid/>
              <w:spacing w:line="400" w:lineRule="exact"/>
              <w:ind w:firstLine="480" w:firstLineChars="200"/>
              <w:jc w:val="left"/>
              <w:textAlignment w:val="auto"/>
              <w:rPr>
                <w:rFonts w:ascii="仿宋" w:hAnsi="仿宋" w:eastAsia="仿宋" w:cs="仿宋"/>
                <w:bCs/>
                <w:snapToGrid/>
                <w:color w:val="auto"/>
                <w:kern w:val="2"/>
                <w:sz w:val="24"/>
                <w:szCs w:val="24"/>
                <w:highlight w:val="none"/>
              </w:rPr>
            </w:pPr>
            <w:r>
              <w:rPr>
                <w:rFonts w:hint="eastAsia" w:ascii="仿宋" w:hAnsi="仿宋" w:eastAsia="仿宋" w:cs="仿宋"/>
                <w:bCs/>
                <w:snapToGrid/>
                <w:color w:val="auto"/>
                <w:kern w:val="2"/>
                <w:sz w:val="24"/>
                <w:szCs w:val="24"/>
                <w:highlight w:val="none"/>
              </w:rPr>
              <w:t>（1）评审价为供应商的最后报价进行政策性扣除后的价格，评审价只是作为评审时使用。最终成交供应商的成交金额等于最后报价（如有修正，以确认修正后的最后报价为准）。</w:t>
            </w:r>
          </w:p>
          <w:p w14:paraId="01BEEA87">
            <w:pPr>
              <w:pStyle w:val="14"/>
              <w:widowControl/>
              <w:kinsoku/>
              <w:autoSpaceDE/>
              <w:autoSpaceDN/>
              <w:adjustRightInd/>
              <w:snapToGrid/>
              <w:spacing w:line="400" w:lineRule="exact"/>
              <w:ind w:firstLine="480" w:firstLineChars="200"/>
              <w:jc w:val="left"/>
              <w:textAlignment w:val="auto"/>
              <w:rPr>
                <w:rFonts w:ascii="仿宋" w:hAnsi="仿宋" w:eastAsia="仿宋" w:cs="仿宋"/>
                <w:bCs/>
                <w:snapToGrid/>
                <w:color w:val="auto"/>
                <w:kern w:val="2"/>
                <w:sz w:val="24"/>
                <w:szCs w:val="24"/>
                <w:highlight w:val="none"/>
              </w:rPr>
            </w:pPr>
            <w:r>
              <w:rPr>
                <w:rFonts w:hint="eastAsia" w:ascii="仿宋" w:hAnsi="仿宋" w:eastAsia="仿宋" w:cs="仿宋"/>
                <w:bCs/>
                <w:snapToGrid/>
                <w:color w:val="auto"/>
                <w:kern w:val="2"/>
                <w:sz w:val="24"/>
                <w:szCs w:val="24"/>
                <w:highlight w:val="none"/>
              </w:rPr>
              <w:t>（2）政策性扣除计算方法。</w:t>
            </w:r>
          </w:p>
          <w:p w14:paraId="72063C78">
            <w:pPr>
              <w:pStyle w:val="14"/>
              <w:kinsoku/>
              <w:autoSpaceDE/>
              <w:autoSpaceDN/>
              <w:adjustRightInd/>
              <w:snapToGrid/>
              <w:spacing w:line="400" w:lineRule="exact"/>
              <w:ind w:firstLine="480" w:firstLineChars="200"/>
              <w:jc w:val="left"/>
              <w:textAlignment w:val="auto"/>
              <w:rPr>
                <w:rFonts w:ascii="仿宋" w:hAnsi="仿宋" w:eastAsia="仿宋" w:cs="仿宋"/>
                <w:bCs/>
                <w:snapToGrid/>
                <w:color w:val="auto"/>
                <w:kern w:val="2"/>
                <w:sz w:val="24"/>
                <w:szCs w:val="24"/>
                <w:highlight w:val="none"/>
              </w:rPr>
            </w:pPr>
            <w:r>
              <w:rPr>
                <w:rFonts w:hint="eastAsia" w:ascii="仿宋" w:hAnsi="仿宋" w:eastAsia="仿宋" w:cs="仿宋"/>
                <w:bCs/>
                <w:snapToGrid/>
                <w:color w:val="auto"/>
                <w:kern w:val="2"/>
                <w:sz w:val="24"/>
                <w:szCs w:val="24"/>
                <w:highlight w:val="none"/>
              </w:rPr>
              <w:t>☑适用于专门面向中小企业采购项目，按照《政府采购促进中小企业发展管理办法》（财库〔2020〕46号）的规定，对小微企业的最后报价不再执行价格评审优惠的扶持政策。</w:t>
            </w:r>
          </w:p>
          <w:p w14:paraId="16511294">
            <w:pPr>
              <w:pStyle w:val="14"/>
              <w:kinsoku/>
              <w:autoSpaceDE/>
              <w:autoSpaceDN/>
              <w:adjustRightInd/>
              <w:snapToGrid/>
              <w:spacing w:line="40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bCs/>
                <w:snapToGrid/>
                <w:color w:val="auto"/>
                <w:kern w:val="2"/>
                <w:sz w:val="24"/>
                <w:szCs w:val="24"/>
                <w:highlight w:val="none"/>
              </w:rPr>
              <w:t>除上述情况外，评审价=最后报价。</w:t>
            </w:r>
          </w:p>
          <w:p w14:paraId="0ABD0579">
            <w:pPr>
              <w:pStyle w:val="5"/>
              <w:spacing w:line="400" w:lineRule="exact"/>
              <w:ind w:left="0" w:firstLine="480" w:firstLineChars="200"/>
              <w:rPr>
                <w:rFonts w:ascii="仿宋" w:hAnsi="仿宋" w:eastAsia="仿宋" w:cs="仿宋"/>
                <w:bCs/>
                <w:snapToGrid/>
                <w:color w:val="auto"/>
                <w:sz w:val="24"/>
                <w:highlight w:val="none"/>
              </w:rPr>
            </w:pPr>
            <w:r>
              <w:rPr>
                <w:rFonts w:hint="eastAsia" w:ascii="仿宋" w:hAnsi="仿宋" w:eastAsia="仿宋" w:cs="仿宋"/>
                <w:bCs/>
                <w:snapToGrid/>
                <w:color w:val="auto"/>
                <w:sz w:val="24"/>
                <w:highlight w:val="none"/>
              </w:rPr>
              <w:t>（3）满足磋商文件要求且评审价最低的评审价为评审基准价，基准价得分为10分。</w:t>
            </w:r>
          </w:p>
          <w:p w14:paraId="38FF98EF">
            <w:pPr>
              <w:pStyle w:val="5"/>
              <w:spacing w:line="400" w:lineRule="exact"/>
              <w:ind w:left="0" w:firstLine="480" w:firstLineChars="200"/>
              <w:rPr>
                <w:rFonts w:ascii="仿宋" w:hAnsi="仿宋" w:eastAsia="仿宋" w:cs="仿宋"/>
                <w:bCs/>
                <w:snapToGrid/>
                <w:color w:val="auto"/>
                <w:sz w:val="24"/>
                <w:highlight w:val="none"/>
              </w:rPr>
            </w:pPr>
            <w:r>
              <w:rPr>
                <w:rFonts w:hint="eastAsia" w:ascii="仿宋" w:hAnsi="仿宋" w:eastAsia="仿宋" w:cs="仿宋"/>
                <w:bCs/>
                <w:snapToGrid/>
                <w:color w:val="auto"/>
                <w:sz w:val="24"/>
                <w:highlight w:val="none"/>
              </w:rPr>
              <w:t xml:space="preserve">（4）价格分计算公式：        </w:t>
            </w:r>
          </w:p>
          <w:p w14:paraId="5FC5E9F9">
            <w:pPr>
              <w:pStyle w:val="5"/>
              <w:spacing w:line="400" w:lineRule="exact"/>
              <w:ind w:left="479" w:leftChars="228"/>
              <w:rPr>
                <w:rFonts w:ascii="仿宋" w:hAnsi="仿宋" w:eastAsia="仿宋" w:cs="仿宋"/>
                <w:bCs/>
                <w:snapToGrid/>
                <w:color w:val="auto"/>
                <w:sz w:val="24"/>
                <w:highlight w:val="none"/>
              </w:rPr>
            </w:pPr>
            <w:r>
              <w:rPr>
                <w:rFonts w:hint="eastAsia" w:ascii="仿宋" w:hAnsi="仿宋" w:eastAsia="仿宋" w:cs="仿宋"/>
                <w:bCs/>
                <w:snapToGrid/>
                <w:color w:val="auto"/>
                <w:sz w:val="24"/>
                <w:highlight w:val="none"/>
              </w:rPr>
              <w:t>价格分=(评审基准价／评审价)×10分</w:t>
            </w:r>
            <w:r>
              <w:rPr>
                <w:rFonts w:hint="eastAsia" w:ascii="仿宋" w:hAnsi="仿宋" w:eastAsia="仿宋" w:cs="仿宋"/>
                <w:bCs/>
                <w:snapToGrid/>
                <w:color w:val="auto"/>
                <w:sz w:val="24"/>
                <w:highlight w:val="none"/>
              </w:rPr>
              <w:br w:type="textWrapping"/>
            </w:r>
            <w:r>
              <w:rPr>
                <w:rFonts w:hint="eastAsia" w:ascii="仿宋" w:hAnsi="仿宋" w:eastAsia="仿宋" w:cs="仿宋"/>
                <w:bCs/>
                <w:snapToGrid/>
                <w:color w:val="auto"/>
                <w:sz w:val="24"/>
                <w:highlight w:val="none"/>
              </w:rPr>
              <w:t>（5）异常低价审查</w:t>
            </w:r>
          </w:p>
          <w:p w14:paraId="7178C01E">
            <w:pPr>
              <w:pStyle w:val="5"/>
              <w:spacing w:line="400" w:lineRule="exact"/>
              <w:ind w:left="0" w:firstLine="480" w:firstLineChars="200"/>
              <w:rPr>
                <w:rFonts w:ascii="仿宋" w:hAnsi="仿宋" w:eastAsia="仿宋" w:cs="仿宋"/>
                <w:bCs/>
                <w:snapToGrid/>
                <w:color w:val="auto"/>
                <w:sz w:val="24"/>
                <w:highlight w:val="none"/>
              </w:rPr>
            </w:pPr>
            <w:r>
              <w:rPr>
                <w:rFonts w:hint="eastAsia" w:ascii="仿宋" w:hAnsi="仿宋" w:eastAsia="仿宋" w:cs="仿宋"/>
                <w:bCs/>
                <w:snapToGrid/>
                <w:color w:val="auto"/>
                <w:sz w:val="24"/>
                <w:highlight w:val="none"/>
              </w:rPr>
              <w:t>评审中出现下列情形之一的，评标委员会应当启动异常低价投标审查程序：</w:t>
            </w:r>
          </w:p>
          <w:p w14:paraId="75B09FCF">
            <w:pPr>
              <w:pStyle w:val="5"/>
              <w:spacing w:line="400" w:lineRule="exact"/>
              <w:ind w:left="0" w:firstLine="480" w:firstLineChars="200"/>
              <w:rPr>
                <w:rFonts w:ascii="仿宋" w:hAnsi="仿宋" w:eastAsia="仿宋" w:cs="仿宋"/>
                <w:bCs/>
                <w:snapToGrid/>
                <w:color w:val="auto"/>
                <w:sz w:val="24"/>
                <w:highlight w:val="none"/>
              </w:rPr>
            </w:pPr>
            <w:r>
              <w:rPr>
                <w:rFonts w:hint="eastAsia" w:ascii="仿宋" w:hAnsi="仿宋" w:eastAsia="仿宋" w:cs="仿宋"/>
                <w:bCs/>
                <w:snapToGrid/>
                <w:color w:val="auto"/>
                <w:sz w:val="24"/>
                <w:highlight w:val="none"/>
              </w:rPr>
              <w:t>①投标报价低于全部通过符合性审查供应商投标报价平均值65%的，即投标报价&lt;全部通过符合性审查供应商投标报价平均值×65%；</w:t>
            </w:r>
          </w:p>
          <w:p w14:paraId="4EDB1CB1">
            <w:pPr>
              <w:pStyle w:val="5"/>
              <w:spacing w:line="400" w:lineRule="exact"/>
              <w:ind w:left="0" w:firstLine="480" w:firstLineChars="200"/>
              <w:rPr>
                <w:rFonts w:ascii="仿宋" w:hAnsi="仿宋" w:eastAsia="仿宋" w:cs="仿宋"/>
                <w:bCs/>
                <w:snapToGrid/>
                <w:color w:val="auto"/>
                <w:sz w:val="24"/>
                <w:highlight w:val="none"/>
              </w:rPr>
            </w:pPr>
            <w:r>
              <w:rPr>
                <w:rFonts w:hint="eastAsia" w:ascii="仿宋" w:hAnsi="仿宋" w:eastAsia="仿宋" w:cs="仿宋"/>
                <w:bCs/>
                <w:snapToGrid/>
                <w:color w:val="auto"/>
                <w:sz w:val="24"/>
                <w:highlight w:val="none"/>
              </w:rPr>
              <w:t>②投标报价低于通过符合性审查的次低报价供应商投标报价65%的，即投标报价&lt;通过符合性审查的次低报价供应商投标报价×65%；</w:t>
            </w:r>
          </w:p>
          <w:p w14:paraId="03C7B91A">
            <w:pPr>
              <w:pStyle w:val="5"/>
              <w:spacing w:line="400" w:lineRule="exact"/>
              <w:ind w:left="0" w:firstLine="480" w:firstLineChars="200"/>
              <w:rPr>
                <w:rFonts w:ascii="仿宋" w:hAnsi="仿宋" w:eastAsia="仿宋" w:cs="仿宋"/>
                <w:bCs/>
                <w:snapToGrid/>
                <w:color w:val="auto"/>
                <w:sz w:val="24"/>
                <w:highlight w:val="none"/>
              </w:rPr>
            </w:pPr>
            <w:r>
              <w:rPr>
                <w:rFonts w:hint="eastAsia" w:ascii="仿宋" w:hAnsi="仿宋" w:eastAsia="仿宋" w:cs="仿宋"/>
                <w:bCs/>
                <w:snapToGrid/>
                <w:color w:val="auto"/>
                <w:sz w:val="24"/>
                <w:highlight w:val="none"/>
              </w:rPr>
              <w:t>③投标报价低于所投标项目最高限价65%的，即投标报价&lt;所投标项最高限价×65%；</w:t>
            </w:r>
          </w:p>
          <w:p w14:paraId="7200F322">
            <w:pPr>
              <w:pStyle w:val="5"/>
              <w:spacing w:line="400" w:lineRule="exact"/>
              <w:ind w:left="0" w:firstLine="480" w:firstLineChars="200"/>
              <w:rPr>
                <w:rFonts w:ascii="仿宋" w:hAnsi="仿宋" w:eastAsia="仿宋" w:cs="仿宋"/>
                <w:bCs/>
                <w:snapToGrid/>
                <w:color w:val="auto"/>
                <w:sz w:val="24"/>
                <w:highlight w:val="none"/>
              </w:rPr>
            </w:pPr>
            <w:r>
              <w:rPr>
                <w:rFonts w:hint="eastAsia" w:ascii="仿宋" w:hAnsi="仿宋" w:eastAsia="仿宋" w:cs="仿宋"/>
                <w:bCs/>
                <w:snapToGrid/>
                <w:color w:val="auto"/>
                <w:sz w:val="24"/>
                <w:highlight w:val="none"/>
              </w:rPr>
              <w:t>④评标委员会基于专业判断，认为供应商报价过低，有可能影响产品质量或者不能诚信履约的其他情形。</w:t>
            </w:r>
          </w:p>
          <w:p w14:paraId="4A4175BE">
            <w:pPr>
              <w:pStyle w:val="5"/>
              <w:spacing w:line="400" w:lineRule="exact"/>
              <w:ind w:left="0" w:firstLine="480" w:firstLineChars="200"/>
              <w:rPr>
                <w:rFonts w:ascii="仿宋" w:hAnsi="仿宋" w:eastAsia="仿宋" w:cs="仿宋"/>
                <w:bCs/>
                <w:snapToGrid/>
                <w:color w:val="auto"/>
                <w:sz w:val="24"/>
                <w:highlight w:val="none"/>
              </w:rPr>
            </w:pPr>
            <w:r>
              <w:rPr>
                <w:rFonts w:hint="eastAsia" w:ascii="仿宋" w:hAnsi="仿宋" w:eastAsia="仿宋" w:cs="仿宋"/>
                <w:bCs/>
                <w:snapToGrid/>
                <w:color w:val="auto"/>
                <w:sz w:val="24"/>
                <w:highlight w:val="none"/>
              </w:rPr>
              <w:t>评标委员会启动异常低价投标审查后，属于前述第①项至第④项情形的，相关供应商应在收到评标委员会通知后的30分钟内对投标价格作出解释，提供项目具体成本测算等与报价合理性相关的书面说明及必要的证明材料，包括但不限于原材料成本、人工成本、制造费用等。其中，属于上述第③项的情形时，供应商已随投标文件一并提交相关书面说明及必要的证明材料的，可不再重复提交。</w:t>
            </w:r>
          </w:p>
          <w:p w14:paraId="023E9399">
            <w:pPr>
              <w:pStyle w:val="5"/>
              <w:spacing w:line="400" w:lineRule="exact"/>
              <w:ind w:left="0" w:firstLine="480" w:firstLineChars="200"/>
              <w:rPr>
                <w:rFonts w:ascii="仿宋" w:hAnsi="仿宋" w:eastAsia="仿宋" w:cs="仿宋"/>
                <w:bCs/>
                <w:snapToGrid/>
                <w:color w:val="auto"/>
                <w:sz w:val="24"/>
                <w:highlight w:val="none"/>
              </w:rPr>
            </w:pPr>
            <w:r>
              <w:rPr>
                <w:rFonts w:hint="eastAsia" w:ascii="仿宋" w:hAnsi="仿宋" w:eastAsia="仿宋" w:cs="仿宋"/>
                <w:bCs/>
                <w:snapToGrid/>
                <w:color w:val="auto"/>
                <w:sz w:val="24"/>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0192A67B">
            <w:pPr>
              <w:pStyle w:val="5"/>
              <w:ind w:left="0"/>
              <w:rPr>
                <w:rFonts w:ascii="仿宋" w:hAnsi="仿宋" w:eastAsia="仿宋" w:cs="仿宋"/>
                <w:color w:val="auto"/>
                <w:highlight w:val="none"/>
              </w:rPr>
            </w:pPr>
          </w:p>
        </w:tc>
        <w:tc>
          <w:tcPr>
            <w:tcW w:w="851" w:type="dxa"/>
            <w:vAlign w:val="center"/>
          </w:tcPr>
          <w:p w14:paraId="31D00F42">
            <w:pPr>
              <w:kinsoku/>
              <w:autoSpaceDE/>
              <w:autoSpaceDN/>
              <w:adjustRightInd/>
              <w:snapToGrid/>
              <w:spacing w:line="360" w:lineRule="auto"/>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10分</w:t>
            </w:r>
          </w:p>
        </w:tc>
      </w:tr>
      <w:tr w14:paraId="4F6C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vAlign w:val="center"/>
          </w:tcPr>
          <w:p w14:paraId="562233D1">
            <w:pPr>
              <w:kinsoku/>
              <w:autoSpaceDE/>
              <w:autoSpaceDN/>
              <w:adjustRightInd/>
              <w:snapToGrid/>
              <w:spacing w:line="360" w:lineRule="auto"/>
              <w:jc w:val="center"/>
              <w:textAlignment w:val="auto"/>
              <w:rPr>
                <w:rFonts w:ascii="仿宋" w:hAnsi="仿宋" w:eastAsia="仿宋" w:cs="仿宋"/>
                <w:b/>
                <w:snapToGrid/>
                <w:color w:val="auto"/>
                <w:sz w:val="24"/>
                <w:szCs w:val="24"/>
                <w:highlight w:val="none"/>
                <w:lang w:eastAsia="zh-CN"/>
              </w:rPr>
            </w:pPr>
            <w:r>
              <w:rPr>
                <w:rFonts w:hint="eastAsia" w:ascii="仿宋" w:hAnsi="仿宋" w:eastAsia="仿宋" w:cs="仿宋"/>
                <w:b/>
                <w:snapToGrid/>
                <w:color w:val="auto"/>
                <w:sz w:val="24"/>
                <w:szCs w:val="24"/>
                <w:highlight w:val="none"/>
                <w:lang w:eastAsia="zh-CN"/>
              </w:rPr>
              <w:t>2</w:t>
            </w:r>
          </w:p>
        </w:tc>
        <w:tc>
          <w:tcPr>
            <w:tcW w:w="1405" w:type="dxa"/>
            <w:vAlign w:val="center"/>
          </w:tcPr>
          <w:p w14:paraId="72163582">
            <w:pPr>
              <w:kinsoku/>
              <w:autoSpaceDE/>
              <w:autoSpaceDN/>
              <w:adjustRightInd/>
              <w:snapToGrid/>
              <w:spacing w:line="360" w:lineRule="auto"/>
              <w:jc w:val="center"/>
              <w:textAlignment w:val="auto"/>
              <w:rPr>
                <w:rFonts w:ascii="仿宋" w:hAnsi="仿宋" w:eastAsia="仿宋" w:cs="仿宋"/>
                <w:b/>
                <w:snapToGrid/>
                <w:color w:val="auto"/>
                <w:sz w:val="24"/>
                <w:szCs w:val="24"/>
                <w:highlight w:val="none"/>
                <w:lang w:eastAsia="zh-CN"/>
              </w:rPr>
            </w:pPr>
            <w:r>
              <w:rPr>
                <w:rFonts w:hint="eastAsia" w:ascii="仿宋" w:hAnsi="仿宋" w:eastAsia="仿宋" w:cs="仿宋"/>
                <w:b/>
                <w:snapToGrid/>
                <w:color w:val="auto"/>
                <w:sz w:val="24"/>
                <w:szCs w:val="24"/>
                <w:highlight w:val="none"/>
                <w:lang w:eastAsia="zh-CN"/>
              </w:rPr>
              <w:t>技术分</w:t>
            </w:r>
          </w:p>
        </w:tc>
        <w:tc>
          <w:tcPr>
            <w:tcW w:w="6857" w:type="dxa"/>
            <w:gridSpan w:val="2"/>
          </w:tcPr>
          <w:p w14:paraId="6E83A3F2">
            <w:pPr>
              <w:kinsoku/>
              <w:autoSpaceDE/>
              <w:autoSpaceDN/>
              <w:adjustRightInd/>
              <w:snapToGrid/>
              <w:spacing w:line="360" w:lineRule="auto"/>
              <w:jc w:val="center"/>
              <w:textAlignment w:val="auto"/>
              <w:rPr>
                <w:rFonts w:ascii="仿宋" w:hAnsi="仿宋" w:eastAsia="仿宋" w:cs="仿宋"/>
                <w:b/>
                <w:snapToGrid/>
                <w:color w:val="auto"/>
                <w:sz w:val="24"/>
                <w:szCs w:val="24"/>
                <w:highlight w:val="none"/>
                <w:lang w:eastAsia="zh-CN"/>
              </w:rPr>
            </w:pPr>
            <w:r>
              <w:rPr>
                <w:rFonts w:hint="eastAsia" w:ascii="仿宋" w:hAnsi="仿宋" w:eastAsia="仿宋" w:cs="仿宋"/>
                <w:b/>
                <w:snapToGrid/>
                <w:color w:val="auto"/>
                <w:sz w:val="24"/>
                <w:szCs w:val="24"/>
                <w:highlight w:val="none"/>
                <w:lang w:eastAsia="zh-CN"/>
              </w:rPr>
              <w:t>评审因素</w:t>
            </w:r>
          </w:p>
        </w:tc>
      </w:tr>
      <w:tr w14:paraId="449B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7" w:hRule="atLeast"/>
          <w:jc w:val="center"/>
        </w:trPr>
        <w:tc>
          <w:tcPr>
            <w:tcW w:w="828" w:type="dxa"/>
            <w:vAlign w:val="center"/>
          </w:tcPr>
          <w:p w14:paraId="6D94FE0A">
            <w:pPr>
              <w:pStyle w:val="14"/>
              <w:kinsoku/>
              <w:autoSpaceDE/>
              <w:autoSpaceDN/>
              <w:adjustRightInd/>
              <w:snapToGrid/>
              <w:spacing w:line="400" w:lineRule="exact"/>
              <w:jc w:val="center"/>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2.1</w:t>
            </w:r>
          </w:p>
        </w:tc>
        <w:tc>
          <w:tcPr>
            <w:tcW w:w="1405" w:type="dxa"/>
            <w:vAlign w:val="center"/>
          </w:tcPr>
          <w:p w14:paraId="4B025EE2">
            <w:pPr>
              <w:widowControl w:val="0"/>
              <w:kinsoku/>
              <w:autoSpaceDE/>
              <w:autoSpaceDN/>
              <w:adjustRightInd/>
              <w:snapToGrid/>
              <w:spacing w:line="400" w:lineRule="exact"/>
              <w:jc w:val="both"/>
              <w:textAlignment w:val="auto"/>
              <w:rPr>
                <w:rFonts w:ascii="仿宋" w:hAnsi="仿宋" w:eastAsia="仿宋" w:cs="仿宋"/>
                <w:bCs/>
                <w:snapToGrid/>
                <w:color w:val="auto"/>
                <w:sz w:val="24"/>
                <w:szCs w:val="24"/>
                <w:highlight w:val="none"/>
                <w:lang w:eastAsia="zh-CN"/>
              </w:rPr>
            </w:pPr>
            <w:r>
              <w:rPr>
                <w:rFonts w:hint="eastAsia" w:ascii="仿宋" w:hAnsi="仿宋" w:eastAsia="仿宋" w:cs="仿宋"/>
                <w:bCs/>
                <w:color w:val="auto"/>
                <w:sz w:val="24"/>
                <w:szCs w:val="24"/>
                <w:highlight w:val="none"/>
                <w:lang w:eastAsia="zh-CN"/>
              </w:rPr>
              <w:t>运维实施方案分（满分28分）</w:t>
            </w:r>
          </w:p>
        </w:tc>
        <w:tc>
          <w:tcPr>
            <w:tcW w:w="6006" w:type="dxa"/>
            <w:vAlign w:val="center"/>
          </w:tcPr>
          <w:p w14:paraId="75E970C7">
            <w:pPr>
              <w:widowControl w:val="0"/>
              <w:kinsoku/>
              <w:autoSpaceDE/>
              <w:autoSpaceDN/>
              <w:adjustRightInd/>
              <w:snapToGrid/>
              <w:spacing w:line="400" w:lineRule="exact"/>
              <w:ind w:firstLine="480" w:firstLineChars="200"/>
              <w:jc w:val="both"/>
              <w:textAlignment w:val="auto"/>
              <w:rPr>
                <w:rFonts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一档（7 分）：运维实施方案可行性差、不可靠、不具体，对本项目了解程度一般，无应急预案。</w:t>
            </w:r>
          </w:p>
          <w:p w14:paraId="76AEDBFF">
            <w:pPr>
              <w:widowControl w:val="0"/>
              <w:kinsoku/>
              <w:autoSpaceDE/>
              <w:autoSpaceDN/>
              <w:adjustRightInd/>
              <w:snapToGrid/>
              <w:spacing w:line="400" w:lineRule="exact"/>
              <w:ind w:firstLine="480" w:firstLineChars="200"/>
              <w:jc w:val="both"/>
              <w:textAlignment w:val="auto"/>
              <w:rPr>
                <w:rFonts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二档（14 分）：运维实施方案基本可行，措施较具体。方案中针对各污水处理设施、配套污水管网及提升泵站等运维措施较具体；设备故障处理方案可行性一般；开展运维工作所需的各项资源准备基本满足需求、作业流程较清晰；有基本的质量管控、保障措施，人员调度方法较合理，出现故障3小时内应急处置；应急预案方案较详细、较合理、可操作性一般。</w:t>
            </w:r>
          </w:p>
          <w:p w14:paraId="7CEA4526">
            <w:pPr>
              <w:widowControl w:val="0"/>
              <w:kinsoku/>
              <w:autoSpaceDE/>
              <w:autoSpaceDN/>
              <w:adjustRightInd/>
              <w:snapToGrid/>
              <w:spacing w:line="400" w:lineRule="exact"/>
              <w:ind w:firstLine="480" w:firstLineChars="200"/>
              <w:jc w:val="both"/>
              <w:textAlignment w:val="auto"/>
              <w:rPr>
                <w:rFonts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三档（21 分）：运维实施方案可行、较先进、有一定的针对性，措施具体。方案中针对其污水处理设施、提升泵站等运维措施具体；设备故障处理方案具有一定针对性，可行性较好；开展运维工作所需的各项资源准备较充分、作业流程清晰；质量管控、保障措施较好，人员调度方法合理，出现故障2小时内应急处置；应急预案方案详细、合理、可操作性较好。</w:t>
            </w:r>
          </w:p>
          <w:p w14:paraId="2B94027B">
            <w:pPr>
              <w:widowControl w:val="0"/>
              <w:kinsoku/>
              <w:autoSpaceDE/>
              <w:autoSpaceDN/>
              <w:adjustRightInd/>
              <w:snapToGrid/>
              <w:spacing w:line="400" w:lineRule="exact"/>
              <w:ind w:firstLine="480" w:firstLineChars="200"/>
              <w:jc w:val="both"/>
              <w:textAlignment w:val="auto"/>
              <w:rPr>
                <w:rFonts w:ascii="仿宋" w:hAnsi="仿宋" w:eastAsia="仿宋" w:cs="仿宋"/>
                <w:color w:val="auto"/>
                <w:sz w:val="24"/>
                <w:szCs w:val="24"/>
                <w:highlight w:val="none"/>
                <w:lang w:eastAsia="zh-CN"/>
              </w:rPr>
            </w:pPr>
            <w:r>
              <w:rPr>
                <w:rFonts w:hint="eastAsia" w:ascii="仿宋" w:hAnsi="仿宋" w:eastAsia="仿宋" w:cs="仿宋"/>
                <w:bCs/>
                <w:color w:val="auto"/>
                <w:sz w:val="24"/>
                <w:szCs w:val="24"/>
                <w:highlight w:val="none"/>
                <w:lang w:eastAsia="zh-CN"/>
              </w:rPr>
              <w:t>四挡（28分）：运维实施方案可行、先进、针对性好，措施详细。方案中针对及其污水处理设施、提升泵站等运维措施详细；设备故障处理方案具有针对性，可行性好；开展运维工作所需的各项资源准备充分、作业流程清晰明确；质量管控、保障措施有力，人员调度方法科学，有利于全面开展工作，出现故障1小时内应急处置；应急预案方案详细、合理、可操作性强。</w:t>
            </w:r>
          </w:p>
        </w:tc>
        <w:tc>
          <w:tcPr>
            <w:tcW w:w="851" w:type="dxa"/>
            <w:vAlign w:val="center"/>
          </w:tcPr>
          <w:p w14:paraId="57BAB9DA">
            <w:pPr>
              <w:widowControl w:val="0"/>
              <w:kinsoku/>
              <w:autoSpaceDE/>
              <w:autoSpaceDN/>
              <w:adjustRightInd/>
              <w:snapToGrid/>
              <w:spacing w:line="400" w:lineRule="exact"/>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28分</w:t>
            </w:r>
          </w:p>
        </w:tc>
      </w:tr>
      <w:tr w14:paraId="1520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8" w:type="dxa"/>
            <w:vAlign w:val="center"/>
          </w:tcPr>
          <w:p w14:paraId="5B556266">
            <w:pPr>
              <w:pStyle w:val="14"/>
              <w:kinsoku/>
              <w:autoSpaceDE/>
              <w:autoSpaceDN/>
              <w:adjustRightInd/>
              <w:snapToGrid/>
              <w:spacing w:line="400" w:lineRule="exact"/>
              <w:jc w:val="center"/>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2.2</w:t>
            </w:r>
          </w:p>
        </w:tc>
        <w:tc>
          <w:tcPr>
            <w:tcW w:w="1405" w:type="dxa"/>
            <w:vAlign w:val="center"/>
          </w:tcPr>
          <w:p w14:paraId="0CE322BD">
            <w:pPr>
              <w:kinsoku/>
              <w:autoSpaceDE/>
              <w:autoSpaceDN/>
              <w:adjustRightInd/>
              <w:snapToGrid/>
              <w:spacing w:line="400" w:lineRule="exact"/>
              <w:jc w:val="both"/>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color w:val="auto"/>
                <w:sz w:val="24"/>
                <w:szCs w:val="24"/>
                <w:highlight w:val="none"/>
                <w:lang w:eastAsia="zh-CN"/>
              </w:rPr>
              <w:t>各项管理规章制度及台账的建立与管理建立与管理方案分（满分21分）</w:t>
            </w:r>
          </w:p>
        </w:tc>
        <w:tc>
          <w:tcPr>
            <w:tcW w:w="6006" w:type="dxa"/>
            <w:vAlign w:val="center"/>
          </w:tcPr>
          <w:p w14:paraId="22F96BE3">
            <w:pPr>
              <w:tabs>
                <w:tab w:val="left" w:pos="1160"/>
              </w:tabs>
              <w:kinsoku/>
              <w:autoSpaceDE/>
              <w:autoSpaceDN/>
              <w:adjustRightInd/>
              <w:snapToGrid/>
              <w:spacing w:line="400" w:lineRule="exact"/>
              <w:ind w:firstLine="480" w:firstLineChars="200"/>
              <w:jc w:val="both"/>
              <w:textAlignment w:val="auto"/>
              <w:rPr>
                <w:rFonts w:ascii="仿宋" w:hAnsi="仿宋" w:eastAsia="仿宋" w:cs="仿宋"/>
                <w:bCs/>
                <w:color w:val="auto"/>
                <w:kern w:val="2"/>
                <w:sz w:val="24"/>
                <w:szCs w:val="24"/>
                <w:highlight w:val="none"/>
                <w:lang w:eastAsia="zh-CN"/>
              </w:rPr>
            </w:pPr>
            <w:r>
              <w:rPr>
                <w:rFonts w:hint="eastAsia" w:ascii="仿宋" w:hAnsi="仿宋" w:eastAsia="仿宋" w:cs="仿宋"/>
                <w:bCs/>
                <w:color w:val="auto"/>
                <w:kern w:val="2"/>
                <w:sz w:val="24"/>
                <w:szCs w:val="24"/>
                <w:highlight w:val="none"/>
                <w:lang w:eastAsia="zh-CN"/>
              </w:rPr>
              <w:t>投标人在响应文件中提供的各项管理规章制度及台账的建立与管理建立与管理方案主要内容包含但不限于：①各级管理制度、规章制度、考核制度；②台账记录具有交接班记录、设备运行台帐、设备维护维修台帐、污泥处理台帐、水质分析台账、日常维护台帐、应急演练记录、安全教育培训记录等台帐；③信息上报管理制度。</w:t>
            </w:r>
          </w:p>
          <w:p w14:paraId="7F87EAFF">
            <w:pPr>
              <w:tabs>
                <w:tab w:val="left" w:pos="1160"/>
              </w:tabs>
              <w:kinsoku/>
              <w:autoSpaceDE/>
              <w:autoSpaceDN/>
              <w:adjustRightInd/>
              <w:snapToGrid/>
              <w:spacing w:line="400" w:lineRule="exact"/>
              <w:ind w:firstLine="480" w:firstLineChars="200"/>
              <w:jc w:val="both"/>
              <w:textAlignment w:val="auto"/>
              <w:rPr>
                <w:rFonts w:ascii="仿宋" w:hAnsi="仿宋" w:eastAsia="仿宋" w:cs="仿宋"/>
                <w:bCs/>
                <w:color w:val="auto"/>
                <w:kern w:val="2"/>
                <w:sz w:val="24"/>
                <w:szCs w:val="24"/>
                <w:highlight w:val="none"/>
                <w:lang w:eastAsia="zh-CN"/>
              </w:rPr>
            </w:pPr>
            <w:r>
              <w:rPr>
                <w:rFonts w:hint="eastAsia" w:ascii="仿宋" w:hAnsi="仿宋" w:eastAsia="仿宋" w:cs="仿宋"/>
                <w:bCs/>
                <w:color w:val="auto"/>
                <w:kern w:val="2"/>
                <w:sz w:val="24"/>
                <w:szCs w:val="24"/>
                <w:highlight w:val="none"/>
                <w:lang w:eastAsia="zh-CN"/>
              </w:rPr>
              <w:t>一档（7 分）：各项管理规章制度及台账的建立与管理建立与管理方案一般，基本合理，可操作性一般。</w:t>
            </w:r>
          </w:p>
          <w:p w14:paraId="63E7EFA7">
            <w:pPr>
              <w:tabs>
                <w:tab w:val="left" w:pos="1160"/>
              </w:tabs>
              <w:kinsoku/>
              <w:autoSpaceDE/>
              <w:autoSpaceDN/>
              <w:adjustRightInd/>
              <w:snapToGrid/>
              <w:spacing w:line="400" w:lineRule="exact"/>
              <w:ind w:firstLine="480" w:firstLineChars="200"/>
              <w:jc w:val="both"/>
              <w:textAlignment w:val="auto"/>
              <w:rPr>
                <w:rFonts w:ascii="仿宋" w:hAnsi="仿宋" w:eastAsia="仿宋" w:cs="仿宋"/>
                <w:bCs/>
                <w:color w:val="auto"/>
                <w:kern w:val="2"/>
                <w:sz w:val="24"/>
                <w:szCs w:val="24"/>
                <w:highlight w:val="none"/>
                <w:lang w:eastAsia="zh-CN"/>
              </w:rPr>
            </w:pPr>
            <w:r>
              <w:rPr>
                <w:rFonts w:hint="eastAsia" w:ascii="仿宋" w:hAnsi="仿宋" w:eastAsia="仿宋" w:cs="仿宋"/>
                <w:bCs/>
                <w:color w:val="auto"/>
                <w:kern w:val="2"/>
                <w:sz w:val="24"/>
                <w:szCs w:val="24"/>
                <w:highlight w:val="none"/>
                <w:lang w:eastAsia="zh-CN"/>
              </w:rPr>
              <w:t>二档（14分）：各项管理规章制度及台账的建立与管理方案较详细、较合理、可操作性较好。</w:t>
            </w:r>
          </w:p>
          <w:p w14:paraId="2D3D853C">
            <w:pPr>
              <w:tabs>
                <w:tab w:val="left" w:pos="1160"/>
              </w:tabs>
              <w:kinsoku/>
              <w:autoSpaceDE/>
              <w:autoSpaceDN/>
              <w:adjustRightInd/>
              <w:snapToGrid/>
              <w:spacing w:line="400" w:lineRule="exact"/>
              <w:ind w:firstLine="480" w:firstLineChars="200"/>
              <w:jc w:val="both"/>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bCs/>
                <w:color w:val="auto"/>
                <w:kern w:val="2"/>
                <w:sz w:val="24"/>
                <w:szCs w:val="24"/>
                <w:highlight w:val="none"/>
                <w:lang w:eastAsia="zh-CN"/>
              </w:rPr>
              <w:t>三档（21分）：各项管理规章制度及台账的建立与管理方案详细、合理、可操作性强、符合规范。</w:t>
            </w:r>
          </w:p>
        </w:tc>
        <w:tc>
          <w:tcPr>
            <w:tcW w:w="851" w:type="dxa"/>
            <w:vAlign w:val="center"/>
          </w:tcPr>
          <w:p w14:paraId="2D156104">
            <w:pPr>
              <w:widowControl w:val="0"/>
              <w:kinsoku/>
              <w:autoSpaceDE/>
              <w:autoSpaceDN/>
              <w:adjustRightInd/>
              <w:snapToGrid/>
              <w:spacing w:line="400" w:lineRule="exact"/>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21分</w:t>
            </w:r>
          </w:p>
        </w:tc>
      </w:tr>
      <w:tr w14:paraId="216A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8" w:type="dxa"/>
            <w:vAlign w:val="center"/>
          </w:tcPr>
          <w:p w14:paraId="261A92C1">
            <w:pPr>
              <w:pStyle w:val="14"/>
              <w:kinsoku/>
              <w:autoSpaceDE/>
              <w:autoSpaceDN/>
              <w:adjustRightInd/>
              <w:snapToGrid/>
              <w:spacing w:line="400" w:lineRule="exact"/>
              <w:jc w:val="center"/>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2.3</w:t>
            </w:r>
          </w:p>
        </w:tc>
        <w:tc>
          <w:tcPr>
            <w:tcW w:w="1405" w:type="dxa"/>
            <w:vAlign w:val="center"/>
          </w:tcPr>
          <w:p w14:paraId="75EA3E96">
            <w:pPr>
              <w:kinsoku/>
              <w:autoSpaceDE/>
              <w:autoSpaceDN/>
              <w:adjustRightInd/>
              <w:snapToGrid/>
              <w:spacing w:line="400" w:lineRule="exact"/>
              <w:jc w:val="both"/>
              <w:textAlignment w:val="auto"/>
              <w:rPr>
                <w:rFonts w:ascii="仿宋" w:hAnsi="仿宋" w:eastAsia="仿宋" w:cs="仿宋"/>
                <w:bCs/>
                <w:snapToGrid/>
                <w:color w:val="auto"/>
                <w:sz w:val="24"/>
                <w:szCs w:val="24"/>
                <w:highlight w:val="none"/>
                <w:lang w:eastAsia="zh-CN"/>
              </w:rPr>
            </w:pPr>
            <w:r>
              <w:rPr>
                <w:rFonts w:hint="eastAsia" w:ascii="仿宋" w:hAnsi="仿宋" w:eastAsia="仿宋" w:cs="仿宋"/>
                <w:color w:val="auto"/>
                <w:sz w:val="24"/>
                <w:szCs w:val="24"/>
                <w:highlight w:val="none"/>
                <w:lang w:eastAsia="zh-CN"/>
              </w:rPr>
              <w:t>服务承诺分（满分21分）</w:t>
            </w:r>
          </w:p>
        </w:tc>
        <w:tc>
          <w:tcPr>
            <w:tcW w:w="6006" w:type="dxa"/>
            <w:vAlign w:val="center"/>
          </w:tcPr>
          <w:p w14:paraId="784EFC7F">
            <w:pPr>
              <w:tabs>
                <w:tab w:val="left" w:pos="1160"/>
              </w:tabs>
              <w:kinsoku/>
              <w:autoSpaceDE/>
              <w:autoSpaceDN/>
              <w:adjustRightInd/>
              <w:snapToGrid/>
              <w:spacing w:line="400" w:lineRule="exact"/>
              <w:ind w:firstLine="480" w:firstLineChars="200"/>
              <w:jc w:val="both"/>
              <w:textAlignment w:val="auto"/>
              <w:rPr>
                <w:rFonts w:ascii="仿宋" w:hAnsi="仿宋" w:eastAsia="仿宋" w:cs="仿宋"/>
                <w:bCs/>
                <w:color w:val="auto"/>
                <w:kern w:val="2"/>
                <w:sz w:val="24"/>
                <w:szCs w:val="24"/>
                <w:highlight w:val="none"/>
                <w:lang w:eastAsia="zh-CN"/>
              </w:rPr>
            </w:pPr>
            <w:r>
              <w:rPr>
                <w:rFonts w:hint="eastAsia" w:ascii="仿宋" w:hAnsi="仿宋" w:eastAsia="仿宋" w:cs="仿宋"/>
                <w:bCs/>
                <w:color w:val="auto"/>
                <w:kern w:val="2"/>
                <w:sz w:val="24"/>
                <w:szCs w:val="24"/>
                <w:highlight w:val="none"/>
                <w:lang w:eastAsia="zh-CN"/>
              </w:rPr>
              <w:t>一档（5分）：服务承诺各项内容基本响应运维服务采购需求，针对性较差，可行性较差。</w:t>
            </w:r>
          </w:p>
          <w:p w14:paraId="5A9CCE73">
            <w:pPr>
              <w:tabs>
                <w:tab w:val="left" w:pos="1160"/>
              </w:tabs>
              <w:kinsoku/>
              <w:autoSpaceDE/>
              <w:autoSpaceDN/>
              <w:adjustRightInd/>
              <w:snapToGrid/>
              <w:spacing w:line="400" w:lineRule="exact"/>
              <w:ind w:firstLine="480" w:firstLineChars="200"/>
              <w:jc w:val="both"/>
              <w:textAlignment w:val="auto"/>
              <w:rPr>
                <w:rFonts w:ascii="仿宋" w:hAnsi="仿宋" w:eastAsia="仿宋" w:cs="仿宋"/>
                <w:bCs/>
                <w:color w:val="auto"/>
                <w:kern w:val="2"/>
                <w:sz w:val="24"/>
                <w:szCs w:val="24"/>
                <w:highlight w:val="none"/>
                <w:lang w:eastAsia="zh-CN"/>
              </w:rPr>
            </w:pPr>
            <w:r>
              <w:rPr>
                <w:rFonts w:hint="eastAsia" w:ascii="仿宋" w:hAnsi="仿宋" w:eastAsia="仿宋" w:cs="仿宋"/>
                <w:bCs/>
                <w:color w:val="auto"/>
                <w:kern w:val="2"/>
                <w:sz w:val="24"/>
                <w:szCs w:val="24"/>
                <w:highlight w:val="none"/>
                <w:lang w:eastAsia="zh-CN"/>
              </w:rPr>
              <w:t>二档（10分）：服务承诺基本满足采购需求，且有相关的服务措施和服务承诺，有人员安排方案，可行性一般。</w:t>
            </w:r>
          </w:p>
          <w:p w14:paraId="70350698">
            <w:pPr>
              <w:tabs>
                <w:tab w:val="left" w:pos="1160"/>
              </w:tabs>
              <w:kinsoku/>
              <w:autoSpaceDE/>
              <w:autoSpaceDN/>
              <w:adjustRightInd/>
              <w:snapToGrid/>
              <w:spacing w:line="400" w:lineRule="exact"/>
              <w:ind w:firstLine="480" w:firstLineChars="200"/>
              <w:jc w:val="both"/>
              <w:textAlignment w:val="auto"/>
              <w:rPr>
                <w:rFonts w:ascii="仿宋" w:hAnsi="仿宋" w:eastAsia="仿宋" w:cs="仿宋"/>
                <w:bCs/>
                <w:color w:val="auto"/>
                <w:kern w:val="2"/>
                <w:sz w:val="24"/>
                <w:szCs w:val="24"/>
                <w:highlight w:val="none"/>
                <w:lang w:eastAsia="zh-CN"/>
              </w:rPr>
            </w:pPr>
            <w:r>
              <w:rPr>
                <w:rFonts w:hint="eastAsia" w:ascii="仿宋" w:hAnsi="仿宋" w:eastAsia="仿宋" w:cs="仿宋"/>
                <w:bCs/>
                <w:color w:val="auto"/>
                <w:kern w:val="2"/>
                <w:sz w:val="24"/>
                <w:szCs w:val="24"/>
                <w:highlight w:val="none"/>
                <w:lang w:eastAsia="zh-CN"/>
              </w:rPr>
              <w:t>三档（15分）：服务承诺较好满足采购需求，且有具体相关的服务措施和服务承诺，有明确的人员安排配备，比较合理、较有针对性。</w:t>
            </w:r>
          </w:p>
          <w:p w14:paraId="415947FF">
            <w:pPr>
              <w:tabs>
                <w:tab w:val="left" w:pos="1160"/>
              </w:tabs>
              <w:kinsoku/>
              <w:autoSpaceDE/>
              <w:autoSpaceDN/>
              <w:adjustRightInd/>
              <w:snapToGrid/>
              <w:spacing w:line="400" w:lineRule="exact"/>
              <w:ind w:firstLine="480" w:firstLineChars="200"/>
              <w:jc w:val="both"/>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bCs/>
                <w:color w:val="auto"/>
                <w:kern w:val="2"/>
                <w:sz w:val="24"/>
                <w:szCs w:val="24"/>
                <w:highlight w:val="none"/>
                <w:lang w:eastAsia="zh-CN"/>
              </w:rPr>
              <w:t>四档（21分）：服务承诺各项内容全部响应运维服务采购需求，服务承诺中的运维服务内容、运维管理服务措施、人员配备安排及设备配置方案承诺具体明确，承诺服务更优且科学合理，有针对性和合理化建议，可行性较强。</w:t>
            </w:r>
          </w:p>
        </w:tc>
        <w:tc>
          <w:tcPr>
            <w:tcW w:w="851" w:type="dxa"/>
            <w:vAlign w:val="center"/>
          </w:tcPr>
          <w:p w14:paraId="5388C557">
            <w:pPr>
              <w:widowControl w:val="0"/>
              <w:kinsoku/>
              <w:autoSpaceDE/>
              <w:autoSpaceDN/>
              <w:adjustRightInd/>
              <w:snapToGrid/>
              <w:spacing w:line="400" w:lineRule="exact"/>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21分</w:t>
            </w:r>
          </w:p>
        </w:tc>
      </w:tr>
      <w:tr w14:paraId="50D4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vAlign w:val="center"/>
          </w:tcPr>
          <w:p w14:paraId="49585E14">
            <w:pPr>
              <w:pStyle w:val="14"/>
              <w:kinsoku/>
              <w:autoSpaceDE/>
              <w:autoSpaceDN/>
              <w:adjustRightInd/>
              <w:snapToGrid/>
              <w:spacing w:line="400" w:lineRule="exact"/>
              <w:jc w:val="center"/>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3</w:t>
            </w:r>
          </w:p>
        </w:tc>
        <w:tc>
          <w:tcPr>
            <w:tcW w:w="1405" w:type="dxa"/>
            <w:vAlign w:val="center"/>
          </w:tcPr>
          <w:p w14:paraId="6957D852">
            <w:pPr>
              <w:pStyle w:val="14"/>
              <w:kinsoku/>
              <w:autoSpaceDE/>
              <w:autoSpaceDN/>
              <w:adjustRightInd/>
              <w:snapToGrid/>
              <w:spacing w:line="400" w:lineRule="exact"/>
              <w:jc w:val="center"/>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商务分</w:t>
            </w:r>
          </w:p>
        </w:tc>
        <w:tc>
          <w:tcPr>
            <w:tcW w:w="6857" w:type="dxa"/>
            <w:gridSpan w:val="2"/>
            <w:vAlign w:val="center"/>
          </w:tcPr>
          <w:p w14:paraId="14A0C6A3">
            <w:pPr>
              <w:pStyle w:val="14"/>
              <w:kinsoku/>
              <w:autoSpaceDE/>
              <w:autoSpaceDN/>
              <w:adjustRightInd/>
              <w:snapToGrid/>
              <w:spacing w:line="400" w:lineRule="exact"/>
              <w:jc w:val="center"/>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评审因素</w:t>
            </w:r>
          </w:p>
        </w:tc>
      </w:tr>
      <w:tr w14:paraId="7AEC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8" w:hRule="atLeast"/>
          <w:jc w:val="center"/>
        </w:trPr>
        <w:tc>
          <w:tcPr>
            <w:tcW w:w="828" w:type="dxa"/>
            <w:vAlign w:val="center"/>
          </w:tcPr>
          <w:p w14:paraId="60414497">
            <w:pPr>
              <w:pStyle w:val="14"/>
              <w:kinsoku/>
              <w:autoSpaceDE/>
              <w:autoSpaceDN/>
              <w:adjustRightInd/>
              <w:snapToGrid/>
              <w:spacing w:line="400" w:lineRule="exact"/>
              <w:jc w:val="center"/>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3.1</w:t>
            </w:r>
          </w:p>
        </w:tc>
        <w:tc>
          <w:tcPr>
            <w:tcW w:w="1405" w:type="dxa"/>
            <w:vAlign w:val="center"/>
          </w:tcPr>
          <w:p w14:paraId="1E304628">
            <w:pPr>
              <w:widowControl w:val="0"/>
              <w:kinsoku/>
              <w:autoSpaceDE/>
              <w:autoSpaceDN/>
              <w:adjustRightInd/>
              <w:snapToGrid/>
              <w:spacing w:line="400" w:lineRule="exact"/>
              <w:jc w:val="both"/>
              <w:textAlignment w:val="auto"/>
              <w:rPr>
                <w:rFonts w:ascii="仿宋" w:hAnsi="仿宋" w:eastAsia="仿宋" w:cs="仿宋"/>
                <w:bCs/>
                <w:snapToGrid/>
                <w:color w:val="auto"/>
                <w:sz w:val="24"/>
                <w:szCs w:val="24"/>
                <w:highlight w:val="none"/>
                <w:lang w:eastAsia="zh-CN"/>
              </w:rPr>
            </w:pPr>
            <w:r>
              <w:rPr>
                <w:rFonts w:hint="eastAsia" w:ascii="仿宋" w:hAnsi="仿宋" w:eastAsia="仿宋" w:cs="仿宋"/>
                <w:bCs/>
                <w:color w:val="auto"/>
                <w:sz w:val="24"/>
                <w:szCs w:val="24"/>
                <w:highlight w:val="none"/>
                <w:lang w:eastAsia="zh-CN"/>
              </w:rPr>
              <w:t>履约能力保障分（满分12分）</w:t>
            </w:r>
          </w:p>
        </w:tc>
        <w:tc>
          <w:tcPr>
            <w:tcW w:w="6006" w:type="dxa"/>
            <w:vAlign w:val="center"/>
          </w:tcPr>
          <w:p w14:paraId="4FEA8076">
            <w:pPr>
              <w:widowControl w:val="0"/>
              <w:kinsoku/>
              <w:autoSpaceDE/>
              <w:autoSpaceDN/>
              <w:adjustRightInd/>
              <w:snapToGrid/>
              <w:spacing w:line="400" w:lineRule="exact"/>
              <w:ind w:firstLine="480" w:firstLineChars="200"/>
              <w:textAlignment w:val="auto"/>
              <w:rPr>
                <w:rFonts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①拟投入项目的技术负责人为环境专业</w:t>
            </w:r>
            <w:r>
              <w:rPr>
                <w:rFonts w:hint="eastAsia" w:eastAsia="宋体"/>
                <w:color w:val="auto"/>
                <w:highlight w:val="none"/>
                <w:lang w:val="en-US" w:eastAsia="zh-CN"/>
              </w:rPr>
              <w:t>中级</w:t>
            </w:r>
            <w:r>
              <w:rPr>
                <w:rFonts w:hint="eastAsia" w:ascii="仿宋" w:hAnsi="仿宋" w:eastAsia="仿宋" w:cs="仿宋"/>
                <w:bCs/>
                <w:color w:val="auto"/>
                <w:sz w:val="24"/>
                <w:szCs w:val="24"/>
                <w:highlight w:val="none"/>
                <w:lang w:eastAsia="zh-CN"/>
              </w:rPr>
              <w:t>工程师或以上职称的得6分，为助理工程师职称的得3分，此项满分6分。</w:t>
            </w:r>
          </w:p>
          <w:p w14:paraId="2ABE0011">
            <w:pPr>
              <w:widowControl w:val="0"/>
              <w:kinsoku/>
              <w:autoSpaceDE/>
              <w:autoSpaceDN/>
              <w:adjustRightInd/>
              <w:snapToGrid/>
              <w:spacing w:line="400" w:lineRule="exact"/>
              <w:ind w:firstLine="480" w:firstLineChars="200"/>
              <w:textAlignment w:val="auto"/>
              <w:rPr>
                <w:rFonts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②拟投入项目的专业技术人员（除技术负责人以外）具有中级工程师或以上职称的，每人得3分；具有助理工程师职称的，每人得1分；此项满分3分。</w:t>
            </w:r>
          </w:p>
          <w:p w14:paraId="3C300794">
            <w:pPr>
              <w:widowControl w:val="0"/>
              <w:kinsoku/>
              <w:autoSpaceDE/>
              <w:autoSpaceDN/>
              <w:adjustRightInd/>
              <w:snapToGrid/>
              <w:spacing w:line="400" w:lineRule="exact"/>
              <w:ind w:firstLine="480" w:firstLineChars="200"/>
              <w:textAlignment w:val="auto"/>
              <w:rPr>
                <w:rFonts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③拟投入项目的机电维修人员具有</w:t>
            </w:r>
            <w:r>
              <w:rPr>
                <w:rFonts w:hint="eastAsia" w:ascii="仿宋" w:hAnsi="仿宋" w:eastAsia="仿宋" w:cs="仿宋"/>
                <w:bCs/>
                <w:color w:val="auto"/>
                <w:sz w:val="24"/>
                <w:szCs w:val="24"/>
                <w:highlight w:val="none"/>
                <w:lang w:eastAsia="zh-CN"/>
              </w:rPr>
              <w:t>有效的电工证的，每人得3分，此项满分3分。</w:t>
            </w:r>
          </w:p>
          <w:p w14:paraId="349CEE2D">
            <w:pPr>
              <w:widowControl w:val="0"/>
              <w:kinsoku/>
              <w:autoSpaceDE/>
              <w:autoSpaceDN/>
              <w:adjustRightInd/>
              <w:snapToGrid/>
              <w:spacing w:line="400" w:lineRule="exact"/>
              <w:ind w:firstLine="480" w:firstLineChars="200"/>
              <w:textAlignment w:val="auto"/>
              <w:rPr>
                <w:rFonts w:ascii="仿宋" w:hAnsi="仿宋" w:eastAsia="仿宋" w:cs="仿宋"/>
                <w:bCs/>
                <w:snapToGrid/>
                <w:color w:val="auto"/>
                <w:sz w:val="24"/>
                <w:szCs w:val="24"/>
                <w:highlight w:val="none"/>
                <w:lang w:eastAsia="zh-CN"/>
              </w:rPr>
            </w:pPr>
            <w:r>
              <w:rPr>
                <w:rFonts w:hint="eastAsia" w:ascii="仿宋" w:hAnsi="仿宋" w:eastAsia="仿宋" w:cs="仿宋"/>
                <w:bCs/>
                <w:color w:val="auto"/>
                <w:sz w:val="24"/>
                <w:szCs w:val="24"/>
                <w:highlight w:val="none"/>
                <w:lang w:eastAsia="zh-CN"/>
              </w:rPr>
              <w:t>注：须提供以上拟投入人员相关的证书、社保证明或劳动合同；同一个岗位不能多人兼任。</w:t>
            </w:r>
          </w:p>
        </w:tc>
        <w:tc>
          <w:tcPr>
            <w:tcW w:w="851" w:type="dxa"/>
            <w:vAlign w:val="center"/>
          </w:tcPr>
          <w:p w14:paraId="02E11ED6">
            <w:pPr>
              <w:kinsoku/>
              <w:autoSpaceDE/>
              <w:autoSpaceDN/>
              <w:adjustRightInd/>
              <w:snapToGrid/>
              <w:spacing w:line="400" w:lineRule="exact"/>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12分</w:t>
            </w:r>
          </w:p>
        </w:tc>
      </w:tr>
      <w:tr w14:paraId="3A36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 w:type="dxa"/>
            <w:vAlign w:val="center"/>
          </w:tcPr>
          <w:p w14:paraId="0BE5F246">
            <w:pPr>
              <w:pStyle w:val="14"/>
              <w:kinsoku/>
              <w:autoSpaceDE/>
              <w:autoSpaceDN/>
              <w:adjustRightInd/>
              <w:snapToGrid/>
              <w:spacing w:line="400" w:lineRule="exact"/>
              <w:ind w:firstLine="240" w:firstLineChars="100"/>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3.2</w:t>
            </w:r>
          </w:p>
        </w:tc>
        <w:tc>
          <w:tcPr>
            <w:tcW w:w="1405" w:type="dxa"/>
            <w:vAlign w:val="center"/>
          </w:tcPr>
          <w:p w14:paraId="677AED5C">
            <w:pPr>
              <w:widowControl w:val="0"/>
              <w:kinsoku/>
              <w:autoSpaceDE/>
              <w:autoSpaceDN/>
              <w:adjustRightInd/>
              <w:snapToGrid/>
              <w:spacing w:line="400" w:lineRule="exact"/>
              <w:jc w:val="both"/>
              <w:textAlignment w:val="auto"/>
              <w:rPr>
                <w:rFonts w:ascii="仿宋" w:hAnsi="仿宋" w:eastAsia="仿宋" w:cs="仿宋"/>
                <w:bCs/>
                <w:snapToGrid/>
                <w:color w:val="auto"/>
                <w:sz w:val="24"/>
                <w:szCs w:val="24"/>
                <w:highlight w:val="none"/>
                <w:lang w:eastAsia="zh-CN"/>
              </w:rPr>
            </w:pPr>
            <w:r>
              <w:rPr>
                <w:rFonts w:hint="eastAsia" w:ascii="仿宋" w:hAnsi="仿宋" w:eastAsia="仿宋" w:cs="仿宋"/>
                <w:bCs/>
                <w:color w:val="auto"/>
                <w:sz w:val="24"/>
                <w:szCs w:val="24"/>
                <w:highlight w:val="none"/>
              </w:rPr>
              <w:t>业绩分（满分</w:t>
            </w:r>
            <w:r>
              <w:rPr>
                <w:rFonts w:hint="eastAsia" w:ascii="仿宋" w:hAnsi="仿宋" w:eastAsia="仿宋" w:cs="仿宋"/>
                <w:bCs/>
                <w:color w:val="auto"/>
                <w:sz w:val="24"/>
                <w:szCs w:val="24"/>
                <w:highlight w:val="none"/>
                <w:lang w:eastAsia="zh-CN"/>
              </w:rPr>
              <w:t>8</w:t>
            </w:r>
            <w:r>
              <w:rPr>
                <w:rFonts w:hint="eastAsia" w:ascii="仿宋" w:hAnsi="仿宋" w:eastAsia="仿宋" w:cs="仿宋"/>
                <w:bCs/>
                <w:color w:val="auto"/>
                <w:sz w:val="24"/>
                <w:szCs w:val="24"/>
                <w:highlight w:val="none"/>
              </w:rPr>
              <w:t>分）</w:t>
            </w:r>
          </w:p>
        </w:tc>
        <w:tc>
          <w:tcPr>
            <w:tcW w:w="6006" w:type="dxa"/>
            <w:vAlign w:val="center"/>
          </w:tcPr>
          <w:p w14:paraId="1615E8DD">
            <w:pPr>
              <w:widowControl w:val="0"/>
              <w:kinsoku/>
              <w:autoSpaceDE/>
              <w:autoSpaceDN/>
              <w:adjustRightInd/>
              <w:snapToGrid/>
              <w:spacing w:line="400" w:lineRule="exact"/>
              <w:ind w:firstLine="480" w:firstLineChars="200"/>
              <w:jc w:val="both"/>
              <w:textAlignment w:val="auto"/>
              <w:rPr>
                <w:rFonts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供应商自202</w:t>
            </w:r>
            <w:r>
              <w:rPr>
                <w:rFonts w:hint="eastAsia" w:ascii="仿宋" w:hAnsi="仿宋" w:eastAsia="仿宋" w:cs="仿宋"/>
                <w:bCs/>
                <w:color w:val="auto"/>
                <w:sz w:val="24"/>
                <w:szCs w:val="24"/>
                <w:highlight w:val="none"/>
                <w:lang w:val="en-US" w:eastAsia="zh-CN"/>
              </w:rPr>
              <w:t>3</w:t>
            </w:r>
            <w:r>
              <w:rPr>
                <w:rFonts w:hint="eastAsia" w:ascii="仿宋" w:hAnsi="仿宋" w:eastAsia="仿宋" w:cs="仿宋"/>
                <w:bCs/>
                <w:color w:val="auto"/>
                <w:sz w:val="24"/>
                <w:szCs w:val="24"/>
                <w:highlight w:val="none"/>
                <w:lang w:eastAsia="zh-CN"/>
              </w:rPr>
              <w:t>年1月1日以来，完成过或承接过同类项目（污水处理类或污水处理运营类）业绩的，每个业绩得2分，满分8分。</w:t>
            </w:r>
          </w:p>
          <w:p w14:paraId="26038058">
            <w:pPr>
              <w:widowControl w:val="0"/>
              <w:kinsoku/>
              <w:autoSpaceDE/>
              <w:autoSpaceDN/>
              <w:adjustRightInd/>
              <w:snapToGrid/>
              <w:spacing w:line="400" w:lineRule="exact"/>
              <w:ind w:firstLine="480" w:firstLineChars="200"/>
              <w:jc w:val="both"/>
              <w:textAlignment w:val="auto"/>
              <w:rPr>
                <w:rFonts w:ascii="仿宋" w:hAnsi="仿宋" w:eastAsia="仿宋" w:cs="仿宋"/>
                <w:bCs/>
                <w:snapToGrid/>
                <w:color w:val="auto"/>
                <w:sz w:val="24"/>
                <w:szCs w:val="24"/>
                <w:highlight w:val="none"/>
                <w:lang w:eastAsia="zh-CN"/>
              </w:rPr>
            </w:pPr>
            <w:r>
              <w:rPr>
                <w:rFonts w:hint="eastAsia" w:ascii="仿宋" w:hAnsi="仿宋" w:eastAsia="仿宋" w:cs="仿宋"/>
                <w:bCs/>
                <w:color w:val="auto"/>
                <w:sz w:val="24"/>
                <w:szCs w:val="24"/>
                <w:highlight w:val="none"/>
                <w:lang w:eastAsia="zh-CN"/>
              </w:rPr>
              <w:t>注：投标人须在投标文件中提供合同复印件加盖电子印章，不提供的不得分。</w:t>
            </w:r>
          </w:p>
        </w:tc>
        <w:tc>
          <w:tcPr>
            <w:tcW w:w="851" w:type="dxa"/>
            <w:vAlign w:val="center"/>
          </w:tcPr>
          <w:p w14:paraId="186D2890">
            <w:pPr>
              <w:pStyle w:val="14"/>
              <w:kinsoku/>
              <w:autoSpaceDE/>
              <w:autoSpaceDN/>
              <w:adjustRightInd/>
              <w:snapToGrid/>
              <w:spacing w:line="400" w:lineRule="exact"/>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8分</w:t>
            </w:r>
          </w:p>
        </w:tc>
      </w:tr>
    </w:tbl>
    <w:p w14:paraId="2BE622D1">
      <w:pPr>
        <w:spacing w:line="460" w:lineRule="exact"/>
        <w:ind w:firstLine="420" w:firstLineChars="200"/>
        <w:rPr>
          <w:rFonts w:ascii="仿宋" w:hAnsi="仿宋" w:eastAsia="仿宋" w:cs="仿宋"/>
          <w:color w:val="auto"/>
          <w:highlight w:val="none"/>
        </w:rPr>
        <w:sectPr>
          <w:footerReference r:id="rId7" w:type="default"/>
          <w:pgSz w:w="11910" w:h="16830"/>
          <w:pgMar w:top="1124" w:right="875" w:bottom="1101" w:left="865" w:header="0" w:footer="957" w:gutter="0"/>
          <w:cols w:space="720" w:num="1"/>
        </w:sectPr>
      </w:pPr>
    </w:p>
    <w:p w14:paraId="4B5B8EDF">
      <w:pPr>
        <w:spacing w:line="460" w:lineRule="exact"/>
        <w:ind w:firstLine="724" w:firstLineChars="200"/>
        <w:jc w:val="center"/>
        <w:rPr>
          <w:rFonts w:ascii="仿宋" w:hAnsi="仿宋" w:eastAsia="仿宋" w:cs="仿宋"/>
          <w:color w:val="auto"/>
          <w:sz w:val="32"/>
          <w:szCs w:val="32"/>
          <w:highlight w:val="none"/>
        </w:rPr>
      </w:pPr>
      <w:r>
        <w:rPr>
          <w:rFonts w:hint="eastAsia" w:ascii="仿宋" w:hAnsi="仿宋" w:eastAsia="仿宋" w:cs="仿宋"/>
          <w:color w:val="auto"/>
          <w:spacing w:val="21"/>
          <w:sz w:val="32"/>
          <w:szCs w:val="32"/>
          <w:highlight w:val="none"/>
        </w:rPr>
        <w:t>第二节评审报告</w:t>
      </w:r>
    </w:p>
    <w:p w14:paraId="588AD2B5">
      <w:pPr>
        <w:spacing w:line="460" w:lineRule="exact"/>
        <w:ind w:firstLine="502" w:firstLineChars="200"/>
        <w:rPr>
          <w:rFonts w:ascii="仿宋" w:hAnsi="仿宋" w:eastAsia="仿宋" w:cs="仿宋"/>
          <w:color w:val="auto"/>
          <w:highlight w:val="none"/>
        </w:rPr>
      </w:pPr>
      <w:r>
        <w:rPr>
          <w:rFonts w:hint="eastAsia" w:ascii="仿宋" w:hAnsi="仿宋" w:eastAsia="仿宋" w:cs="仿宋"/>
          <w:b/>
          <w:bCs/>
          <w:color w:val="auto"/>
          <w:spacing w:val="20"/>
          <w:highlight w:val="none"/>
        </w:rPr>
        <w:t>1.成交标准</w:t>
      </w:r>
    </w:p>
    <w:p w14:paraId="6E96CA0D">
      <w:pPr>
        <w:spacing w:line="460" w:lineRule="exact"/>
        <w:ind w:firstLine="420" w:firstLineChars="200"/>
        <w:jc w:val="both"/>
        <w:rPr>
          <w:rFonts w:ascii="仿宋" w:hAnsi="仿宋" w:eastAsia="仿宋" w:cs="仿宋"/>
          <w:color w:val="auto"/>
          <w:highlight w:val="none"/>
          <w:lang w:eastAsia="zh-CN"/>
        </w:rPr>
      </w:pPr>
      <w:r>
        <w:rPr>
          <w:rFonts w:hint="eastAsia" w:ascii="仿宋" w:hAnsi="仿宋" w:eastAsia="仿宋" w:cs="仿宋"/>
          <w:color w:val="auto"/>
          <w:highlight w:val="none"/>
          <w:lang w:eastAsia="zh-CN"/>
        </w:rPr>
        <w:t>磋商小组根据综合评分情况，按照评审得分由高到低顺序推荐3名以上成交候选供应商,并编写评审报告。符合本章第5.3条情形的，可以推荐2家成交候选供应商。评审得分相同的，按照最后报价由低到高的顺序推荐；</w:t>
      </w:r>
      <w:r>
        <w:rPr>
          <w:rFonts w:hint="eastAsia" w:ascii="仿宋" w:hAnsi="仿宋" w:eastAsia="仿宋" w:cs="仿宋"/>
          <w:color w:val="auto"/>
          <w:spacing w:val="9"/>
          <w:highlight w:val="none"/>
          <w:lang w:eastAsia="zh-CN"/>
        </w:rPr>
        <w:t>评审得分且最后报价(不计算价格折扣)相同的，</w:t>
      </w:r>
      <w:r>
        <w:rPr>
          <w:rFonts w:hint="eastAsia" w:ascii="仿宋" w:hAnsi="仿宋" w:eastAsia="仿宋" w:cs="仿宋"/>
          <w:color w:val="auto"/>
          <w:spacing w:val="2"/>
          <w:highlight w:val="none"/>
          <w:lang w:eastAsia="zh-CN"/>
        </w:rPr>
        <w:t>按照技术指标优劣顺序推荐(按技术分得分由高到低排序，技术分得分相同的按</w:t>
      </w:r>
      <w:r>
        <w:rPr>
          <w:rFonts w:hint="eastAsia" w:ascii="仿宋" w:hAnsi="仿宋" w:eastAsia="仿宋" w:cs="仿宋"/>
          <w:color w:val="auto"/>
          <w:spacing w:val="1"/>
          <w:highlight w:val="none"/>
          <w:lang w:eastAsia="zh-CN"/>
        </w:rPr>
        <w:t>照项目实施方案得分</w:t>
      </w:r>
      <w:r>
        <w:rPr>
          <w:rFonts w:hint="eastAsia" w:ascii="仿宋" w:hAnsi="仿宋" w:eastAsia="仿宋" w:cs="仿宋"/>
          <w:color w:val="auto"/>
          <w:spacing w:val="7"/>
          <w:highlight w:val="none"/>
          <w:lang w:eastAsia="zh-CN"/>
        </w:rPr>
        <w:t>由高到低排序)。评审得分、最后报价(不计算价格折</w:t>
      </w:r>
      <w:r>
        <w:rPr>
          <w:rFonts w:hint="eastAsia" w:ascii="仿宋" w:hAnsi="仿宋" w:eastAsia="仿宋" w:cs="仿宋"/>
          <w:color w:val="auto"/>
          <w:spacing w:val="6"/>
          <w:highlight w:val="none"/>
          <w:lang w:eastAsia="zh-CN"/>
        </w:rPr>
        <w:t>扣)、技术分得分、项目实施方案分得分均相</w:t>
      </w:r>
      <w:r>
        <w:rPr>
          <w:rFonts w:hint="eastAsia" w:ascii="仿宋" w:hAnsi="仿宋" w:eastAsia="仿宋" w:cs="仿宋"/>
          <w:color w:val="auto"/>
          <w:spacing w:val="-1"/>
          <w:highlight w:val="none"/>
          <w:lang w:eastAsia="zh-CN"/>
        </w:rPr>
        <w:t>同的，由磋商小组随机抽取推荐。</w:t>
      </w:r>
    </w:p>
    <w:p w14:paraId="5D846FD5">
      <w:pPr>
        <w:spacing w:line="460" w:lineRule="exact"/>
        <w:ind w:firstLine="522" w:firstLineChars="200"/>
        <w:rPr>
          <w:rFonts w:ascii="仿宋" w:hAnsi="仿宋" w:eastAsia="仿宋" w:cs="仿宋"/>
          <w:color w:val="auto"/>
          <w:highlight w:val="none"/>
          <w:lang w:eastAsia="zh-CN"/>
        </w:rPr>
      </w:pPr>
      <w:r>
        <w:rPr>
          <w:rFonts w:hint="eastAsia" w:ascii="仿宋" w:hAnsi="仿宋" w:eastAsia="仿宋" w:cs="仿宋"/>
          <w:b/>
          <w:bCs/>
          <w:color w:val="auto"/>
          <w:spacing w:val="25"/>
          <w:highlight w:val="none"/>
          <w:lang w:eastAsia="zh-CN"/>
        </w:rPr>
        <w:t>2.</w:t>
      </w:r>
      <w:r>
        <w:rPr>
          <w:rFonts w:hint="eastAsia" w:ascii="仿宋" w:hAnsi="仿宋" w:eastAsia="仿宋" w:cs="仿宋"/>
          <w:b/>
          <w:bCs/>
          <w:color w:val="auto"/>
          <w:spacing w:val="20"/>
          <w:highlight w:val="none"/>
          <w:lang w:eastAsia="zh-CN"/>
        </w:rPr>
        <w:t>评标争议事项处理</w:t>
      </w:r>
    </w:p>
    <w:p w14:paraId="7FFE6782">
      <w:pPr>
        <w:spacing w:line="460" w:lineRule="exact"/>
        <w:ind w:firstLine="42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磋商小组成员对需要共同认定的事项存在争议的，应当按照少数服从多数的原则</w:t>
      </w:r>
      <w:r>
        <w:rPr>
          <w:rFonts w:hint="eastAsia" w:ascii="仿宋" w:hAnsi="仿宋" w:eastAsia="仿宋" w:cs="仿宋"/>
          <w:color w:val="auto"/>
          <w:spacing w:val="-1"/>
          <w:highlight w:val="none"/>
          <w:lang w:eastAsia="zh-CN"/>
        </w:rPr>
        <w:t>作出结论。持不同意</w:t>
      </w:r>
      <w:r>
        <w:rPr>
          <w:rFonts w:hint="eastAsia" w:ascii="仿宋" w:hAnsi="仿宋" w:eastAsia="仿宋" w:cs="仿宋"/>
          <w:color w:val="auto"/>
          <w:highlight w:val="none"/>
          <w:lang w:eastAsia="zh-CN"/>
        </w:rPr>
        <w:t xml:space="preserve"> 见的磋商小组成员应当在评审报告上签署不同意见及理由，否则视为同意评审报告。</w:t>
      </w:r>
    </w:p>
    <w:p w14:paraId="5C0EC840">
      <w:pPr>
        <w:pStyle w:val="10"/>
        <w:spacing w:line="460" w:lineRule="exact"/>
        <w:ind w:firstLine="420" w:firstLineChars="200"/>
        <w:jc w:val="center"/>
        <w:rPr>
          <w:rFonts w:ascii="仿宋" w:hAnsi="仿宋" w:eastAsia="仿宋" w:cs="仿宋"/>
          <w:color w:val="auto"/>
          <w:highlight w:val="none"/>
          <w:lang w:eastAsia="zh-CN"/>
        </w:rPr>
      </w:pPr>
    </w:p>
    <w:p w14:paraId="4F77F5AB">
      <w:pPr>
        <w:spacing w:line="460" w:lineRule="exact"/>
        <w:ind w:firstLine="684" w:firstLineChars="200"/>
        <w:jc w:val="center"/>
        <w:rPr>
          <w:rFonts w:ascii="仿宋" w:hAnsi="仿宋" w:eastAsia="仿宋" w:cs="仿宋"/>
          <w:color w:val="auto"/>
          <w:sz w:val="32"/>
          <w:szCs w:val="32"/>
          <w:highlight w:val="none"/>
          <w:lang w:eastAsia="zh-CN"/>
        </w:rPr>
      </w:pPr>
      <w:r>
        <w:rPr>
          <w:rFonts w:hint="eastAsia" w:ascii="仿宋" w:hAnsi="仿宋" w:eastAsia="仿宋" w:cs="仿宋"/>
          <w:color w:val="auto"/>
          <w:spacing w:val="11"/>
          <w:sz w:val="32"/>
          <w:szCs w:val="32"/>
          <w:highlight w:val="none"/>
          <w:lang w:eastAsia="zh-CN"/>
        </w:rPr>
        <w:t>第三节评审过程的保密与录像</w:t>
      </w:r>
    </w:p>
    <w:p w14:paraId="394F4988">
      <w:pPr>
        <w:spacing w:line="460" w:lineRule="exact"/>
        <w:ind w:firstLine="408" w:firstLineChars="200"/>
        <w:rPr>
          <w:rFonts w:ascii="仿宋" w:hAnsi="仿宋" w:eastAsia="仿宋" w:cs="仿宋"/>
          <w:color w:val="auto"/>
          <w:spacing w:val="-3"/>
          <w:highlight w:val="none"/>
          <w:lang w:eastAsia="zh-CN"/>
        </w:rPr>
      </w:pPr>
      <w:r>
        <w:rPr>
          <w:rFonts w:hint="eastAsia" w:ascii="仿宋" w:hAnsi="仿宋" w:eastAsia="仿宋" w:cs="仿宋"/>
          <w:color w:val="auto"/>
          <w:spacing w:val="-3"/>
          <w:highlight w:val="none"/>
          <w:lang w:eastAsia="zh-CN"/>
        </w:rPr>
        <w:t>1.保</w:t>
      </w:r>
      <w:r>
        <w:rPr>
          <w:rFonts w:hint="eastAsia" w:ascii="仿宋" w:hAnsi="仿宋" w:eastAsia="仿宋" w:cs="仿宋"/>
          <w:color w:val="auto"/>
          <w:spacing w:val="-33"/>
          <w:highlight w:val="none"/>
          <w:lang w:eastAsia="zh-CN"/>
        </w:rPr>
        <w:t xml:space="preserve"> </w:t>
      </w:r>
      <w:r>
        <w:rPr>
          <w:rFonts w:hint="eastAsia" w:ascii="仿宋" w:hAnsi="仿宋" w:eastAsia="仿宋" w:cs="仿宋"/>
          <w:color w:val="auto"/>
          <w:spacing w:val="-3"/>
          <w:highlight w:val="none"/>
          <w:lang w:eastAsia="zh-CN"/>
        </w:rPr>
        <w:t>密</w:t>
      </w:r>
    </w:p>
    <w:p w14:paraId="53F3B3B7">
      <w:pPr>
        <w:spacing w:line="460" w:lineRule="exact"/>
        <w:ind w:firstLine="42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评审活动在严格保密的情况下进行。评审过程中凡是与响应文件评审和比较、中</w:t>
      </w:r>
      <w:r>
        <w:rPr>
          <w:rFonts w:hint="eastAsia" w:ascii="仿宋" w:hAnsi="仿宋" w:eastAsia="仿宋" w:cs="仿宋"/>
          <w:color w:val="auto"/>
          <w:spacing w:val="-1"/>
          <w:highlight w:val="none"/>
          <w:lang w:eastAsia="zh-CN"/>
        </w:rPr>
        <w:t>标成交供应商推荐等</w:t>
      </w:r>
      <w:r>
        <w:rPr>
          <w:rFonts w:hint="eastAsia" w:ascii="仿宋" w:hAnsi="仿宋" w:eastAsia="仿宋" w:cs="仿宋"/>
          <w:color w:val="auto"/>
          <w:highlight w:val="none"/>
          <w:lang w:eastAsia="zh-CN"/>
        </w:rPr>
        <w:t xml:space="preserve"> </w:t>
      </w:r>
      <w:r>
        <w:rPr>
          <w:rFonts w:hint="eastAsia" w:ascii="仿宋" w:hAnsi="仿宋" w:eastAsia="仿宋" w:cs="仿宋"/>
          <w:color w:val="auto"/>
          <w:spacing w:val="-3"/>
          <w:highlight w:val="none"/>
          <w:lang w:eastAsia="zh-CN"/>
        </w:rPr>
        <w:t>评审有关的情况，以及涉及国家秘密和商业秘密等信息，磋商小组成员、采购人和采购代理机构工作人员、</w:t>
      </w:r>
      <w:r>
        <w:rPr>
          <w:rFonts w:hint="eastAsia" w:ascii="仿宋" w:hAnsi="仿宋" w:eastAsia="仿宋" w:cs="仿宋"/>
          <w:color w:val="auto"/>
          <w:spacing w:val="-1"/>
          <w:highlight w:val="none"/>
          <w:lang w:eastAsia="zh-CN"/>
        </w:rPr>
        <w:t>相关监督人员等与评审有关的人员应当予以保密。</w:t>
      </w:r>
    </w:p>
    <w:p w14:paraId="6A7B02C9">
      <w:pPr>
        <w:spacing w:line="460" w:lineRule="exact"/>
        <w:ind w:firstLine="508" w:firstLineChars="200"/>
        <w:rPr>
          <w:rFonts w:ascii="仿宋" w:hAnsi="仿宋" w:eastAsia="仿宋" w:cs="仿宋"/>
          <w:color w:val="auto"/>
          <w:highlight w:val="none"/>
          <w:lang w:eastAsia="zh-CN"/>
        </w:rPr>
      </w:pPr>
      <w:r>
        <w:rPr>
          <w:rFonts w:hint="eastAsia" w:ascii="仿宋" w:hAnsi="仿宋" w:eastAsia="仿宋" w:cs="仿宋"/>
          <w:color w:val="auto"/>
          <w:spacing w:val="22"/>
          <w:highlight w:val="none"/>
          <w:lang w:eastAsia="zh-CN"/>
        </w:rPr>
        <w:t>2.录音录像</w:t>
      </w:r>
    </w:p>
    <w:p w14:paraId="38D1EBEF">
      <w:pPr>
        <w:spacing w:line="460" w:lineRule="exact"/>
        <w:ind w:firstLine="420" w:firstLineChars="200"/>
        <w:rPr>
          <w:rFonts w:ascii="仿宋" w:hAnsi="仿宋" w:eastAsia="仿宋" w:cs="仿宋"/>
          <w:color w:val="auto"/>
          <w:highlight w:val="none"/>
          <w:lang w:eastAsia="zh-CN"/>
        </w:rPr>
      </w:pPr>
      <w:r>
        <w:rPr>
          <w:rFonts w:hint="eastAsia" w:ascii="仿宋" w:hAnsi="仿宋" w:eastAsia="仿宋" w:cs="仿宋"/>
          <w:color w:val="auto"/>
          <w:highlight w:val="none"/>
          <w:lang w:eastAsia="zh-CN"/>
        </w:rPr>
        <w:t>采购代理机构对评审工作现场及操作屏幕进行全过程录音录像，录音录像资料作为</w:t>
      </w:r>
      <w:r>
        <w:rPr>
          <w:rFonts w:hint="eastAsia" w:ascii="仿宋" w:hAnsi="仿宋" w:eastAsia="仿宋" w:cs="仿宋"/>
          <w:color w:val="auto"/>
          <w:spacing w:val="-1"/>
          <w:highlight w:val="none"/>
          <w:lang w:eastAsia="zh-CN"/>
        </w:rPr>
        <w:t>采购项目文件随其</w:t>
      </w:r>
      <w:r>
        <w:rPr>
          <w:rFonts w:hint="eastAsia" w:ascii="仿宋" w:hAnsi="仿宋" w:eastAsia="仿宋" w:cs="仿宋"/>
          <w:color w:val="auto"/>
          <w:highlight w:val="none"/>
          <w:lang w:eastAsia="zh-CN"/>
        </w:rPr>
        <w:t xml:space="preserve"> 他文件一并存档。</w:t>
      </w:r>
    </w:p>
    <w:p w14:paraId="3A246293">
      <w:pPr>
        <w:pStyle w:val="10"/>
        <w:spacing w:line="460" w:lineRule="exact"/>
        <w:ind w:firstLine="420" w:firstLineChars="200"/>
        <w:rPr>
          <w:rFonts w:ascii="仿宋" w:hAnsi="仿宋" w:eastAsia="仿宋" w:cs="仿宋"/>
          <w:color w:val="auto"/>
          <w:highlight w:val="none"/>
          <w:lang w:eastAsia="zh-CN"/>
        </w:rPr>
        <w:sectPr>
          <w:footerReference r:id="rId8" w:type="default"/>
          <w:pgSz w:w="11910" w:h="16830"/>
          <w:pgMar w:top="1430" w:right="1786" w:bottom="1101" w:left="1786" w:header="0" w:footer="957" w:gutter="0"/>
          <w:cols w:space="720" w:num="1"/>
        </w:sectPr>
      </w:pPr>
    </w:p>
    <w:p w14:paraId="70A7804D">
      <w:pPr>
        <w:pStyle w:val="10"/>
        <w:spacing w:line="460" w:lineRule="exact"/>
        <w:ind w:firstLine="420" w:firstLineChars="200"/>
        <w:jc w:val="center"/>
        <w:rPr>
          <w:rFonts w:ascii="仿宋" w:hAnsi="仿宋" w:eastAsia="仿宋" w:cs="仿宋"/>
          <w:color w:val="auto"/>
          <w:highlight w:val="none"/>
          <w:lang w:eastAsia="zh-CN"/>
        </w:rPr>
      </w:pPr>
    </w:p>
    <w:p w14:paraId="04A7D28E">
      <w:pPr>
        <w:spacing w:line="460" w:lineRule="exact"/>
        <w:ind w:firstLine="947" w:firstLineChars="200"/>
        <w:jc w:val="center"/>
        <w:outlineLvl w:val="0"/>
        <w:rPr>
          <w:rFonts w:ascii="仿宋" w:hAnsi="仿宋" w:eastAsia="仿宋" w:cs="仿宋"/>
          <w:color w:val="auto"/>
          <w:sz w:val="44"/>
          <w:szCs w:val="44"/>
          <w:highlight w:val="none"/>
          <w:lang w:eastAsia="zh-CN"/>
        </w:rPr>
      </w:pPr>
      <w:bookmarkStart w:id="53" w:name="_Toc22532"/>
      <w:r>
        <w:rPr>
          <w:rFonts w:hint="eastAsia" w:ascii="仿宋" w:hAnsi="仿宋" w:eastAsia="仿宋" w:cs="仿宋"/>
          <w:b/>
          <w:bCs/>
          <w:color w:val="auto"/>
          <w:spacing w:val="16"/>
          <w:sz w:val="44"/>
          <w:szCs w:val="44"/>
          <w:highlight w:val="none"/>
          <w:lang w:eastAsia="zh-CN"/>
        </w:rPr>
        <w:t>第五章响应文件格式</w:t>
      </w:r>
      <w:bookmarkEnd w:id="53"/>
    </w:p>
    <w:p w14:paraId="7653BDFD">
      <w:pPr>
        <w:spacing w:line="460" w:lineRule="exact"/>
        <w:ind w:firstLine="880" w:firstLineChars="200"/>
        <w:rPr>
          <w:rFonts w:ascii="仿宋" w:hAnsi="仿宋" w:eastAsia="仿宋" w:cs="仿宋"/>
          <w:color w:val="auto"/>
          <w:sz w:val="44"/>
          <w:szCs w:val="44"/>
          <w:highlight w:val="none"/>
          <w:lang w:eastAsia="zh-CN"/>
        </w:rPr>
        <w:sectPr>
          <w:pgSz w:w="11910" w:h="16830"/>
          <w:pgMar w:top="1430" w:right="1786" w:bottom="1101" w:left="1786" w:header="0" w:footer="957" w:gutter="0"/>
          <w:cols w:space="720" w:num="1"/>
        </w:sectPr>
      </w:pPr>
    </w:p>
    <w:p w14:paraId="4D14B281">
      <w:pPr>
        <w:widowControl w:val="0"/>
        <w:kinsoku/>
        <w:autoSpaceDE/>
        <w:autoSpaceDN/>
        <w:adjustRightInd/>
        <w:snapToGrid/>
        <w:spacing w:line="240" w:lineRule="atLeast"/>
        <w:jc w:val="both"/>
        <w:textAlignment w:val="auto"/>
        <w:outlineLvl w:val="1"/>
        <w:rPr>
          <w:rFonts w:ascii="仿宋" w:hAnsi="仿宋" w:eastAsia="仿宋" w:cs="仿宋"/>
          <w:b/>
          <w:snapToGrid/>
          <w:color w:val="auto"/>
          <w:kern w:val="2"/>
          <w:sz w:val="28"/>
          <w:szCs w:val="28"/>
          <w:highlight w:val="none"/>
          <w:lang w:eastAsia="zh-CN"/>
        </w:rPr>
      </w:pPr>
      <w:bookmarkStart w:id="54" w:name="_Toc21864"/>
      <w:bookmarkStart w:id="55" w:name="_Toc20536"/>
      <w:bookmarkStart w:id="56" w:name="_Toc24462"/>
      <w:r>
        <w:rPr>
          <w:rFonts w:hint="eastAsia" w:ascii="仿宋" w:hAnsi="仿宋" w:eastAsia="仿宋" w:cs="仿宋"/>
          <w:b/>
          <w:snapToGrid/>
          <w:color w:val="auto"/>
          <w:kern w:val="2"/>
          <w:sz w:val="28"/>
          <w:szCs w:val="28"/>
          <w:highlight w:val="none"/>
          <w:lang w:eastAsia="zh-CN"/>
        </w:rPr>
        <w:t>一、资格文件格式</w:t>
      </w:r>
      <w:bookmarkEnd w:id="54"/>
      <w:bookmarkEnd w:id="55"/>
      <w:bookmarkEnd w:id="56"/>
    </w:p>
    <w:p w14:paraId="7D5FB679">
      <w:pPr>
        <w:widowControl w:val="0"/>
        <w:kinsoku/>
        <w:autoSpaceDE/>
        <w:autoSpaceDN/>
        <w:adjustRightInd/>
        <w:spacing w:before="120" w:beforeLines="50" w:after="50" w:line="360" w:lineRule="auto"/>
        <w:textAlignment w:val="auto"/>
        <w:outlineLvl w:val="2"/>
        <w:rPr>
          <w:rFonts w:ascii="仿宋" w:hAnsi="仿宋" w:eastAsia="仿宋" w:cs="仿宋"/>
          <w:b/>
          <w:snapToGrid/>
          <w:color w:val="auto"/>
          <w:kern w:val="2"/>
          <w:sz w:val="24"/>
          <w:szCs w:val="24"/>
          <w:highlight w:val="none"/>
          <w:lang w:eastAsia="zh-CN"/>
        </w:rPr>
      </w:pPr>
      <w:bookmarkStart w:id="57" w:name="_Toc22945"/>
      <w:bookmarkStart w:id="58" w:name="_Toc12859"/>
      <w:bookmarkStart w:id="59" w:name="_Toc27008"/>
      <w:r>
        <w:rPr>
          <w:rFonts w:hint="eastAsia" w:ascii="仿宋" w:hAnsi="仿宋" w:eastAsia="仿宋" w:cs="仿宋"/>
          <w:b/>
          <w:snapToGrid/>
          <w:color w:val="auto"/>
          <w:kern w:val="2"/>
          <w:sz w:val="24"/>
          <w:szCs w:val="24"/>
          <w:highlight w:val="none"/>
          <w:lang w:eastAsia="zh-CN"/>
        </w:rPr>
        <w:t>1.资格证明文件封面格式：</w:t>
      </w:r>
      <w:bookmarkEnd w:id="57"/>
      <w:bookmarkEnd w:id="58"/>
      <w:bookmarkEnd w:id="59"/>
      <w:r>
        <w:rPr>
          <w:rFonts w:hint="eastAsia" w:ascii="仿宋" w:hAnsi="仿宋" w:eastAsia="仿宋" w:cs="仿宋"/>
          <w:b/>
          <w:snapToGrid/>
          <w:color w:val="auto"/>
          <w:kern w:val="2"/>
          <w:sz w:val="24"/>
          <w:szCs w:val="24"/>
          <w:highlight w:val="none"/>
          <w:lang w:eastAsia="zh-CN"/>
        </w:rPr>
        <w:t xml:space="preserve"> </w:t>
      </w:r>
    </w:p>
    <w:p w14:paraId="3630CE1C">
      <w:pPr>
        <w:widowControl w:val="0"/>
        <w:kinsoku/>
        <w:autoSpaceDE/>
        <w:autoSpaceDN/>
        <w:adjustRightInd/>
        <w:spacing w:before="120" w:beforeLines="50" w:after="50"/>
        <w:jc w:val="center"/>
        <w:textAlignment w:val="auto"/>
        <w:rPr>
          <w:rFonts w:ascii="仿宋" w:hAnsi="仿宋" w:eastAsia="仿宋" w:cs="仿宋"/>
          <w:snapToGrid/>
          <w:color w:val="auto"/>
          <w:kern w:val="2"/>
          <w:sz w:val="44"/>
          <w:szCs w:val="44"/>
          <w:highlight w:val="none"/>
          <w:lang w:eastAsia="zh-CN"/>
        </w:rPr>
      </w:pPr>
    </w:p>
    <w:p w14:paraId="7D77AEFB">
      <w:pPr>
        <w:widowControl w:val="0"/>
        <w:kinsoku/>
        <w:autoSpaceDE/>
        <w:autoSpaceDN/>
        <w:adjustRightInd/>
        <w:spacing w:before="120" w:beforeLines="50" w:after="50"/>
        <w:jc w:val="center"/>
        <w:textAlignment w:val="auto"/>
        <w:rPr>
          <w:rFonts w:ascii="仿宋" w:hAnsi="仿宋" w:eastAsia="仿宋" w:cs="仿宋"/>
          <w:snapToGrid/>
          <w:color w:val="auto"/>
          <w:kern w:val="2"/>
          <w:sz w:val="44"/>
          <w:szCs w:val="44"/>
          <w:highlight w:val="none"/>
          <w:lang w:eastAsia="zh-CN"/>
        </w:rPr>
      </w:pPr>
      <w:r>
        <w:rPr>
          <w:rFonts w:hint="eastAsia" w:ascii="仿宋" w:hAnsi="仿宋" w:eastAsia="仿宋" w:cs="仿宋"/>
          <w:snapToGrid/>
          <w:color w:val="auto"/>
          <w:kern w:val="2"/>
          <w:sz w:val="44"/>
          <w:szCs w:val="44"/>
          <w:highlight w:val="none"/>
          <w:lang w:eastAsia="zh-CN"/>
        </w:rPr>
        <w:t>电 子 响 应 文 件</w:t>
      </w:r>
    </w:p>
    <w:p w14:paraId="7DFBF874">
      <w:pPr>
        <w:widowControl w:val="0"/>
        <w:kinsoku/>
        <w:autoSpaceDE/>
        <w:autoSpaceDN/>
        <w:adjustRightInd/>
        <w:spacing w:before="120" w:beforeLines="50" w:after="50"/>
        <w:jc w:val="both"/>
        <w:textAlignment w:val="auto"/>
        <w:rPr>
          <w:rFonts w:ascii="仿宋" w:hAnsi="仿宋" w:eastAsia="仿宋" w:cs="仿宋"/>
          <w:snapToGrid/>
          <w:color w:val="auto"/>
          <w:kern w:val="2"/>
          <w:sz w:val="24"/>
          <w:szCs w:val="20"/>
          <w:highlight w:val="none"/>
          <w:lang w:eastAsia="zh-CN"/>
        </w:rPr>
      </w:pPr>
    </w:p>
    <w:p w14:paraId="2AA8C34C">
      <w:pPr>
        <w:widowControl w:val="0"/>
        <w:kinsoku/>
        <w:autoSpaceDE/>
        <w:autoSpaceDN/>
        <w:adjustRightInd/>
        <w:spacing w:before="120" w:beforeLines="50" w:after="50"/>
        <w:jc w:val="center"/>
        <w:textAlignment w:val="auto"/>
        <w:rPr>
          <w:rFonts w:ascii="仿宋" w:hAnsi="仿宋" w:eastAsia="仿宋" w:cs="仿宋"/>
          <w:bCs/>
          <w:snapToGrid/>
          <w:color w:val="auto"/>
          <w:kern w:val="2"/>
          <w:sz w:val="44"/>
          <w:szCs w:val="44"/>
          <w:highlight w:val="none"/>
          <w:lang w:eastAsia="zh-CN"/>
        </w:rPr>
      </w:pPr>
      <w:r>
        <w:rPr>
          <w:rFonts w:hint="eastAsia" w:ascii="仿宋" w:hAnsi="仿宋" w:eastAsia="仿宋" w:cs="仿宋"/>
          <w:bCs/>
          <w:snapToGrid/>
          <w:color w:val="auto"/>
          <w:kern w:val="2"/>
          <w:sz w:val="44"/>
          <w:szCs w:val="44"/>
          <w:highlight w:val="none"/>
          <w:lang w:eastAsia="zh-CN"/>
        </w:rPr>
        <w:t>资  格  文  件</w:t>
      </w:r>
    </w:p>
    <w:p w14:paraId="67A3B936">
      <w:pPr>
        <w:widowControl w:val="0"/>
        <w:kinsoku/>
        <w:autoSpaceDE/>
        <w:autoSpaceDN/>
        <w:adjustRightInd/>
        <w:spacing w:before="120" w:beforeLines="50" w:after="50"/>
        <w:jc w:val="both"/>
        <w:textAlignment w:val="auto"/>
        <w:rPr>
          <w:rFonts w:ascii="仿宋" w:hAnsi="仿宋" w:eastAsia="仿宋" w:cs="仿宋"/>
          <w:bCs/>
          <w:snapToGrid/>
          <w:color w:val="auto"/>
          <w:kern w:val="2"/>
          <w:sz w:val="24"/>
          <w:szCs w:val="20"/>
          <w:highlight w:val="none"/>
          <w:lang w:eastAsia="zh-CN"/>
        </w:rPr>
      </w:pPr>
    </w:p>
    <w:p w14:paraId="6AFEEA4C">
      <w:pPr>
        <w:widowControl w:val="0"/>
        <w:kinsoku/>
        <w:autoSpaceDE/>
        <w:autoSpaceDN/>
        <w:adjustRightInd/>
        <w:spacing w:before="120" w:beforeLines="50" w:after="50"/>
        <w:jc w:val="both"/>
        <w:textAlignment w:val="auto"/>
        <w:rPr>
          <w:rFonts w:ascii="仿宋" w:hAnsi="仿宋" w:eastAsia="仿宋" w:cs="仿宋"/>
          <w:bCs/>
          <w:snapToGrid/>
          <w:color w:val="auto"/>
          <w:kern w:val="2"/>
          <w:sz w:val="24"/>
          <w:szCs w:val="20"/>
          <w:highlight w:val="none"/>
          <w:lang w:eastAsia="zh-CN"/>
        </w:rPr>
      </w:pPr>
    </w:p>
    <w:p w14:paraId="1A94EB4F">
      <w:pPr>
        <w:widowControl w:val="0"/>
        <w:kinsoku/>
        <w:autoSpaceDE/>
        <w:autoSpaceDN/>
        <w:adjustRightInd/>
        <w:spacing w:before="120" w:beforeLines="50" w:after="50"/>
        <w:ind w:firstLine="640" w:firstLineChars="200"/>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项目名称：</w:t>
      </w:r>
    </w:p>
    <w:p w14:paraId="7FB0AEC8">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p>
    <w:p w14:paraId="43F84149">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项目编号：</w:t>
      </w:r>
    </w:p>
    <w:p w14:paraId="6828BBEA">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 xml:space="preserve"> </w:t>
      </w:r>
    </w:p>
    <w:p w14:paraId="25DB7397">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所竞标段：</w:t>
      </w:r>
    </w:p>
    <w:p w14:paraId="17F64962">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p>
    <w:p w14:paraId="66ED1423">
      <w:pPr>
        <w:widowControl w:val="0"/>
        <w:kinsoku/>
        <w:autoSpaceDE/>
        <w:autoSpaceDN/>
        <w:adjustRightInd/>
        <w:spacing w:before="50" w:after="50"/>
        <w:ind w:firstLine="720" w:firstLineChars="225"/>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供应商名称：</w:t>
      </w:r>
    </w:p>
    <w:p w14:paraId="169A39D7">
      <w:pPr>
        <w:widowControl w:val="0"/>
        <w:kinsoku/>
        <w:autoSpaceDE/>
        <w:autoSpaceDN/>
        <w:adjustRightInd/>
        <w:spacing w:before="50" w:after="50"/>
        <w:ind w:firstLine="720" w:firstLineChars="225"/>
        <w:jc w:val="both"/>
        <w:textAlignment w:val="auto"/>
        <w:rPr>
          <w:rFonts w:ascii="仿宋" w:hAnsi="仿宋" w:eastAsia="仿宋" w:cs="仿宋"/>
          <w:bCs/>
          <w:snapToGrid/>
          <w:color w:val="auto"/>
          <w:kern w:val="2"/>
          <w:sz w:val="32"/>
          <w:szCs w:val="32"/>
          <w:highlight w:val="none"/>
          <w:lang w:eastAsia="zh-CN"/>
        </w:rPr>
      </w:pPr>
    </w:p>
    <w:p w14:paraId="2360D935">
      <w:pPr>
        <w:widowControl w:val="0"/>
        <w:kinsoku/>
        <w:autoSpaceDE/>
        <w:autoSpaceDN/>
        <w:adjustRightInd/>
        <w:spacing w:before="50" w:after="50"/>
        <w:ind w:firstLine="720" w:firstLineChars="225"/>
        <w:jc w:val="both"/>
        <w:textAlignment w:val="auto"/>
        <w:rPr>
          <w:rFonts w:ascii="仿宋" w:hAnsi="仿宋" w:eastAsia="仿宋" w:cs="仿宋"/>
          <w:bCs/>
          <w:snapToGrid/>
          <w:color w:val="auto"/>
          <w:kern w:val="2"/>
          <w:sz w:val="32"/>
          <w:szCs w:val="32"/>
          <w:highlight w:val="none"/>
          <w:lang w:eastAsia="zh-CN"/>
        </w:rPr>
      </w:pPr>
    </w:p>
    <w:p w14:paraId="00690769">
      <w:pPr>
        <w:widowControl w:val="0"/>
        <w:kinsoku/>
        <w:autoSpaceDE/>
        <w:autoSpaceDN/>
        <w:adjustRightInd/>
        <w:spacing w:before="50" w:after="50"/>
        <w:ind w:firstLine="1280" w:firstLineChars="400"/>
        <w:jc w:val="both"/>
        <w:textAlignment w:val="auto"/>
        <w:rPr>
          <w:rFonts w:ascii="仿宋" w:hAnsi="仿宋" w:eastAsia="仿宋" w:cs="仿宋"/>
          <w:bCs/>
          <w:snapToGrid/>
          <w:color w:val="auto"/>
          <w:kern w:val="2"/>
          <w:sz w:val="32"/>
          <w:szCs w:val="32"/>
          <w:highlight w:val="none"/>
          <w:lang w:eastAsia="zh-CN"/>
        </w:rPr>
      </w:pPr>
    </w:p>
    <w:p w14:paraId="36605BAC">
      <w:pPr>
        <w:widowControl w:val="0"/>
        <w:kinsoku/>
        <w:autoSpaceDE/>
        <w:autoSpaceDN/>
        <w:adjustRightInd/>
        <w:spacing w:before="120" w:beforeLines="50" w:after="50"/>
        <w:jc w:val="center"/>
        <w:textAlignment w:val="auto"/>
        <w:rPr>
          <w:rFonts w:ascii="仿宋" w:hAnsi="仿宋" w:eastAsia="仿宋" w:cs="仿宋"/>
          <w:snapToGrid/>
          <w:color w:val="auto"/>
          <w:kern w:val="2"/>
          <w:sz w:val="32"/>
          <w:szCs w:val="32"/>
          <w:highlight w:val="none"/>
          <w:lang w:eastAsia="zh-CN"/>
        </w:rPr>
      </w:pPr>
      <w:r>
        <w:rPr>
          <w:rFonts w:hint="eastAsia" w:ascii="仿宋" w:hAnsi="仿宋" w:eastAsia="仿宋" w:cs="仿宋"/>
          <w:snapToGrid/>
          <w:color w:val="auto"/>
          <w:kern w:val="2"/>
          <w:sz w:val="32"/>
          <w:szCs w:val="32"/>
          <w:highlight w:val="none"/>
          <w:lang w:eastAsia="zh-CN"/>
        </w:rPr>
        <w:t>年    月    日</w:t>
      </w:r>
    </w:p>
    <w:p w14:paraId="4865E4F7">
      <w:pPr>
        <w:widowControl w:val="0"/>
        <w:kinsoku/>
        <w:autoSpaceDE/>
        <w:autoSpaceDN/>
        <w:adjustRightInd/>
        <w:snapToGrid/>
        <w:jc w:val="both"/>
        <w:textAlignment w:val="auto"/>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br w:type="page"/>
      </w:r>
    </w:p>
    <w:p w14:paraId="095D93C2">
      <w:pPr>
        <w:widowControl w:val="0"/>
        <w:kinsoku/>
        <w:autoSpaceDE/>
        <w:autoSpaceDN/>
        <w:adjustRightInd/>
        <w:spacing w:before="120" w:beforeLines="50" w:after="50" w:line="360" w:lineRule="auto"/>
        <w:textAlignment w:val="auto"/>
        <w:outlineLvl w:val="2"/>
        <w:rPr>
          <w:rFonts w:ascii="仿宋" w:hAnsi="仿宋" w:eastAsia="仿宋" w:cs="仿宋"/>
          <w:b/>
          <w:snapToGrid/>
          <w:color w:val="auto"/>
          <w:kern w:val="2"/>
          <w:sz w:val="24"/>
          <w:szCs w:val="24"/>
          <w:highlight w:val="none"/>
          <w:lang w:eastAsia="zh-CN"/>
        </w:rPr>
      </w:pPr>
      <w:bookmarkStart w:id="60" w:name="_Toc12909"/>
      <w:bookmarkStart w:id="61" w:name="_Toc9625"/>
      <w:bookmarkStart w:id="62" w:name="_Toc22249"/>
      <w:r>
        <w:rPr>
          <w:rFonts w:hint="eastAsia" w:ascii="仿宋" w:hAnsi="仿宋" w:eastAsia="仿宋" w:cs="仿宋"/>
          <w:b/>
          <w:snapToGrid/>
          <w:color w:val="auto"/>
          <w:kern w:val="2"/>
          <w:sz w:val="24"/>
          <w:szCs w:val="24"/>
          <w:highlight w:val="none"/>
          <w:lang w:eastAsia="zh-CN"/>
        </w:rPr>
        <w:t>2.资格证明文件目录</w:t>
      </w:r>
      <w:bookmarkEnd w:id="60"/>
      <w:bookmarkEnd w:id="61"/>
      <w:bookmarkEnd w:id="62"/>
    </w:p>
    <w:p w14:paraId="22CACA7E">
      <w:pPr>
        <w:widowControl w:val="0"/>
        <w:kinsoku/>
        <w:autoSpaceDE/>
        <w:autoSpaceDN/>
        <w:adjustRightInd/>
        <w:spacing w:before="120" w:beforeLines="50" w:after="50" w:line="360" w:lineRule="auto"/>
        <w:ind w:firstLine="480" w:firstLineChars="200"/>
        <w:textAlignment w:val="auto"/>
        <w:rPr>
          <w:rFonts w:ascii="仿宋" w:hAnsi="仿宋" w:eastAsia="仿宋" w:cs="仿宋"/>
          <w:bCs/>
          <w:snapToGrid/>
          <w:color w:val="auto"/>
          <w:kern w:val="2"/>
          <w:sz w:val="24"/>
          <w:szCs w:val="24"/>
          <w:highlight w:val="none"/>
          <w:lang w:eastAsia="zh-CN"/>
        </w:rPr>
      </w:pPr>
      <w:r>
        <w:rPr>
          <w:rFonts w:hint="eastAsia" w:ascii="仿宋" w:hAnsi="仿宋" w:eastAsia="仿宋" w:cs="仿宋"/>
          <w:bCs/>
          <w:snapToGrid/>
          <w:color w:val="auto"/>
          <w:kern w:val="2"/>
          <w:sz w:val="24"/>
          <w:szCs w:val="24"/>
          <w:highlight w:val="none"/>
          <w:lang w:eastAsia="zh-CN"/>
        </w:rPr>
        <w:t>根据磋商文件规定及供应商提供的材料自行编写目录（部分格式后附）。</w:t>
      </w:r>
    </w:p>
    <w:p w14:paraId="63EE342E">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43D32A8B">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0E3858E3">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584F045A">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53E21D0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52E1F25C">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2B6C5FF1">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57418C4D">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00C21EB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006C0355">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6A62BDC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7BDA808C">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23AFE39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1517730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6DC73A2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56D2B98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3B9FA661">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p>
    <w:p w14:paraId="5187D744">
      <w:pPr>
        <w:widowControl w:val="0"/>
        <w:kinsoku/>
        <w:autoSpaceDE/>
        <w:autoSpaceDN/>
        <w:adjustRightInd/>
        <w:spacing w:before="120" w:beforeLines="50" w:after="50" w:line="360" w:lineRule="auto"/>
        <w:textAlignment w:val="auto"/>
        <w:outlineLvl w:val="2"/>
        <w:rPr>
          <w:rFonts w:ascii="仿宋" w:hAnsi="仿宋" w:eastAsia="仿宋" w:cs="仿宋"/>
          <w:b/>
          <w:snapToGrid/>
          <w:color w:val="auto"/>
          <w:kern w:val="2"/>
          <w:sz w:val="24"/>
          <w:szCs w:val="24"/>
          <w:highlight w:val="none"/>
          <w:lang w:eastAsia="zh-CN"/>
        </w:rPr>
      </w:pPr>
      <w:bookmarkStart w:id="63" w:name="_Toc30696"/>
      <w:bookmarkStart w:id="64" w:name="_Toc7670"/>
      <w:bookmarkStart w:id="65" w:name="_Toc2568"/>
      <w:r>
        <w:rPr>
          <w:rFonts w:hint="eastAsia" w:ascii="仿宋" w:hAnsi="仿宋" w:eastAsia="仿宋" w:cs="仿宋"/>
          <w:b/>
          <w:snapToGrid/>
          <w:color w:val="auto"/>
          <w:kern w:val="2"/>
          <w:sz w:val="24"/>
          <w:szCs w:val="24"/>
          <w:highlight w:val="none"/>
          <w:lang w:eastAsia="zh-CN"/>
        </w:rPr>
        <w:t>3.崇左市政府采购供应商信用承诺函</w:t>
      </w:r>
      <w:bookmarkEnd w:id="63"/>
      <w:bookmarkEnd w:id="64"/>
      <w:bookmarkEnd w:id="65"/>
    </w:p>
    <w:p w14:paraId="3515D90F">
      <w:pPr>
        <w:kinsoku/>
        <w:autoSpaceDE/>
        <w:autoSpaceDN/>
        <w:adjustRightInd/>
        <w:snapToGrid/>
        <w:spacing w:line="360" w:lineRule="auto"/>
        <w:jc w:val="center"/>
        <w:textAlignment w:val="auto"/>
        <w:rPr>
          <w:rFonts w:ascii="仿宋" w:hAnsi="仿宋" w:eastAsia="仿宋" w:cs="仿宋"/>
          <w:snapToGrid/>
          <w:color w:val="auto"/>
          <w:kern w:val="2"/>
          <w:sz w:val="32"/>
          <w:szCs w:val="32"/>
          <w:highlight w:val="none"/>
          <w:lang w:eastAsia="zh-CN"/>
        </w:rPr>
      </w:pPr>
      <w:r>
        <w:rPr>
          <w:rFonts w:hint="eastAsia" w:ascii="仿宋" w:hAnsi="仿宋" w:eastAsia="仿宋" w:cs="仿宋"/>
          <w:snapToGrid/>
          <w:color w:val="auto"/>
          <w:sz w:val="36"/>
          <w:szCs w:val="36"/>
          <w:highlight w:val="none"/>
          <w:lang w:eastAsia="zh-CN" w:bidi="ar"/>
        </w:rPr>
        <w:t>崇左市政府采购供应商信用承诺函（格式）</w:t>
      </w:r>
    </w:p>
    <w:p w14:paraId="4FB41D0D">
      <w:pPr>
        <w:kinsoku/>
        <w:autoSpaceDE/>
        <w:autoSpaceDN/>
        <w:adjustRightInd/>
        <w:snapToGrid/>
        <w:spacing w:line="360" w:lineRule="auto"/>
        <w:textAlignment w:val="auto"/>
        <w:rPr>
          <w:rFonts w:ascii="仿宋" w:hAnsi="仿宋" w:eastAsia="仿宋" w:cs="仿宋"/>
          <w:snapToGrid/>
          <w:color w:val="auto"/>
          <w:sz w:val="32"/>
          <w:szCs w:val="32"/>
          <w:highlight w:val="none"/>
          <w:lang w:eastAsia="zh-CN" w:bidi="ar"/>
        </w:rPr>
      </w:pPr>
    </w:p>
    <w:p w14:paraId="13A242FC">
      <w:pPr>
        <w:kinsoku/>
        <w:autoSpaceDE/>
        <w:autoSpaceDN/>
        <w:adjustRightInd/>
        <w:snapToGrid/>
        <w:spacing w:line="360" w:lineRule="auto"/>
        <w:jc w:val="both"/>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sz w:val="24"/>
          <w:szCs w:val="24"/>
          <w:highlight w:val="none"/>
          <w:lang w:eastAsia="zh-CN" w:bidi="ar"/>
        </w:rPr>
        <w:t>致</w:t>
      </w:r>
      <w:r>
        <w:rPr>
          <w:rFonts w:hint="eastAsia" w:ascii="仿宋" w:hAnsi="仿宋" w:eastAsia="仿宋" w:cs="仿宋"/>
          <w:snapToGrid/>
          <w:color w:val="auto"/>
          <w:sz w:val="24"/>
          <w:szCs w:val="24"/>
          <w:highlight w:val="none"/>
          <w:u w:val="single"/>
          <w:lang w:eastAsia="zh-CN" w:bidi="ar"/>
        </w:rPr>
        <w:t>（采购代理机构名称）</w:t>
      </w:r>
      <w:r>
        <w:rPr>
          <w:rFonts w:hint="eastAsia" w:ascii="仿宋" w:hAnsi="仿宋" w:eastAsia="仿宋" w:cs="仿宋"/>
          <w:snapToGrid/>
          <w:color w:val="auto"/>
          <w:sz w:val="24"/>
          <w:szCs w:val="24"/>
          <w:highlight w:val="none"/>
          <w:lang w:eastAsia="zh-CN" w:bidi="ar"/>
        </w:rPr>
        <w:t>:</w:t>
      </w:r>
    </w:p>
    <w:p w14:paraId="3F126215">
      <w:pPr>
        <w:kinsoku/>
        <w:autoSpaceDE/>
        <w:autoSpaceDN/>
        <w:adjustRightInd/>
        <w:snapToGrid/>
        <w:spacing w:line="360" w:lineRule="auto"/>
        <w:ind w:firstLine="480" w:firstLineChars="200"/>
        <w:jc w:val="both"/>
        <w:textAlignment w:val="auto"/>
        <w:rPr>
          <w:rFonts w:ascii="仿宋" w:hAnsi="仿宋" w:eastAsia="仿宋" w:cs="仿宋"/>
          <w:snapToGrid/>
          <w:color w:val="auto"/>
          <w:spacing w:val="-6"/>
          <w:kern w:val="2"/>
          <w:sz w:val="24"/>
          <w:szCs w:val="24"/>
          <w:highlight w:val="none"/>
          <w:lang w:eastAsia="zh-CN"/>
        </w:rPr>
      </w:pPr>
      <w:r>
        <w:rPr>
          <w:rFonts w:hint="eastAsia" w:ascii="仿宋" w:hAnsi="仿宋" w:eastAsia="仿宋" w:cs="仿宋"/>
          <w:snapToGrid/>
          <w:color w:val="auto"/>
          <w:sz w:val="24"/>
          <w:szCs w:val="24"/>
          <w:highlight w:val="none"/>
          <w:lang w:eastAsia="zh-CN" w:bidi="ar"/>
        </w:rPr>
        <w:t>我方自愿参加</w:t>
      </w:r>
      <w:r>
        <w:rPr>
          <w:rFonts w:hint="eastAsia" w:ascii="仿宋" w:hAnsi="仿宋" w:eastAsia="仿宋" w:cs="仿宋"/>
          <w:snapToGrid/>
          <w:color w:val="auto"/>
          <w:sz w:val="24"/>
          <w:szCs w:val="24"/>
          <w:highlight w:val="none"/>
          <w:u w:val="single"/>
          <w:lang w:eastAsia="zh-CN" w:bidi="ar"/>
        </w:rPr>
        <w:t xml:space="preserve"> （项目名称） </w:t>
      </w:r>
      <w:r>
        <w:rPr>
          <w:rFonts w:hint="eastAsia" w:ascii="仿宋" w:hAnsi="仿宋" w:eastAsia="仿宋" w:cs="仿宋"/>
          <w:snapToGrid/>
          <w:color w:val="auto"/>
          <w:sz w:val="24"/>
          <w:szCs w:val="24"/>
          <w:highlight w:val="none"/>
          <w:lang w:eastAsia="zh-CN" w:bidi="ar"/>
        </w:rPr>
        <w:t>项目</w:t>
      </w:r>
      <w:r>
        <w:rPr>
          <w:rFonts w:hint="eastAsia" w:ascii="仿宋" w:hAnsi="仿宋" w:eastAsia="仿宋" w:cs="仿宋"/>
          <w:snapToGrid/>
          <w:color w:val="auto"/>
          <w:spacing w:val="6"/>
          <w:kern w:val="2"/>
          <w:sz w:val="24"/>
          <w:szCs w:val="24"/>
          <w:highlight w:val="none"/>
          <w:lang w:eastAsia="zh-CN"/>
        </w:rPr>
        <w:t>（项目编号：</w:t>
      </w:r>
      <w:r>
        <w:rPr>
          <w:rFonts w:hint="eastAsia" w:ascii="仿宋" w:hAnsi="仿宋" w:eastAsia="仿宋" w:cs="仿宋"/>
          <w:snapToGrid/>
          <w:color w:val="auto"/>
          <w:spacing w:val="6"/>
          <w:kern w:val="2"/>
          <w:sz w:val="24"/>
          <w:szCs w:val="24"/>
          <w:highlight w:val="none"/>
          <w:u w:val="single"/>
          <w:lang w:eastAsia="zh-CN"/>
        </w:rPr>
        <w:t xml:space="preserve">         </w:t>
      </w:r>
      <w:r>
        <w:rPr>
          <w:rFonts w:hint="eastAsia" w:ascii="仿宋" w:hAnsi="仿宋" w:eastAsia="仿宋" w:cs="仿宋"/>
          <w:snapToGrid/>
          <w:color w:val="auto"/>
          <w:spacing w:val="6"/>
          <w:kern w:val="2"/>
          <w:sz w:val="24"/>
          <w:szCs w:val="24"/>
          <w:highlight w:val="none"/>
          <w:lang w:eastAsia="zh-CN"/>
        </w:rPr>
        <w:t>）</w:t>
      </w:r>
      <w:r>
        <w:rPr>
          <w:rFonts w:hint="eastAsia" w:ascii="仿宋" w:hAnsi="仿宋" w:eastAsia="仿宋" w:cs="仿宋"/>
          <w:snapToGrid/>
          <w:color w:val="auto"/>
          <w:sz w:val="24"/>
          <w:szCs w:val="24"/>
          <w:highlight w:val="none"/>
          <w:lang w:eastAsia="zh-CN" w:bidi="ar"/>
        </w:rPr>
        <w:t>的政府采购活动，严格遵守《中华人民共和国政府采购法》及相关法律法规，依法诚信经营，无条件遵守本次政府采购活动的各项规定，并郑重承诺</w:t>
      </w:r>
      <w:r>
        <w:rPr>
          <w:rFonts w:hint="eastAsia" w:ascii="仿宋" w:hAnsi="仿宋" w:eastAsia="仿宋" w:cs="仿宋"/>
          <w:snapToGrid/>
          <w:color w:val="auto"/>
          <w:spacing w:val="-6"/>
          <w:sz w:val="24"/>
          <w:szCs w:val="24"/>
          <w:highlight w:val="none"/>
          <w:lang w:eastAsia="zh-CN" w:bidi="ar"/>
        </w:rPr>
        <w:t xml:space="preserve">： </w:t>
      </w:r>
    </w:p>
    <w:p w14:paraId="5316B9D2">
      <w:pPr>
        <w:kinsoku/>
        <w:autoSpaceDE/>
        <w:autoSpaceDN/>
        <w:adjustRightInd/>
        <w:snapToGrid/>
        <w:spacing w:line="360" w:lineRule="auto"/>
        <w:ind w:firstLine="480" w:firstLineChars="200"/>
        <w:jc w:val="both"/>
        <w:textAlignment w:val="auto"/>
        <w:rPr>
          <w:rFonts w:ascii="仿宋" w:hAnsi="仿宋" w:eastAsia="仿宋" w:cs="仿宋"/>
          <w:snapToGrid/>
          <w:color w:val="auto"/>
          <w:sz w:val="24"/>
          <w:szCs w:val="24"/>
          <w:highlight w:val="none"/>
          <w:lang w:eastAsia="zh-CN" w:bidi="ar"/>
        </w:rPr>
      </w:pPr>
      <w:r>
        <w:rPr>
          <w:rFonts w:hint="eastAsia" w:ascii="仿宋" w:hAnsi="仿宋" w:eastAsia="仿宋" w:cs="仿宋"/>
          <w:snapToGrid/>
          <w:color w:val="auto"/>
          <w:sz w:val="24"/>
          <w:szCs w:val="24"/>
          <w:highlight w:val="none"/>
          <w:lang w:eastAsia="zh-CN" w:bidi="ar"/>
        </w:rPr>
        <w:t>1.我方</w:t>
      </w:r>
      <w:r>
        <w:rPr>
          <w:rFonts w:hint="eastAsia" w:ascii="仿宋" w:hAnsi="仿宋" w:eastAsia="仿宋" w:cs="仿宋"/>
          <w:snapToGrid/>
          <w:color w:val="auto"/>
          <w:spacing w:val="6"/>
          <w:kern w:val="2"/>
          <w:sz w:val="24"/>
          <w:szCs w:val="24"/>
          <w:highlight w:val="none"/>
          <w:lang w:eastAsia="zh-CN"/>
        </w:rPr>
        <w:t>具有独立承担民事责任的能力或我方属于银行、保险、石油石化、电力、电信等有行业特殊情况的法人的分支机构在参加本次政府采购活动前已取得总公司的授权。</w:t>
      </w:r>
    </w:p>
    <w:p w14:paraId="563FB24B">
      <w:pPr>
        <w:kinsoku/>
        <w:autoSpaceDE/>
        <w:autoSpaceDN/>
        <w:adjustRightInd/>
        <w:snapToGrid/>
        <w:spacing w:line="360" w:lineRule="auto"/>
        <w:ind w:firstLine="480" w:firstLineChars="200"/>
        <w:jc w:val="both"/>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bidi="ar"/>
        </w:rPr>
        <w:t xml:space="preserve">2.我方具有符合采购文件资格要求的财务状况报告。 </w:t>
      </w:r>
    </w:p>
    <w:p w14:paraId="5ECA52C9">
      <w:pPr>
        <w:kinsoku/>
        <w:autoSpaceDE/>
        <w:autoSpaceDN/>
        <w:adjustRightInd/>
        <w:snapToGrid/>
        <w:spacing w:line="360" w:lineRule="auto"/>
        <w:ind w:firstLine="456" w:firstLineChars="200"/>
        <w:jc w:val="both"/>
        <w:textAlignment w:val="auto"/>
        <w:rPr>
          <w:rFonts w:ascii="仿宋" w:hAnsi="仿宋" w:eastAsia="仿宋" w:cs="仿宋"/>
          <w:snapToGrid/>
          <w:color w:val="auto"/>
          <w:spacing w:val="-17"/>
          <w:kern w:val="2"/>
          <w:sz w:val="24"/>
          <w:szCs w:val="24"/>
          <w:highlight w:val="none"/>
          <w:lang w:eastAsia="zh-CN"/>
        </w:rPr>
      </w:pPr>
      <w:r>
        <w:rPr>
          <w:rFonts w:hint="eastAsia" w:ascii="仿宋" w:hAnsi="仿宋" w:eastAsia="仿宋" w:cs="仿宋"/>
          <w:snapToGrid/>
          <w:color w:val="auto"/>
          <w:spacing w:val="-6"/>
          <w:sz w:val="24"/>
          <w:szCs w:val="24"/>
          <w:highlight w:val="none"/>
          <w:lang w:eastAsia="zh-CN" w:bidi="ar"/>
        </w:rPr>
        <w:t>3.我方具有符合采购文件资格要求的依法缴纳税收和社会保障资金的良好记录。</w:t>
      </w:r>
      <w:r>
        <w:rPr>
          <w:rFonts w:hint="eastAsia" w:ascii="仿宋" w:hAnsi="仿宋" w:eastAsia="仿宋" w:cs="仿宋"/>
          <w:snapToGrid/>
          <w:color w:val="auto"/>
          <w:spacing w:val="-17"/>
          <w:sz w:val="24"/>
          <w:szCs w:val="24"/>
          <w:highlight w:val="none"/>
          <w:lang w:eastAsia="zh-CN" w:bidi="ar"/>
        </w:rPr>
        <w:t xml:space="preserve"> </w:t>
      </w:r>
    </w:p>
    <w:p w14:paraId="50C1F24B">
      <w:pPr>
        <w:kinsoku/>
        <w:autoSpaceDE/>
        <w:autoSpaceDN/>
        <w:adjustRightInd/>
        <w:snapToGrid/>
        <w:spacing w:line="360" w:lineRule="auto"/>
        <w:ind w:firstLine="480" w:firstLineChars="200"/>
        <w:jc w:val="both"/>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bidi="ar"/>
        </w:rPr>
        <w:t xml:space="preserve">4.我方具有符合采购文件资格要求履行合同所必需的设备和专业技术能力。 </w:t>
      </w:r>
    </w:p>
    <w:p w14:paraId="01ACA567">
      <w:pPr>
        <w:kinsoku/>
        <w:autoSpaceDE/>
        <w:autoSpaceDN/>
        <w:adjustRightInd/>
        <w:snapToGrid/>
        <w:spacing w:line="360" w:lineRule="auto"/>
        <w:ind w:firstLine="480" w:firstLineChars="200"/>
        <w:jc w:val="both"/>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bidi="ar"/>
        </w:rPr>
        <w:t xml:space="preserve">5.我方参加政府采购活动前3年内在经营活动中没有重大违法记录。 </w:t>
      </w:r>
    </w:p>
    <w:p w14:paraId="12881C43">
      <w:pPr>
        <w:kinsoku/>
        <w:autoSpaceDE/>
        <w:autoSpaceDN/>
        <w:adjustRightInd/>
        <w:snapToGrid/>
        <w:spacing w:line="360" w:lineRule="auto"/>
        <w:ind w:firstLine="480" w:firstLineChars="200"/>
        <w:jc w:val="both"/>
        <w:textAlignment w:val="auto"/>
        <w:rPr>
          <w:rFonts w:ascii="仿宋" w:hAnsi="仿宋" w:eastAsia="仿宋" w:cs="仿宋"/>
          <w:snapToGrid/>
          <w:color w:val="auto"/>
          <w:sz w:val="24"/>
          <w:szCs w:val="24"/>
          <w:highlight w:val="none"/>
          <w:lang w:eastAsia="zh-CN" w:bidi="ar"/>
        </w:rPr>
      </w:pPr>
      <w:r>
        <w:rPr>
          <w:rFonts w:hint="eastAsia" w:ascii="仿宋" w:hAnsi="仿宋" w:eastAsia="仿宋" w:cs="仿宋"/>
          <w:snapToGrid/>
          <w:color w:val="auto"/>
          <w:sz w:val="24"/>
          <w:szCs w:val="24"/>
          <w:highlight w:val="none"/>
          <w:lang w:eastAsia="zh-CN" w:bidi="ar"/>
        </w:rPr>
        <w:t>我方对以上承诺内容的真实性负责。如有虚假，将依法承担相应责任。</w:t>
      </w:r>
    </w:p>
    <w:p w14:paraId="6FBB87C9">
      <w:pPr>
        <w:kinsoku/>
        <w:autoSpaceDE/>
        <w:autoSpaceDN/>
        <w:adjustRightInd/>
        <w:snapToGrid/>
        <w:spacing w:line="360" w:lineRule="auto"/>
        <w:ind w:firstLine="480" w:firstLineChars="200"/>
        <w:jc w:val="both"/>
        <w:textAlignment w:val="auto"/>
        <w:rPr>
          <w:rFonts w:ascii="仿宋" w:hAnsi="仿宋" w:eastAsia="仿宋" w:cs="仿宋"/>
          <w:snapToGrid/>
          <w:color w:val="auto"/>
          <w:sz w:val="24"/>
          <w:szCs w:val="24"/>
          <w:highlight w:val="none"/>
          <w:lang w:eastAsia="zh-CN" w:bidi="ar"/>
        </w:rPr>
      </w:pPr>
    </w:p>
    <w:p w14:paraId="64A24566">
      <w:pPr>
        <w:kinsoku/>
        <w:autoSpaceDE/>
        <w:autoSpaceDN/>
        <w:adjustRightInd/>
        <w:snapToGrid/>
        <w:spacing w:line="360" w:lineRule="auto"/>
        <w:ind w:firstLine="480" w:firstLineChars="200"/>
        <w:jc w:val="both"/>
        <w:textAlignment w:val="auto"/>
        <w:rPr>
          <w:rFonts w:ascii="仿宋" w:hAnsi="仿宋" w:eastAsia="仿宋" w:cs="仿宋"/>
          <w:snapToGrid/>
          <w:color w:val="auto"/>
          <w:sz w:val="24"/>
          <w:szCs w:val="24"/>
          <w:highlight w:val="none"/>
          <w:lang w:eastAsia="zh-CN" w:bidi="ar"/>
        </w:rPr>
      </w:pPr>
    </w:p>
    <w:p w14:paraId="427A9D04">
      <w:pPr>
        <w:kinsoku/>
        <w:autoSpaceDE/>
        <w:autoSpaceDN/>
        <w:adjustRightInd/>
        <w:snapToGrid/>
        <w:spacing w:line="360" w:lineRule="auto"/>
        <w:ind w:firstLine="3600" w:firstLineChars="15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供应商（电子签章）</w:t>
      </w:r>
      <w:r>
        <w:rPr>
          <w:rFonts w:hint="eastAsia" w:ascii="仿宋" w:hAnsi="仿宋" w:eastAsia="仿宋" w:cs="仿宋"/>
          <w:snapToGrid/>
          <w:color w:val="auto"/>
          <w:sz w:val="24"/>
          <w:szCs w:val="24"/>
          <w:highlight w:val="none"/>
          <w:lang w:eastAsia="zh-CN" w:bidi="ar"/>
        </w:rPr>
        <w:t xml:space="preserve">： </w:t>
      </w:r>
    </w:p>
    <w:p w14:paraId="1B701B9B">
      <w:pPr>
        <w:widowControl w:val="0"/>
        <w:tabs>
          <w:tab w:val="left" w:pos="7560"/>
        </w:tabs>
        <w:kinsoku/>
        <w:autoSpaceDE/>
        <w:autoSpaceDN/>
        <w:adjustRightInd/>
        <w:snapToGrid/>
        <w:spacing w:line="360" w:lineRule="auto"/>
        <w:ind w:firstLine="3600" w:firstLineChars="1500"/>
        <w:textAlignment w:val="auto"/>
        <w:rPr>
          <w:rFonts w:ascii="仿宋" w:hAnsi="仿宋" w:eastAsia="仿宋" w:cs="仿宋"/>
          <w:snapToGrid/>
          <w:color w:val="auto"/>
          <w:sz w:val="24"/>
          <w:szCs w:val="24"/>
          <w:highlight w:val="none"/>
          <w:lang w:eastAsia="zh-CN" w:bidi="ar"/>
        </w:rPr>
      </w:pPr>
      <w:r>
        <w:rPr>
          <w:rFonts w:hint="eastAsia" w:ascii="仿宋" w:hAnsi="仿宋" w:eastAsia="仿宋" w:cs="仿宋"/>
          <w:snapToGrid/>
          <w:color w:val="auto"/>
          <w:sz w:val="24"/>
          <w:szCs w:val="24"/>
          <w:highlight w:val="none"/>
          <w:lang w:eastAsia="zh-CN" w:bidi="ar"/>
        </w:rPr>
        <w:t>日期：</w:t>
      </w:r>
    </w:p>
    <w:p w14:paraId="3898326E">
      <w:pPr>
        <w:kinsoku/>
        <w:wordWrap w:val="0"/>
        <w:autoSpaceDE/>
        <w:autoSpaceDN/>
        <w:adjustRightInd/>
        <w:snapToGrid/>
        <w:spacing w:line="360" w:lineRule="auto"/>
        <w:jc w:val="both"/>
        <w:textAlignment w:val="auto"/>
        <w:rPr>
          <w:rFonts w:ascii="仿宋" w:hAnsi="仿宋" w:eastAsia="仿宋" w:cs="仿宋"/>
          <w:snapToGrid/>
          <w:color w:val="auto"/>
          <w:sz w:val="24"/>
          <w:szCs w:val="24"/>
          <w:highlight w:val="none"/>
          <w:lang w:eastAsia="zh-CN" w:bidi="ar"/>
        </w:rPr>
      </w:pPr>
    </w:p>
    <w:p w14:paraId="0CF0B838">
      <w:pPr>
        <w:widowControl w:val="0"/>
        <w:kinsoku/>
        <w:autoSpaceDE/>
        <w:autoSpaceDN/>
        <w:adjustRightInd/>
        <w:snapToGrid/>
        <w:spacing w:line="360" w:lineRule="auto"/>
        <w:jc w:val="both"/>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bidi="ar"/>
        </w:rPr>
        <w:t>注：1.</w:t>
      </w:r>
      <w:r>
        <w:rPr>
          <w:rFonts w:hint="eastAsia" w:ascii="仿宋" w:hAnsi="仿宋" w:eastAsia="仿宋" w:cs="仿宋"/>
          <w:snapToGrid/>
          <w:color w:val="auto"/>
          <w:sz w:val="24"/>
          <w:szCs w:val="24"/>
          <w:highlight w:val="none"/>
          <w:lang w:eastAsia="zh-CN"/>
        </w:rPr>
        <w:t>参与政府采购活动的供应商可按第1点的内容：“</w:t>
      </w:r>
      <w:r>
        <w:rPr>
          <w:rFonts w:hint="eastAsia" w:ascii="仿宋" w:hAnsi="仿宋" w:eastAsia="仿宋" w:cs="仿宋"/>
          <w:snapToGrid/>
          <w:color w:val="auto"/>
          <w:sz w:val="24"/>
          <w:szCs w:val="24"/>
          <w:highlight w:val="none"/>
          <w:lang w:eastAsia="zh-CN" w:bidi="ar"/>
        </w:rPr>
        <w:t>我方</w:t>
      </w:r>
      <w:r>
        <w:rPr>
          <w:rFonts w:hint="eastAsia" w:ascii="仿宋" w:hAnsi="仿宋" w:eastAsia="仿宋" w:cs="仿宋"/>
          <w:snapToGrid/>
          <w:color w:val="auto"/>
          <w:spacing w:val="6"/>
          <w:sz w:val="24"/>
          <w:szCs w:val="24"/>
          <w:highlight w:val="none"/>
          <w:lang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 w:hAnsi="仿宋" w:eastAsia="仿宋" w:cs="仿宋"/>
          <w:snapToGrid/>
          <w:color w:val="auto"/>
          <w:sz w:val="24"/>
          <w:szCs w:val="24"/>
          <w:highlight w:val="none"/>
          <w:lang w:eastAsia="zh-CN" w:bidi="ar"/>
        </w:rPr>
        <w:t>我方</w:t>
      </w:r>
      <w:r>
        <w:rPr>
          <w:rFonts w:hint="eastAsia" w:ascii="仿宋" w:hAnsi="仿宋" w:eastAsia="仿宋" w:cs="仿宋"/>
          <w:snapToGrid/>
          <w:color w:val="auto"/>
          <w:spacing w:val="6"/>
          <w:sz w:val="24"/>
          <w:szCs w:val="24"/>
          <w:highlight w:val="none"/>
          <w:lang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4C3D0257">
      <w:pPr>
        <w:widowControl w:val="0"/>
        <w:kinsoku/>
        <w:autoSpaceDE/>
        <w:autoSpaceDN/>
        <w:adjustRightInd/>
        <w:snapToGrid/>
        <w:jc w:val="both"/>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br w:type="page"/>
      </w:r>
    </w:p>
    <w:p w14:paraId="6A2D5702">
      <w:pPr>
        <w:widowControl w:val="0"/>
        <w:kinsoku/>
        <w:autoSpaceDE/>
        <w:autoSpaceDN/>
        <w:adjustRightInd/>
        <w:spacing w:before="120" w:beforeLines="50" w:after="50" w:line="360" w:lineRule="auto"/>
        <w:textAlignment w:val="auto"/>
        <w:outlineLvl w:val="2"/>
        <w:rPr>
          <w:rFonts w:ascii="仿宋" w:hAnsi="仿宋" w:eastAsia="仿宋" w:cs="仿宋"/>
          <w:b/>
          <w:snapToGrid/>
          <w:color w:val="auto"/>
          <w:kern w:val="2"/>
          <w:sz w:val="24"/>
          <w:szCs w:val="24"/>
          <w:highlight w:val="none"/>
          <w:lang w:eastAsia="zh-CN"/>
        </w:rPr>
      </w:pPr>
      <w:bookmarkStart w:id="66" w:name="_Toc11648"/>
      <w:bookmarkStart w:id="67" w:name="_Toc23040"/>
      <w:bookmarkStart w:id="68" w:name="_Toc30783"/>
      <w:r>
        <w:rPr>
          <w:rFonts w:hint="eastAsia" w:ascii="仿宋" w:hAnsi="仿宋" w:eastAsia="仿宋" w:cs="仿宋"/>
          <w:b/>
          <w:snapToGrid/>
          <w:color w:val="auto"/>
          <w:kern w:val="2"/>
          <w:sz w:val="24"/>
          <w:szCs w:val="24"/>
          <w:highlight w:val="none"/>
          <w:lang w:eastAsia="zh-CN"/>
        </w:rPr>
        <w:t>4.供应商直接控股、管理关系信息表</w:t>
      </w:r>
      <w:bookmarkEnd w:id="66"/>
      <w:bookmarkEnd w:id="67"/>
      <w:bookmarkEnd w:id="68"/>
    </w:p>
    <w:p w14:paraId="2D36F2E5">
      <w:pPr>
        <w:widowControl w:val="0"/>
        <w:kinsoku/>
        <w:autoSpaceDE/>
        <w:autoSpaceDN/>
        <w:adjustRightInd/>
        <w:snapToGrid/>
        <w:spacing w:line="360" w:lineRule="auto"/>
        <w:contextualSpacing/>
        <w:jc w:val="center"/>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供应商直接控股股东信息表</w:t>
      </w:r>
    </w:p>
    <w:p w14:paraId="3A8D53C0">
      <w:pPr>
        <w:widowControl w:val="0"/>
        <w:kinsoku/>
        <w:autoSpaceDE/>
        <w:autoSpaceDN/>
        <w:adjustRightInd/>
        <w:snapToGrid/>
        <w:spacing w:line="360" w:lineRule="auto"/>
        <w:ind w:firstLine="482" w:firstLineChars="200"/>
        <w:contextualSpacing/>
        <w:textAlignment w:val="auto"/>
        <w:rPr>
          <w:rFonts w:ascii="仿宋" w:hAnsi="仿宋" w:eastAsia="仿宋" w:cs="仿宋"/>
          <w:b/>
          <w:snapToGrid/>
          <w:color w:val="auto"/>
          <w:kern w:val="2"/>
          <w:sz w:val="24"/>
          <w:szCs w:val="24"/>
          <w:highlight w:val="none"/>
          <w:lang w:eastAsia="zh-CN"/>
        </w:rPr>
      </w:pPr>
    </w:p>
    <w:tbl>
      <w:tblPr>
        <w:tblStyle w:val="24"/>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B822F5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D92CC9B">
            <w:pPr>
              <w:kinsoku/>
              <w:autoSpaceDE/>
              <w:autoSpaceDN/>
              <w:adjustRightInd/>
              <w:snapToGrid/>
              <w:spacing w:line="360" w:lineRule="auto"/>
              <w:contextualSpacing/>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9B3553">
            <w:pPr>
              <w:kinsoku/>
              <w:autoSpaceDE/>
              <w:autoSpaceDN/>
              <w:adjustRightInd/>
              <w:snapToGrid/>
              <w:spacing w:line="360" w:lineRule="auto"/>
              <w:contextualSpacing/>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DECC7B">
            <w:pPr>
              <w:kinsoku/>
              <w:autoSpaceDE/>
              <w:autoSpaceDN/>
              <w:adjustRightInd/>
              <w:snapToGrid/>
              <w:spacing w:line="360" w:lineRule="auto"/>
              <w:contextualSpacing/>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F0DA26">
            <w:pPr>
              <w:kinsoku/>
              <w:autoSpaceDE/>
              <w:autoSpaceDN/>
              <w:adjustRightInd/>
              <w:snapToGrid/>
              <w:spacing w:line="360" w:lineRule="auto"/>
              <w:contextualSpacing/>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03120A">
            <w:pPr>
              <w:kinsoku/>
              <w:autoSpaceDE/>
              <w:autoSpaceDN/>
              <w:adjustRightInd/>
              <w:snapToGrid/>
              <w:spacing w:line="360" w:lineRule="auto"/>
              <w:contextualSpacing/>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备注</w:t>
            </w:r>
          </w:p>
        </w:tc>
      </w:tr>
      <w:tr w14:paraId="7A271F2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46BE9A">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7EE5F4">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208AFCD">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9B7289">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68CEB9">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r>
      <w:tr w14:paraId="7C3EFFE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B15204">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5A8520">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E9DDDC">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AE84B1">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7695A3">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r>
      <w:tr w14:paraId="4099BC4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410304">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1BF1B4">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0504BC">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27A47A">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AA92D9">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r>
      <w:tr w14:paraId="118C072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FB252A">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DE467D">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608602">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24BA7E">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D587D3D">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r>
    </w:tbl>
    <w:p w14:paraId="0CDDAB5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注：</w:t>
      </w:r>
    </w:p>
    <w:p w14:paraId="1DB14FD3">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2D7505F">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2.本表所指的控股关系仅限于直接控股关系，不包括间接的控股关系。公司实际控制人与公司之间的关系不属于本表所指的直接控股关系。</w:t>
      </w:r>
    </w:p>
    <w:p w14:paraId="525D38B2">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3.供应商不存在直接控股股东的，则在“直接控股股东名称”填“无”。</w:t>
      </w:r>
    </w:p>
    <w:p w14:paraId="3F7EC5AF">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5A7962A0">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23D2BE68">
      <w:pPr>
        <w:widowControl w:val="0"/>
        <w:kinsoku/>
        <w:autoSpaceDE/>
        <w:autoSpaceDN/>
        <w:adjustRightInd/>
        <w:snapToGrid/>
        <w:spacing w:line="360" w:lineRule="auto"/>
        <w:ind w:firstLine="2400" w:firstLineChars="10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法定代表人或者委托代理人（签字或者电子签名或盖章）：</w:t>
      </w:r>
    </w:p>
    <w:p w14:paraId="083A8874">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 xml:space="preserve">供应商（电子签章）： </w:t>
      </w:r>
    </w:p>
    <w:p w14:paraId="52038AA9">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年    月    日</w:t>
      </w:r>
    </w:p>
    <w:p w14:paraId="714605B6">
      <w:pPr>
        <w:widowControl w:val="0"/>
        <w:kinsoku/>
        <w:autoSpaceDE/>
        <w:autoSpaceDN/>
        <w:adjustRightInd/>
        <w:spacing w:line="360" w:lineRule="auto"/>
        <w:ind w:firstLine="482" w:firstLineChars="200"/>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br w:type="page"/>
      </w:r>
    </w:p>
    <w:p w14:paraId="747B9785">
      <w:pPr>
        <w:widowControl w:val="0"/>
        <w:kinsoku/>
        <w:autoSpaceDE/>
        <w:autoSpaceDN/>
        <w:adjustRightInd/>
        <w:snapToGrid/>
        <w:spacing w:line="360" w:lineRule="auto"/>
        <w:contextualSpacing/>
        <w:jc w:val="center"/>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供应商直接管理关系信息表</w:t>
      </w:r>
    </w:p>
    <w:p w14:paraId="04DFDA0B">
      <w:pPr>
        <w:widowControl w:val="0"/>
        <w:kinsoku/>
        <w:autoSpaceDE/>
        <w:autoSpaceDN/>
        <w:adjustRightInd/>
        <w:spacing w:line="360" w:lineRule="auto"/>
        <w:ind w:firstLine="482" w:firstLineChars="200"/>
        <w:textAlignment w:val="auto"/>
        <w:rPr>
          <w:rFonts w:ascii="仿宋" w:hAnsi="仿宋" w:eastAsia="仿宋" w:cs="仿宋"/>
          <w:b/>
          <w:snapToGrid/>
          <w:color w:val="auto"/>
          <w:kern w:val="2"/>
          <w:sz w:val="24"/>
          <w:szCs w:val="24"/>
          <w:highlight w:val="none"/>
          <w:lang w:eastAsia="zh-CN"/>
        </w:rPr>
      </w:pPr>
    </w:p>
    <w:tbl>
      <w:tblPr>
        <w:tblStyle w:val="24"/>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383CC553">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BF7869">
            <w:pPr>
              <w:kinsoku/>
              <w:autoSpaceDE/>
              <w:autoSpaceDN/>
              <w:adjustRightInd/>
              <w:snapToGrid/>
              <w:spacing w:line="360" w:lineRule="auto"/>
              <w:contextualSpacing/>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3EFD3F">
            <w:pPr>
              <w:kinsoku/>
              <w:autoSpaceDE/>
              <w:autoSpaceDN/>
              <w:adjustRightInd/>
              <w:snapToGrid/>
              <w:spacing w:line="360" w:lineRule="auto"/>
              <w:contextualSpacing/>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8BC157">
            <w:pPr>
              <w:kinsoku/>
              <w:autoSpaceDE/>
              <w:autoSpaceDN/>
              <w:adjustRightInd/>
              <w:snapToGrid/>
              <w:spacing w:line="360" w:lineRule="auto"/>
              <w:contextualSpacing/>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B1A700">
            <w:pPr>
              <w:kinsoku/>
              <w:autoSpaceDE/>
              <w:autoSpaceDN/>
              <w:adjustRightInd/>
              <w:snapToGrid/>
              <w:spacing w:line="360" w:lineRule="auto"/>
              <w:contextualSpacing/>
              <w:jc w:val="center"/>
              <w:textAlignment w:val="auto"/>
              <w:rPr>
                <w:rFonts w:ascii="仿宋" w:hAnsi="仿宋" w:eastAsia="仿宋" w:cs="仿宋"/>
                <w:b/>
                <w:bCs/>
                <w:snapToGrid/>
                <w:color w:val="auto"/>
                <w:sz w:val="24"/>
                <w:szCs w:val="24"/>
                <w:highlight w:val="none"/>
                <w:lang w:eastAsia="zh-CN"/>
              </w:rPr>
            </w:pPr>
            <w:r>
              <w:rPr>
                <w:rFonts w:hint="eastAsia" w:ascii="仿宋" w:hAnsi="仿宋" w:eastAsia="仿宋" w:cs="仿宋"/>
                <w:b/>
                <w:bCs/>
                <w:snapToGrid/>
                <w:color w:val="auto"/>
                <w:sz w:val="24"/>
                <w:szCs w:val="24"/>
                <w:highlight w:val="none"/>
                <w:lang w:eastAsia="zh-CN"/>
              </w:rPr>
              <w:t>备注</w:t>
            </w:r>
          </w:p>
        </w:tc>
      </w:tr>
      <w:tr w14:paraId="47E15AB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7F9DC6">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D2990ED">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7D24F8">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6BAA2B">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r>
      <w:tr w14:paraId="65E77BF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35F46C">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D0CD410">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8EF03B">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1B7277">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r>
      <w:tr w14:paraId="59D5E3F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33964C">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AF8356">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8791EE">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7ABB35">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r>
      <w:tr w14:paraId="16F2C25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F142CD">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F7A536">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6993A8">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EBB5D3B">
            <w:pPr>
              <w:kinsoku/>
              <w:autoSpaceDE/>
              <w:autoSpaceDN/>
              <w:adjustRightInd/>
              <w:snapToGrid/>
              <w:spacing w:line="360" w:lineRule="auto"/>
              <w:contextualSpacing/>
              <w:jc w:val="center"/>
              <w:textAlignment w:val="auto"/>
              <w:rPr>
                <w:rFonts w:ascii="仿宋" w:hAnsi="仿宋" w:eastAsia="仿宋" w:cs="仿宋"/>
                <w:snapToGrid/>
                <w:color w:val="auto"/>
                <w:sz w:val="24"/>
                <w:szCs w:val="24"/>
                <w:highlight w:val="none"/>
                <w:lang w:eastAsia="zh-CN"/>
              </w:rPr>
            </w:pPr>
          </w:p>
        </w:tc>
      </w:tr>
    </w:tbl>
    <w:p w14:paraId="6097E30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注：</w:t>
      </w:r>
    </w:p>
    <w:p w14:paraId="611A241D">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1.管理关系：是指不具有出资持股关系的其他单位之间存在的管理与被管理关系，如一些上下级关系的事业单位和团体组织。</w:t>
      </w:r>
    </w:p>
    <w:p w14:paraId="08342171">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w:t>
      </w:r>
      <w:r>
        <w:rPr>
          <w:rFonts w:hint="eastAsia" w:ascii="仿宋" w:hAnsi="仿宋" w:eastAsia="仿宋" w:cs="仿宋"/>
          <w:snapToGrid/>
          <w:color w:val="auto"/>
          <w:spacing w:val="-6"/>
          <w:kern w:val="2"/>
          <w:sz w:val="24"/>
          <w:szCs w:val="24"/>
          <w:highlight w:val="none"/>
          <w:lang w:eastAsia="zh-CN"/>
        </w:rPr>
        <w:t>本表所指的管理关系仅限于直接管理关系，不包括间接的管理关系。</w:t>
      </w:r>
    </w:p>
    <w:p w14:paraId="7AC9DA37">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3.供应商不存在直接管理关系的，则在“直接管理关系单位名称”填“无”。</w:t>
      </w:r>
    </w:p>
    <w:p w14:paraId="7C864CEF">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6AE1CEC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365BE47B">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0DF5EA84">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2366C25A">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3DBEFF28">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1907D7C1">
      <w:pPr>
        <w:widowControl w:val="0"/>
        <w:kinsoku/>
        <w:autoSpaceDE/>
        <w:autoSpaceDN/>
        <w:adjustRightInd/>
        <w:snapToGrid/>
        <w:spacing w:line="360" w:lineRule="auto"/>
        <w:ind w:firstLine="2640" w:firstLineChars="11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法定代表人或者委托代理人（签字或者电子签名或盖章）：</w:t>
      </w:r>
    </w:p>
    <w:p w14:paraId="59414256">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供应商（电子签章）：</w:t>
      </w:r>
    </w:p>
    <w:p w14:paraId="7EE3EA1B">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年    月    日</w:t>
      </w:r>
    </w:p>
    <w:p w14:paraId="745B074F">
      <w:pPr>
        <w:widowControl w:val="0"/>
        <w:kinsoku/>
        <w:autoSpaceDE/>
        <w:autoSpaceDN/>
        <w:adjustRightInd/>
        <w:snapToGrid/>
        <w:spacing w:line="360" w:lineRule="auto"/>
        <w:textAlignment w:val="auto"/>
        <w:outlineLvl w:val="2"/>
        <w:rPr>
          <w:rFonts w:ascii="仿宋" w:hAnsi="仿宋" w:eastAsia="仿宋" w:cs="仿宋"/>
          <w:b/>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bookmarkStart w:id="69" w:name="_Toc11437"/>
      <w:bookmarkStart w:id="70" w:name="_Toc23536"/>
      <w:bookmarkStart w:id="71" w:name="_Toc23535"/>
      <w:r>
        <w:rPr>
          <w:rFonts w:hint="eastAsia" w:ascii="仿宋" w:hAnsi="仿宋" w:eastAsia="仿宋" w:cs="仿宋"/>
          <w:b/>
          <w:snapToGrid/>
          <w:color w:val="auto"/>
          <w:kern w:val="2"/>
          <w:sz w:val="24"/>
          <w:szCs w:val="24"/>
          <w:highlight w:val="none"/>
          <w:lang w:eastAsia="zh-CN"/>
        </w:rPr>
        <w:t>5.竞标声明</w:t>
      </w:r>
      <w:bookmarkEnd w:id="69"/>
      <w:bookmarkEnd w:id="70"/>
      <w:bookmarkEnd w:id="71"/>
    </w:p>
    <w:p w14:paraId="323089AE">
      <w:pPr>
        <w:widowControl w:val="0"/>
        <w:kinsoku/>
        <w:autoSpaceDE/>
        <w:autoSpaceDN/>
        <w:adjustRightInd/>
        <w:snapToGrid/>
        <w:spacing w:line="360" w:lineRule="auto"/>
        <w:jc w:val="center"/>
        <w:textAlignment w:val="auto"/>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竞标声明</w:t>
      </w:r>
    </w:p>
    <w:p w14:paraId="384CFD8F">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致：</w:t>
      </w:r>
      <w:r>
        <w:rPr>
          <w:rFonts w:hint="eastAsia" w:ascii="仿宋" w:hAnsi="仿宋" w:eastAsia="仿宋" w:cs="仿宋"/>
          <w:snapToGrid/>
          <w:color w:val="auto"/>
          <w:kern w:val="2"/>
          <w:sz w:val="24"/>
          <w:szCs w:val="24"/>
          <w:highlight w:val="none"/>
          <w:u w:val="single"/>
          <w:lang w:eastAsia="zh-CN"/>
        </w:rPr>
        <w:t>（采购人名称）</w:t>
      </w:r>
      <w:r>
        <w:rPr>
          <w:rFonts w:hint="eastAsia" w:ascii="仿宋" w:hAnsi="仿宋" w:eastAsia="仿宋" w:cs="仿宋"/>
          <w:snapToGrid/>
          <w:color w:val="auto"/>
          <w:kern w:val="2"/>
          <w:sz w:val="24"/>
          <w:szCs w:val="24"/>
          <w:highlight w:val="none"/>
          <w:lang w:eastAsia="zh-CN"/>
        </w:rPr>
        <w:t>：</w:t>
      </w:r>
    </w:p>
    <w:p w14:paraId="5B011251">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u w:val="single"/>
          <w:lang w:eastAsia="zh-CN"/>
        </w:rPr>
        <w:t>（供应商名称）</w:t>
      </w:r>
      <w:r>
        <w:rPr>
          <w:rFonts w:hint="eastAsia" w:ascii="仿宋" w:hAnsi="仿宋" w:eastAsia="仿宋" w:cs="仿宋"/>
          <w:snapToGrid/>
          <w:color w:val="auto"/>
          <w:kern w:val="2"/>
          <w:sz w:val="24"/>
          <w:szCs w:val="24"/>
          <w:highlight w:val="none"/>
          <w:lang w:eastAsia="zh-CN"/>
        </w:rPr>
        <w:t>系中华人民共和国合法供应商，经营地址</w:t>
      </w:r>
      <w:r>
        <w:rPr>
          <w:rFonts w:hint="eastAsia" w:ascii="仿宋" w:hAnsi="仿宋" w:eastAsia="仿宋" w:cs="仿宋"/>
          <w:snapToGrid/>
          <w:color w:val="auto"/>
          <w:kern w:val="2"/>
          <w:sz w:val="24"/>
          <w:szCs w:val="24"/>
          <w:highlight w:val="none"/>
          <w:u w:val="single"/>
          <w:lang w:eastAsia="zh-CN"/>
        </w:rPr>
        <w:t>：               。</w:t>
      </w:r>
    </w:p>
    <w:p w14:paraId="194327B6">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我方愿意参加贵方组织的</w:t>
      </w:r>
      <w:r>
        <w:rPr>
          <w:rFonts w:hint="eastAsia" w:ascii="仿宋" w:hAnsi="仿宋" w:eastAsia="仿宋" w:cs="仿宋"/>
          <w:snapToGrid/>
          <w:color w:val="auto"/>
          <w:kern w:val="2"/>
          <w:sz w:val="24"/>
          <w:szCs w:val="24"/>
          <w:highlight w:val="none"/>
          <w:u w:val="single"/>
          <w:lang w:eastAsia="zh-CN"/>
        </w:rPr>
        <w:t>（项目名称）</w:t>
      </w:r>
      <w:r>
        <w:rPr>
          <w:rFonts w:hint="eastAsia" w:ascii="仿宋" w:hAnsi="仿宋" w:eastAsia="仿宋" w:cs="仿宋"/>
          <w:snapToGrid/>
          <w:color w:val="auto"/>
          <w:kern w:val="2"/>
          <w:sz w:val="24"/>
          <w:szCs w:val="24"/>
          <w:highlight w:val="none"/>
          <w:lang w:eastAsia="zh-CN"/>
        </w:rPr>
        <w:t>项目的竞标，为便于贵方公正、择优地确定成交供应商及其竞标产品和服务，我方就本次竞标有关事项郑重声明如下：</w:t>
      </w:r>
    </w:p>
    <w:p w14:paraId="1F1C7857">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1.我方向贵方提交的所有响应文件、资料都是准确的和真实的。</w:t>
      </w:r>
    </w:p>
    <w:p w14:paraId="39D708C4">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2.我方不是为本次采购项目提供整体设计、规范编制或者项目管理、监理、检测等服务的供应商。</w:t>
      </w:r>
    </w:p>
    <w:p w14:paraId="6C6EB773">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3.在此，我方宣布同意如下：</w:t>
      </w:r>
    </w:p>
    <w:p w14:paraId="1BD3540A">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（1）将按磋商文件的约定履行合同责任和义务；</w:t>
      </w:r>
    </w:p>
    <w:p w14:paraId="45EED7F3">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（2）已详细审查全部磋商文件，包括澄清或者更正公告（如有）；</w:t>
      </w:r>
    </w:p>
    <w:p w14:paraId="319D8C78">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（3）同意提供按照贵方可能要求的与磋商有关的一切数据或者资料；</w:t>
      </w:r>
    </w:p>
    <w:p w14:paraId="62259F8B">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（4）响应磋商文件规定的竞标有效期。</w:t>
      </w:r>
    </w:p>
    <w:p w14:paraId="578BB19E">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4.我方承诺符合《中华人民共和国政府采购法》第二十二条规定：</w:t>
      </w:r>
    </w:p>
    <w:p w14:paraId="604ACAEB">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（1）具有独立承担民事责任的能力；</w:t>
      </w:r>
    </w:p>
    <w:p w14:paraId="0D78B2FB">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（2）具有良好的商业信誉和健全的财务会计制度；</w:t>
      </w:r>
    </w:p>
    <w:p w14:paraId="03D3643A">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（3）具有履行合同所必需的设备和专业技术能力；</w:t>
      </w:r>
    </w:p>
    <w:p w14:paraId="21F40F0B">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（4）有依法缴纳税收和社会保障资金的良好记录；</w:t>
      </w:r>
    </w:p>
    <w:p w14:paraId="6DB0F3B6">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（5）参加政府采购活动前三年内，在经营活动中没有重大违法记录；</w:t>
      </w:r>
    </w:p>
    <w:p w14:paraId="57F2FE5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（6）法律、行政法规规定的其他条件。</w:t>
      </w:r>
    </w:p>
    <w:p w14:paraId="0173BA16">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9AD4B23">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5333EAC">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□我方本次响应文件</w:t>
      </w:r>
      <w:r>
        <w:rPr>
          <w:rFonts w:hint="eastAsia" w:ascii="仿宋" w:hAnsi="仿宋" w:eastAsia="仿宋" w:cs="仿宋"/>
          <w:snapToGrid/>
          <w:color w:val="auto"/>
          <w:sz w:val="24"/>
          <w:szCs w:val="24"/>
          <w:highlight w:val="none"/>
          <w:lang w:eastAsia="zh-CN"/>
        </w:rPr>
        <w:t>内容中</w:t>
      </w:r>
      <w:r>
        <w:rPr>
          <w:rFonts w:hint="eastAsia" w:ascii="仿宋" w:hAnsi="仿宋" w:eastAsia="仿宋" w:cs="仿宋"/>
          <w:snapToGrid/>
          <w:color w:val="auto"/>
          <w:kern w:val="2"/>
          <w:sz w:val="24"/>
          <w:szCs w:val="24"/>
          <w:highlight w:val="none"/>
          <w:lang w:eastAsia="zh-CN"/>
        </w:rPr>
        <w:t>未</w:t>
      </w:r>
      <w:r>
        <w:rPr>
          <w:rFonts w:hint="eastAsia" w:ascii="仿宋" w:hAnsi="仿宋" w:eastAsia="仿宋" w:cs="仿宋"/>
          <w:snapToGrid/>
          <w:color w:val="auto"/>
          <w:sz w:val="24"/>
          <w:szCs w:val="24"/>
          <w:highlight w:val="none"/>
          <w:lang w:eastAsia="zh-CN"/>
        </w:rPr>
        <w:t>涉及商业秘密；</w:t>
      </w:r>
    </w:p>
    <w:p w14:paraId="4D92FFC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□我方本次响应文件</w:t>
      </w:r>
      <w:r>
        <w:rPr>
          <w:rFonts w:hint="eastAsia" w:ascii="仿宋" w:hAnsi="仿宋" w:eastAsia="仿宋" w:cs="仿宋"/>
          <w:snapToGrid/>
          <w:color w:val="auto"/>
          <w:sz w:val="24"/>
          <w:szCs w:val="24"/>
          <w:highlight w:val="none"/>
          <w:lang w:eastAsia="zh-CN"/>
        </w:rPr>
        <w:t>涉及商业秘密的内容有：</w:t>
      </w:r>
      <w:r>
        <w:rPr>
          <w:rFonts w:hint="eastAsia" w:ascii="仿宋" w:hAnsi="仿宋" w:eastAsia="仿宋" w:cs="仿宋"/>
          <w:snapToGrid/>
          <w:color w:val="auto"/>
          <w:kern w:val="2"/>
          <w:sz w:val="24"/>
          <w:szCs w:val="24"/>
          <w:highlight w:val="none"/>
          <w:u w:val="single"/>
          <w:lang w:eastAsia="zh-CN"/>
        </w:rPr>
        <w:t xml:space="preserve">               </w:t>
      </w:r>
      <w:r>
        <w:rPr>
          <w:rFonts w:hint="eastAsia" w:ascii="仿宋" w:hAnsi="仿宋" w:eastAsia="仿宋" w:cs="仿宋"/>
          <w:snapToGrid/>
          <w:color w:val="auto"/>
          <w:sz w:val="24"/>
          <w:szCs w:val="24"/>
          <w:highlight w:val="none"/>
          <w:lang w:eastAsia="zh-CN"/>
        </w:rPr>
        <w:t>；</w:t>
      </w:r>
    </w:p>
    <w:p w14:paraId="38CF85DA">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u w:val="single"/>
        </w:rPr>
      </w:pPr>
      <w:r>
        <w:rPr>
          <w:rFonts w:hint="eastAsia" w:ascii="仿宋" w:hAnsi="仿宋" w:eastAsia="仿宋" w:cs="仿宋"/>
          <w:snapToGrid/>
          <w:color w:val="auto"/>
          <w:sz w:val="24"/>
          <w:szCs w:val="24"/>
          <w:highlight w:val="none"/>
        </w:rPr>
        <w:t>7.与本磋商有关的一切正式往来信函请寄：邮政编号：</w:t>
      </w:r>
    </w:p>
    <w:p w14:paraId="516F4E06">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电话/传真：</w:t>
      </w:r>
      <w:r>
        <w:rPr>
          <w:rFonts w:hint="eastAsia" w:ascii="仿宋" w:hAnsi="仿宋" w:eastAsia="仿宋" w:cs="仿宋"/>
          <w:snapToGrid/>
          <w:color w:val="auto"/>
          <w:sz w:val="24"/>
          <w:szCs w:val="24"/>
          <w:highlight w:val="none"/>
          <w:u w:val="single"/>
        </w:rPr>
        <w:t xml:space="preserve">               </w:t>
      </w:r>
      <w:r>
        <w:rPr>
          <w:rFonts w:hint="eastAsia" w:ascii="仿宋" w:hAnsi="仿宋" w:eastAsia="仿宋" w:cs="仿宋"/>
          <w:snapToGrid/>
          <w:color w:val="auto"/>
          <w:sz w:val="24"/>
          <w:szCs w:val="24"/>
          <w:highlight w:val="none"/>
        </w:rPr>
        <w:t>电子邮箱：</w:t>
      </w:r>
      <w:r>
        <w:rPr>
          <w:rFonts w:hint="eastAsia" w:ascii="仿宋" w:hAnsi="仿宋" w:eastAsia="仿宋" w:cs="仿宋"/>
          <w:snapToGrid/>
          <w:color w:val="auto"/>
          <w:sz w:val="24"/>
          <w:szCs w:val="24"/>
          <w:highlight w:val="none"/>
          <w:u w:val="single"/>
        </w:rPr>
        <w:t xml:space="preserve">               </w:t>
      </w:r>
    </w:p>
    <w:p w14:paraId="4B8CD982">
      <w:pPr>
        <w:pStyle w:val="12"/>
        <w:tabs>
          <w:tab w:val="left" w:pos="939"/>
        </w:tabs>
        <w:spacing w:line="360" w:lineRule="auto"/>
        <w:ind w:left="0" w:leftChars="0"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u w:val="single"/>
        </w:rPr>
        <w:t xml:space="preserve">               账号</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p>
    <w:p w14:paraId="14754092">
      <w:pPr>
        <w:pStyle w:val="12"/>
        <w:tabs>
          <w:tab w:val="left" w:pos="939"/>
        </w:tabs>
        <w:spacing w:line="360" w:lineRule="auto"/>
        <w:ind w:left="0" w:leftChars="0"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8.以上事项如有虚假或者隐瞒，我方愿意承担一切后果，并不再寻求任何旨在减轻或者免除法律责任的辩解。</w:t>
      </w:r>
    </w:p>
    <w:p w14:paraId="4DE1671F">
      <w:pPr>
        <w:pStyle w:val="12"/>
        <w:tabs>
          <w:tab w:val="left" w:pos="939"/>
        </w:tabs>
        <w:spacing w:line="360" w:lineRule="auto"/>
        <w:ind w:left="0" w:leftChars="0"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特此承诺。</w:t>
      </w:r>
    </w:p>
    <w:p w14:paraId="78E5DAC3">
      <w:pPr>
        <w:widowControl w:val="0"/>
        <w:kinsoku/>
        <w:autoSpaceDE/>
        <w:autoSpaceDN/>
        <w:adjustRightInd/>
        <w:snapToGrid/>
        <w:spacing w:line="360" w:lineRule="auto"/>
        <w:ind w:firstLine="482" w:firstLineChars="200"/>
        <w:contextualSpacing/>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注：如为联合体竞标，盖章处须加盖联合体牵头人电子签章并由联合体牵头人法定代表人分别签字或者盖章或者电子签名，否则响应文件按无效处理。</w:t>
      </w:r>
    </w:p>
    <w:p w14:paraId="5016E5BB">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3CF5560E">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法定代表人或者委托代理人（签字或者电子签名）：</w:t>
      </w:r>
    </w:p>
    <w:p w14:paraId="04DD7E1E">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供应商（电子签章）：</w:t>
      </w:r>
    </w:p>
    <w:p w14:paraId="3C78BF83">
      <w:pPr>
        <w:pStyle w:val="12"/>
        <w:tabs>
          <w:tab w:val="left" w:pos="939"/>
        </w:tabs>
        <w:spacing w:line="360" w:lineRule="auto"/>
        <w:ind w:left="0" w:leftChars="0" w:firstLine="3360" w:firstLineChars="1400"/>
        <w:jc w:val="left"/>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p w14:paraId="0B514227">
      <w:pPr>
        <w:widowControl w:val="0"/>
        <w:kinsoku/>
        <w:autoSpaceDE/>
        <w:autoSpaceDN/>
        <w:adjustRightInd/>
        <w:snapToGrid/>
        <w:spacing w:line="360" w:lineRule="auto"/>
        <w:contextualSpacing/>
        <w:textAlignment w:val="auto"/>
        <w:outlineLvl w:val="1"/>
        <w:rPr>
          <w:rFonts w:ascii="仿宋" w:hAnsi="仿宋" w:eastAsia="仿宋" w:cs="仿宋"/>
          <w:b/>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bookmarkStart w:id="72" w:name="_Toc24069"/>
      <w:bookmarkStart w:id="73" w:name="_Toc5811"/>
      <w:bookmarkStart w:id="74" w:name="_Toc7866"/>
      <w:r>
        <w:rPr>
          <w:rFonts w:hint="eastAsia" w:ascii="仿宋" w:hAnsi="仿宋" w:eastAsia="仿宋" w:cs="仿宋"/>
          <w:b/>
          <w:snapToGrid/>
          <w:color w:val="auto"/>
          <w:kern w:val="2"/>
          <w:sz w:val="28"/>
          <w:szCs w:val="28"/>
          <w:highlight w:val="none"/>
          <w:lang w:eastAsia="zh-CN"/>
        </w:rPr>
        <w:t>二、报价文件格式</w:t>
      </w:r>
      <w:bookmarkEnd w:id="72"/>
      <w:bookmarkEnd w:id="73"/>
      <w:bookmarkEnd w:id="74"/>
      <w:r>
        <w:rPr>
          <w:rFonts w:hint="eastAsia" w:ascii="仿宋" w:hAnsi="仿宋" w:eastAsia="仿宋" w:cs="仿宋"/>
          <w:b/>
          <w:snapToGrid/>
          <w:color w:val="auto"/>
          <w:kern w:val="2"/>
          <w:sz w:val="28"/>
          <w:szCs w:val="28"/>
          <w:highlight w:val="none"/>
          <w:lang w:eastAsia="zh-CN"/>
        </w:rPr>
        <w:t xml:space="preserve"> </w:t>
      </w:r>
    </w:p>
    <w:p w14:paraId="417FB2A9">
      <w:pPr>
        <w:widowControl w:val="0"/>
        <w:kinsoku/>
        <w:autoSpaceDE/>
        <w:autoSpaceDN/>
        <w:adjustRightInd/>
        <w:spacing w:before="120" w:beforeLines="50" w:after="50" w:line="360" w:lineRule="auto"/>
        <w:textAlignment w:val="auto"/>
        <w:outlineLvl w:val="2"/>
        <w:rPr>
          <w:rFonts w:ascii="仿宋" w:hAnsi="仿宋" w:eastAsia="仿宋" w:cs="仿宋"/>
          <w:b/>
          <w:snapToGrid/>
          <w:color w:val="auto"/>
          <w:kern w:val="2"/>
          <w:sz w:val="24"/>
          <w:szCs w:val="24"/>
          <w:highlight w:val="none"/>
          <w:lang w:eastAsia="zh-CN"/>
        </w:rPr>
      </w:pPr>
      <w:bookmarkStart w:id="75" w:name="_Toc14622"/>
      <w:bookmarkStart w:id="76" w:name="_Toc26565"/>
      <w:bookmarkStart w:id="77" w:name="_Toc20232"/>
      <w:r>
        <w:rPr>
          <w:rFonts w:hint="eastAsia" w:ascii="仿宋" w:hAnsi="仿宋" w:eastAsia="仿宋" w:cs="仿宋"/>
          <w:b/>
          <w:snapToGrid/>
          <w:color w:val="auto"/>
          <w:kern w:val="2"/>
          <w:sz w:val="24"/>
          <w:szCs w:val="24"/>
          <w:highlight w:val="none"/>
          <w:lang w:eastAsia="zh-CN"/>
        </w:rPr>
        <w:t>1.报价文件封面格式</w:t>
      </w:r>
      <w:bookmarkEnd w:id="75"/>
      <w:bookmarkEnd w:id="76"/>
      <w:bookmarkEnd w:id="77"/>
    </w:p>
    <w:p w14:paraId="63EB5028">
      <w:pPr>
        <w:widowControl w:val="0"/>
        <w:kinsoku/>
        <w:autoSpaceDE/>
        <w:autoSpaceDN/>
        <w:adjustRightInd/>
        <w:spacing w:line="360" w:lineRule="auto"/>
        <w:ind w:firstLine="480" w:firstLineChars="200"/>
        <w:textAlignment w:val="auto"/>
        <w:rPr>
          <w:rFonts w:ascii="仿宋" w:hAnsi="仿宋" w:eastAsia="仿宋" w:cs="仿宋"/>
          <w:bCs/>
          <w:snapToGrid/>
          <w:color w:val="auto"/>
          <w:kern w:val="2"/>
          <w:sz w:val="24"/>
          <w:szCs w:val="24"/>
          <w:highlight w:val="none"/>
          <w:lang w:eastAsia="zh-CN"/>
        </w:rPr>
      </w:pPr>
    </w:p>
    <w:p w14:paraId="78F63D5D">
      <w:pPr>
        <w:widowControl w:val="0"/>
        <w:kinsoku/>
        <w:autoSpaceDE/>
        <w:autoSpaceDN/>
        <w:adjustRightInd/>
        <w:spacing w:before="120" w:beforeLines="50" w:after="50"/>
        <w:jc w:val="center"/>
        <w:textAlignment w:val="auto"/>
        <w:rPr>
          <w:rFonts w:ascii="仿宋" w:hAnsi="仿宋" w:eastAsia="仿宋" w:cs="仿宋"/>
          <w:snapToGrid/>
          <w:color w:val="auto"/>
          <w:kern w:val="2"/>
          <w:sz w:val="44"/>
          <w:szCs w:val="44"/>
          <w:highlight w:val="none"/>
          <w:lang w:eastAsia="zh-CN"/>
        </w:rPr>
      </w:pPr>
      <w:r>
        <w:rPr>
          <w:rFonts w:hint="eastAsia" w:ascii="仿宋" w:hAnsi="仿宋" w:eastAsia="仿宋" w:cs="仿宋"/>
          <w:snapToGrid/>
          <w:color w:val="auto"/>
          <w:kern w:val="2"/>
          <w:sz w:val="44"/>
          <w:szCs w:val="44"/>
          <w:highlight w:val="none"/>
          <w:lang w:eastAsia="zh-CN"/>
        </w:rPr>
        <w:t>电 子 响 应 文 件</w:t>
      </w:r>
    </w:p>
    <w:p w14:paraId="3FD67CA8">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09FF48CF">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4DF9D93E">
      <w:pPr>
        <w:widowControl w:val="0"/>
        <w:kinsoku/>
        <w:autoSpaceDE/>
        <w:autoSpaceDN/>
        <w:adjustRightInd/>
        <w:spacing w:before="120" w:beforeLines="50" w:after="50"/>
        <w:jc w:val="center"/>
        <w:textAlignment w:val="auto"/>
        <w:rPr>
          <w:rFonts w:ascii="仿宋" w:hAnsi="仿宋" w:eastAsia="仿宋" w:cs="仿宋"/>
          <w:bCs/>
          <w:snapToGrid/>
          <w:color w:val="auto"/>
          <w:kern w:val="2"/>
          <w:sz w:val="44"/>
          <w:szCs w:val="44"/>
          <w:highlight w:val="none"/>
          <w:lang w:eastAsia="zh-CN"/>
        </w:rPr>
      </w:pPr>
      <w:r>
        <w:rPr>
          <w:rFonts w:hint="eastAsia" w:ascii="仿宋" w:hAnsi="仿宋" w:eastAsia="仿宋" w:cs="仿宋"/>
          <w:bCs/>
          <w:snapToGrid/>
          <w:color w:val="auto"/>
          <w:kern w:val="2"/>
          <w:sz w:val="44"/>
          <w:szCs w:val="44"/>
          <w:highlight w:val="none"/>
          <w:lang w:eastAsia="zh-CN"/>
        </w:rPr>
        <w:t>报  价  文  件</w:t>
      </w:r>
    </w:p>
    <w:p w14:paraId="0982B9BB">
      <w:pPr>
        <w:widowControl w:val="0"/>
        <w:kinsoku/>
        <w:autoSpaceDE/>
        <w:autoSpaceDN/>
        <w:adjustRightInd/>
        <w:spacing w:before="120" w:beforeLines="50" w:after="50"/>
        <w:jc w:val="both"/>
        <w:textAlignment w:val="auto"/>
        <w:rPr>
          <w:rFonts w:ascii="仿宋" w:hAnsi="仿宋" w:eastAsia="仿宋" w:cs="仿宋"/>
          <w:bCs/>
          <w:snapToGrid/>
          <w:color w:val="auto"/>
          <w:kern w:val="2"/>
          <w:sz w:val="24"/>
          <w:szCs w:val="20"/>
          <w:highlight w:val="none"/>
          <w:lang w:eastAsia="zh-CN"/>
        </w:rPr>
      </w:pPr>
    </w:p>
    <w:p w14:paraId="4037BAFE">
      <w:pPr>
        <w:widowControl w:val="0"/>
        <w:kinsoku/>
        <w:autoSpaceDE/>
        <w:autoSpaceDN/>
        <w:adjustRightInd/>
        <w:spacing w:before="120" w:beforeLines="50" w:after="50"/>
        <w:jc w:val="both"/>
        <w:textAlignment w:val="auto"/>
        <w:rPr>
          <w:rFonts w:ascii="仿宋" w:hAnsi="仿宋" w:eastAsia="仿宋" w:cs="仿宋"/>
          <w:bCs/>
          <w:snapToGrid/>
          <w:color w:val="auto"/>
          <w:kern w:val="2"/>
          <w:sz w:val="24"/>
          <w:szCs w:val="20"/>
          <w:highlight w:val="none"/>
          <w:lang w:eastAsia="zh-CN"/>
        </w:rPr>
      </w:pPr>
    </w:p>
    <w:p w14:paraId="79525CA2">
      <w:pPr>
        <w:widowControl w:val="0"/>
        <w:kinsoku/>
        <w:autoSpaceDE/>
        <w:autoSpaceDN/>
        <w:adjustRightInd/>
        <w:spacing w:before="120" w:beforeLines="50" w:after="50"/>
        <w:ind w:firstLine="640" w:firstLineChars="200"/>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项目名称：</w:t>
      </w:r>
    </w:p>
    <w:p w14:paraId="13CC9937">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p>
    <w:p w14:paraId="017B3C05">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项目编号：</w:t>
      </w:r>
    </w:p>
    <w:p w14:paraId="07687DFE">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 xml:space="preserve"> </w:t>
      </w:r>
    </w:p>
    <w:p w14:paraId="0D1F767E">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所竞标段：</w:t>
      </w:r>
    </w:p>
    <w:p w14:paraId="3FBBA130">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p>
    <w:p w14:paraId="3A39D996">
      <w:pPr>
        <w:widowControl w:val="0"/>
        <w:kinsoku/>
        <w:autoSpaceDE/>
        <w:autoSpaceDN/>
        <w:adjustRightInd/>
        <w:spacing w:before="50" w:after="50"/>
        <w:ind w:firstLine="720" w:firstLineChars="225"/>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供应商名称：</w:t>
      </w:r>
    </w:p>
    <w:p w14:paraId="133F597E">
      <w:pPr>
        <w:widowControl w:val="0"/>
        <w:kinsoku/>
        <w:autoSpaceDE/>
        <w:autoSpaceDN/>
        <w:adjustRightInd/>
        <w:spacing w:before="50" w:after="50"/>
        <w:ind w:firstLine="720" w:firstLineChars="225"/>
        <w:jc w:val="both"/>
        <w:textAlignment w:val="auto"/>
        <w:rPr>
          <w:rFonts w:ascii="仿宋" w:hAnsi="仿宋" w:eastAsia="仿宋" w:cs="仿宋"/>
          <w:bCs/>
          <w:snapToGrid/>
          <w:color w:val="auto"/>
          <w:kern w:val="2"/>
          <w:sz w:val="32"/>
          <w:szCs w:val="32"/>
          <w:highlight w:val="none"/>
          <w:lang w:eastAsia="zh-CN"/>
        </w:rPr>
      </w:pPr>
    </w:p>
    <w:p w14:paraId="7B77E071">
      <w:pPr>
        <w:widowControl w:val="0"/>
        <w:kinsoku/>
        <w:autoSpaceDE/>
        <w:autoSpaceDN/>
        <w:adjustRightInd/>
        <w:spacing w:before="50" w:after="50"/>
        <w:ind w:firstLine="720" w:firstLineChars="225"/>
        <w:jc w:val="both"/>
        <w:textAlignment w:val="auto"/>
        <w:rPr>
          <w:rFonts w:ascii="仿宋" w:hAnsi="仿宋" w:eastAsia="仿宋" w:cs="仿宋"/>
          <w:bCs/>
          <w:snapToGrid/>
          <w:color w:val="auto"/>
          <w:kern w:val="2"/>
          <w:sz w:val="32"/>
          <w:szCs w:val="32"/>
          <w:highlight w:val="none"/>
          <w:lang w:eastAsia="zh-CN"/>
        </w:rPr>
      </w:pPr>
    </w:p>
    <w:p w14:paraId="044EF017">
      <w:pPr>
        <w:widowControl w:val="0"/>
        <w:kinsoku/>
        <w:autoSpaceDE/>
        <w:autoSpaceDN/>
        <w:adjustRightInd/>
        <w:spacing w:before="50" w:after="50"/>
        <w:ind w:firstLine="1280" w:firstLineChars="400"/>
        <w:jc w:val="both"/>
        <w:textAlignment w:val="auto"/>
        <w:rPr>
          <w:rFonts w:ascii="仿宋" w:hAnsi="仿宋" w:eastAsia="仿宋" w:cs="仿宋"/>
          <w:bCs/>
          <w:snapToGrid/>
          <w:color w:val="auto"/>
          <w:kern w:val="2"/>
          <w:sz w:val="32"/>
          <w:szCs w:val="32"/>
          <w:highlight w:val="none"/>
          <w:lang w:eastAsia="zh-CN"/>
        </w:rPr>
      </w:pPr>
    </w:p>
    <w:p w14:paraId="08487087">
      <w:pPr>
        <w:widowControl w:val="0"/>
        <w:kinsoku/>
        <w:autoSpaceDE/>
        <w:autoSpaceDN/>
        <w:adjustRightIn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32"/>
          <w:szCs w:val="32"/>
          <w:highlight w:val="none"/>
          <w:lang w:eastAsia="zh-CN"/>
        </w:rPr>
        <w:t>年    月    日</w:t>
      </w:r>
    </w:p>
    <w:p w14:paraId="4578A21A">
      <w:pPr>
        <w:widowControl w:val="0"/>
        <w:kinsoku/>
        <w:autoSpaceDE/>
        <w:autoSpaceDN/>
        <w:adjustRightInd/>
        <w:spacing w:line="360" w:lineRule="auto"/>
        <w:textAlignment w:val="auto"/>
        <w:outlineLvl w:val="2"/>
        <w:rPr>
          <w:rFonts w:ascii="仿宋" w:hAnsi="仿宋" w:eastAsia="仿宋" w:cs="仿宋"/>
          <w:b/>
          <w:bCs/>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bookmarkStart w:id="78" w:name="_Toc25469"/>
      <w:bookmarkStart w:id="79" w:name="_Toc27437"/>
      <w:bookmarkStart w:id="80" w:name="_Toc3370"/>
      <w:r>
        <w:rPr>
          <w:rFonts w:hint="eastAsia" w:ascii="仿宋" w:hAnsi="仿宋" w:eastAsia="仿宋" w:cs="仿宋"/>
          <w:b/>
          <w:bCs/>
          <w:snapToGrid/>
          <w:color w:val="auto"/>
          <w:kern w:val="2"/>
          <w:sz w:val="24"/>
          <w:szCs w:val="24"/>
          <w:highlight w:val="none"/>
          <w:lang w:eastAsia="zh-CN"/>
        </w:rPr>
        <w:t>2.报价文件目录</w:t>
      </w:r>
      <w:bookmarkEnd w:id="78"/>
      <w:bookmarkEnd w:id="79"/>
      <w:bookmarkEnd w:id="80"/>
    </w:p>
    <w:p w14:paraId="2F3B27CA">
      <w:pPr>
        <w:widowControl w:val="0"/>
        <w:kinsoku/>
        <w:autoSpaceDE/>
        <w:autoSpaceDN/>
        <w:adjustRightInd/>
        <w:snapToGrid/>
        <w:spacing w:line="360" w:lineRule="auto"/>
        <w:ind w:firstLine="480" w:firstLineChars="200"/>
        <w:textAlignment w:val="auto"/>
        <w:rPr>
          <w:rFonts w:ascii="仿宋" w:hAnsi="仿宋" w:eastAsia="仿宋" w:cs="仿宋"/>
          <w:b/>
          <w:bCs/>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根据磋商文件规定及供应商提供的材料自行编写目录（部分格式后附）。</w:t>
      </w:r>
      <w:r>
        <w:rPr>
          <w:rFonts w:hint="eastAsia" w:ascii="仿宋" w:hAnsi="仿宋" w:eastAsia="仿宋" w:cs="仿宋"/>
          <w:b/>
          <w:bCs/>
          <w:snapToGrid/>
          <w:color w:val="auto"/>
          <w:kern w:val="2"/>
          <w:sz w:val="24"/>
          <w:szCs w:val="24"/>
          <w:highlight w:val="none"/>
          <w:lang w:eastAsia="zh-CN"/>
        </w:rPr>
        <w:br w:type="page"/>
      </w:r>
    </w:p>
    <w:p w14:paraId="7DEEA1E6">
      <w:pPr>
        <w:widowControl w:val="0"/>
        <w:kinsoku/>
        <w:autoSpaceDE/>
        <w:autoSpaceDN/>
        <w:adjustRightInd/>
        <w:snapToGrid/>
        <w:spacing w:line="360" w:lineRule="auto"/>
        <w:textAlignment w:val="auto"/>
        <w:outlineLvl w:val="2"/>
        <w:rPr>
          <w:rFonts w:ascii="仿宋" w:hAnsi="仿宋" w:eastAsia="仿宋" w:cs="仿宋"/>
          <w:bCs/>
          <w:snapToGrid/>
          <w:color w:val="auto"/>
          <w:kern w:val="2"/>
          <w:sz w:val="24"/>
          <w:szCs w:val="24"/>
          <w:highlight w:val="none"/>
          <w:lang w:eastAsia="zh-CN"/>
        </w:rPr>
      </w:pPr>
      <w:bookmarkStart w:id="81" w:name="_Toc1229"/>
      <w:bookmarkStart w:id="82" w:name="_Toc3646"/>
      <w:bookmarkStart w:id="83" w:name="_Toc2718"/>
      <w:r>
        <w:rPr>
          <w:rFonts w:hint="eastAsia" w:ascii="仿宋" w:hAnsi="仿宋" w:eastAsia="仿宋" w:cs="仿宋"/>
          <w:b/>
          <w:bCs/>
          <w:snapToGrid/>
          <w:color w:val="auto"/>
          <w:kern w:val="2"/>
          <w:sz w:val="24"/>
          <w:szCs w:val="24"/>
          <w:highlight w:val="none"/>
          <w:lang w:eastAsia="zh-CN"/>
        </w:rPr>
        <w:t>3.竞标报价表</w:t>
      </w:r>
      <w:bookmarkEnd w:id="81"/>
      <w:bookmarkEnd w:id="82"/>
      <w:bookmarkEnd w:id="83"/>
    </w:p>
    <w:p w14:paraId="7A585C12">
      <w:pPr>
        <w:widowControl w:val="0"/>
        <w:kinsoku/>
        <w:autoSpaceDE/>
        <w:autoSpaceDN/>
        <w:adjustRightInd/>
        <w:snapToGrid/>
        <w:spacing w:line="360" w:lineRule="auto"/>
        <w:jc w:val="center"/>
        <w:textAlignment w:val="auto"/>
        <w:rPr>
          <w:rFonts w:ascii="仿宋" w:hAnsi="仿宋" w:eastAsia="仿宋" w:cs="仿宋"/>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竞  标  报  价  表</w:t>
      </w:r>
    </w:p>
    <w:p w14:paraId="3DD537DB">
      <w:pPr>
        <w:widowControl w:val="0"/>
        <w:kinsoku/>
        <w:autoSpaceDE/>
        <w:autoSpaceDN/>
        <w:adjustRightInd/>
        <w:spacing w:before="50" w:after="50"/>
        <w:jc w:val="both"/>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项目名称：</w:t>
      </w:r>
      <w:r>
        <w:rPr>
          <w:rFonts w:hint="eastAsia" w:ascii="仿宋" w:hAnsi="仿宋" w:eastAsia="仿宋" w:cs="仿宋"/>
          <w:snapToGrid/>
          <w:color w:val="auto"/>
          <w:kern w:val="2"/>
          <w:sz w:val="24"/>
          <w:szCs w:val="24"/>
          <w:highlight w:val="none"/>
          <w:u w:val="single"/>
          <w:lang w:eastAsia="zh-CN"/>
        </w:rPr>
        <w:t xml:space="preserve">           </w:t>
      </w:r>
      <w:r>
        <w:rPr>
          <w:rFonts w:hint="eastAsia" w:ascii="仿宋" w:hAnsi="仿宋" w:eastAsia="仿宋" w:cs="仿宋"/>
          <w:snapToGrid/>
          <w:color w:val="auto"/>
          <w:kern w:val="2"/>
          <w:sz w:val="24"/>
          <w:szCs w:val="24"/>
          <w:highlight w:val="none"/>
          <w:lang w:eastAsia="zh-CN"/>
        </w:rPr>
        <w:t xml:space="preserve">         </w:t>
      </w:r>
    </w:p>
    <w:p w14:paraId="4226BA23">
      <w:pPr>
        <w:widowControl w:val="0"/>
        <w:kinsoku/>
        <w:autoSpaceDE/>
        <w:autoSpaceDN/>
        <w:adjustRightInd/>
        <w:spacing w:before="50" w:after="50"/>
        <w:jc w:val="both"/>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项目编号：</w:t>
      </w:r>
      <w:r>
        <w:rPr>
          <w:rFonts w:hint="eastAsia" w:ascii="仿宋" w:hAnsi="仿宋" w:eastAsia="仿宋" w:cs="仿宋"/>
          <w:snapToGrid/>
          <w:color w:val="auto"/>
          <w:kern w:val="2"/>
          <w:sz w:val="24"/>
          <w:szCs w:val="24"/>
          <w:highlight w:val="none"/>
          <w:u w:val="single"/>
          <w:lang w:eastAsia="zh-CN"/>
        </w:rPr>
        <w:t xml:space="preserve">            </w:t>
      </w:r>
      <w:r>
        <w:rPr>
          <w:rFonts w:hint="eastAsia" w:ascii="仿宋" w:hAnsi="仿宋" w:eastAsia="仿宋" w:cs="仿宋"/>
          <w:snapToGrid/>
          <w:color w:val="auto"/>
          <w:kern w:val="2"/>
          <w:sz w:val="24"/>
          <w:szCs w:val="24"/>
          <w:highlight w:val="none"/>
          <w:lang w:eastAsia="zh-CN"/>
        </w:rPr>
        <w:t xml:space="preserve">         </w:t>
      </w:r>
    </w:p>
    <w:p w14:paraId="17AD3535">
      <w:pPr>
        <w:widowControl w:val="0"/>
        <w:kinsoku/>
        <w:autoSpaceDE/>
        <w:autoSpaceDN/>
        <w:adjustRightInd/>
        <w:snapToGrid/>
        <w:contextualSpacing/>
        <w:jc w:val="both"/>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所竞分标（如有则填写，无分标时填写“无”或者留空）：</w:t>
      </w:r>
      <w:r>
        <w:rPr>
          <w:rFonts w:hint="eastAsia" w:ascii="仿宋" w:hAnsi="仿宋" w:eastAsia="仿宋" w:cs="仿宋"/>
          <w:snapToGrid/>
          <w:color w:val="auto"/>
          <w:kern w:val="2"/>
          <w:sz w:val="24"/>
          <w:szCs w:val="24"/>
          <w:highlight w:val="none"/>
          <w:u w:val="single"/>
          <w:lang w:eastAsia="zh-CN"/>
        </w:rPr>
        <w:t xml:space="preserve">                  </w:t>
      </w:r>
      <w:r>
        <w:rPr>
          <w:rFonts w:hint="eastAsia" w:ascii="仿宋" w:hAnsi="仿宋" w:eastAsia="仿宋" w:cs="仿宋"/>
          <w:snapToGrid/>
          <w:color w:val="auto"/>
          <w:kern w:val="2"/>
          <w:sz w:val="24"/>
          <w:szCs w:val="24"/>
          <w:highlight w:val="none"/>
          <w:lang w:eastAsia="zh-CN"/>
        </w:rPr>
        <w:t xml:space="preserve">                  </w:t>
      </w:r>
    </w:p>
    <w:tbl>
      <w:tblPr>
        <w:tblStyle w:val="24"/>
        <w:tblW w:w="945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2657"/>
        <w:gridCol w:w="1259"/>
        <w:gridCol w:w="1422"/>
        <w:gridCol w:w="2056"/>
        <w:gridCol w:w="1422"/>
      </w:tblGrid>
      <w:tr w14:paraId="4586C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638" w:type="dxa"/>
            <w:tcBorders>
              <w:top w:val="single" w:color="000000" w:sz="2" w:space="0"/>
              <w:left w:val="single" w:color="000000" w:sz="2" w:space="0"/>
              <w:bottom w:val="single" w:color="000000" w:sz="2" w:space="0"/>
              <w:right w:val="single" w:color="000000" w:sz="2" w:space="0"/>
            </w:tcBorders>
          </w:tcPr>
          <w:p w14:paraId="71FAFD22">
            <w:pPr>
              <w:pStyle w:val="32"/>
              <w:spacing w:before="210" w:line="400" w:lineRule="exact"/>
              <w:jc w:val="center"/>
              <w:rPr>
                <w:color w:val="auto"/>
                <w:sz w:val="21"/>
                <w:szCs w:val="21"/>
                <w:highlight w:val="none"/>
              </w:rPr>
            </w:pPr>
            <w:r>
              <w:rPr>
                <w:rFonts w:hint="eastAsia"/>
                <w:color w:val="auto"/>
                <w:spacing w:val="1"/>
                <w:sz w:val="21"/>
                <w:szCs w:val="21"/>
                <w:highlight w:val="none"/>
              </w:rPr>
              <w:t>序号</w:t>
            </w:r>
          </w:p>
        </w:tc>
        <w:tc>
          <w:tcPr>
            <w:tcW w:w="2657" w:type="dxa"/>
            <w:tcBorders>
              <w:top w:val="single" w:color="000000" w:sz="2" w:space="0"/>
              <w:left w:val="single" w:color="000000" w:sz="2" w:space="0"/>
              <w:bottom w:val="single" w:color="000000" w:sz="2" w:space="0"/>
              <w:right w:val="single" w:color="000000" w:sz="2" w:space="0"/>
            </w:tcBorders>
          </w:tcPr>
          <w:p w14:paraId="6C663F8D">
            <w:pPr>
              <w:pStyle w:val="32"/>
              <w:spacing w:before="210" w:line="400" w:lineRule="exact"/>
              <w:jc w:val="center"/>
              <w:rPr>
                <w:color w:val="auto"/>
                <w:spacing w:val="1"/>
                <w:sz w:val="21"/>
                <w:szCs w:val="21"/>
                <w:highlight w:val="none"/>
              </w:rPr>
            </w:pPr>
            <w:r>
              <w:rPr>
                <w:rFonts w:hint="eastAsia"/>
                <w:color w:val="auto"/>
                <w:spacing w:val="1"/>
                <w:sz w:val="21"/>
                <w:szCs w:val="21"/>
                <w:highlight w:val="none"/>
              </w:rPr>
              <w:t>标的名称</w:t>
            </w:r>
          </w:p>
        </w:tc>
        <w:tc>
          <w:tcPr>
            <w:tcW w:w="1259" w:type="dxa"/>
            <w:tcBorders>
              <w:top w:val="single" w:color="000000" w:sz="2" w:space="0"/>
              <w:left w:val="single" w:color="000000" w:sz="2" w:space="0"/>
              <w:bottom w:val="single" w:color="000000" w:sz="2" w:space="0"/>
              <w:right w:val="single" w:color="000000" w:sz="2" w:space="0"/>
            </w:tcBorders>
          </w:tcPr>
          <w:p w14:paraId="47973461">
            <w:pPr>
              <w:pStyle w:val="32"/>
              <w:spacing w:before="210" w:line="400" w:lineRule="exact"/>
              <w:jc w:val="center"/>
              <w:rPr>
                <w:color w:val="auto"/>
                <w:spacing w:val="1"/>
                <w:sz w:val="21"/>
                <w:szCs w:val="21"/>
                <w:highlight w:val="none"/>
                <w:lang w:eastAsia="zh-CN"/>
              </w:rPr>
            </w:pPr>
            <w:r>
              <w:rPr>
                <w:rFonts w:hint="eastAsia"/>
                <w:color w:val="auto"/>
                <w:spacing w:val="1"/>
                <w:sz w:val="21"/>
                <w:szCs w:val="21"/>
                <w:highlight w:val="none"/>
              </w:rPr>
              <w:t>数量</w:t>
            </w:r>
            <w:r>
              <w:rPr>
                <w:rFonts w:hint="eastAsia"/>
                <w:color w:val="auto"/>
                <w:spacing w:val="1"/>
                <w:sz w:val="21"/>
                <w:szCs w:val="21"/>
                <w:highlight w:val="none"/>
                <w:lang w:eastAsia="zh-CN"/>
              </w:rPr>
              <w:t>及单位</w:t>
            </w:r>
          </w:p>
        </w:tc>
        <w:tc>
          <w:tcPr>
            <w:tcW w:w="1422" w:type="dxa"/>
            <w:tcBorders>
              <w:top w:val="single" w:color="000000" w:sz="2" w:space="0"/>
              <w:left w:val="single" w:color="000000" w:sz="2" w:space="0"/>
              <w:bottom w:val="single" w:color="000000" w:sz="2" w:space="0"/>
              <w:right w:val="single" w:color="000000" w:sz="2" w:space="0"/>
            </w:tcBorders>
          </w:tcPr>
          <w:p w14:paraId="2880E568">
            <w:pPr>
              <w:pStyle w:val="32"/>
              <w:spacing w:before="210" w:line="400" w:lineRule="exact"/>
              <w:jc w:val="center"/>
              <w:rPr>
                <w:color w:val="auto"/>
                <w:spacing w:val="1"/>
                <w:sz w:val="21"/>
                <w:szCs w:val="21"/>
                <w:highlight w:val="none"/>
                <w:lang w:eastAsia="zh-CN"/>
              </w:rPr>
            </w:pPr>
            <w:r>
              <w:rPr>
                <w:rFonts w:hint="eastAsia"/>
                <w:color w:val="auto"/>
                <w:spacing w:val="1"/>
                <w:sz w:val="21"/>
                <w:szCs w:val="21"/>
                <w:highlight w:val="none"/>
                <w:lang w:eastAsia="zh-CN"/>
              </w:rPr>
              <w:t>单价</w:t>
            </w:r>
          </w:p>
        </w:tc>
        <w:tc>
          <w:tcPr>
            <w:tcW w:w="2056" w:type="dxa"/>
            <w:tcBorders>
              <w:top w:val="single" w:color="000000" w:sz="2" w:space="0"/>
              <w:left w:val="single" w:color="000000" w:sz="2" w:space="0"/>
              <w:bottom w:val="single" w:color="000000" w:sz="2" w:space="0"/>
              <w:right w:val="single" w:color="000000" w:sz="2" w:space="0"/>
            </w:tcBorders>
          </w:tcPr>
          <w:p w14:paraId="6561E100">
            <w:pPr>
              <w:pStyle w:val="32"/>
              <w:spacing w:before="210" w:line="400" w:lineRule="exact"/>
              <w:jc w:val="center"/>
              <w:rPr>
                <w:color w:val="auto"/>
                <w:spacing w:val="1"/>
                <w:sz w:val="21"/>
                <w:szCs w:val="21"/>
                <w:highlight w:val="none"/>
                <w:lang w:eastAsia="zh-CN"/>
              </w:rPr>
            </w:pPr>
            <w:r>
              <w:rPr>
                <w:rFonts w:hint="eastAsia"/>
                <w:color w:val="auto"/>
                <w:sz w:val="21"/>
                <w:szCs w:val="21"/>
                <w:highlight w:val="none"/>
                <w:lang w:eastAsia="zh-CN"/>
              </w:rPr>
              <w:t>合价</w:t>
            </w:r>
          </w:p>
        </w:tc>
        <w:tc>
          <w:tcPr>
            <w:tcW w:w="1422" w:type="dxa"/>
            <w:tcBorders>
              <w:top w:val="single" w:color="000000" w:sz="2" w:space="0"/>
              <w:left w:val="single" w:color="000000" w:sz="2" w:space="0"/>
              <w:bottom w:val="single" w:color="000000" w:sz="2" w:space="0"/>
              <w:right w:val="single" w:color="000000" w:sz="2" w:space="0"/>
            </w:tcBorders>
          </w:tcPr>
          <w:p w14:paraId="1A58877B">
            <w:pPr>
              <w:pStyle w:val="32"/>
              <w:spacing w:before="210" w:line="400" w:lineRule="exact"/>
              <w:jc w:val="center"/>
              <w:rPr>
                <w:color w:val="auto"/>
                <w:spacing w:val="1"/>
                <w:sz w:val="21"/>
                <w:szCs w:val="21"/>
                <w:highlight w:val="none"/>
              </w:rPr>
            </w:pPr>
            <w:r>
              <w:rPr>
                <w:rFonts w:hint="eastAsia"/>
                <w:color w:val="auto"/>
                <w:spacing w:val="1"/>
                <w:sz w:val="21"/>
                <w:szCs w:val="21"/>
                <w:highlight w:val="none"/>
              </w:rPr>
              <w:t>备注</w:t>
            </w:r>
          </w:p>
        </w:tc>
      </w:tr>
      <w:tr w14:paraId="79D52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jc w:val="center"/>
        </w:trPr>
        <w:tc>
          <w:tcPr>
            <w:tcW w:w="638" w:type="dxa"/>
            <w:tcBorders>
              <w:top w:val="single" w:color="000000" w:sz="2" w:space="0"/>
              <w:left w:val="single" w:color="000000" w:sz="2" w:space="0"/>
              <w:bottom w:val="single" w:color="000000" w:sz="2" w:space="0"/>
              <w:right w:val="single" w:color="000000" w:sz="2" w:space="0"/>
            </w:tcBorders>
            <w:vAlign w:val="center"/>
          </w:tcPr>
          <w:p w14:paraId="7A62B234">
            <w:pPr>
              <w:spacing w:before="60" w:line="400" w:lineRule="exact"/>
              <w:ind w:left="288"/>
              <w:rPr>
                <w:rFonts w:ascii="宋体" w:hAnsi="宋体" w:eastAsia="宋体" w:cs="宋体"/>
                <w:color w:val="auto"/>
                <w:highlight w:val="none"/>
              </w:rPr>
            </w:pPr>
          </w:p>
        </w:tc>
        <w:tc>
          <w:tcPr>
            <w:tcW w:w="2657" w:type="dxa"/>
            <w:tcBorders>
              <w:top w:val="single" w:color="000000" w:sz="2" w:space="0"/>
              <w:left w:val="single" w:color="000000" w:sz="2" w:space="0"/>
              <w:bottom w:val="single" w:color="000000" w:sz="2" w:space="0"/>
              <w:right w:val="single" w:color="000000" w:sz="2" w:space="0"/>
            </w:tcBorders>
            <w:vAlign w:val="center"/>
          </w:tcPr>
          <w:p w14:paraId="3BBE71B8">
            <w:pPr>
              <w:pStyle w:val="32"/>
              <w:spacing w:before="107" w:line="400" w:lineRule="exact"/>
              <w:ind w:left="205" w:right="195"/>
              <w:jc w:val="center"/>
              <w:rPr>
                <w:color w:val="auto"/>
                <w:sz w:val="21"/>
                <w:szCs w:val="21"/>
                <w:highlight w:val="none"/>
              </w:rPr>
            </w:pPr>
          </w:p>
        </w:tc>
        <w:tc>
          <w:tcPr>
            <w:tcW w:w="1259" w:type="dxa"/>
            <w:tcBorders>
              <w:top w:val="single" w:color="000000" w:sz="2" w:space="0"/>
              <w:left w:val="single" w:color="000000" w:sz="2" w:space="0"/>
              <w:bottom w:val="single" w:color="000000" w:sz="2" w:space="0"/>
              <w:right w:val="single" w:color="000000" w:sz="2" w:space="0"/>
            </w:tcBorders>
            <w:vAlign w:val="center"/>
          </w:tcPr>
          <w:p w14:paraId="54227744">
            <w:pPr>
              <w:spacing w:before="60" w:line="400" w:lineRule="exact"/>
              <w:ind w:left="452"/>
              <w:rPr>
                <w:rFonts w:ascii="宋体" w:hAnsi="宋体" w:eastAsia="宋体" w:cs="宋体"/>
                <w:color w:val="auto"/>
                <w:highlight w:val="none"/>
              </w:rPr>
            </w:pPr>
            <w:r>
              <w:rPr>
                <w:rFonts w:hint="eastAsia" w:ascii="宋体" w:hAnsi="宋体" w:eastAsia="宋体" w:cs="宋体"/>
                <w:color w:val="auto"/>
                <w:highlight w:val="none"/>
              </w:rPr>
              <w:t>1项</w:t>
            </w:r>
          </w:p>
        </w:tc>
        <w:tc>
          <w:tcPr>
            <w:tcW w:w="1422" w:type="dxa"/>
            <w:tcBorders>
              <w:top w:val="single" w:color="000000" w:sz="2" w:space="0"/>
              <w:left w:val="single" w:color="000000" w:sz="2" w:space="0"/>
              <w:bottom w:val="single" w:color="000000" w:sz="2" w:space="0"/>
              <w:right w:val="single" w:color="000000" w:sz="2" w:space="0"/>
            </w:tcBorders>
            <w:vAlign w:val="center"/>
          </w:tcPr>
          <w:p w14:paraId="5C069105">
            <w:pPr>
              <w:pStyle w:val="32"/>
              <w:spacing w:before="68" w:line="400" w:lineRule="exact"/>
              <w:jc w:val="center"/>
              <w:rPr>
                <w:color w:val="auto"/>
                <w:sz w:val="21"/>
                <w:szCs w:val="21"/>
                <w:highlight w:val="none"/>
              </w:rPr>
            </w:pPr>
          </w:p>
        </w:tc>
        <w:tc>
          <w:tcPr>
            <w:tcW w:w="2056" w:type="dxa"/>
            <w:tcBorders>
              <w:top w:val="single" w:color="000000" w:sz="2" w:space="0"/>
              <w:left w:val="single" w:color="000000" w:sz="2" w:space="0"/>
              <w:bottom w:val="single" w:color="000000" w:sz="2" w:space="0"/>
              <w:right w:val="single" w:color="000000" w:sz="2" w:space="0"/>
            </w:tcBorders>
            <w:vAlign w:val="center"/>
          </w:tcPr>
          <w:p w14:paraId="05723F06">
            <w:pPr>
              <w:spacing w:line="400" w:lineRule="exact"/>
              <w:jc w:val="center"/>
              <w:rPr>
                <w:rFonts w:ascii="宋体" w:hAnsi="宋体" w:eastAsia="宋体" w:cs="宋体"/>
                <w:color w:val="auto"/>
                <w:highlight w:val="none"/>
              </w:rPr>
            </w:pPr>
          </w:p>
        </w:tc>
        <w:tc>
          <w:tcPr>
            <w:tcW w:w="1422" w:type="dxa"/>
            <w:tcBorders>
              <w:top w:val="single" w:color="000000" w:sz="2" w:space="0"/>
              <w:left w:val="single" w:color="000000" w:sz="2" w:space="0"/>
              <w:bottom w:val="single" w:color="000000" w:sz="2" w:space="0"/>
              <w:right w:val="single" w:color="000000" w:sz="2" w:space="0"/>
            </w:tcBorders>
            <w:vAlign w:val="center"/>
          </w:tcPr>
          <w:p w14:paraId="0FDCC7E9">
            <w:pPr>
              <w:spacing w:line="400" w:lineRule="exact"/>
              <w:jc w:val="center"/>
              <w:rPr>
                <w:rFonts w:ascii="宋体" w:hAnsi="宋体" w:eastAsia="宋体" w:cs="宋体"/>
                <w:color w:val="auto"/>
                <w:highlight w:val="none"/>
              </w:rPr>
            </w:pPr>
          </w:p>
        </w:tc>
      </w:tr>
      <w:tr w14:paraId="1C37F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9454" w:type="dxa"/>
            <w:gridSpan w:val="6"/>
            <w:tcBorders>
              <w:top w:val="single" w:color="000000" w:sz="2" w:space="0"/>
              <w:left w:val="single" w:color="000000" w:sz="2" w:space="0"/>
              <w:bottom w:val="single" w:color="000000" w:sz="2" w:space="0"/>
              <w:right w:val="single" w:color="000000" w:sz="2" w:space="0"/>
            </w:tcBorders>
            <w:vAlign w:val="center"/>
          </w:tcPr>
          <w:p w14:paraId="19F7CDDB">
            <w:pPr>
              <w:spacing w:before="50" w:after="50" w:line="400" w:lineRule="exact"/>
              <w:ind w:firstLine="527" w:firstLineChars="250"/>
              <w:jc w:val="both"/>
              <w:rPr>
                <w:rFonts w:ascii="宋体" w:hAnsi="宋体" w:eastAsia="宋体" w:cs="宋体"/>
                <w:color w:val="auto"/>
                <w:highlight w:val="none"/>
                <w:lang w:eastAsia="zh-CN"/>
              </w:rPr>
            </w:pPr>
            <w:r>
              <w:rPr>
                <w:rFonts w:hint="eastAsia" w:ascii="宋体" w:hAnsi="宋体" w:eastAsia="宋体" w:cs="宋体"/>
                <w:b/>
                <w:color w:val="auto"/>
                <w:highlight w:val="none"/>
                <w:lang w:eastAsia="zh-CN"/>
              </w:rPr>
              <w:t>投标总报价：</w:t>
            </w:r>
            <w:r>
              <w:rPr>
                <w:rFonts w:hint="eastAsia" w:ascii="宋体" w:hAnsi="宋体" w:eastAsia="宋体" w:cs="宋体"/>
                <w:b/>
                <w:bCs/>
                <w:color w:val="auto"/>
                <w:highlight w:val="none"/>
                <w:lang w:eastAsia="zh-CN"/>
              </w:rPr>
              <w:t xml:space="preserve">（大写）人民币 </w:t>
            </w:r>
            <w:r>
              <w:rPr>
                <w:rFonts w:hint="eastAsia" w:ascii="宋体" w:hAnsi="宋体" w:eastAsia="宋体" w:cs="宋体"/>
                <w:b/>
                <w:bCs/>
                <w:color w:val="auto"/>
                <w:highlight w:val="none"/>
                <w:u w:val="single"/>
                <w:lang w:eastAsia="zh-CN"/>
              </w:rPr>
              <w:t xml:space="preserve">                 （¥            ）</w:t>
            </w:r>
          </w:p>
        </w:tc>
      </w:tr>
      <w:tr w14:paraId="54307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9454" w:type="dxa"/>
            <w:gridSpan w:val="6"/>
            <w:tcBorders>
              <w:top w:val="single" w:color="000000" w:sz="2" w:space="0"/>
              <w:left w:val="single" w:color="000000" w:sz="2" w:space="0"/>
              <w:right w:val="single" w:color="000000" w:sz="2" w:space="0"/>
            </w:tcBorders>
            <w:vAlign w:val="center"/>
          </w:tcPr>
          <w:p w14:paraId="4EB454E5">
            <w:pPr>
              <w:pStyle w:val="32"/>
              <w:spacing w:before="161" w:line="400" w:lineRule="exact"/>
              <w:ind w:left="117" w:firstLine="422" w:firstLineChars="200"/>
              <w:jc w:val="both"/>
              <w:rPr>
                <w:b/>
                <w:color w:val="auto"/>
                <w:sz w:val="21"/>
                <w:szCs w:val="21"/>
                <w:highlight w:val="none"/>
              </w:rPr>
            </w:pPr>
            <w:r>
              <w:rPr>
                <w:rFonts w:hint="eastAsia"/>
                <w:b/>
                <w:color w:val="auto"/>
                <w:sz w:val="21"/>
                <w:szCs w:val="21"/>
                <w:highlight w:val="none"/>
              </w:rPr>
              <w:t>合同履约期限：</w:t>
            </w:r>
            <w:r>
              <w:rPr>
                <w:rFonts w:hint="eastAsia"/>
                <w:b/>
                <w:color w:val="auto"/>
                <w:sz w:val="21"/>
                <w:szCs w:val="21"/>
                <w:highlight w:val="none"/>
                <w:u w:val="single"/>
              </w:rPr>
              <w:t xml:space="preserve">                            </w:t>
            </w:r>
          </w:p>
        </w:tc>
      </w:tr>
    </w:tbl>
    <w:p w14:paraId="3ED2F76B">
      <w:pPr>
        <w:widowControl w:val="0"/>
        <w:kinsoku/>
        <w:autoSpaceDE/>
        <w:autoSpaceDN/>
        <w:adjustRightInd/>
        <w:spacing w:before="50" w:after="50" w:line="360" w:lineRule="auto"/>
        <w:textAlignment w:val="auto"/>
        <w:rPr>
          <w:rFonts w:ascii="仿宋" w:hAnsi="仿宋" w:eastAsia="仿宋" w:cs="仿宋"/>
          <w:snapToGrid/>
          <w:color w:val="auto"/>
          <w:highlight w:val="none"/>
          <w:lang w:val="zh-CN" w:eastAsia="zh-CN"/>
        </w:rPr>
      </w:pPr>
    </w:p>
    <w:p w14:paraId="6896260F">
      <w:pPr>
        <w:widowControl w:val="0"/>
        <w:kinsoku/>
        <w:autoSpaceDE/>
        <w:autoSpaceDN/>
        <w:adjustRightInd/>
        <w:spacing w:before="50" w:after="50" w:line="360" w:lineRule="auto"/>
        <w:ind w:firstLine="420" w:firstLineChars="200"/>
        <w:textAlignment w:val="auto"/>
        <w:rPr>
          <w:rFonts w:ascii="仿宋" w:hAnsi="仿宋" w:eastAsia="仿宋" w:cs="仿宋"/>
          <w:snapToGrid/>
          <w:color w:val="auto"/>
          <w:highlight w:val="none"/>
          <w:lang w:val="zh-CN" w:eastAsia="zh-CN"/>
        </w:rPr>
      </w:pPr>
    </w:p>
    <w:p w14:paraId="127F7179">
      <w:pPr>
        <w:widowControl w:val="0"/>
        <w:kinsoku/>
        <w:autoSpaceDE/>
        <w:autoSpaceDN/>
        <w:adjustRightInd/>
        <w:spacing w:before="50" w:after="50" w:line="360" w:lineRule="auto"/>
        <w:ind w:firstLine="420" w:firstLineChars="200"/>
        <w:textAlignment w:val="auto"/>
        <w:rPr>
          <w:rFonts w:ascii="仿宋" w:hAnsi="仿宋" w:eastAsia="仿宋" w:cs="仿宋"/>
          <w:snapToGrid/>
          <w:color w:val="auto"/>
          <w:highlight w:val="none"/>
          <w:lang w:val="zh-CN" w:eastAsia="zh-CN"/>
        </w:rPr>
      </w:pPr>
      <w:r>
        <w:rPr>
          <w:rFonts w:hint="eastAsia" w:ascii="仿宋" w:hAnsi="仿宋" w:eastAsia="仿宋" w:cs="仿宋"/>
          <w:snapToGrid/>
          <w:color w:val="auto"/>
          <w:highlight w:val="none"/>
          <w:lang w:val="zh-CN" w:eastAsia="zh-CN"/>
        </w:rPr>
        <w:t xml:space="preserve">注： </w:t>
      </w:r>
    </w:p>
    <w:p w14:paraId="5A25C4FC">
      <w:pPr>
        <w:widowControl w:val="0"/>
        <w:kinsoku/>
        <w:autoSpaceDE/>
        <w:autoSpaceDN/>
        <w:adjustRightInd/>
        <w:spacing w:before="50" w:after="50" w:line="360" w:lineRule="auto"/>
        <w:ind w:firstLine="420" w:firstLineChars="200"/>
        <w:textAlignment w:val="auto"/>
        <w:rPr>
          <w:rFonts w:ascii="仿宋" w:hAnsi="仿宋" w:eastAsia="仿宋" w:cs="仿宋"/>
          <w:snapToGrid/>
          <w:color w:val="auto"/>
          <w:highlight w:val="none"/>
          <w:lang w:val="zh-CN" w:eastAsia="zh-CN"/>
        </w:rPr>
      </w:pPr>
      <w:r>
        <w:rPr>
          <w:rFonts w:hint="eastAsia" w:ascii="仿宋" w:hAnsi="仿宋" w:eastAsia="仿宋" w:cs="仿宋"/>
          <w:snapToGrid/>
          <w:color w:val="auto"/>
          <w:highlight w:val="none"/>
          <w:lang w:val="zh-CN" w:eastAsia="zh-CN"/>
        </w:rPr>
        <w:t>1、供应商需按本表格式填写，不得自行更改，也不得留空（</w:t>
      </w:r>
      <w:r>
        <w:rPr>
          <w:rFonts w:hint="eastAsia" w:ascii="仿宋" w:hAnsi="仿宋" w:eastAsia="仿宋" w:cs="仿宋"/>
          <w:snapToGrid/>
          <w:color w:val="auto"/>
          <w:kern w:val="2"/>
          <w:highlight w:val="none"/>
          <w:lang w:eastAsia="zh-CN"/>
        </w:rPr>
        <w:t>备注一栏除外</w:t>
      </w:r>
      <w:r>
        <w:rPr>
          <w:rFonts w:hint="eastAsia" w:ascii="仿宋" w:hAnsi="仿宋" w:eastAsia="仿宋" w:cs="仿宋"/>
          <w:snapToGrid/>
          <w:color w:val="auto"/>
          <w:highlight w:val="none"/>
          <w:lang w:val="zh-CN" w:eastAsia="zh-CN"/>
        </w:rPr>
        <w:t>）, 如有多分标，按分标分别提供响应报价表，</w:t>
      </w:r>
      <w:r>
        <w:rPr>
          <w:rFonts w:hint="eastAsia" w:ascii="仿宋" w:hAnsi="仿宋" w:eastAsia="仿宋" w:cs="仿宋"/>
          <w:b/>
          <w:snapToGrid/>
          <w:color w:val="auto"/>
          <w:highlight w:val="none"/>
          <w:lang w:val="zh-CN" w:eastAsia="zh-CN"/>
        </w:rPr>
        <w:t>否则其响应按无效响应处理。</w:t>
      </w:r>
    </w:p>
    <w:p w14:paraId="171DD6F4">
      <w:pPr>
        <w:widowControl w:val="0"/>
        <w:kinsoku/>
        <w:autoSpaceDE/>
        <w:autoSpaceDN/>
        <w:adjustRightInd/>
        <w:spacing w:before="50" w:after="50" w:line="360" w:lineRule="auto"/>
        <w:ind w:firstLine="420" w:firstLineChars="200"/>
        <w:textAlignment w:val="auto"/>
        <w:rPr>
          <w:rFonts w:ascii="仿宋" w:hAnsi="仿宋" w:eastAsia="仿宋" w:cs="仿宋"/>
          <w:b/>
          <w:snapToGrid/>
          <w:color w:val="auto"/>
          <w:highlight w:val="none"/>
          <w:lang w:val="zh-CN" w:eastAsia="zh-CN"/>
        </w:rPr>
      </w:pPr>
      <w:r>
        <w:rPr>
          <w:rFonts w:hint="eastAsia" w:ascii="仿宋" w:hAnsi="仿宋" w:eastAsia="仿宋" w:cs="仿宋"/>
          <w:snapToGrid/>
          <w:color w:val="auto"/>
          <w:highlight w:val="none"/>
          <w:lang w:val="zh-CN" w:eastAsia="zh-CN"/>
        </w:rPr>
        <w:t>2、如为联合体响应的，“供应商名称”处必须列明联合体各方名称，并标注联合体牵头人名称，且盖章处须加盖联合体各方公章，</w:t>
      </w:r>
      <w:r>
        <w:rPr>
          <w:rFonts w:hint="eastAsia" w:ascii="仿宋" w:hAnsi="仿宋" w:eastAsia="仿宋" w:cs="仿宋"/>
          <w:b/>
          <w:snapToGrid/>
          <w:color w:val="auto"/>
          <w:highlight w:val="none"/>
          <w:lang w:val="zh-CN" w:eastAsia="zh-CN"/>
        </w:rPr>
        <w:t>否则其响应按无效响应处理。</w:t>
      </w:r>
    </w:p>
    <w:p w14:paraId="2BCF3D57">
      <w:pPr>
        <w:widowControl w:val="0"/>
        <w:kinsoku/>
        <w:autoSpaceDE/>
        <w:autoSpaceDN/>
        <w:adjustRightInd/>
        <w:spacing w:before="50" w:after="50" w:line="360" w:lineRule="auto"/>
        <w:ind w:firstLine="420" w:firstLineChars="200"/>
        <w:textAlignment w:val="auto"/>
        <w:rPr>
          <w:rFonts w:ascii="仿宋" w:hAnsi="仿宋" w:eastAsia="仿宋" w:cs="仿宋"/>
          <w:b/>
          <w:snapToGrid/>
          <w:color w:val="auto"/>
          <w:highlight w:val="none"/>
          <w:lang w:val="zh-CN" w:eastAsia="zh-CN"/>
        </w:rPr>
      </w:pPr>
      <w:r>
        <w:rPr>
          <w:rFonts w:hint="eastAsia" w:ascii="仿宋" w:hAnsi="仿宋" w:eastAsia="仿宋" w:cs="仿宋"/>
          <w:snapToGrid/>
          <w:color w:val="auto"/>
          <w:highlight w:val="none"/>
          <w:lang w:val="zh-CN" w:eastAsia="zh-CN"/>
        </w:rPr>
        <w:t>3、</w:t>
      </w:r>
      <w:r>
        <w:rPr>
          <w:rFonts w:hint="eastAsia" w:ascii="仿宋" w:hAnsi="仿宋" w:eastAsia="仿宋" w:cs="仿宋"/>
          <w:snapToGrid/>
          <w:color w:val="auto"/>
          <w:highlight w:val="none"/>
          <w:lang w:eastAsia="zh-CN"/>
        </w:rPr>
        <w:t>请</w:t>
      </w:r>
      <w:r>
        <w:rPr>
          <w:rFonts w:hint="eastAsia" w:ascii="仿宋" w:hAnsi="仿宋" w:eastAsia="仿宋" w:cs="仿宋"/>
          <w:snapToGrid/>
          <w:color w:val="auto"/>
          <w:kern w:val="2"/>
          <w:highlight w:val="none"/>
          <w:lang w:eastAsia="zh-CN"/>
        </w:rPr>
        <w:t>根据所竞服务内容，逐条对应本项目竞争性磋商文件“第二章 采购需求”中“服务要求”的内容详细填写相应的具体内容。</w:t>
      </w:r>
    </w:p>
    <w:p w14:paraId="06891CD1">
      <w:pPr>
        <w:widowControl w:val="0"/>
        <w:kinsoku/>
        <w:autoSpaceDE/>
        <w:autoSpaceDN/>
        <w:adjustRightInd/>
        <w:spacing w:line="360" w:lineRule="auto"/>
        <w:ind w:firstLine="420" w:firstLineChars="200"/>
        <w:textAlignment w:val="auto"/>
        <w:rPr>
          <w:rFonts w:ascii="仿宋" w:hAnsi="仿宋" w:eastAsia="仿宋" w:cs="仿宋"/>
          <w:snapToGrid/>
          <w:color w:val="auto"/>
          <w:highlight w:val="none"/>
          <w:lang w:val="zh-CN" w:eastAsia="zh-CN"/>
        </w:rPr>
      </w:pPr>
      <w:r>
        <w:rPr>
          <w:rFonts w:hint="eastAsia" w:ascii="仿宋" w:hAnsi="仿宋" w:eastAsia="仿宋" w:cs="仿宋"/>
          <w:snapToGrid/>
          <w:color w:val="auto"/>
          <w:highlight w:val="none"/>
          <w:lang w:val="zh-CN" w:eastAsia="zh-CN"/>
        </w:rPr>
        <w:t>4、特别提示：采购代理机构将对项目名称和项目编号，成交供应商名称、地址和成交金额，主要成交标的名称、服务范围、服务要求、服务时间、服务标准等予以公示。</w:t>
      </w:r>
    </w:p>
    <w:p w14:paraId="3D255192">
      <w:pPr>
        <w:widowControl w:val="0"/>
        <w:kinsoku/>
        <w:autoSpaceDE/>
        <w:autoSpaceDN/>
        <w:adjustRightInd/>
        <w:spacing w:line="360" w:lineRule="auto"/>
        <w:ind w:firstLine="420" w:firstLineChars="200"/>
        <w:textAlignment w:val="auto"/>
        <w:rPr>
          <w:rFonts w:ascii="仿宋" w:hAnsi="仿宋" w:eastAsia="仿宋" w:cs="仿宋"/>
          <w:snapToGrid/>
          <w:color w:val="auto"/>
          <w:highlight w:val="none"/>
          <w:lang w:val="zh-CN" w:eastAsia="zh-CN"/>
        </w:rPr>
      </w:pPr>
      <w:r>
        <w:rPr>
          <w:rFonts w:hint="eastAsia" w:ascii="仿宋" w:hAnsi="仿宋" w:eastAsia="仿宋" w:cs="仿宋"/>
          <w:snapToGrid/>
          <w:color w:val="auto"/>
          <w:highlight w:val="none"/>
          <w:lang w:val="zh-CN" w:eastAsia="zh-CN"/>
        </w:rPr>
        <w:t>5、符合采购文件中列明的可享受中小企业扶持政策的供应商，请填写中小企业声明函。</w:t>
      </w:r>
    </w:p>
    <w:p w14:paraId="4A71E411">
      <w:pPr>
        <w:widowControl w:val="0"/>
        <w:kinsoku/>
        <w:autoSpaceDE/>
        <w:autoSpaceDN/>
        <w:adjustRightInd/>
        <w:spacing w:line="360" w:lineRule="auto"/>
        <w:ind w:firstLine="420" w:firstLineChars="200"/>
        <w:textAlignment w:val="auto"/>
        <w:rPr>
          <w:rFonts w:ascii="仿宋" w:hAnsi="仿宋" w:eastAsia="仿宋" w:cs="仿宋"/>
          <w:snapToGrid/>
          <w:color w:val="auto"/>
          <w:highlight w:val="none"/>
          <w:lang w:val="zh-CN" w:eastAsia="zh-CN"/>
        </w:rPr>
      </w:pPr>
      <w:r>
        <w:rPr>
          <w:rFonts w:hint="eastAsia" w:ascii="仿宋" w:hAnsi="仿宋" w:eastAsia="仿宋" w:cs="仿宋"/>
          <w:snapToGrid/>
          <w:color w:val="auto"/>
          <w:highlight w:val="none"/>
          <w:lang w:eastAsia="zh-CN"/>
        </w:rPr>
        <w:t>6、</w:t>
      </w:r>
      <w:r>
        <w:rPr>
          <w:rFonts w:hint="eastAsia" w:ascii="仿宋" w:hAnsi="仿宋" w:eastAsia="仿宋" w:cs="仿宋"/>
          <w:snapToGrid/>
          <w:color w:val="auto"/>
          <w:highlight w:val="none"/>
          <w:lang w:val="zh-CN" w:eastAsia="zh-CN"/>
        </w:rPr>
        <w:t>供应商提供的中小企业声明函内容不实的，属于提供虚假材料谋取中标、成交，依照《中华人民共和国政府采购法》等国家有关规定追究相应责任。</w:t>
      </w:r>
    </w:p>
    <w:p w14:paraId="7D16A8EF">
      <w:pPr>
        <w:widowControl w:val="0"/>
        <w:kinsoku/>
        <w:adjustRightInd/>
        <w:snapToGrid/>
        <w:spacing w:line="360" w:lineRule="auto"/>
        <w:ind w:firstLine="4560" w:firstLineChars="1900"/>
        <w:jc w:val="both"/>
        <w:textAlignment w:val="auto"/>
        <w:rPr>
          <w:rFonts w:ascii="仿宋" w:hAnsi="仿宋" w:eastAsia="仿宋" w:cs="仿宋"/>
          <w:snapToGrid/>
          <w:color w:val="auto"/>
          <w:sz w:val="24"/>
          <w:szCs w:val="24"/>
          <w:highlight w:val="none"/>
          <w:lang w:eastAsia="zh-CN"/>
        </w:rPr>
      </w:pPr>
    </w:p>
    <w:p w14:paraId="43D4A1C2">
      <w:pPr>
        <w:widowControl w:val="0"/>
        <w:kinsoku/>
        <w:adjustRightInd/>
        <w:snapToGrid/>
        <w:spacing w:line="360" w:lineRule="auto"/>
        <w:ind w:firstLine="4560" w:firstLineChars="1900"/>
        <w:jc w:val="both"/>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供应商名称（盖公章）：</w:t>
      </w:r>
    </w:p>
    <w:p w14:paraId="7EBA456A">
      <w:pPr>
        <w:widowControl w:val="0"/>
        <w:kinsoku/>
        <w:adjustRightInd/>
        <w:snapToGrid/>
        <w:spacing w:line="360" w:lineRule="auto"/>
        <w:ind w:firstLine="4560" w:firstLineChars="1900"/>
        <w:jc w:val="both"/>
        <w:textAlignment w:val="auto"/>
        <w:rPr>
          <w:rFonts w:ascii="仿宋" w:hAnsi="仿宋" w:eastAsia="仿宋" w:cs="仿宋"/>
          <w:snapToGrid/>
          <w:color w:val="auto"/>
          <w:sz w:val="24"/>
          <w:highlight w:val="none"/>
          <w:lang w:val="zh-CN" w:eastAsia="zh-CN"/>
        </w:rPr>
      </w:pPr>
      <w:r>
        <w:rPr>
          <w:rFonts w:hint="eastAsia" w:ascii="仿宋" w:hAnsi="仿宋" w:eastAsia="仿宋" w:cs="仿宋"/>
          <w:snapToGrid/>
          <w:color w:val="auto"/>
          <w:sz w:val="24"/>
          <w:highlight w:val="none"/>
          <w:lang w:val="zh-CN" w:eastAsia="zh-CN"/>
        </w:rPr>
        <w:t>日期：  年  月   日</w:t>
      </w:r>
    </w:p>
    <w:p w14:paraId="6C90999F">
      <w:pPr>
        <w:widowControl w:val="0"/>
        <w:kinsoku/>
        <w:autoSpaceDE/>
        <w:autoSpaceDN/>
        <w:adjustRightInd/>
        <w:snapToGrid/>
        <w:spacing w:line="360" w:lineRule="auto"/>
        <w:contextualSpacing/>
        <w:textAlignment w:val="auto"/>
        <w:outlineLvl w:val="1"/>
        <w:rPr>
          <w:rFonts w:ascii="仿宋" w:hAnsi="仿宋" w:eastAsia="仿宋" w:cs="仿宋"/>
          <w:b/>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br w:type="page"/>
      </w:r>
      <w:bookmarkStart w:id="84" w:name="_Toc634"/>
      <w:bookmarkStart w:id="85" w:name="_Toc22222"/>
      <w:bookmarkStart w:id="86" w:name="_Toc4479"/>
      <w:r>
        <w:rPr>
          <w:rFonts w:hint="eastAsia" w:ascii="仿宋" w:hAnsi="仿宋" w:eastAsia="仿宋" w:cs="仿宋"/>
          <w:b/>
          <w:snapToGrid/>
          <w:color w:val="auto"/>
          <w:kern w:val="2"/>
          <w:sz w:val="28"/>
          <w:szCs w:val="28"/>
          <w:highlight w:val="none"/>
          <w:lang w:eastAsia="zh-CN"/>
        </w:rPr>
        <w:t>三、商务技术文件格式</w:t>
      </w:r>
      <w:bookmarkEnd w:id="84"/>
      <w:bookmarkEnd w:id="85"/>
      <w:bookmarkEnd w:id="86"/>
      <w:r>
        <w:rPr>
          <w:rFonts w:hint="eastAsia" w:ascii="仿宋" w:hAnsi="仿宋" w:eastAsia="仿宋" w:cs="仿宋"/>
          <w:b/>
          <w:snapToGrid/>
          <w:color w:val="auto"/>
          <w:kern w:val="2"/>
          <w:sz w:val="28"/>
          <w:szCs w:val="28"/>
          <w:highlight w:val="none"/>
          <w:lang w:eastAsia="zh-CN"/>
        </w:rPr>
        <w:t xml:space="preserve"> </w:t>
      </w:r>
    </w:p>
    <w:p w14:paraId="2722F7FE">
      <w:pPr>
        <w:widowControl w:val="0"/>
        <w:kinsoku/>
        <w:autoSpaceDE/>
        <w:autoSpaceDN/>
        <w:adjustRightInd/>
        <w:spacing w:line="360" w:lineRule="auto"/>
        <w:textAlignment w:val="auto"/>
        <w:outlineLvl w:val="2"/>
        <w:rPr>
          <w:rFonts w:ascii="仿宋" w:hAnsi="仿宋" w:eastAsia="仿宋" w:cs="仿宋"/>
          <w:b/>
          <w:snapToGrid/>
          <w:color w:val="auto"/>
          <w:kern w:val="2"/>
          <w:sz w:val="24"/>
          <w:szCs w:val="24"/>
          <w:highlight w:val="none"/>
          <w:lang w:eastAsia="zh-CN"/>
        </w:rPr>
      </w:pPr>
      <w:bookmarkStart w:id="87" w:name="_Toc424"/>
      <w:bookmarkStart w:id="88" w:name="_Toc15412"/>
      <w:bookmarkStart w:id="89" w:name="_Toc25545"/>
      <w:r>
        <w:rPr>
          <w:rFonts w:hint="eastAsia" w:ascii="仿宋" w:hAnsi="仿宋" w:eastAsia="仿宋" w:cs="仿宋"/>
          <w:b/>
          <w:snapToGrid/>
          <w:color w:val="auto"/>
          <w:kern w:val="2"/>
          <w:sz w:val="24"/>
          <w:szCs w:val="24"/>
          <w:highlight w:val="none"/>
          <w:lang w:eastAsia="zh-CN"/>
        </w:rPr>
        <w:t>1.商务技术文件封面格式</w:t>
      </w:r>
      <w:bookmarkEnd w:id="87"/>
      <w:bookmarkEnd w:id="88"/>
      <w:bookmarkEnd w:id="89"/>
    </w:p>
    <w:p w14:paraId="0A928A32">
      <w:pPr>
        <w:widowControl w:val="0"/>
        <w:kinsoku/>
        <w:autoSpaceDE/>
        <w:autoSpaceDN/>
        <w:adjustRightInd/>
        <w:spacing w:line="360" w:lineRule="auto"/>
        <w:ind w:firstLine="480" w:firstLineChars="200"/>
        <w:textAlignment w:val="auto"/>
        <w:rPr>
          <w:rFonts w:ascii="仿宋" w:hAnsi="仿宋" w:eastAsia="仿宋" w:cs="仿宋"/>
          <w:bCs/>
          <w:snapToGrid/>
          <w:color w:val="auto"/>
          <w:kern w:val="2"/>
          <w:sz w:val="24"/>
          <w:szCs w:val="24"/>
          <w:highlight w:val="none"/>
          <w:lang w:eastAsia="zh-CN"/>
        </w:rPr>
      </w:pPr>
    </w:p>
    <w:p w14:paraId="58CA589A">
      <w:pPr>
        <w:widowControl w:val="0"/>
        <w:kinsoku/>
        <w:autoSpaceDE/>
        <w:autoSpaceDN/>
        <w:adjustRightInd/>
        <w:spacing w:before="120" w:beforeLines="50" w:after="50"/>
        <w:jc w:val="center"/>
        <w:textAlignment w:val="auto"/>
        <w:rPr>
          <w:rFonts w:ascii="仿宋" w:hAnsi="仿宋" w:eastAsia="仿宋" w:cs="仿宋"/>
          <w:snapToGrid/>
          <w:color w:val="auto"/>
          <w:kern w:val="2"/>
          <w:sz w:val="44"/>
          <w:szCs w:val="44"/>
          <w:highlight w:val="none"/>
          <w:lang w:eastAsia="zh-CN"/>
        </w:rPr>
      </w:pPr>
      <w:r>
        <w:rPr>
          <w:rFonts w:hint="eastAsia" w:ascii="仿宋" w:hAnsi="仿宋" w:eastAsia="仿宋" w:cs="仿宋"/>
          <w:snapToGrid/>
          <w:color w:val="auto"/>
          <w:kern w:val="2"/>
          <w:sz w:val="44"/>
          <w:szCs w:val="44"/>
          <w:highlight w:val="none"/>
          <w:lang w:eastAsia="zh-CN"/>
        </w:rPr>
        <w:t>电 子 响 应 文 件</w:t>
      </w:r>
    </w:p>
    <w:p w14:paraId="6C0E6F03">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2F2A35EF">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6BA9E95E">
      <w:pPr>
        <w:widowControl w:val="0"/>
        <w:kinsoku/>
        <w:autoSpaceDE/>
        <w:autoSpaceDN/>
        <w:adjustRightInd/>
        <w:spacing w:before="120" w:beforeLines="50" w:after="50"/>
        <w:jc w:val="center"/>
        <w:textAlignment w:val="auto"/>
        <w:rPr>
          <w:rFonts w:ascii="仿宋" w:hAnsi="仿宋" w:eastAsia="仿宋" w:cs="仿宋"/>
          <w:bCs/>
          <w:snapToGrid/>
          <w:color w:val="auto"/>
          <w:kern w:val="2"/>
          <w:sz w:val="44"/>
          <w:szCs w:val="44"/>
          <w:highlight w:val="none"/>
          <w:lang w:eastAsia="zh-CN"/>
        </w:rPr>
      </w:pPr>
      <w:r>
        <w:rPr>
          <w:rFonts w:hint="eastAsia" w:ascii="仿宋" w:hAnsi="仿宋" w:eastAsia="仿宋" w:cs="仿宋"/>
          <w:bCs/>
          <w:snapToGrid/>
          <w:color w:val="auto"/>
          <w:kern w:val="2"/>
          <w:sz w:val="44"/>
          <w:szCs w:val="44"/>
          <w:highlight w:val="none"/>
          <w:lang w:eastAsia="zh-CN"/>
        </w:rPr>
        <w:t>商  务  技  术  文  件</w:t>
      </w:r>
    </w:p>
    <w:p w14:paraId="08B97D6D">
      <w:pPr>
        <w:widowControl w:val="0"/>
        <w:kinsoku/>
        <w:autoSpaceDE/>
        <w:autoSpaceDN/>
        <w:adjustRightInd/>
        <w:spacing w:line="360" w:lineRule="auto"/>
        <w:ind w:firstLine="480" w:firstLineChars="200"/>
        <w:textAlignment w:val="auto"/>
        <w:rPr>
          <w:rFonts w:ascii="仿宋" w:hAnsi="仿宋" w:eastAsia="仿宋" w:cs="仿宋"/>
          <w:bCs/>
          <w:snapToGrid/>
          <w:color w:val="auto"/>
          <w:kern w:val="2"/>
          <w:sz w:val="24"/>
          <w:szCs w:val="24"/>
          <w:highlight w:val="none"/>
          <w:lang w:eastAsia="zh-CN"/>
        </w:rPr>
      </w:pPr>
    </w:p>
    <w:p w14:paraId="72A922DB">
      <w:pPr>
        <w:widowControl w:val="0"/>
        <w:kinsoku/>
        <w:autoSpaceDE/>
        <w:autoSpaceDN/>
        <w:adjustRightInd/>
        <w:spacing w:line="360" w:lineRule="auto"/>
        <w:ind w:firstLine="480" w:firstLineChars="200"/>
        <w:textAlignment w:val="auto"/>
        <w:rPr>
          <w:rFonts w:ascii="仿宋" w:hAnsi="仿宋" w:eastAsia="仿宋" w:cs="仿宋"/>
          <w:bCs/>
          <w:snapToGrid/>
          <w:color w:val="auto"/>
          <w:kern w:val="2"/>
          <w:sz w:val="24"/>
          <w:szCs w:val="24"/>
          <w:highlight w:val="none"/>
          <w:lang w:eastAsia="zh-CN"/>
        </w:rPr>
      </w:pPr>
    </w:p>
    <w:p w14:paraId="2CBFFBBC">
      <w:pPr>
        <w:widowControl w:val="0"/>
        <w:kinsoku/>
        <w:autoSpaceDE/>
        <w:autoSpaceDN/>
        <w:adjustRightInd/>
        <w:spacing w:before="120" w:beforeLines="50" w:after="50"/>
        <w:ind w:firstLine="640" w:firstLineChars="200"/>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项目名称：</w:t>
      </w:r>
    </w:p>
    <w:p w14:paraId="7803EED9">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p>
    <w:p w14:paraId="6822A304">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项目编号：</w:t>
      </w:r>
    </w:p>
    <w:p w14:paraId="7B9BD0A5">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 xml:space="preserve"> </w:t>
      </w:r>
    </w:p>
    <w:p w14:paraId="6BDEE84C">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r>
        <w:rPr>
          <w:rFonts w:hint="eastAsia" w:ascii="仿宋" w:hAnsi="仿宋" w:eastAsia="仿宋" w:cs="仿宋"/>
          <w:bCs/>
          <w:snapToGrid/>
          <w:color w:val="auto"/>
          <w:kern w:val="2"/>
          <w:sz w:val="32"/>
          <w:szCs w:val="32"/>
          <w:highlight w:val="none"/>
          <w:lang w:eastAsia="zh-CN"/>
        </w:rPr>
        <w:t>所竞标段：</w:t>
      </w:r>
    </w:p>
    <w:p w14:paraId="09B9B0A6">
      <w:pPr>
        <w:widowControl w:val="0"/>
        <w:kinsoku/>
        <w:autoSpaceDE/>
        <w:autoSpaceDN/>
        <w:adjustRightInd/>
        <w:spacing w:before="120" w:beforeLines="50" w:after="50"/>
        <w:ind w:firstLine="720" w:firstLineChars="225"/>
        <w:jc w:val="both"/>
        <w:textAlignment w:val="auto"/>
        <w:rPr>
          <w:rFonts w:ascii="仿宋" w:hAnsi="仿宋" w:eastAsia="仿宋" w:cs="仿宋"/>
          <w:bCs/>
          <w:snapToGrid/>
          <w:color w:val="auto"/>
          <w:kern w:val="2"/>
          <w:sz w:val="32"/>
          <w:szCs w:val="32"/>
          <w:highlight w:val="none"/>
          <w:lang w:eastAsia="zh-CN"/>
        </w:rPr>
      </w:pPr>
    </w:p>
    <w:p w14:paraId="334EF498">
      <w:pPr>
        <w:pStyle w:val="7"/>
        <w:snapToGrid w:val="0"/>
        <w:spacing w:line="360" w:lineRule="auto"/>
        <w:ind w:firstLine="640" w:firstLineChars="200"/>
        <w:jc w:val="left"/>
        <w:rPr>
          <w:rFonts w:ascii="仿宋" w:hAnsi="仿宋" w:eastAsia="仿宋" w:cs="仿宋"/>
          <w:bCs/>
          <w:color w:val="auto"/>
          <w:sz w:val="24"/>
          <w:szCs w:val="24"/>
          <w:highlight w:val="none"/>
        </w:rPr>
      </w:pPr>
      <w:r>
        <w:rPr>
          <w:rFonts w:hint="eastAsia" w:ascii="仿宋" w:hAnsi="仿宋" w:eastAsia="仿宋" w:cs="仿宋"/>
          <w:bCs/>
          <w:color w:val="auto"/>
          <w:sz w:val="32"/>
          <w:szCs w:val="32"/>
          <w:highlight w:val="none"/>
        </w:rPr>
        <w:t>供应商名称：</w:t>
      </w:r>
    </w:p>
    <w:p w14:paraId="2A1599DC">
      <w:pPr>
        <w:pStyle w:val="7"/>
        <w:snapToGrid w:val="0"/>
        <w:spacing w:line="360" w:lineRule="auto"/>
        <w:ind w:firstLine="480" w:firstLineChars="200"/>
        <w:jc w:val="left"/>
        <w:rPr>
          <w:rFonts w:ascii="仿宋" w:hAnsi="仿宋" w:eastAsia="仿宋" w:cs="仿宋"/>
          <w:bCs/>
          <w:color w:val="auto"/>
          <w:sz w:val="24"/>
          <w:szCs w:val="24"/>
          <w:highlight w:val="none"/>
        </w:rPr>
      </w:pPr>
    </w:p>
    <w:p w14:paraId="4E7F501B">
      <w:pPr>
        <w:pStyle w:val="7"/>
        <w:snapToGrid w:val="0"/>
        <w:spacing w:line="360" w:lineRule="auto"/>
        <w:ind w:firstLine="480" w:firstLineChars="200"/>
        <w:jc w:val="left"/>
        <w:rPr>
          <w:rFonts w:ascii="仿宋" w:hAnsi="仿宋" w:eastAsia="仿宋" w:cs="仿宋"/>
          <w:bCs/>
          <w:color w:val="auto"/>
          <w:sz w:val="24"/>
          <w:szCs w:val="24"/>
          <w:highlight w:val="none"/>
        </w:rPr>
      </w:pPr>
    </w:p>
    <w:p w14:paraId="71A13312">
      <w:pPr>
        <w:pStyle w:val="7"/>
        <w:snapToGrid w:val="0"/>
        <w:spacing w:line="360" w:lineRule="auto"/>
        <w:ind w:firstLine="480" w:firstLineChars="200"/>
        <w:jc w:val="left"/>
        <w:rPr>
          <w:rFonts w:ascii="仿宋" w:hAnsi="仿宋" w:eastAsia="仿宋" w:cs="仿宋"/>
          <w:bCs/>
          <w:color w:val="auto"/>
          <w:sz w:val="24"/>
          <w:szCs w:val="24"/>
          <w:highlight w:val="none"/>
        </w:rPr>
      </w:pPr>
    </w:p>
    <w:p w14:paraId="0EADD13B">
      <w:pPr>
        <w:widowControl w:val="0"/>
        <w:kinsoku/>
        <w:autoSpaceDE/>
        <w:autoSpaceDN/>
        <w:adjustRightInd/>
        <w:spacing w:before="120" w:beforeLines="50" w:after="50"/>
        <w:jc w:val="center"/>
        <w:textAlignment w:val="auto"/>
        <w:rPr>
          <w:rFonts w:ascii="仿宋" w:hAnsi="仿宋" w:eastAsia="仿宋" w:cs="仿宋"/>
          <w:snapToGrid/>
          <w:color w:val="auto"/>
          <w:kern w:val="2"/>
          <w:sz w:val="32"/>
          <w:szCs w:val="32"/>
          <w:highlight w:val="none"/>
          <w:lang w:eastAsia="zh-CN"/>
        </w:rPr>
      </w:pPr>
      <w:r>
        <w:rPr>
          <w:rFonts w:hint="eastAsia" w:ascii="仿宋" w:hAnsi="仿宋" w:eastAsia="仿宋" w:cs="仿宋"/>
          <w:snapToGrid/>
          <w:color w:val="auto"/>
          <w:kern w:val="2"/>
          <w:sz w:val="32"/>
          <w:szCs w:val="32"/>
          <w:highlight w:val="none"/>
          <w:lang w:eastAsia="zh-CN"/>
        </w:rPr>
        <w:t>年    月    日</w:t>
      </w:r>
    </w:p>
    <w:p w14:paraId="39BE8DFE">
      <w:pPr>
        <w:widowControl w:val="0"/>
        <w:kinsoku/>
        <w:autoSpaceDE/>
        <w:autoSpaceDN/>
        <w:adjustRightInd/>
        <w:spacing w:line="360" w:lineRule="auto"/>
        <w:textAlignment w:val="auto"/>
        <w:outlineLvl w:val="2"/>
        <w:rPr>
          <w:rFonts w:ascii="仿宋" w:hAnsi="仿宋" w:eastAsia="仿宋" w:cs="仿宋"/>
          <w:b/>
          <w:bCs/>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bookmarkStart w:id="90" w:name="_Toc21480"/>
      <w:bookmarkStart w:id="91" w:name="_Toc16915"/>
      <w:bookmarkStart w:id="92" w:name="_Toc19005"/>
      <w:r>
        <w:rPr>
          <w:rFonts w:hint="eastAsia" w:ascii="仿宋" w:hAnsi="仿宋" w:eastAsia="仿宋" w:cs="仿宋"/>
          <w:b/>
          <w:bCs/>
          <w:snapToGrid/>
          <w:color w:val="auto"/>
          <w:kern w:val="2"/>
          <w:sz w:val="24"/>
          <w:szCs w:val="24"/>
          <w:highlight w:val="none"/>
          <w:lang w:eastAsia="zh-CN"/>
        </w:rPr>
        <w:t>2.商务技术文件目录</w:t>
      </w:r>
      <w:bookmarkEnd w:id="90"/>
      <w:bookmarkEnd w:id="91"/>
      <w:bookmarkEnd w:id="92"/>
    </w:p>
    <w:p w14:paraId="0C34FDE4">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根据磋商文件规定及供应商提供的材料自行编写目录（部分格式后附）。</w:t>
      </w:r>
    </w:p>
    <w:p w14:paraId="4CB6C53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30448D28">
      <w:pPr>
        <w:widowControl w:val="0"/>
        <w:kinsoku/>
        <w:autoSpaceDE/>
        <w:autoSpaceDN/>
        <w:adjustRightInd/>
        <w:snapToGrid/>
        <w:spacing w:line="360" w:lineRule="auto"/>
        <w:textAlignment w:val="auto"/>
        <w:outlineLvl w:val="2"/>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bookmarkStart w:id="93" w:name="_Toc4718"/>
      <w:bookmarkStart w:id="94" w:name="_Toc27543"/>
      <w:bookmarkStart w:id="95" w:name="_Toc893"/>
      <w:r>
        <w:rPr>
          <w:rFonts w:hint="eastAsia" w:ascii="仿宋" w:hAnsi="仿宋" w:eastAsia="仿宋" w:cs="仿宋"/>
          <w:b/>
          <w:bCs/>
          <w:snapToGrid/>
          <w:color w:val="auto"/>
          <w:kern w:val="2"/>
          <w:sz w:val="24"/>
          <w:szCs w:val="24"/>
          <w:highlight w:val="none"/>
          <w:lang w:eastAsia="zh-CN"/>
        </w:rPr>
        <w:t>3.无串通竞标行为的承诺函</w:t>
      </w:r>
      <w:bookmarkEnd w:id="93"/>
      <w:bookmarkEnd w:id="94"/>
      <w:bookmarkEnd w:id="95"/>
    </w:p>
    <w:p w14:paraId="19C0529A">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无串通竞标行为的承诺函</w:t>
      </w:r>
    </w:p>
    <w:p w14:paraId="3754BC15">
      <w:pPr>
        <w:widowControl w:val="0"/>
        <w:kinsoku/>
        <w:autoSpaceDE/>
        <w:autoSpaceDN/>
        <w:adjustRightInd/>
        <w:snapToGrid/>
        <w:spacing w:line="360" w:lineRule="auto"/>
        <w:ind w:firstLine="482" w:firstLineChars="200"/>
        <w:contextualSpacing/>
        <w:textAlignment w:val="auto"/>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一、我方承诺无下列相互串通竞标的情形：</w:t>
      </w:r>
    </w:p>
    <w:p w14:paraId="38513DB6">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 xml:space="preserve">1.不同供应商的响应文件由同一单位或者个人编制； </w:t>
      </w:r>
    </w:p>
    <w:p w14:paraId="2ACA737F">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2.不同供应商委托同一单位或者个人办理竞标事宜；</w:t>
      </w:r>
    </w:p>
    <w:p w14:paraId="134E3D72">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3.不同供应商的响应文件载明的项目管理员为同一个人；</w:t>
      </w:r>
    </w:p>
    <w:p w14:paraId="73CF4A33">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4.不</w:t>
      </w:r>
      <w:r>
        <w:rPr>
          <w:rFonts w:hint="eastAsia" w:ascii="仿宋" w:hAnsi="仿宋" w:eastAsia="仿宋" w:cs="仿宋"/>
          <w:snapToGrid/>
          <w:color w:val="auto"/>
          <w:spacing w:val="-6"/>
          <w:kern w:val="2"/>
          <w:sz w:val="24"/>
          <w:szCs w:val="24"/>
          <w:highlight w:val="none"/>
          <w:lang w:eastAsia="zh-CN"/>
        </w:rPr>
        <w:t>同供应商的响应文件异常一致或者竞标报价呈规律性差异；</w:t>
      </w:r>
    </w:p>
    <w:p w14:paraId="2CE58FFC">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5.不同供应商的响应文件相互混装；</w:t>
      </w:r>
    </w:p>
    <w:p w14:paraId="7379EE9E">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6.不同供应商的磋商保证金从同一单位或者个人账户转出。</w:t>
      </w:r>
    </w:p>
    <w:p w14:paraId="6836615A">
      <w:pPr>
        <w:widowControl w:val="0"/>
        <w:kinsoku/>
        <w:autoSpaceDE/>
        <w:autoSpaceDN/>
        <w:adjustRightInd/>
        <w:snapToGrid/>
        <w:spacing w:line="360" w:lineRule="auto"/>
        <w:ind w:firstLine="482" w:firstLineChars="200"/>
        <w:contextualSpacing/>
        <w:textAlignment w:val="auto"/>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二、我方承诺无下列恶意串通的情形：</w:t>
      </w:r>
    </w:p>
    <w:p w14:paraId="66E98CDC">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1.供应商直接或者间接从采购人或者采购代理机构处获得其他供应商的相关信息并修改其响应文件；</w:t>
      </w:r>
    </w:p>
    <w:p w14:paraId="3CC911FB">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2.供应商按照采购人或者采购代理机构的授意撤换、修改响应文件；</w:t>
      </w:r>
    </w:p>
    <w:p w14:paraId="48709F8A">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3.供</w:t>
      </w:r>
      <w:r>
        <w:rPr>
          <w:rFonts w:hint="eastAsia" w:ascii="仿宋" w:hAnsi="仿宋" w:eastAsia="仿宋" w:cs="仿宋"/>
          <w:snapToGrid/>
          <w:color w:val="auto"/>
          <w:spacing w:val="-6"/>
          <w:kern w:val="2"/>
          <w:sz w:val="24"/>
          <w:szCs w:val="24"/>
          <w:highlight w:val="none"/>
          <w:lang w:eastAsia="zh-CN"/>
        </w:rPr>
        <w:t>应商之间协商报价、技术方案等响应文件的实质性内容；</w:t>
      </w:r>
    </w:p>
    <w:p w14:paraId="6CFEC932">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4.属于同一集团、协会、商会等组织成员的供应商按照该组织要求协同参加政府采购活动；</w:t>
      </w:r>
    </w:p>
    <w:p w14:paraId="4C3B74D5">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5.供应商之间事先约定一致抬高或者压低竞标报价，或者在竞争性磋商项目中事先约定轮流以高价位或者低价位成交，或者事先约定由某一特定供应商成交，然后再参加竞标；</w:t>
      </w:r>
    </w:p>
    <w:p w14:paraId="0493040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6.供应商之间商定部分供应商放弃参加政府采购活动或者放弃成交；</w:t>
      </w:r>
    </w:p>
    <w:p w14:paraId="7F3EA54C">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7.供应商与采购人或者采购代理机构之间、供应商相互之间，为</w:t>
      </w:r>
      <w:r>
        <w:rPr>
          <w:rFonts w:hint="eastAsia" w:ascii="仿宋" w:hAnsi="仿宋" w:eastAsia="仿宋" w:cs="仿宋"/>
          <w:snapToGrid/>
          <w:color w:val="auto"/>
          <w:spacing w:val="-6"/>
          <w:kern w:val="2"/>
          <w:sz w:val="24"/>
          <w:szCs w:val="24"/>
          <w:highlight w:val="none"/>
          <w:lang w:eastAsia="zh-CN"/>
        </w:rPr>
        <w:t>谋求特定供应商成交或者排斥其他供应商的其他串通行为。</w:t>
      </w:r>
    </w:p>
    <w:p w14:paraId="4686EC04">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3CC0008D">
      <w:pPr>
        <w:widowControl w:val="0"/>
        <w:kinsoku/>
        <w:autoSpaceDE/>
        <w:autoSpaceDN/>
        <w:adjustRightInd/>
        <w:snapToGrid/>
        <w:spacing w:line="360" w:lineRule="auto"/>
        <w:ind w:firstLine="482" w:firstLineChars="200"/>
        <w:contextualSpacing/>
        <w:textAlignment w:val="auto"/>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以上情形一经核查属实，我方愿意承担一切后果，并不再寻求任何旨在减轻或者免除法律责任的辩解。</w:t>
      </w:r>
    </w:p>
    <w:p w14:paraId="533D4476">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3114E618">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供应商（电子签章）：</w:t>
      </w:r>
    </w:p>
    <w:p w14:paraId="4F0F88C3">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年   月   日</w:t>
      </w:r>
    </w:p>
    <w:p w14:paraId="212DD583">
      <w:pPr>
        <w:widowControl w:val="0"/>
        <w:kinsoku/>
        <w:autoSpaceDE/>
        <w:autoSpaceDN/>
        <w:adjustRightInd/>
        <w:snapToGrid/>
        <w:spacing w:line="360" w:lineRule="auto"/>
        <w:textAlignment w:val="auto"/>
        <w:outlineLvl w:val="2"/>
        <w:rPr>
          <w:rFonts w:ascii="仿宋" w:hAnsi="仿宋" w:eastAsia="仿宋" w:cs="仿宋"/>
          <w:snapToGrid/>
          <w:color w:val="auto"/>
          <w:kern w:val="2"/>
          <w:sz w:val="24"/>
          <w:szCs w:val="24"/>
          <w:highlight w:val="none"/>
          <w:lang w:eastAsia="zh-CN"/>
        </w:rPr>
      </w:pPr>
      <w:r>
        <w:rPr>
          <w:rFonts w:hint="eastAsia" w:ascii="仿宋" w:hAnsi="仿宋" w:eastAsia="仿宋" w:cs="仿宋"/>
          <w:bCs/>
          <w:snapToGrid/>
          <w:color w:val="auto"/>
          <w:kern w:val="2"/>
          <w:sz w:val="24"/>
          <w:szCs w:val="24"/>
          <w:highlight w:val="none"/>
          <w:lang w:eastAsia="zh-CN"/>
        </w:rPr>
        <w:br w:type="page"/>
      </w:r>
      <w:bookmarkStart w:id="96" w:name="_Toc855"/>
      <w:bookmarkStart w:id="97" w:name="_Toc12011"/>
      <w:bookmarkStart w:id="98" w:name="_Toc179"/>
      <w:r>
        <w:rPr>
          <w:rFonts w:hint="eastAsia" w:ascii="仿宋" w:hAnsi="仿宋" w:eastAsia="仿宋" w:cs="仿宋"/>
          <w:b/>
          <w:snapToGrid/>
          <w:color w:val="auto"/>
          <w:kern w:val="2"/>
          <w:sz w:val="24"/>
          <w:szCs w:val="24"/>
          <w:highlight w:val="none"/>
          <w:lang w:eastAsia="zh-CN"/>
        </w:rPr>
        <w:t>4.法定代表人证明书</w:t>
      </w:r>
      <w:bookmarkEnd w:id="96"/>
      <w:bookmarkEnd w:id="97"/>
      <w:bookmarkEnd w:id="98"/>
    </w:p>
    <w:p w14:paraId="088B20A5">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法定代表人证明书</w:t>
      </w:r>
    </w:p>
    <w:p w14:paraId="766F416E">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供应商名称：</w:t>
      </w:r>
      <w:r>
        <w:rPr>
          <w:rFonts w:hint="eastAsia" w:ascii="仿宋" w:hAnsi="仿宋" w:eastAsia="仿宋" w:cs="仿宋"/>
          <w:snapToGrid/>
          <w:color w:val="auto"/>
          <w:kern w:val="2"/>
          <w:sz w:val="24"/>
          <w:szCs w:val="24"/>
          <w:highlight w:val="none"/>
          <w:u w:val="single"/>
          <w:lang w:eastAsia="zh-CN"/>
        </w:rPr>
        <w:t xml:space="preserve">                              </w:t>
      </w:r>
    </w:p>
    <w:p w14:paraId="0A3C0ACD">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地    址：</w:t>
      </w:r>
      <w:r>
        <w:rPr>
          <w:rFonts w:hint="eastAsia" w:ascii="仿宋" w:hAnsi="仿宋" w:eastAsia="仿宋" w:cs="仿宋"/>
          <w:snapToGrid/>
          <w:color w:val="auto"/>
          <w:kern w:val="2"/>
          <w:sz w:val="24"/>
          <w:szCs w:val="24"/>
          <w:highlight w:val="none"/>
          <w:u w:val="single"/>
          <w:lang w:eastAsia="zh-CN"/>
        </w:rPr>
        <w:t xml:space="preserve">                              </w:t>
      </w:r>
    </w:p>
    <w:p w14:paraId="0C94E4B2">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姓    名：</w:t>
      </w:r>
      <w:r>
        <w:rPr>
          <w:rFonts w:hint="eastAsia" w:ascii="仿宋" w:hAnsi="仿宋" w:eastAsia="仿宋" w:cs="仿宋"/>
          <w:snapToGrid/>
          <w:color w:val="auto"/>
          <w:kern w:val="2"/>
          <w:sz w:val="24"/>
          <w:szCs w:val="24"/>
          <w:highlight w:val="none"/>
          <w:u w:val="single"/>
          <w:lang w:eastAsia="zh-CN"/>
        </w:rPr>
        <w:t xml:space="preserve">               </w:t>
      </w:r>
      <w:r>
        <w:rPr>
          <w:rFonts w:hint="eastAsia" w:ascii="仿宋" w:hAnsi="仿宋" w:eastAsia="仿宋" w:cs="仿宋"/>
          <w:snapToGrid/>
          <w:color w:val="auto"/>
          <w:kern w:val="2"/>
          <w:sz w:val="24"/>
          <w:szCs w:val="24"/>
          <w:highlight w:val="none"/>
          <w:lang w:eastAsia="zh-CN"/>
        </w:rPr>
        <w:t xml:space="preserve">   性     别：</w:t>
      </w:r>
      <w:r>
        <w:rPr>
          <w:rFonts w:hint="eastAsia" w:ascii="仿宋" w:hAnsi="仿宋" w:eastAsia="仿宋" w:cs="仿宋"/>
          <w:snapToGrid/>
          <w:color w:val="auto"/>
          <w:kern w:val="2"/>
          <w:sz w:val="24"/>
          <w:szCs w:val="24"/>
          <w:highlight w:val="none"/>
          <w:u w:val="single"/>
          <w:lang w:eastAsia="zh-CN"/>
        </w:rPr>
        <w:t xml:space="preserve">               </w:t>
      </w:r>
    </w:p>
    <w:p w14:paraId="403EADA8">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年    龄：</w:t>
      </w:r>
      <w:r>
        <w:rPr>
          <w:rFonts w:hint="eastAsia" w:ascii="仿宋" w:hAnsi="仿宋" w:eastAsia="仿宋" w:cs="仿宋"/>
          <w:snapToGrid/>
          <w:color w:val="auto"/>
          <w:kern w:val="2"/>
          <w:sz w:val="24"/>
          <w:szCs w:val="24"/>
          <w:highlight w:val="none"/>
          <w:u w:val="single"/>
          <w:lang w:eastAsia="zh-CN"/>
        </w:rPr>
        <w:t xml:space="preserve">               </w:t>
      </w:r>
      <w:r>
        <w:rPr>
          <w:rFonts w:hint="eastAsia" w:ascii="仿宋" w:hAnsi="仿宋" w:eastAsia="仿宋" w:cs="仿宋"/>
          <w:snapToGrid/>
          <w:color w:val="auto"/>
          <w:kern w:val="2"/>
          <w:sz w:val="24"/>
          <w:szCs w:val="24"/>
          <w:highlight w:val="none"/>
          <w:lang w:eastAsia="zh-CN"/>
        </w:rPr>
        <w:t xml:space="preserve">   职     务：</w:t>
      </w:r>
      <w:r>
        <w:rPr>
          <w:rFonts w:hint="eastAsia" w:ascii="仿宋" w:hAnsi="仿宋" w:eastAsia="仿宋" w:cs="仿宋"/>
          <w:snapToGrid/>
          <w:color w:val="auto"/>
          <w:kern w:val="2"/>
          <w:sz w:val="24"/>
          <w:szCs w:val="24"/>
          <w:highlight w:val="none"/>
          <w:u w:val="single"/>
          <w:lang w:eastAsia="zh-CN"/>
        </w:rPr>
        <w:t xml:space="preserve">                </w:t>
      </w:r>
    </w:p>
    <w:p w14:paraId="06DAEDB3">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身份证号码：</w:t>
      </w:r>
      <w:r>
        <w:rPr>
          <w:rFonts w:hint="eastAsia" w:ascii="仿宋" w:hAnsi="仿宋" w:eastAsia="仿宋" w:cs="仿宋"/>
          <w:snapToGrid/>
          <w:color w:val="auto"/>
          <w:kern w:val="2"/>
          <w:sz w:val="24"/>
          <w:szCs w:val="24"/>
          <w:highlight w:val="none"/>
          <w:u w:val="single"/>
          <w:lang w:eastAsia="zh-CN"/>
        </w:rPr>
        <w:t xml:space="preserve">               </w:t>
      </w:r>
    </w:p>
    <w:p w14:paraId="373AE5FD">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系</w:t>
      </w:r>
      <w:r>
        <w:rPr>
          <w:rFonts w:hint="eastAsia" w:ascii="仿宋" w:hAnsi="仿宋" w:eastAsia="仿宋" w:cs="仿宋"/>
          <w:snapToGrid/>
          <w:color w:val="auto"/>
          <w:kern w:val="2"/>
          <w:sz w:val="24"/>
          <w:szCs w:val="24"/>
          <w:highlight w:val="none"/>
          <w:u w:val="single"/>
          <w:lang w:eastAsia="zh-CN"/>
        </w:rPr>
        <w:t>（供应商名称）</w:t>
      </w:r>
      <w:r>
        <w:rPr>
          <w:rFonts w:hint="eastAsia" w:ascii="仿宋" w:hAnsi="仿宋" w:eastAsia="仿宋" w:cs="仿宋"/>
          <w:snapToGrid/>
          <w:color w:val="auto"/>
          <w:kern w:val="2"/>
          <w:sz w:val="24"/>
          <w:szCs w:val="24"/>
          <w:highlight w:val="none"/>
          <w:lang w:eastAsia="zh-CN"/>
        </w:rPr>
        <w:t>的法定代表人。</w:t>
      </w:r>
    </w:p>
    <w:p w14:paraId="7565C041">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特此证明。</w:t>
      </w:r>
    </w:p>
    <w:p w14:paraId="2ACAA5F0">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1634DAC3">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53110755">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7A3AB080">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附件：法定代表人有效身份证正反面复印件</w:t>
      </w:r>
    </w:p>
    <w:p w14:paraId="43CB6E2E">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3FD5112D">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供应商（电子签章）：</w:t>
      </w:r>
    </w:p>
    <w:p w14:paraId="77D3081B">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年   月   日</w:t>
      </w:r>
    </w:p>
    <w:p w14:paraId="1C2BFD64">
      <w:pPr>
        <w:widowControl w:val="0"/>
        <w:kinsoku/>
        <w:autoSpaceDE/>
        <w:autoSpaceDN/>
        <w:adjustRightInd/>
        <w:snapToGrid/>
        <w:spacing w:line="360" w:lineRule="auto"/>
        <w:ind w:firstLine="482" w:firstLineChars="200"/>
        <w:contextualSpacing/>
        <w:textAlignment w:val="auto"/>
        <w:rPr>
          <w:rFonts w:ascii="仿宋" w:hAnsi="仿宋" w:eastAsia="仿宋" w:cs="仿宋"/>
          <w:b/>
          <w:snapToGrid/>
          <w:color w:val="auto"/>
          <w:kern w:val="2"/>
          <w:sz w:val="24"/>
          <w:szCs w:val="24"/>
          <w:highlight w:val="none"/>
          <w:lang w:eastAsia="zh-CN"/>
        </w:rPr>
      </w:pPr>
    </w:p>
    <w:p w14:paraId="2733467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1E4C688D">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注：自然人竞标的无需提供，联合体竞标的只需牵头人出具。</w:t>
      </w:r>
    </w:p>
    <w:p w14:paraId="479FE37F">
      <w:pPr>
        <w:widowControl w:val="0"/>
        <w:kinsoku/>
        <w:autoSpaceDE/>
        <w:autoSpaceDN/>
        <w:spacing w:line="360" w:lineRule="auto"/>
        <w:ind w:firstLine="482" w:firstLineChars="200"/>
        <w:textAlignment w:val="auto"/>
        <w:rPr>
          <w:rFonts w:ascii="仿宋" w:hAnsi="仿宋" w:eastAsia="仿宋" w:cs="仿宋"/>
          <w:b/>
          <w:snapToGrid/>
          <w:color w:val="auto"/>
          <w:kern w:val="2"/>
          <w:sz w:val="24"/>
          <w:szCs w:val="24"/>
          <w:highlight w:val="none"/>
          <w:lang w:eastAsia="zh-CN"/>
        </w:rPr>
      </w:pPr>
    </w:p>
    <w:p w14:paraId="47F9B3C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p>
    <w:p w14:paraId="5182F881">
      <w:pPr>
        <w:widowControl w:val="0"/>
        <w:kinsoku/>
        <w:autoSpaceDE/>
        <w:autoSpaceDN/>
        <w:adjustRightInd/>
        <w:snapToGrid/>
        <w:spacing w:line="360" w:lineRule="auto"/>
        <w:textAlignment w:val="auto"/>
        <w:outlineLvl w:val="2"/>
        <w:rPr>
          <w:rFonts w:ascii="仿宋" w:hAnsi="仿宋" w:eastAsia="仿宋" w:cs="仿宋"/>
          <w:b/>
          <w:bCs/>
          <w:snapToGrid/>
          <w:color w:val="auto"/>
          <w:kern w:val="2"/>
          <w:sz w:val="24"/>
          <w:szCs w:val="24"/>
          <w:highlight w:val="none"/>
          <w:lang w:eastAsia="zh-CN"/>
        </w:rPr>
      </w:pPr>
      <w:bookmarkStart w:id="99" w:name="_Toc22138"/>
      <w:bookmarkStart w:id="100" w:name="_Toc10332"/>
      <w:bookmarkStart w:id="101" w:name="_Toc6874"/>
      <w:bookmarkStart w:id="102" w:name="_Hlk65853643"/>
      <w:r>
        <w:rPr>
          <w:rFonts w:hint="eastAsia" w:ascii="仿宋" w:hAnsi="仿宋" w:eastAsia="仿宋" w:cs="仿宋"/>
          <w:b/>
          <w:bCs/>
          <w:snapToGrid/>
          <w:color w:val="auto"/>
          <w:kern w:val="2"/>
          <w:sz w:val="24"/>
          <w:szCs w:val="24"/>
          <w:highlight w:val="none"/>
          <w:lang w:eastAsia="zh-CN"/>
        </w:rPr>
        <w:t>5.授权委托书</w:t>
      </w:r>
      <w:bookmarkEnd w:id="99"/>
      <w:bookmarkEnd w:id="100"/>
      <w:bookmarkEnd w:id="101"/>
    </w:p>
    <w:p w14:paraId="695A9A4E">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授权委托书</w:t>
      </w:r>
    </w:p>
    <w:p w14:paraId="40EA511E">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（非联合体竞标格式）</w:t>
      </w:r>
    </w:p>
    <w:p w14:paraId="6484B390">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（如有委托时）</w:t>
      </w:r>
    </w:p>
    <w:p w14:paraId="1CC91B7D">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53BDDF3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致：</w:t>
      </w:r>
      <w:r>
        <w:rPr>
          <w:rFonts w:hint="eastAsia" w:ascii="仿宋" w:hAnsi="仿宋" w:eastAsia="仿宋" w:cs="仿宋"/>
          <w:snapToGrid/>
          <w:color w:val="auto"/>
          <w:kern w:val="2"/>
          <w:sz w:val="24"/>
          <w:szCs w:val="24"/>
          <w:highlight w:val="none"/>
          <w:u w:val="single"/>
          <w:lang w:eastAsia="zh-CN"/>
        </w:rPr>
        <w:t>（采购人名称）</w:t>
      </w:r>
      <w:r>
        <w:rPr>
          <w:rFonts w:hint="eastAsia" w:ascii="仿宋" w:hAnsi="仿宋" w:eastAsia="仿宋" w:cs="仿宋"/>
          <w:snapToGrid/>
          <w:color w:val="auto"/>
          <w:kern w:val="2"/>
          <w:sz w:val="24"/>
          <w:szCs w:val="24"/>
          <w:highlight w:val="none"/>
          <w:lang w:eastAsia="zh-CN"/>
        </w:rPr>
        <w:t>：</w:t>
      </w:r>
    </w:p>
    <w:p w14:paraId="090971F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我</w:t>
      </w:r>
      <w:r>
        <w:rPr>
          <w:rFonts w:hint="eastAsia" w:ascii="仿宋" w:hAnsi="仿宋" w:eastAsia="仿宋" w:cs="仿宋"/>
          <w:snapToGrid/>
          <w:color w:val="auto"/>
          <w:kern w:val="2"/>
          <w:sz w:val="24"/>
          <w:szCs w:val="24"/>
          <w:highlight w:val="none"/>
          <w:u w:val="single"/>
          <w:lang w:eastAsia="zh-CN"/>
        </w:rPr>
        <w:t xml:space="preserve">  （姓名）  </w:t>
      </w:r>
      <w:r>
        <w:rPr>
          <w:rFonts w:hint="eastAsia" w:ascii="仿宋" w:hAnsi="仿宋" w:eastAsia="仿宋" w:cs="仿宋"/>
          <w:snapToGrid/>
          <w:color w:val="auto"/>
          <w:kern w:val="2"/>
          <w:sz w:val="24"/>
          <w:szCs w:val="24"/>
          <w:highlight w:val="none"/>
          <w:lang w:eastAsia="zh-CN"/>
        </w:rPr>
        <w:t>系</w:t>
      </w:r>
      <w:r>
        <w:rPr>
          <w:rFonts w:hint="eastAsia" w:ascii="仿宋" w:hAnsi="仿宋" w:eastAsia="仿宋" w:cs="仿宋"/>
          <w:snapToGrid/>
          <w:color w:val="auto"/>
          <w:kern w:val="2"/>
          <w:sz w:val="24"/>
          <w:szCs w:val="24"/>
          <w:highlight w:val="none"/>
          <w:u w:val="single"/>
          <w:lang w:eastAsia="zh-CN"/>
        </w:rPr>
        <w:t xml:space="preserve">  （供应商名称）  </w:t>
      </w:r>
      <w:r>
        <w:rPr>
          <w:rFonts w:hint="eastAsia" w:ascii="仿宋" w:hAnsi="仿宋" w:eastAsia="仿宋" w:cs="仿宋"/>
          <w:snapToGrid/>
          <w:color w:val="auto"/>
          <w:kern w:val="2"/>
          <w:sz w:val="24"/>
          <w:szCs w:val="24"/>
          <w:highlight w:val="none"/>
          <w:lang w:eastAsia="zh-CN"/>
        </w:rPr>
        <w:t>的（</w:t>
      </w:r>
      <w:r>
        <w:rPr>
          <w:rFonts w:hint="eastAsia" w:ascii="仿宋" w:hAnsi="仿宋" w:eastAsia="仿宋" w:cs="仿宋"/>
          <w:snapToGrid/>
          <w:color w:val="auto"/>
          <w:kern w:val="2"/>
          <w:sz w:val="24"/>
          <w:szCs w:val="24"/>
          <w:highlight w:val="none"/>
          <w:u w:val="single"/>
          <w:lang w:eastAsia="zh-CN"/>
        </w:rPr>
        <w:sym w:font="Wingdings 2" w:char="00A3"/>
      </w:r>
      <w:r>
        <w:rPr>
          <w:rFonts w:hint="eastAsia" w:ascii="仿宋" w:hAnsi="仿宋" w:eastAsia="仿宋" w:cs="仿宋"/>
          <w:snapToGrid/>
          <w:color w:val="auto"/>
          <w:kern w:val="2"/>
          <w:sz w:val="24"/>
          <w:szCs w:val="24"/>
          <w:highlight w:val="none"/>
          <w:u w:val="single"/>
          <w:lang w:eastAsia="zh-CN"/>
        </w:rPr>
        <w:t>法定代表人/□负责人/□自然人本人</w:t>
      </w:r>
      <w:r>
        <w:rPr>
          <w:rFonts w:hint="eastAsia" w:ascii="仿宋" w:hAnsi="仿宋" w:eastAsia="仿宋" w:cs="仿宋"/>
          <w:snapToGrid/>
          <w:color w:val="auto"/>
          <w:kern w:val="2"/>
          <w:sz w:val="24"/>
          <w:szCs w:val="24"/>
          <w:highlight w:val="none"/>
          <w:lang w:eastAsia="zh-CN"/>
        </w:rPr>
        <w:t>），现授权</w:t>
      </w:r>
      <w:r>
        <w:rPr>
          <w:rFonts w:hint="eastAsia" w:ascii="仿宋" w:hAnsi="仿宋" w:eastAsia="仿宋" w:cs="仿宋"/>
          <w:snapToGrid/>
          <w:color w:val="auto"/>
          <w:kern w:val="2"/>
          <w:sz w:val="24"/>
          <w:szCs w:val="24"/>
          <w:highlight w:val="none"/>
          <w:u w:val="single"/>
          <w:lang w:eastAsia="zh-CN"/>
        </w:rPr>
        <w:t xml:space="preserve"> （姓名） </w:t>
      </w:r>
      <w:r>
        <w:rPr>
          <w:rFonts w:hint="eastAsia" w:ascii="仿宋" w:hAnsi="仿宋" w:eastAsia="仿宋" w:cs="仿宋"/>
          <w:snapToGrid/>
          <w:color w:val="auto"/>
          <w:kern w:val="2"/>
          <w:sz w:val="24"/>
          <w:szCs w:val="24"/>
          <w:highlight w:val="none"/>
          <w:lang w:eastAsia="zh-CN"/>
        </w:rPr>
        <w:t>以我方的名义参加项目的竞标活动，并代表我方全权办理针对上述项目的所有采购程序和环节的具体事务和签署相关文件。</w:t>
      </w:r>
    </w:p>
    <w:p w14:paraId="2F8DB5FF">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我方对委托代理人的签字或者电子签名事项负全部责任。</w:t>
      </w:r>
    </w:p>
    <w:p w14:paraId="14ED72D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本授权书自签署之日起生效，在撤销授权的书面通知以前，本授权书一直有效。委托代理人在授权书有效期内签署的所有文件不因授权的撤销而失效。</w:t>
      </w:r>
    </w:p>
    <w:p w14:paraId="60543988">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委托代理人无转委托权，特此委托。</w:t>
      </w:r>
    </w:p>
    <w:p w14:paraId="715408A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附：法定代表人身份证明书及委托代理人有效身份证正反面复印件</w:t>
      </w:r>
    </w:p>
    <w:p w14:paraId="3FE8C689">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41843F1C">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委托代理人（签字或者电子签名）：</w:t>
      </w:r>
      <w:r>
        <w:rPr>
          <w:rFonts w:hint="eastAsia" w:ascii="仿宋" w:hAnsi="仿宋" w:eastAsia="仿宋" w:cs="仿宋"/>
          <w:snapToGrid/>
          <w:color w:val="auto"/>
          <w:kern w:val="2"/>
          <w:sz w:val="24"/>
          <w:szCs w:val="24"/>
          <w:highlight w:val="none"/>
          <w:u w:val="single"/>
          <w:lang w:eastAsia="zh-CN"/>
        </w:rPr>
        <w:t xml:space="preserve">               </w:t>
      </w:r>
    </w:p>
    <w:p w14:paraId="497B84DD">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法定代表人（签字或者盖章或者电子签名）：</w:t>
      </w:r>
      <w:r>
        <w:rPr>
          <w:rFonts w:hint="eastAsia" w:ascii="仿宋" w:hAnsi="仿宋" w:eastAsia="仿宋" w:cs="仿宋"/>
          <w:snapToGrid/>
          <w:color w:val="auto"/>
          <w:kern w:val="2"/>
          <w:sz w:val="24"/>
          <w:szCs w:val="24"/>
          <w:highlight w:val="none"/>
          <w:u w:val="single"/>
          <w:lang w:eastAsia="zh-CN"/>
        </w:rPr>
        <w:t xml:space="preserve">               </w:t>
      </w:r>
    </w:p>
    <w:p w14:paraId="30910437">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委托代理人身份证号码：</w:t>
      </w:r>
      <w:r>
        <w:rPr>
          <w:rFonts w:hint="eastAsia" w:ascii="仿宋" w:hAnsi="仿宋" w:eastAsia="仿宋" w:cs="仿宋"/>
          <w:snapToGrid/>
          <w:color w:val="auto"/>
          <w:kern w:val="2"/>
          <w:sz w:val="24"/>
          <w:szCs w:val="24"/>
          <w:highlight w:val="none"/>
          <w:u w:val="single"/>
          <w:lang w:eastAsia="zh-CN"/>
        </w:rPr>
        <w:t xml:space="preserve">               </w:t>
      </w:r>
    </w:p>
    <w:p w14:paraId="653AFF58">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6A0A2FD0">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供应商（电子签章）：</w:t>
      </w:r>
    </w:p>
    <w:p w14:paraId="2AF71FC3">
      <w:pPr>
        <w:widowControl w:val="0"/>
        <w:kinsoku/>
        <w:autoSpaceDE/>
        <w:autoSpaceDN/>
        <w:adjustRightInd/>
        <w:snapToGrid/>
        <w:spacing w:line="360" w:lineRule="auto"/>
        <w:ind w:firstLine="3360" w:firstLineChars="14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年   月   日</w:t>
      </w:r>
    </w:p>
    <w:p w14:paraId="35AF056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4259877E">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注：1.法定代表人必须在授权委托书上签字或者盖章或者电子签名，委托代理人必须在授权委托书上签字或者电子签名，</w:t>
      </w:r>
      <w:r>
        <w:rPr>
          <w:rFonts w:hint="eastAsia" w:ascii="仿宋" w:hAnsi="仿宋" w:eastAsia="仿宋" w:cs="仿宋"/>
          <w:b/>
          <w:snapToGrid/>
          <w:color w:val="auto"/>
          <w:kern w:val="2"/>
          <w:sz w:val="24"/>
          <w:szCs w:val="24"/>
          <w:highlight w:val="none"/>
          <w:lang w:eastAsia="zh-CN"/>
        </w:rPr>
        <w:t>否则其响应文件按无效响应处理。</w:t>
      </w:r>
    </w:p>
    <w:p w14:paraId="076E5B14">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w:t>
      </w:r>
      <w:bookmarkStart w:id="103" w:name="_Hlk65853109"/>
      <w:bookmarkStart w:id="104" w:name="_Hlk65853542"/>
      <w:r>
        <w:rPr>
          <w:rFonts w:hint="eastAsia" w:ascii="仿宋" w:hAnsi="仿宋" w:eastAsia="仿宋" w:cs="仿宋"/>
          <w:snapToGrid/>
          <w:color w:val="auto"/>
          <w:kern w:val="2"/>
          <w:sz w:val="24"/>
          <w:szCs w:val="24"/>
          <w:highlight w:val="none"/>
          <w:lang w:eastAsia="zh-CN"/>
        </w:rPr>
        <w:t>法人、其他组织竞标时“我方”是指“我单位”，自然人竞标时“我方”是指“本人”。</w:t>
      </w:r>
      <w:bookmarkEnd w:id="103"/>
    </w:p>
    <w:bookmarkEnd w:id="104"/>
    <w:p w14:paraId="074E8A4B">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01E784A3">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r>
        <w:rPr>
          <w:rFonts w:hint="eastAsia" w:ascii="仿宋" w:hAnsi="仿宋" w:eastAsia="仿宋" w:cs="仿宋"/>
          <w:b/>
          <w:bCs/>
          <w:snapToGrid/>
          <w:color w:val="auto"/>
          <w:kern w:val="2"/>
          <w:sz w:val="24"/>
          <w:szCs w:val="24"/>
          <w:highlight w:val="none"/>
          <w:lang w:eastAsia="zh-CN"/>
        </w:rPr>
        <w:t>授权委托书</w:t>
      </w:r>
    </w:p>
    <w:p w14:paraId="49D9D143">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（联合体竞标格式）</w:t>
      </w:r>
    </w:p>
    <w:p w14:paraId="6F469100">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（如有委托时）</w:t>
      </w:r>
    </w:p>
    <w:p w14:paraId="337C95E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4A7E9502">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本授权委托书声明：根据</w:t>
      </w:r>
      <w:r>
        <w:rPr>
          <w:rFonts w:hint="eastAsia" w:ascii="仿宋" w:hAnsi="仿宋" w:eastAsia="仿宋" w:cs="仿宋"/>
          <w:snapToGrid/>
          <w:color w:val="auto"/>
          <w:kern w:val="2"/>
          <w:sz w:val="24"/>
          <w:szCs w:val="24"/>
          <w:highlight w:val="none"/>
          <w:u w:val="single"/>
          <w:lang w:eastAsia="zh-CN"/>
        </w:rPr>
        <w:t>（牵头人名称）</w:t>
      </w:r>
      <w:r>
        <w:rPr>
          <w:rFonts w:hint="eastAsia" w:ascii="仿宋" w:hAnsi="仿宋" w:eastAsia="仿宋" w:cs="仿宋"/>
          <w:snapToGrid/>
          <w:color w:val="auto"/>
          <w:kern w:val="2"/>
          <w:sz w:val="24"/>
          <w:szCs w:val="24"/>
          <w:highlight w:val="none"/>
          <w:lang w:eastAsia="zh-CN"/>
        </w:rPr>
        <w:t>与</w:t>
      </w:r>
      <w:r>
        <w:rPr>
          <w:rFonts w:hint="eastAsia" w:ascii="仿宋" w:hAnsi="仿宋" w:eastAsia="仿宋" w:cs="仿宋"/>
          <w:snapToGrid/>
          <w:color w:val="auto"/>
          <w:kern w:val="2"/>
          <w:sz w:val="24"/>
          <w:szCs w:val="24"/>
          <w:highlight w:val="none"/>
          <w:u w:val="single"/>
          <w:lang w:eastAsia="zh-CN"/>
        </w:rPr>
        <w:t>（联合体其他成员名称）</w:t>
      </w:r>
      <w:r>
        <w:rPr>
          <w:rFonts w:hint="eastAsia" w:ascii="仿宋" w:hAnsi="仿宋" w:eastAsia="仿宋" w:cs="仿宋"/>
          <w:snapToGrid/>
          <w:color w:val="auto"/>
          <w:kern w:val="2"/>
          <w:sz w:val="24"/>
          <w:szCs w:val="24"/>
          <w:highlight w:val="none"/>
          <w:lang w:eastAsia="zh-CN"/>
        </w:rPr>
        <w:t>签订的《联合体竞标协议书》的内容，</w:t>
      </w:r>
      <w:r>
        <w:rPr>
          <w:rFonts w:hint="eastAsia" w:ascii="仿宋" w:hAnsi="仿宋" w:eastAsia="仿宋" w:cs="仿宋"/>
          <w:snapToGrid/>
          <w:color w:val="auto"/>
          <w:kern w:val="2"/>
          <w:sz w:val="24"/>
          <w:szCs w:val="24"/>
          <w:highlight w:val="none"/>
          <w:u w:val="single"/>
          <w:lang w:eastAsia="zh-CN"/>
        </w:rPr>
        <w:t>（牵头人名称）</w:t>
      </w:r>
      <w:r>
        <w:rPr>
          <w:rFonts w:hint="eastAsia" w:ascii="仿宋" w:hAnsi="仿宋" w:eastAsia="仿宋" w:cs="仿宋"/>
          <w:snapToGrid/>
          <w:color w:val="auto"/>
          <w:kern w:val="2"/>
          <w:sz w:val="24"/>
          <w:szCs w:val="24"/>
          <w:highlight w:val="none"/>
          <w:lang w:eastAsia="zh-CN"/>
        </w:rPr>
        <w:t>的法定代表人</w:t>
      </w:r>
      <w:r>
        <w:rPr>
          <w:rFonts w:hint="eastAsia" w:ascii="仿宋" w:hAnsi="仿宋" w:eastAsia="仿宋" w:cs="仿宋"/>
          <w:snapToGrid/>
          <w:color w:val="auto"/>
          <w:kern w:val="2"/>
          <w:sz w:val="24"/>
          <w:szCs w:val="24"/>
          <w:highlight w:val="none"/>
          <w:u w:val="single"/>
          <w:lang w:eastAsia="zh-CN"/>
        </w:rPr>
        <w:t>（姓名）</w:t>
      </w:r>
      <w:r>
        <w:rPr>
          <w:rFonts w:hint="eastAsia" w:ascii="仿宋" w:hAnsi="仿宋" w:eastAsia="仿宋" w:cs="仿宋"/>
          <w:snapToGrid/>
          <w:color w:val="auto"/>
          <w:kern w:val="2"/>
          <w:sz w:val="24"/>
          <w:szCs w:val="24"/>
          <w:highlight w:val="none"/>
          <w:lang w:eastAsia="zh-CN"/>
        </w:rPr>
        <w:t>现授权</w:t>
      </w:r>
      <w:r>
        <w:rPr>
          <w:rFonts w:hint="eastAsia" w:ascii="仿宋" w:hAnsi="仿宋" w:eastAsia="仿宋" w:cs="仿宋"/>
          <w:snapToGrid/>
          <w:color w:val="auto"/>
          <w:kern w:val="2"/>
          <w:sz w:val="24"/>
          <w:szCs w:val="24"/>
          <w:highlight w:val="none"/>
          <w:u w:val="single"/>
          <w:lang w:eastAsia="zh-CN"/>
        </w:rPr>
        <w:t>（姓名）</w:t>
      </w:r>
      <w:r>
        <w:rPr>
          <w:rFonts w:hint="eastAsia" w:ascii="仿宋" w:hAnsi="仿宋" w:eastAsia="仿宋" w:cs="仿宋"/>
          <w:snapToGrid/>
          <w:color w:val="auto"/>
          <w:kern w:val="2"/>
          <w:sz w:val="24"/>
          <w:szCs w:val="24"/>
          <w:highlight w:val="none"/>
          <w:lang w:eastAsia="zh-CN"/>
        </w:rPr>
        <w:t>为联合委托代理人，并代表我方全权办理针对上述项目的所有采购程序和环节的具体事务和签署相关文件。</w:t>
      </w:r>
    </w:p>
    <w:p w14:paraId="70164D00">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我方对委托代理人的签字或者电子签名事项负全部责任。</w:t>
      </w:r>
    </w:p>
    <w:p w14:paraId="63D9248C">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本授权书自签署之日起生效，在撤销授权的书面通知以前，本授权书一直有效。委托代理人在授权书有效期内签署的所有文件不因授权的撤销而失效。</w:t>
      </w:r>
    </w:p>
    <w:p w14:paraId="62B04A00">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委托代理人无转委托权，特此委托。</w:t>
      </w:r>
    </w:p>
    <w:p w14:paraId="74770CC8">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附：法定代表人身份证明书及委托代理人有效身份证正反面复印件</w:t>
      </w:r>
    </w:p>
    <w:p w14:paraId="6AC905C8">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75A55C94">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牵头人法定代表人（签字或者盖章或者电子签名）：</w:t>
      </w:r>
      <w:r>
        <w:rPr>
          <w:rFonts w:hint="eastAsia" w:ascii="仿宋" w:hAnsi="仿宋" w:eastAsia="仿宋" w:cs="仿宋"/>
          <w:snapToGrid/>
          <w:color w:val="auto"/>
          <w:kern w:val="2"/>
          <w:sz w:val="24"/>
          <w:szCs w:val="24"/>
          <w:highlight w:val="none"/>
          <w:u w:val="single"/>
          <w:lang w:eastAsia="zh-CN"/>
        </w:rPr>
        <w:t xml:space="preserve">               </w:t>
      </w:r>
    </w:p>
    <w:p w14:paraId="6B9371EA">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牵头人（电子签章）：</w:t>
      </w:r>
    </w:p>
    <w:p w14:paraId="70BDFFF0">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日期：    年   月   日</w:t>
      </w:r>
    </w:p>
    <w:p w14:paraId="2C9D79E7">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79AE99F8">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被授权人（签字或者电子签名）：</w:t>
      </w:r>
      <w:r>
        <w:rPr>
          <w:rFonts w:hint="eastAsia" w:ascii="仿宋" w:hAnsi="仿宋" w:eastAsia="仿宋" w:cs="仿宋"/>
          <w:snapToGrid/>
          <w:color w:val="auto"/>
          <w:kern w:val="2"/>
          <w:sz w:val="24"/>
          <w:szCs w:val="24"/>
          <w:highlight w:val="none"/>
          <w:u w:val="single"/>
          <w:lang w:eastAsia="zh-CN"/>
        </w:rPr>
        <w:t xml:space="preserve">               </w:t>
      </w:r>
    </w:p>
    <w:p w14:paraId="498242EE">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日期：    年   月   日</w:t>
      </w:r>
    </w:p>
    <w:p w14:paraId="7E61A76B">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10CC152D">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注：1.法定代表人必须在授权委托书上签字或者盖章或者电子签名，委托代理人必须在授权委托书上签字或者电子签名，</w:t>
      </w:r>
      <w:r>
        <w:rPr>
          <w:rFonts w:hint="eastAsia" w:ascii="仿宋" w:hAnsi="仿宋" w:eastAsia="仿宋" w:cs="仿宋"/>
          <w:b/>
          <w:snapToGrid/>
          <w:color w:val="auto"/>
          <w:kern w:val="2"/>
          <w:sz w:val="24"/>
          <w:szCs w:val="24"/>
          <w:highlight w:val="none"/>
          <w:lang w:eastAsia="zh-CN"/>
        </w:rPr>
        <w:t>否则其响应文件按无效响应处理。</w:t>
      </w:r>
    </w:p>
    <w:p w14:paraId="240F4D94">
      <w:pPr>
        <w:widowControl w:val="0"/>
        <w:kinsoku/>
        <w:autoSpaceDE/>
        <w:autoSpaceDN/>
        <w:adjustRightInd/>
        <w:snapToGrid/>
        <w:spacing w:line="360" w:lineRule="auto"/>
        <w:ind w:firstLine="480" w:firstLineChars="200"/>
        <w:textAlignment w:val="auto"/>
        <w:rPr>
          <w:rFonts w:ascii="仿宋" w:hAnsi="仿宋" w:eastAsia="仿宋" w:cs="仿宋"/>
          <w:snapToGrid/>
          <w:color w:val="auto"/>
          <w:spacing w:val="-11"/>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2.法人、其他组织竞标时“我方”是指“我单位”，自然人竞标时“我方”是指“本人”。</w:t>
      </w:r>
    </w:p>
    <w:bookmarkEnd w:id="102"/>
    <w:p w14:paraId="5E69769B">
      <w:pPr>
        <w:widowControl w:val="0"/>
        <w:kinsoku/>
        <w:autoSpaceDE/>
        <w:autoSpaceDN/>
        <w:adjustRightInd/>
        <w:snapToGrid/>
        <w:spacing w:line="360" w:lineRule="auto"/>
        <w:textAlignment w:val="auto"/>
        <w:outlineLvl w:val="2"/>
        <w:rPr>
          <w:rFonts w:ascii="仿宋" w:hAnsi="仿宋" w:eastAsia="仿宋" w:cs="仿宋"/>
          <w:bCs/>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bookmarkStart w:id="105" w:name="_Toc18931"/>
      <w:bookmarkStart w:id="106" w:name="_Toc375"/>
      <w:bookmarkStart w:id="107" w:name="_Toc14247"/>
      <w:r>
        <w:rPr>
          <w:rFonts w:hint="eastAsia" w:ascii="仿宋" w:hAnsi="仿宋" w:eastAsia="仿宋" w:cs="仿宋"/>
          <w:b/>
          <w:bCs/>
          <w:snapToGrid/>
          <w:color w:val="auto"/>
          <w:kern w:val="2"/>
          <w:sz w:val="24"/>
          <w:szCs w:val="24"/>
          <w:highlight w:val="none"/>
          <w:lang w:eastAsia="zh-CN"/>
        </w:rPr>
        <w:t>6.商务要求偏离表</w:t>
      </w:r>
      <w:bookmarkEnd w:id="105"/>
      <w:bookmarkEnd w:id="106"/>
      <w:bookmarkEnd w:id="107"/>
    </w:p>
    <w:p w14:paraId="78EF498A">
      <w:pPr>
        <w:widowControl w:val="0"/>
        <w:kinsoku/>
        <w:autoSpaceDE/>
        <w:autoSpaceDN/>
        <w:adjustRightInd/>
        <w:snapToGrid/>
        <w:spacing w:line="360" w:lineRule="auto"/>
        <w:jc w:val="center"/>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商务要求偏离表</w:t>
      </w:r>
    </w:p>
    <w:p w14:paraId="0F3AE04B">
      <w:pPr>
        <w:widowControl w:val="0"/>
        <w:kinsoku/>
        <w:autoSpaceDE/>
        <w:autoSpaceDN/>
        <w:adjustRightInd/>
        <w:snapToGrid/>
        <w:spacing w:line="360" w:lineRule="auto"/>
        <w:jc w:val="center"/>
        <w:textAlignment w:val="auto"/>
        <w:rPr>
          <w:rFonts w:ascii="仿宋" w:hAnsi="仿宋" w:eastAsia="仿宋" w:cs="仿宋"/>
          <w:b/>
          <w:i/>
          <w:snapToGrid/>
          <w:color w:val="auto"/>
          <w:kern w:val="2"/>
          <w:sz w:val="24"/>
          <w:szCs w:val="24"/>
          <w:highlight w:val="none"/>
          <w:lang w:eastAsia="zh-CN"/>
        </w:rPr>
      </w:pPr>
      <w:r>
        <w:rPr>
          <w:rFonts w:hint="eastAsia" w:ascii="仿宋" w:hAnsi="仿宋" w:eastAsia="仿宋" w:cs="仿宋"/>
          <w:bCs/>
          <w:i/>
          <w:snapToGrid/>
          <w:color w:val="auto"/>
          <w:kern w:val="2"/>
          <w:sz w:val="24"/>
          <w:szCs w:val="24"/>
          <w:highlight w:val="none"/>
          <w:lang w:eastAsia="zh-CN"/>
        </w:rPr>
        <w:t>（注：按采购需求具体条款修改）</w:t>
      </w:r>
    </w:p>
    <w:p w14:paraId="37D5C8F3">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4A6BE854">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采购项目编号：</w:t>
      </w:r>
    </w:p>
    <w:p w14:paraId="182E2AA1">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采购项目名称：</w:t>
      </w:r>
    </w:p>
    <w:p w14:paraId="1A428E9A">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sz w:val="24"/>
          <w:szCs w:val="24"/>
          <w:highlight w:val="none"/>
          <w:lang w:eastAsia="zh-CN"/>
        </w:rPr>
        <w:t>所竞标段：</w:t>
      </w:r>
      <w:r>
        <w:rPr>
          <w:rFonts w:hint="eastAsia" w:ascii="仿宋" w:hAnsi="仿宋" w:eastAsia="仿宋" w:cs="仿宋"/>
          <w:snapToGrid/>
          <w:color w:val="auto"/>
          <w:sz w:val="24"/>
          <w:szCs w:val="24"/>
          <w:highlight w:val="none"/>
          <w:u w:val="single"/>
          <w:lang w:eastAsia="zh-CN"/>
        </w:rPr>
        <w:t xml:space="preserve">    </w:t>
      </w:r>
      <w:r>
        <w:rPr>
          <w:rFonts w:hint="eastAsia" w:ascii="仿宋" w:hAnsi="仿宋" w:eastAsia="仿宋" w:cs="仿宋"/>
          <w:snapToGrid/>
          <w:color w:val="auto"/>
          <w:sz w:val="24"/>
          <w:szCs w:val="24"/>
          <w:highlight w:val="none"/>
          <w:lang w:eastAsia="zh-CN"/>
        </w:rPr>
        <w:t>标段</w:t>
      </w:r>
    </w:p>
    <w:p w14:paraId="2AF4F70B">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u w:val="single"/>
          <w:lang w:eastAsia="zh-CN"/>
        </w:rPr>
      </w:pPr>
    </w:p>
    <w:tbl>
      <w:tblPr>
        <w:tblStyle w:val="24"/>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0CBFF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424299F8">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项号</w:t>
            </w:r>
          </w:p>
        </w:tc>
        <w:tc>
          <w:tcPr>
            <w:tcW w:w="2668" w:type="dxa"/>
            <w:tcBorders>
              <w:top w:val="single" w:color="auto" w:sz="4" w:space="0"/>
              <w:left w:val="single" w:color="auto" w:sz="4" w:space="0"/>
              <w:bottom w:val="single" w:color="auto" w:sz="4" w:space="0"/>
              <w:right w:val="single" w:color="auto" w:sz="4" w:space="0"/>
            </w:tcBorders>
            <w:vAlign w:val="center"/>
          </w:tcPr>
          <w:p w14:paraId="4AE341FA">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采购文件的商务要求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1899B9AB">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响应文件承诺的商务要求</w:t>
            </w:r>
          </w:p>
        </w:tc>
        <w:tc>
          <w:tcPr>
            <w:tcW w:w="2112" w:type="dxa"/>
            <w:tcBorders>
              <w:top w:val="single" w:color="auto" w:sz="4" w:space="0"/>
              <w:left w:val="single" w:color="auto" w:sz="4" w:space="0"/>
              <w:bottom w:val="single" w:color="auto" w:sz="4" w:space="0"/>
              <w:right w:val="single" w:color="auto" w:sz="4" w:space="0"/>
            </w:tcBorders>
            <w:vAlign w:val="center"/>
          </w:tcPr>
          <w:p w14:paraId="34CE2971">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偏离说明</w:t>
            </w:r>
          </w:p>
        </w:tc>
      </w:tr>
      <w:tr w14:paraId="06B289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2418235B">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w:t>
            </w:r>
          </w:p>
        </w:tc>
        <w:tc>
          <w:tcPr>
            <w:tcW w:w="2668" w:type="dxa"/>
            <w:tcBorders>
              <w:top w:val="single" w:color="auto" w:sz="4" w:space="0"/>
              <w:left w:val="single" w:color="auto" w:sz="4" w:space="0"/>
              <w:bottom w:val="single" w:color="auto" w:sz="4" w:space="0"/>
              <w:right w:val="single" w:color="auto" w:sz="4" w:space="0"/>
            </w:tcBorders>
            <w:vAlign w:val="center"/>
          </w:tcPr>
          <w:p w14:paraId="67EE0BB6">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2350" w:type="dxa"/>
            <w:tcBorders>
              <w:top w:val="single" w:color="auto" w:sz="4" w:space="0"/>
              <w:left w:val="single" w:color="auto" w:sz="4" w:space="0"/>
              <w:bottom w:val="single" w:color="auto" w:sz="4" w:space="0"/>
              <w:right w:val="single" w:color="auto" w:sz="4" w:space="0"/>
            </w:tcBorders>
            <w:vAlign w:val="center"/>
          </w:tcPr>
          <w:p w14:paraId="2EF72805">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2112" w:type="dxa"/>
            <w:tcBorders>
              <w:top w:val="single" w:color="auto" w:sz="4" w:space="0"/>
              <w:left w:val="single" w:color="auto" w:sz="4" w:space="0"/>
              <w:bottom w:val="single" w:color="auto" w:sz="4" w:space="0"/>
              <w:right w:val="single" w:color="auto" w:sz="4" w:space="0"/>
            </w:tcBorders>
            <w:vAlign w:val="center"/>
          </w:tcPr>
          <w:p w14:paraId="384CDA77">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r>
      <w:tr w14:paraId="2C2C24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2E85B81">
            <w:pPr>
              <w:widowControl w:val="0"/>
              <w:kinsoku/>
              <w:autoSpaceDE/>
              <w:autoSpaceDN/>
              <w:adjustRightInd/>
              <w:snapToGrid/>
              <w:spacing w:line="360" w:lineRule="auto"/>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w:t>
            </w:r>
          </w:p>
        </w:tc>
        <w:tc>
          <w:tcPr>
            <w:tcW w:w="2668" w:type="dxa"/>
            <w:tcBorders>
              <w:top w:val="single" w:color="auto" w:sz="4" w:space="0"/>
              <w:left w:val="single" w:color="auto" w:sz="4" w:space="0"/>
              <w:bottom w:val="single" w:color="auto" w:sz="4" w:space="0"/>
              <w:right w:val="single" w:color="auto" w:sz="4" w:space="0"/>
            </w:tcBorders>
            <w:vAlign w:val="center"/>
          </w:tcPr>
          <w:p w14:paraId="52F9F58E">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2350" w:type="dxa"/>
            <w:tcBorders>
              <w:top w:val="single" w:color="auto" w:sz="4" w:space="0"/>
              <w:left w:val="single" w:color="auto" w:sz="4" w:space="0"/>
              <w:bottom w:val="single" w:color="auto" w:sz="4" w:space="0"/>
              <w:right w:val="single" w:color="auto" w:sz="4" w:space="0"/>
            </w:tcBorders>
            <w:vAlign w:val="center"/>
          </w:tcPr>
          <w:p w14:paraId="47FFEB26">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2112" w:type="dxa"/>
            <w:tcBorders>
              <w:top w:val="single" w:color="auto" w:sz="4" w:space="0"/>
              <w:left w:val="single" w:color="auto" w:sz="4" w:space="0"/>
              <w:bottom w:val="single" w:color="auto" w:sz="4" w:space="0"/>
              <w:right w:val="single" w:color="auto" w:sz="4" w:space="0"/>
            </w:tcBorders>
            <w:vAlign w:val="center"/>
          </w:tcPr>
          <w:p w14:paraId="6F7CA082">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r>
      <w:tr w14:paraId="17F73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142A480">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w:t>
            </w:r>
          </w:p>
        </w:tc>
        <w:tc>
          <w:tcPr>
            <w:tcW w:w="2668" w:type="dxa"/>
            <w:tcBorders>
              <w:top w:val="single" w:color="auto" w:sz="4" w:space="0"/>
              <w:left w:val="single" w:color="auto" w:sz="4" w:space="0"/>
              <w:bottom w:val="single" w:color="auto" w:sz="4" w:space="0"/>
              <w:right w:val="single" w:color="auto" w:sz="4" w:space="0"/>
            </w:tcBorders>
            <w:vAlign w:val="center"/>
          </w:tcPr>
          <w:p w14:paraId="69E4AF8B">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2350" w:type="dxa"/>
            <w:tcBorders>
              <w:top w:val="single" w:color="auto" w:sz="4" w:space="0"/>
              <w:left w:val="single" w:color="auto" w:sz="4" w:space="0"/>
              <w:bottom w:val="single" w:color="auto" w:sz="4" w:space="0"/>
              <w:right w:val="single" w:color="auto" w:sz="4" w:space="0"/>
            </w:tcBorders>
            <w:vAlign w:val="center"/>
          </w:tcPr>
          <w:p w14:paraId="6E5150E1">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2112" w:type="dxa"/>
            <w:tcBorders>
              <w:top w:val="single" w:color="auto" w:sz="4" w:space="0"/>
              <w:left w:val="single" w:color="auto" w:sz="4" w:space="0"/>
              <w:bottom w:val="single" w:color="auto" w:sz="4" w:space="0"/>
              <w:right w:val="single" w:color="auto" w:sz="4" w:space="0"/>
            </w:tcBorders>
            <w:vAlign w:val="center"/>
          </w:tcPr>
          <w:p w14:paraId="1A0024C9">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r>
    </w:tbl>
    <w:p w14:paraId="09888C0C">
      <w:pPr>
        <w:pStyle w:val="9"/>
        <w:spacing w:after="0" w:line="360" w:lineRule="auto"/>
        <w:ind w:firstLine="480" w:firstLineChars="200"/>
        <w:contextualSpacing/>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注：</w:t>
      </w:r>
    </w:p>
    <w:p w14:paraId="46DB4BDF">
      <w:pPr>
        <w:pStyle w:val="9"/>
        <w:spacing w:after="0" w:line="360" w:lineRule="auto"/>
        <w:ind w:firstLine="480" w:firstLineChars="200"/>
        <w:contextualSpacing/>
        <w:jc w:val="left"/>
        <w:rPr>
          <w:rFonts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1.说明：应对照磋商文件“第三章采购需求”中的商务要求逐条作出明确响应，并作出偏离说明。</w:t>
      </w:r>
    </w:p>
    <w:p w14:paraId="4FDB5133">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sz w:val="24"/>
          <w:szCs w:val="24"/>
          <w:highlight w:val="none"/>
          <w:lang w:eastAsia="zh-CN"/>
        </w:rPr>
        <w:t>2.供应商应根据自身的承诺，对照磋商文件要求在“偏离说明”中注明“正偏离”、“负偏离”或者“无偏离”。既不属于“正偏离”也不属于“负偏离”即为“无偏离”。</w:t>
      </w:r>
    </w:p>
    <w:p w14:paraId="1B331D4F">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6038A7B9">
      <w:pPr>
        <w:widowControl w:val="0"/>
        <w:kinsoku/>
        <w:autoSpaceDE/>
        <w:autoSpaceDN/>
        <w:adjustRightInd/>
        <w:snapToGrid/>
        <w:spacing w:line="360" w:lineRule="auto"/>
        <w:ind w:firstLine="1920" w:firstLineChars="8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法定代表人或者委托代理人（签字或者电子签名或盖章）：</w:t>
      </w:r>
    </w:p>
    <w:p w14:paraId="31F9D7A8">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供应商（电子签章）：</w:t>
      </w:r>
    </w:p>
    <w:p w14:paraId="08D31976">
      <w:pPr>
        <w:widowControl w:val="0"/>
        <w:tabs>
          <w:tab w:val="left" w:pos="939"/>
        </w:tabs>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年    月    日</w:t>
      </w:r>
    </w:p>
    <w:p w14:paraId="28FDF62C">
      <w:pPr>
        <w:widowControl w:val="0"/>
        <w:kinsoku/>
        <w:autoSpaceDE/>
        <w:autoSpaceDN/>
        <w:spacing w:line="360" w:lineRule="auto"/>
        <w:textAlignment w:val="auto"/>
        <w:outlineLvl w:val="2"/>
        <w:rPr>
          <w:rFonts w:ascii="仿宋" w:hAnsi="仿宋" w:eastAsia="仿宋" w:cs="仿宋"/>
          <w:bCs/>
          <w:snapToGrid/>
          <w:color w:val="auto"/>
          <w:kern w:val="2"/>
          <w:sz w:val="24"/>
          <w:szCs w:val="24"/>
          <w:highlight w:val="none"/>
          <w:lang w:eastAsia="zh-CN"/>
        </w:rPr>
      </w:pPr>
      <w:r>
        <w:rPr>
          <w:rFonts w:hint="eastAsia" w:ascii="仿宋" w:hAnsi="仿宋" w:eastAsia="仿宋" w:cs="仿宋"/>
          <w:bCs/>
          <w:snapToGrid/>
          <w:color w:val="auto"/>
          <w:kern w:val="2"/>
          <w:sz w:val="24"/>
          <w:szCs w:val="24"/>
          <w:highlight w:val="none"/>
          <w:lang w:eastAsia="zh-CN"/>
        </w:rPr>
        <w:br w:type="page"/>
      </w:r>
      <w:bookmarkStart w:id="108" w:name="_Toc30767"/>
      <w:bookmarkStart w:id="109" w:name="_Toc24511"/>
      <w:bookmarkStart w:id="110" w:name="_Toc10721"/>
      <w:r>
        <w:rPr>
          <w:rFonts w:hint="eastAsia" w:ascii="仿宋" w:hAnsi="仿宋" w:eastAsia="仿宋" w:cs="仿宋"/>
          <w:b/>
          <w:snapToGrid/>
          <w:color w:val="auto"/>
          <w:kern w:val="2"/>
          <w:sz w:val="24"/>
          <w:szCs w:val="24"/>
          <w:highlight w:val="none"/>
          <w:lang w:eastAsia="zh-CN"/>
        </w:rPr>
        <w:t>7.技术要求偏离表</w:t>
      </w:r>
      <w:bookmarkEnd w:id="108"/>
      <w:bookmarkEnd w:id="109"/>
      <w:bookmarkEnd w:id="110"/>
    </w:p>
    <w:p w14:paraId="4BDE943E">
      <w:pPr>
        <w:widowControl w:val="0"/>
        <w:kinsoku/>
        <w:autoSpaceDE/>
        <w:autoSpaceDN/>
        <w:adjustRightInd/>
        <w:snapToGrid/>
        <w:spacing w:line="360" w:lineRule="auto"/>
        <w:jc w:val="center"/>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技术要求偏离表</w:t>
      </w:r>
    </w:p>
    <w:p w14:paraId="11A90390">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采购项目编号：</w:t>
      </w:r>
    </w:p>
    <w:p w14:paraId="4ACF2544">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采购项目名称：</w:t>
      </w:r>
    </w:p>
    <w:p w14:paraId="494B4F1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sz w:val="24"/>
          <w:szCs w:val="24"/>
          <w:highlight w:val="none"/>
          <w:lang w:eastAsia="zh-CN"/>
        </w:rPr>
      </w:pPr>
      <w:r>
        <w:rPr>
          <w:rFonts w:hint="eastAsia" w:ascii="仿宋" w:hAnsi="仿宋" w:eastAsia="仿宋" w:cs="仿宋"/>
          <w:snapToGrid/>
          <w:color w:val="auto"/>
          <w:sz w:val="24"/>
          <w:szCs w:val="24"/>
          <w:highlight w:val="none"/>
          <w:lang w:eastAsia="zh-CN"/>
        </w:rPr>
        <w:t>所竞标段：</w:t>
      </w:r>
      <w:r>
        <w:rPr>
          <w:rFonts w:hint="eastAsia" w:ascii="仿宋" w:hAnsi="仿宋" w:eastAsia="仿宋" w:cs="仿宋"/>
          <w:snapToGrid/>
          <w:color w:val="auto"/>
          <w:sz w:val="24"/>
          <w:szCs w:val="24"/>
          <w:highlight w:val="none"/>
          <w:u w:val="single"/>
          <w:lang w:eastAsia="zh-CN"/>
        </w:rPr>
        <w:t xml:space="preserve">    </w:t>
      </w:r>
      <w:r>
        <w:rPr>
          <w:rFonts w:hint="eastAsia" w:ascii="仿宋" w:hAnsi="仿宋" w:eastAsia="仿宋" w:cs="仿宋"/>
          <w:snapToGrid/>
          <w:color w:val="auto"/>
          <w:sz w:val="24"/>
          <w:szCs w:val="24"/>
          <w:highlight w:val="none"/>
          <w:lang w:eastAsia="zh-CN"/>
        </w:rPr>
        <w:t>标段</w:t>
      </w:r>
    </w:p>
    <w:p w14:paraId="7191EBD5">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sz w:val="24"/>
          <w:szCs w:val="24"/>
          <w:highlight w:val="none"/>
          <w:lang w:eastAsia="zh-CN"/>
        </w:rPr>
      </w:pP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54"/>
        <w:gridCol w:w="3684"/>
        <w:gridCol w:w="2857"/>
        <w:gridCol w:w="1558"/>
      </w:tblGrid>
      <w:tr w14:paraId="37DA1B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20" w:hRule="atLeast"/>
          <w:jc w:val="center"/>
        </w:trPr>
        <w:tc>
          <w:tcPr>
            <w:tcW w:w="527" w:type="pct"/>
            <w:vAlign w:val="center"/>
          </w:tcPr>
          <w:p w14:paraId="4A80A9C8">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r>
              <w:rPr>
                <w:rFonts w:hint="eastAsia" w:ascii="仿宋" w:hAnsi="仿宋" w:eastAsia="仿宋" w:cs="仿宋"/>
                <w:snapToGrid/>
                <w:color w:val="auto"/>
                <w:kern w:val="2"/>
                <w:sz w:val="24"/>
                <w:szCs w:val="24"/>
                <w:highlight w:val="none"/>
              </w:rPr>
              <w:t>项号</w:t>
            </w:r>
          </w:p>
        </w:tc>
        <w:tc>
          <w:tcPr>
            <w:tcW w:w="2034" w:type="pct"/>
            <w:tcBorders>
              <w:left w:val="single" w:color="auto" w:sz="4" w:space="0"/>
            </w:tcBorders>
            <w:vAlign w:val="center"/>
          </w:tcPr>
          <w:p w14:paraId="2F5CA2D3">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r>
              <w:rPr>
                <w:rFonts w:hint="eastAsia" w:ascii="仿宋" w:hAnsi="仿宋" w:eastAsia="仿宋" w:cs="仿宋"/>
                <w:snapToGrid/>
                <w:color w:val="auto"/>
                <w:kern w:val="2"/>
                <w:sz w:val="24"/>
                <w:szCs w:val="24"/>
                <w:highlight w:val="none"/>
              </w:rPr>
              <w:t>采购文件的技术要求</w:t>
            </w:r>
          </w:p>
        </w:tc>
        <w:tc>
          <w:tcPr>
            <w:tcW w:w="1577" w:type="pct"/>
            <w:vAlign w:val="center"/>
          </w:tcPr>
          <w:p w14:paraId="2E652FF6">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r>
              <w:rPr>
                <w:rFonts w:hint="eastAsia" w:ascii="仿宋" w:hAnsi="仿宋" w:eastAsia="仿宋" w:cs="仿宋"/>
                <w:snapToGrid/>
                <w:color w:val="auto"/>
                <w:kern w:val="2"/>
                <w:sz w:val="24"/>
                <w:szCs w:val="24"/>
                <w:highlight w:val="none"/>
              </w:rPr>
              <w:t>响应文件承诺的技术要求</w:t>
            </w:r>
          </w:p>
        </w:tc>
        <w:tc>
          <w:tcPr>
            <w:tcW w:w="860" w:type="pct"/>
            <w:vAlign w:val="center"/>
          </w:tcPr>
          <w:p w14:paraId="12E83D69">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bookmarkStart w:id="111" w:name="_Toc295404984"/>
            <w:bookmarkStart w:id="112" w:name="_Toc173066404"/>
            <w:bookmarkStart w:id="113" w:name="_Toc254970732"/>
            <w:bookmarkStart w:id="114" w:name="_Toc383699909"/>
            <w:bookmarkStart w:id="115" w:name="_Toc254970591"/>
            <w:bookmarkStart w:id="116" w:name="_Toc173211903"/>
            <w:bookmarkStart w:id="117" w:name="_Toc301781614"/>
            <w:bookmarkStart w:id="118" w:name="_Toc297193188"/>
            <w:bookmarkStart w:id="119" w:name="_Toc373333692"/>
            <w:r>
              <w:rPr>
                <w:rFonts w:hint="eastAsia" w:ascii="仿宋" w:hAnsi="仿宋" w:eastAsia="仿宋" w:cs="仿宋"/>
                <w:snapToGrid/>
                <w:color w:val="auto"/>
                <w:kern w:val="2"/>
                <w:sz w:val="24"/>
                <w:szCs w:val="24"/>
                <w:highlight w:val="none"/>
              </w:rPr>
              <w:t>偏离</w:t>
            </w:r>
            <w:bookmarkEnd w:id="111"/>
            <w:bookmarkEnd w:id="112"/>
            <w:bookmarkEnd w:id="113"/>
            <w:bookmarkEnd w:id="114"/>
            <w:bookmarkEnd w:id="115"/>
            <w:bookmarkEnd w:id="116"/>
            <w:bookmarkEnd w:id="117"/>
            <w:bookmarkEnd w:id="118"/>
            <w:bookmarkEnd w:id="119"/>
            <w:bookmarkStart w:id="120" w:name="_Toc254970733"/>
            <w:bookmarkStart w:id="121" w:name="_Toc254970592"/>
            <w:bookmarkStart w:id="122" w:name="_Toc173066405"/>
            <w:bookmarkStart w:id="123" w:name="_Toc301781615"/>
            <w:bookmarkStart w:id="124" w:name="_Toc297193189"/>
            <w:bookmarkStart w:id="125" w:name="_Toc383699910"/>
            <w:bookmarkStart w:id="126" w:name="_Toc173211904"/>
            <w:bookmarkStart w:id="127" w:name="_Toc295404985"/>
            <w:bookmarkStart w:id="128" w:name="_Toc373333693"/>
            <w:r>
              <w:rPr>
                <w:rFonts w:hint="eastAsia" w:ascii="仿宋" w:hAnsi="仿宋" w:eastAsia="仿宋" w:cs="仿宋"/>
                <w:snapToGrid/>
                <w:color w:val="auto"/>
                <w:kern w:val="2"/>
                <w:sz w:val="24"/>
                <w:szCs w:val="24"/>
                <w:highlight w:val="none"/>
              </w:rPr>
              <w:t>说明</w:t>
            </w:r>
            <w:bookmarkEnd w:id="120"/>
            <w:bookmarkEnd w:id="121"/>
            <w:bookmarkEnd w:id="122"/>
            <w:bookmarkEnd w:id="123"/>
            <w:bookmarkEnd w:id="124"/>
            <w:bookmarkEnd w:id="125"/>
            <w:bookmarkEnd w:id="126"/>
            <w:bookmarkEnd w:id="127"/>
            <w:bookmarkEnd w:id="128"/>
          </w:p>
        </w:tc>
      </w:tr>
      <w:tr w14:paraId="5477A2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27" w:type="pct"/>
            <w:vAlign w:val="center"/>
          </w:tcPr>
          <w:p w14:paraId="25E73A7B">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bookmarkStart w:id="129" w:name="_Toc173211905"/>
            <w:bookmarkStart w:id="130" w:name="_Toc301781616"/>
            <w:bookmarkStart w:id="131" w:name="_Toc295404986"/>
            <w:bookmarkStart w:id="132" w:name="_Toc254970734"/>
            <w:bookmarkStart w:id="133" w:name="_Toc383699911"/>
            <w:bookmarkStart w:id="134" w:name="_Toc373333694"/>
            <w:bookmarkStart w:id="135" w:name="_Toc173066406"/>
            <w:bookmarkStart w:id="136" w:name="_Toc297193190"/>
            <w:bookmarkStart w:id="137" w:name="_Toc254970593"/>
            <w:r>
              <w:rPr>
                <w:rFonts w:hint="eastAsia" w:ascii="仿宋" w:hAnsi="仿宋" w:eastAsia="仿宋" w:cs="仿宋"/>
                <w:snapToGrid/>
                <w:color w:val="auto"/>
                <w:kern w:val="2"/>
                <w:sz w:val="24"/>
                <w:szCs w:val="24"/>
                <w:highlight w:val="none"/>
              </w:rPr>
              <w:t>1</w:t>
            </w:r>
            <w:bookmarkEnd w:id="129"/>
            <w:bookmarkEnd w:id="130"/>
            <w:bookmarkEnd w:id="131"/>
            <w:bookmarkEnd w:id="132"/>
            <w:bookmarkEnd w:id="133"/>
            <w:bookmarkEnd w:id="134"/>
            <w:bookmarkEnd w:id="135"/>
            <w:bookmarkEnd w:id="136"/>
            <w:bookmarkEnd w:id="137"/>
          </w:p>
        </w:tc>
        <w:tc>
          <w:tcPr>
            <w:tcW w:w="2034" w:type="pct"/>
            <w:tcBorders>
              <w:left w:val="single" w:color="auto" w:sz="4" w:space="0"/>
            </w:tcBorders>
            <w:vAlign w:val="center"/>
          </w:tcPr>
          <w:p w14:paraId="662A5051">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c>
          <w:tcPr>
            <w:tcW w:w="1577" w:type="pct"/>
            <w:vAlign w:val="center"/>
          </w:tcPr>
          <w:p w14:paraId="264B4D97">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c>
          <w:tcPr>
            <w:tcW w:w="860" w:type="pct"/>
            <w:vAlign w:val="center"/>
          </w:tcPr>
          <w:p w14:paraId="5E4C83F8">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r>
      <w:tr w14:paraId="6256B2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27" w:type="pct"/>
            <w:vAlign w:val="center"/>
          </w:tcPr>
          <w:p w14:paraId="0A05B8D7">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bookmarkStart w:id="138" w:name="_Toc297193191"/>
            <w:bookmarkStart w:id="139" w:name="_Toc173066407"/>
            <w:bookmarkStart w:id="140" w:name="_Toc254970735"/>
            <w:bookmarkStart w:id="141" w:name="_Toc301781617"/>
            <w:bookmarkStart w:id="142" w:name="_Toc173211906"/>
            <w:bookmarkStart w:id="143" w:name="_Toc254970594"/>
            <w:bookmarkStart w:id="144" w:name="_Toc373333695"/>
            <w:bookmarkStart w:id="145" w:name="_Toc295404987"/>
            <w:bookmarkStart w:id="146" w:name="_Toc383699912"/>
            <w:r>
              <w:rPr>
                <w:rFonts w:hint="eastAsia" w:ascii="仿宋" w:hAnsi="仿宋" w:eastAsia="仿宋" w:cs="仿宋"/>
                <w:snapToGrid/>
                <w:color w:val="auto"/>
                <w:kern w:val="2"/>
                <w:sz w:val="24"/>
                <w:szCs w:val="24"/>
                <w:highlight w:val="none"/>
              </w:rPr>
              <w:t>2</w:t>
            </w:r>
            <w:bookmarkEnd w:id="138"/>
            <w:bookmarkEnd w:id="139"/>
            <w:bookmarkEnd w:id="140"/>
            <w:bookmarkEnd w:id="141"/>
            <w:bookmarkEnd w:id="142"/>
            <w:bookmarkEnd w:id="143"/>
            <w:bookmarkEnd w:id="144"/>
            <w:bookmarkEnd w:id="145"/>
            <w:bookmarkEnd w:id="146"/>
          </w:p>
        </w:tc>
        <w:tc>
          <w:tcPr>
            <w:tcW w:w="2034" w:type="pct"/>
            <w:tcBorders>
              <w:left w:val="single" w:color="auto" w:sz="4" w:space="0"/>
            </w:tcBorders>
            <w:vAlign w:val="center"/>
          </w:tcPr>
          <w:p w14:paraId="5CAA0D5A">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c>
          <w:tcPr>
            <w:tcW w:w="1577" w:type="pct"/>
            <w:vAlign w:val="center"/>
          </w:tcPr>
          <w:p w14:paraId="19E00AE6">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c>
          <w:tcPr>
            <w:tcW w:w="860" w:type="pct"/>
            <w:vAlign w:val="center"/>
          </w:tcPr>
          <w:p w14:paraId="2E24267E">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r>
      <w:tr w14:paraId="7B1AC1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27" w:type="pct"/>
            <w:vAlign w:val="center"/>
          </w:tcPr>
          <w:p w14:paraId="2B58429B">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bookmarkStart w:id="147" w:name="_Toc295404988"/>
            <w:bookmarkStart w:id="148" w:name="_Toc383699913"/>
            <w:bookmarkStart w:id="149" w:name="_Toc173211907"/>
            <w:bookmarkStart w:id="150" w:name="_Toc173066408"/>
            <w:bookmarkStart w:id="151" w:name="_Toc301781618"/>
            <w:bookmarkStart w:id="152" w:name="_Toc373333696"/>
            <w:bookmarkStart w:id="153" w:name="_Toc254970736"/>
            <w:bookmarkStart w:id="154" w:name="_Toc297193192"/>
            <w:bookmarkStart w:id="155" w:name="_Toc254970595"/>
            <w:r>
              <w:rPr>
                <w:rFonts w:hint="eastAsia" w:ascii="仿宋" w:hAnsi="仿宋" w:eastAsia="仿宋" w:cs="仿宋"/>
                <w:snapToGrid/>
                <w:color w:val="auto"/>
                <w:kern w:val="2"/>
                <w:sz w:val="24"/>
                <w:szCs w:val="24"/>
                <w:highlight w:val="none"/>
              </w:rPr>
              <w:t>3</w:t>
            </w:r>
            <w:bookmarkEnd w:id="147"/>
            <w:bookmarkEnd w:id="148"/>
            <w:bookmarkEnd w:id="149"/>
            <w:bookmarkEnd w:id="150"/>
            <w:bookmarkEnd w:id="151"/>
            <w:bookmarkEnd w:id="152"/>
            <w:bookmarkEnd w:id="153"/>
            <w:bookmarkEnd w:id="154"/>
            <w:bookmarkEnd w:id="155"/>
          </w:p>
        </w:tc>
        <w:tc>
          <w:tcPr>
            <w:tcW w:w="2034" w:type="pct"/>
            <w:tcBorders>
              <w:left w:val="single" w:color="auto" w:sz="4" w:space="0"/>
            </w:tcBorders>
            <w:vAlign w:val="center"/>
          </w:tcPr>
          <w:p w14:paraId="46388C20">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c>
          <w:tcPr>
            <w:tcW w:w="1577" w:type="pct"/>
            <w:vAlign w:val="center"/>
          </w:tcPr>
          <w:p w14:paraId="0A34D3D6">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c>
          <w:tcPr>
            <w:tcW w:w="860" w:type="pct"/>
            <w:vAlign w:val="center"/>
          </w:tcPr>
          <w:p w14:paraId="597E0DB7">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r>
      <w:tr w14:paraId="1C7CB7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27" w:type="pct"/>
            <w:vAlign w:val="center"/>
          </w:tcPr>
          <w:p w14:paraId="69A2A1D5">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r>
              <w:rPr>
                <w:rFonts w:hint="eastAsia" w:ascii="仿宋" w:hAnsi="仿宋" w:eastAsia="仿宋" w:cs="仿宋"/>
                <w:snapToGrid/>
                <w:color w:val="auto"/>
                <w:kern w:val="2"/>
                <w:sz w:val="24"/>
                <w:szCs w:val="24"/>
                <w:highlight w:val="none"/>
              </w:rPr>
              <w:t>……</w:t>
            </w:r>
          </w:p>
        </w:tc>
        <w:tc>
          <w:tcPr>
            <w:tcW w:w="2034" w:type="pct"/>
            <w:tcBorders>
              <w:left w:val="single" w:color="auto" w:sz="4" w:space="0"/>
            </w:tcBorders>
            <w:vAlign w:val="center"/>
          </w:tcPr>
          <w:p w14:paraId="113C73CF">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c>
          <w:tcPr>
            <w:tcW w:w="1577" w:type="pct"/>
            <w:vAlign w:val="center"/>
          </w:tcPr>
          <w:p w14:paraId="65518464">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c>
          <w:tcPr>
            <w:tcW w:w="860" w:type="pct"/>
            <w:vAlign w:val="center"/>
          </w:tcPr>
          <w:p w14:paraId="6470C9CA">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r>
      <w:tr w14:paraId="1504C8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27" w:type="pct"/>
            <w:vAlign w:val="center"/>
          </w:tcPr>
          <w:p w14:paraId="79A946B1">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r>
              <w:rPr>
                <w:rFonts w:hint="eastAsia" w:ascii="仿宋" w:hAnsi="仿宋" w:eastAsia="仿宋" w:cs="仿宋"/>
                <w:snapToGrid/>
                <w:color w:val="auto"/>
                <w:kern w:val="2"/>
                <w:sz w:val="24"/>
                <w:szCs w:val="24"/>
                <w:highlight w:val="none"/>
              </w:rPr>
              <w:t>……</w:t>
            </w:r>
          </w:p>
        </w:tc>
        <w:tc>
          <w:tcPr>
            <w:tcW w:w="2034" w:type="pct"/>
            <w:tcBorders>
              <w:left w:val="single" w:color="auto" w:sz="4" w:space="0"/>
            </w:tcBorders>
            <w:vAlign w:val="center"/>
          </w:tcPr>
          <w:p w14:paraId="662F6A38">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c>
          <w:tcPr>
            <w:tcW w:w="1577" w:type="pct"/>
            <w:vAlign w:val="center"/>
          </w:tcPr>
          <w:p w14:paraId="691CAB9A">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c>
          <w:tcPr>
            <w:tcW w:w="860" w:type="pct"/>
            <w:vAlign w:val="center"/>
          </w:tcPr>
          <w:p w14:paraId="7A7F666B">
            <w:pPr>
              <w:pStyle w:val="11"/>
              <w:kinsoku/>
              <w:autoSpaceDE/>
              <w:autoSpaceDN/>
              <w:adjustRightInd/>
              <w:snapToGrid/>
              <w:spacing w:line="360" w:lineRule="auto"/>
              <w:ind w:firstLine="0" w:firstLineChars="0"/>
              <w:contextualSpacing/>
              <w:jc w:val="center"/>
              <w:textAlignment w:val="auto"/>
              <w:rPr>
                <w:rFonts w:ascii="仿宋" w:hAnsi="仿宋" w:eastAsia="仿宋" w:cs="仿宋"/>
                <w:snapToGrid/>
                <w:color w:val="auto"/>
                <w:kern w:val="2"/>
                <w:sz w:val="24"/>
                <w:szCs w:val="24"/>
                <w:highlight w:val="none"/>
              </w:rPr>
            </w:pPr>
          </w:p>
        </w:tc>
      </w:tr>
    </w:tbl>
    <w:p w14:paraId="67D98830">
      <w:pPr>
        <w:widowControl w:val="0"/>
        <w:kinsoku/>
        <w:autoSpaceDE/>
        <w:autoSpaceDN/>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7F48EEE4">
      <w:pPr>
        <w:pStyle w:val="11"/>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注：</w:t>
      </w:r>
    </w:p>
    <w:p w14:paraId="3807F2C5">
      <w:pPr>
        <w:pStyle w:val="11"/>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1. 说明：应对照磋商文件“第三章 采购需求”中的技术要求逐条作出明确响应，并作出偏离说明。</w:t>
      </w:r>
    </w:p>
    <w:p w14:paraId="64471911">
      <w:pPr>
        <w:pStyle w:val="11"/>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2.供应商应根据自身的承诺，对照磋商文件要求，在“偏离说明”中注明“正偏离”、“负偏离”或者“无偏离”。既不属于“正偏离”也不属于“负偏离”即为“无偏离”。</w:t>
      </w:r>
    </w:p>
    <w:p w14:paraId="3DA8FEB0">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4EF3CEC8">
      <w:pPr>
        <w:widowControl w:val="0"/>
        <w:kinsoku/>
        <w:autoSpaceDE/>
        <w:autoSpaceDN/>
        <w:adjustRightInd/>
        <w:snapToGrid/>
        <w:spacing w:line="360" w:lineRule="auto"/>
        <w:ind w:firstLine="2400" w:firstLineChars="10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法定代表人或者委托代理人（签字或者电子签名或盖章）：</w:t>
      </w:r>
    </w:p>
    <w:p w14:paraId="38BA1D08">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供应商（电子签章）：</w:t>
      </w:r>
    </w:p>
    <w:p w14:paraId="7F227A45">
      <w:pPr>
        <w:widowControl w:val="0"/>
        <w:tabs>
          <w:tab w:val="left" w:pos="939"/>
        </w:tabs>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年    月    日</w:t>
      </w:r>
    </w:p>
    <w:p w14:paraId="054FDCEA">
      <w:pPr>
        <w:widowControl w:val="0"/>
        <w:kinsoku/>
        <w:autoSpaceDE/>
        <w:autoSpaceDN/>
        <w:adjustRightInd/>
        <w:spacing w:line="360" w:lineRule="auto"/>
        <w:textAlignment w:val="auto"/>
        <w:outlineLvl w:val="2"/>
        <w:rPr>
          <w:rFonts w:ascii="仿宋" w:hAnsi="仿宋" w:eastAsia="仿宋" w:cs="仿宋"/>
          <w:b/>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bookmarkStart w:id="156" w:name="_Toc19213"/>
      <w:bookmarkStart w:id="157" w:name="_Toc12497"/>
      <w:bookmarkStart w:id="158" w:name="_Toc24164"/>
      <w:r>
        <w:rPr>
          <w:rFonts w:hint="eastAsia" w:ascii="仿宋" w:hAnsi="仿宋" w:eastAsia="仿宋" w:cs="仿宋"/>
          <w:b/>
          <w:bCs/>
          <w:snapToGrid/>
          <w:color w:val="auto"/>
          <w:kern w:val="2"/>
          <w:sz w:val="24"/>
          <w:szCs w:val="24"/>
          <w:highlight w:val="none"/>
          <w:lang w:eastAsia="zh-CN"/>
        </w:rPr>
        <w:t>8.项目实施人员一览表格式</w:t>
      </w:r>
      <w:bookmarkEnd w:id="156"/>
      <w:bookmarkEnd w:id="157"/>
      <w:bookmarkEnd w:id="158"/>
    </w:p>
    <w:p w14:paraId="335479A4">
      <w:pPr>
        <w:widowControl w:val="0"/>
        <w:kinsoku/>
        <w:autoSpaceDE/>
        <w:autoSpaceDN/>
        <w:adjustRightInd/>
        <w:snapToGrid/>
        <w:spacing w:line="360" w:lineRule="auto"/>
        <w:contextualSpacing/>
        <w:jc w:val="center"/>
        <w:textAlignment w:val="auto"/>
        <w:rPr>
          <w:rFonts w:ascii="仿宋" w:hAnsi="仿宋" w:eastAsia="仿宋" w:cs="仿宋"/>
          <w:b/>
          <w:snapToGrid/>
          <w:color w:val="auto"/>
          <w:kern w:val="2"/>
          <w:sz w:val="24"/>
          <w:szCs w:val="24"/>
          <w:highlight w:val="none"/>
          <w:lang w:eastAsia="zh-CN"/>
        </w:rPr>
      </w:pPr>
      <w:r>
        <w:rPr>
          <w:rFonts w:hint="eastAsia" w:ascii="仿宋" w:hAnsi="仿宋" w:eastAsia="仿宋" w:cs="仿宋"/>
          <w:b/>
          <w:snapToGrid/>
          <w:color w:val="auto"/>
          <w:kern w:val="2"/>
          <w:sz w:val="24"/>
          <w:szCs w:val="24"/>
          <w:highlight w:val="none"/>
          <w:lang w:eastAsia="zh-CN"/>
        </w:rPr>
        <w:t>项目实施人员一览表</w:t>
      </w:r>
    </w:p>
    <w:p w14:paraId="42D0F13A">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采购项目编号：</w:t>
      </w:r>
    </w:p>
    <w:p w14:paraId="282A2F0F">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采购项目名称：</w:t>
      </w:r>
    </w:p>
    <w:p w14:paraId="4BE1737B">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sz w:val="24"/>
          <w:szCs w:val="24"/>
          <w:highlight w:val="none"/>
          <w:lang w:eastAsia="zh-CN"/>
        </w:rPr>
        <w:t>所竞标段：</w:t>
      </w:r>
      <w:r>
        <w:rPr>
          <w:rFonts w:hint="eastAsia" w:ascii="仿宋" w:hAnsi="仿宋" w:eastAsia="仿宋" w:cs="仿宋"/>
          <w:snapToGrid/>
          <w:color w:val="auto"/>
          <w:sz w:val="24"/>
          <w:szCs w:val="24"/>
          <w:highlight w:val="none"/>
          <w:u w:val="single"/>
          <w:lang w:eastAsia="zh-CN"/>
        </w:rPr>
        <w:t xml:space="preserve">    </w:t>
      </w:r>
      <w:r>
        <w:rPr>
          <w:rFonts w:hint="eastAsia" w:ascii="仿宋" w:hAnsi="仿宋" w:eastAsia="仿宋" w:cs="仿宋"/>
          <w:snapToGrid/>
          <w:color w:val="auto"/>
          <w:sz w:val="24"/>
          <w:szCs w:val="24"/>
          <w:highlight w:val="none"/>
          <w:lang w:eastAsia="zh-CN"/>
        </w:rPr>
        <w:t>标段</w:t>
      </w:r>
    </w:p>
    <w:tbl>
      <w:tblPr>
        <w:tblStyle w:val="24"/>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
        <w:gridCol w:w="782"/>
        <w:gridCol w:w="2815"/>
        <w:gridCol w:w="1547"/>
        <w:gridCol w:w="1788"/>
        <w:gridCol w:w="1221"/>
      </w:tblGrid>
      <w:tr w14:paraId="11DE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6" w:type="pct"/>
            <w:vAlign w:val="center"/>
          </w:tcPr>
          <w:p w14:paraId="10F8B250">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姓名</w:t>
            </w:r>
          </w:p>
        </w:tc>
        <w:tc>
          <w:tcPr>
            <w:tcW w:w="432" w:type="pct"/>
            <w:vAlign w:val="center"/>
          </w:tcPr>
          <w:p w14:paraId="1543EBB2">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职务</w:t>
            </w:r>
          </w:p>
        </w:tc>
        <w:tc>
          <w:tcPr>
            <w:tcW w:w="1554" w:type="pct"/>
            <w:vAlign w:val="center"/>
          </w:tcPr>
          <w:p w14:paraId="4D59161B">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专业技术资格（职称）或者职业资格或者执业资格证或者其他证书</w:t>
            </w:r>
          </w:p>
        </w:tc>
        <w:tc>
          <w:tcPr>
            <w:tcW w:w="854" w:type="pct"/>
            <w:vAlign w:val="center"/>
          </w:tcPr>
          <w:p w14:paraId="68DD9065">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证书编号</w:t>
            </w:r>
          </w:p>
        </w:tc>
        <w:tc>
          <w:tcPr>
            <w:tcW w:w="987" w:type="pct"/>
            <w:vAlign w:val="center"/>
          </w:tcPr>
          <w:p w14:paraId="5879A0F6">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专业</w:t>
            </w:r>
          </w:p>
        </w:tc>
        <w:tc>
          <w:tcPr>
            <w:tcW w:w="674" w:type="pct"/>
            <w:vAlign w:val="center"/>
          </w:tcPr>
          <w:p w14:paraId="642DB176">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备注</w:t>
            </w:r>
          </w:p>
        </w:tc>
      </w:tr>
      <w:tr w14:paraId="2C03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pct"/>
            <w:vAlign w:val="center"/>
          </w:tcPr>
          <w:p w14:paraId="4C896678">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432" w:type="pct"/>
            <w:vAlign w:val="center"/>
          </w:tcPr>
          <w:p w14:paraId="4500412E">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1554" w:type="pct"/>
            <w:vAlign w:val="center"/>
          </w:tcPr>
          <w:p w14:paraId="5E8F4472">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854" w:type="pct"/>
            <w:vAlign w:val="center"/>
          </w:tcPr>
          <w:p w14:paraId="13158CE7">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987" w:type="pct"/>
            <w:vAlign w:val="center"/>
          </w:tcPr>
          <w:p w14:paraId="5ADC27C0">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674" w:type="pct"/>
            <w:vAlign w:val="center"/>
          </w:tcPr>
          <w:p w14:paraId="3169855A">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r>
      <w:tr w14:paraId="31D0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pct"/>
            <w:vAlign w:val="center"/>
          </w:tcPr>
          <w:p w14:paraId="428654F6">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432" w:type="pct"/>
            <w:vAlign w:val="center"/>
          </w:tcPr>
          <w:p w14:paraId="3F1FADE3">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1554" w:type="pct"/>
            <w:vAlign w:val="center"/>
          </w:tcPr>
          <w:p w14:paraId="309BC355">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854" w:type="pct"/>
            <w:vAlign w:val="center"/>
          </w:tcPr>
          <w:p w14:paraId="3394954B">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987" w:type="pct"/>
            <w:vAlign w:val="center"/>
          </w:tcPr>
          <w:p w14:paraId="6B79E3D8">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674" w:type="pct"/>
            <w:vAlign w:val="center"/>
          </w:tcPr>
          <w:p w14:paraId="142B82A6">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r>
      <w:tr w14:paraId="5AFA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pct"/>
            <w:vAlign w:val="center"/>
          </w:tcPr>
          <w:p w14:paraId="166FB47D">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432" w:type="pct"/>
            <w:vAlign w:val="center"/>
          </w:tcPr>
          <w:p w14:paraId="054ACC14">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1554" w:type="pct"/>
            <w:vAlign w:val="center"/>
          </w:tcPr>
          <w:p w14:paraId="19A0D9B6">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854" w:type="pct"/>
            <w:vAlign w:val="center"/>
          </w:tcPr>
          <w:p w14:paraId="7DA1CC81">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987" w:type="pct"/>
            <w:vAlign w:val="center"/>
          </w:tcPr>
          <w:p w14:paraId="5B83E3D9">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c>
          <w:tcPr>
            <w:tcW w:w="674" w:type="pct"/>
            <w:vAlign w:val="center"/>
          </w:tcPr>
          <w:p w14:paraId="22B22D6F">
            <w:pPr>
              <w:widowControl w:val="0"/>
              <w:kinsoku/>
              <w:autoSpaceDE/>
              <w:autoSpaceDN/>
              <w:adjustRightInd/>
              <w:snapToGrid/>
              <w:spacing w:line="360" w:lineRule="auto"/>
              <w:contextualSpacing/>
              <w:jc w:val="center"/>
              <w:textAlignment w:val="auto"/>
              <w:rPr>
                <w:rFonts w:ascii="仿宋" w:hAnsi="仿宋" w:eastAsia="仿宋" w:cs="仿宋"/>
                <w:snapToGrid/>
                <w:color w:val="auto"/>
                <w:kern w:val="2"/>
                <w:sz w:val="24"/>
                <w:szCs w:val="24"/>
                <w:highlight w:val="none"/>
                <w:lang w:eastAsia="zh-CN"/>
              </w:rPr>
            </w:pPr>
          </w:p>
        </w:tc>
      </w:tr>
    </w:tbl>
    <w:p w14:paraId="4F4BFA3F">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注：</w:t>
      </w:r>
    </w:p>
    <w:p w14:paraId="316C87C2">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1.在填写时，如本表格不适合供应商的实际情况，可参照本表格式自行制表填写。</w:t>
      </w:r>
    </w:p>
    <w:p w14:paraId="177DA667">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0CD501DB">
      <w:pPr>
        <w:widowControl w:val="0"/>
        <w:kinsoku/>
        <w:autoSpaceDE/>
        <w:autoSpaceDN/>
        <w:adjustRightInd/>
        <w:snapToGrid/>
        <w:spacing w:line="360" w:lineRule="auto"/>
        <w:ind w:firstLine="2400" w:firstLineChars="1000"/>
        <w:contextualSpacing/>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法定代表人或者委托代理人（签字或者电子签名或盖章）：</w:t>
      </w:r>
    </w:p>
    <w:p w14:paraId="32116B02">
      <w:pPr>
        <w:widowControl w:val="0"/>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供应商（电子签章）：</w:t>
      </w:r>
    </w:p>
    <w:p w14:paraId="02F900B4">
      <w:pPr>
        <w:widowControl w:val="0"/>
        <w:tabs>
          <w:tab w:val="left" w:pos="939"/>
        </w:tabs>
        <w:kinsoku/>
        <w:autoSpaceDE/>
        <w:autoSpaceDN/>
        <w:adjustRightInd/>
        <w:snapToGrid/>
        <w:spacing w:line="360" w:lineRule="auto"/>
        <w:ind w:firstLine="3360" w:firstLineChars="14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年    月    日</w:t>
      </w:r>
    </w:p>
    <w:p w14:paraId="5BC76635">
      <w:pPr>
        <w:widowControl w:val="0"/>
        <w:kinsoku/>
        <w:autoSpaceDE/>
        <w:autoSpaceDN/>
        <w:adjustRightInd/>
        <w:spacing w:line="360" w:lineRule="auto"/>
        <w:ind w:firstLine="480" w:firstLineChars="200"/>
        <w:textAlignment w:val="auto"/>
        <w:rPr>
          <w:rFonts w:ascii="仿宋" w:hAnsi="仿宋" w:eastAsia="仿宋" w:cs="仿宋"/>
          <w:snapToGrid/>
          <w:color w:val="auto"/>
          <w:kern w:val="2"/>
          <w:sz w:val="24"/>
          <w:szCs w:val="24"/>
          <w:highlight w:val="none"/>
          <w:lang w:eastAsia="zh-CN"/>
        </w:rPr>
      </w:pPr>
    </w:p>
    <w:p w14:paraId="75179DF1">
      <w:pPr>
        <w:widowControl w:val="0"/>
        <w:kinsoku/>
        <w:autoSpaceDE/>
        <w:autoSpaceDN/>
        <w:adjustRightInd/>
        <w:spacing w:line="360" w:lineRule="auto"/>
        <w:ind w:firstLine="482" w:firstLineChars="200"/>
        <w:textAlignment w:val="auto"/>
        <w:rPr>
          <w:rFonts w:ascii="仿宋" w:hAnsi="仿宋" w:eastAsia="仿宋" w:cs="仿宋"/>
          <w:b/>
          <w:snapToGrid/>
          <w:color w:val="auto"/>
          <w:kern w:val="2"/>
          <w:sz w:val="24"/>
          <w:szCs w:val="24"/>
          <w:highlight w:val="none"/>
          <w:lang w:eastAsia="zh-CN"/>
        </w:rPr>
      </w:pPr>
    </w:p>
    <w:p w14:paraId="63363D2A">
      <w:pPr>
        <w:widowControl w:val="0"/>
        <w:kinsoku/>
        <w:autoSpaceDE/>
        <w:autoSpaceDN/>
        <w:adjustRightInd/>
        <w:snapToGrid/>
        <w:spacing w:line="360" w:lineRule="auto"/>
        <w:textAlignment w:val="auto"/>
        <w:outlineLvl w:val="1"/>
        <w:rPr>
          <w:rFonts w:ascii="仿宋" w:hAnsi="仿宋" w:eastAsia="仿宋" w:cs="仿宋"/>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br w:type="page"/>
      </w:r>
      <w:bookmarkStart w:id="159" w:name="_Toc19224"/>
      <w:bookmarkStart w:id="160" w:name="_Toc7334"/>
      <w:bookmarkStart w:id="161" w:name="_Toc6966"/>
      <w:r>
        <w:rPr>
          <w:rFonts w:hint="eastAsia" w:ascii="仿宋" w:hAnsi="仿宋" w:eastAsia="仿宋" w:cs="仿宋"/>
          <w:b/>
          <w:bCs/>
          <w:snapToGrid/>
          <w:color w:val="auto"/>
          <w:kern w:val="2"/>
          <w:sz w:val="24"/>
          <w:szCs w:val="24"/>
          <w:highlight w:val="none"/>
          <w:lang w:eastAsia="zh-CN"/>
        </w:rPr>
        <w:t>四、其他文书、文件格式</w:t>
      </w:r>
      <w:bookmarkEnd w:id="159"/>
      <w:bookmarkEnd w:id="160"/>
      <w:bookmarkEnd w:id="161"/>
    </w:p>
    <w:p w14:paraId="09932E4B">
      <w:pPr>
        <w:widowControl w:val="0"/>
        <w:kinsoku/>
        <w:autoSpaceDE/>
        <w:autoSpaceDN/>
        <w:adjustRightInd/>
        <w:snapToGrid/>
        <w:spacing w:line="360" w:lineRule="auto"/>
        <w:textAlignment w:val="auto"/>
        <w:outlineLvl w:val="2"/>
        <w:rPr>
          <w:rFonts w:ascii="仿宋" w:hAnsi="仿宋" w:eastAsia="仿宋" w:cs="仿宋"/>
          <w:b/>
          <w:bCs/>
          <w:snapToGrid/>
          <w:color w:val="auto"/>
          <w:kern w:val="2"/>
          <w:sz w:val="24"/>
          <w:szCs w:val="24"/>
          <w:highlight w:val="none"/>
          <w:lang w:eastAsia="zh-CN"/>
        </w:rPr>
      </w:pPr>
      <w:bookmarkStart w:id="162" w:name="_Toc32517"/>
      <w:bookmarkStart w:id="163" w:name="_Toc71365926"/>
      <w:bookmarkStart w:id="164" w:name="_Toc4065"/>
      <w:bookmarkStart w:id="165" w:name="_Toc5034"/>
      <w:r>
        <w:rPr>
          <w:rFonts w:hint="eastAsia" w:ascii="仿宋" w:hAnsi="仿宋" w:eastAsia="仿宋" w:cs="仿宋"/>
          <w:b/>
          <w:bCs/>
          <w:snapToGrid/>
          <w:color w:val="auto"/>
          <w:kern w:val="2"/>
          <w:sz w:val="24"/>
          <w:szCs w:val="24"/>
          <w:highlight w:val="none"/>
          <w:lang w:eastAsia="zh-CN"/>
        </w:rPr>
        <w:t>1.中小企业声明函（服务）</w:t>
      </w:r>
      <w:bookmarkEnd w:id="162"/>
      <w:bookmarkEnd w:id="163"/>
      <w:bookmarkEnd w:id="164"/>
      <w:bookmarkEnd w:id="165"/>
    </w:p>
    <w:p w14:paraId="0D5C14E2">
      <w:pPr>
        <w:widowControl w:val="0"/>
        <w:kinsoku/>
        <w:autoSpaceDE/>
        <w:autoSpaceDN/>
        <w:adjustRightInd/>
        <w:snapToGrid/>
        <w:spacing w:line="360" w:lineRule="auto"/>
        <w:jc w:val="center"/>
        <w:textAlignment w:val="auto"/>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中小企业声明函（服务）</w:t>
      </w:r>
    </w:p>
    <w:p w14:paraId="7C8BFE0D">
      <w:pPr>
        <w:widowControl w:val="0"/>
        <w:kinsoku/>
        <w:spacing w:line="360" w:lineRule="auto"/>
        <w:ind w:firstLine="480" w:firstLineChars="200"/>
        <w:rPr>
          <w:rFonts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本公司（联合体）郑重声明，根据《政府采购促进中小企业发展管理办法》（财库﹝2020﹞46号）的规定，本公司（联合体）参加</w:t>
      </w:r>
      <w:r>
        <w:rPr>
          <w:rFonts w:hint="eastAsia" w:ascii="仿宋" w:hAnsi="仿宋" w:eastAsia="仿宋" w:cs="仿宋"/>
          <w:color w:val="auto"/>
          <w:kern w:val="2"/>
          <w:sz w:val="24"/>
          <w:szCs w:val="24"/>
          <w:highlight w:val="none"/>
          <w:u w:val="single"/>
          <w:lang w:eastAsia="zh-CN"/>
        </w:rPr>
        <w:t>（单位名称）</w:t>
      </w:r>
      <w:r>
        <w:rPr>
          <w:rFonts w:hint="eastAsia" w:ascii="仿宋" w:hAnsi="仿宋" w:eastAsia="仿宋" w:cs="仿宋"/>
          <w:color w:val="auto"/>
          <w:kern w:val="2"/>
          <w:sz w:val="24"/>
          <w:szCs w:val="24"/>
          <w:highlight w:val="none"/>
          <w:lang w:eastAsia="zh-CN"/>
        </w:rPr>
        <w:t>的</w:t>
      </w:r>
      <w:r>
        <w:rPr>
          <w:rFonts w:hint="eastAsia" w:ascii="仿宋" w:hAnsi="仿宋" w:eastAsia="仿宋" w:cs="仿宋"/>
          <w:color w:val="auto"/>
          <w:kern w:val="2"/>
          <w:sz w:val="24"/>
          <w:szCs w:val="24"/>
          <w:highlight w:val="none"/>
          <w:u w:val="single"/>
          <w:lang w:eastAsia="zh-CN"/>
        </w:rPr>
        <w:t>（项目名称）</w:t>
      </w:r>
      <w:r>
        <w:rPr>
          <w:rFonts w:hint="eastAsia" w:ascii="仿宋" w:hAnsi="仿宋" w:eastAsia="仿宋" w:cs="仿宋"/>
          <w:color w:val="auto"/>
          <w:kern w:val="2"/>
          <w:sz w:val="24"/>
          <w:szCs w:val="24"/>
          <w:highlight w:val="none"/>
          <w:lang w:eastAsia="zh-CN"/>
        </w:rPr>
        <w:t>采购活动，服务全部由符合政策要求的中小企业承接。相关企业（含联合体中的中小企业、签订分包意向协议的中小企业）的具体情况如下：</w:t>
      </w:r>
    </w:p>
    <w:p w14:paraId="4DAD7559">
      <w:pPr>
        <w:widowControl w:val="0"/>
        <w:tabs>
          <w:tab w:val="left" w:pos="1384"/>
          <w:tab w:val="left" w:pos="4562"/>
          <w:tab w:val="left" w:pos="6803"/>
        </w:tabs>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1.</w:t>
      </w:r>
      <w:r>
        <w:rPr>
          <w:rFonts w:hint="eastAsia" w:ascii="仿宋" w:hAnsi="仿宋" w:eastAsia="仿宋" w:cs="仿宋"/>
          <w:snapToGrid/>
          <w:color w:val="auto"/>
          <w:kern w:val="2"/>
          <w:sz w:val="24"/>
          <w:szCs w:val="24"/>
          <w:highlight w:val="none"/>
          <w:u w:val="single"/>
          <w:lang w:eastAsia="zh-CN"/>
        </w:rPr>
        <w:t>（标的名称）</w:t>
      </w:r>
      <w:r>
        <w:rPr>
          <w:rFonts w:hint="eastAsia" w:ascii="仿宋" w:hAnsi="仿宋" w:eastAsia="仿宋" w:cs="仿宋"/>
          <w:snapToGrid/>
          <w:color w:val="auto"/>
          <w:kern w:val="2"/>
          <w:sz w:val="24"/>
          <w:szCs w:val="24"/>
          <w:highlight w:val="none"/>
          <w:lang w:eastAsia="zh-CN"/>
        </w:rPr>
        <w:t>，属于</w:t>
      </w:r>
      <w:r>
        <w:rPr>
          <w:rFonts w:hint="eastAsia" w:ascii="仿宋" w:hAnsi="仿宋" w:eastAsia="仿宋" w:cs="仿宋"/>
          <w:snapToGrid/>
          <w:color w:val="auto"/>
          <w:kern w:val="2"/>
          <w:sz w:val="24"/>
          <w:szCs w:val="24"/>
          <w:highlight w:val="none"/>
          <w:u w:val="single"/>
          <w:lang w:eastAsia="zh-CN"/>
        </w:rPr>
        <w:t>（采购文件中明确的所属行业）</w:t>
      </w:r>
      <w:r>
        <w:rPr>
          <w:rFonts w:hint="eastAsia" w:ascii="仿宋" w:hAnsi="仿宋" w:eastAsia="仿宋" w:cs="仿宋"/>
          <w:snapToGrid/>
          <w:color w:val="auto"/>
          <w:kern w:val="2"/>
          <w:sz w:val="24"/>
          <w:szCs w:val="24"/>
          <w:highlight w:val="none"/>
          <w:lang w:eastAsia="zh-CN"/>
        </w:rPr>
        <w:t>；承接企业为</w:t>
      </w:r>
      <w:r>
        <w:rPr>
          <w:rFonts w:hint="eastAsia" w:ascii="仿宋" w:hAnsi="仿宋" w:eastAsia="仿宋" w:cs="仿宋"/>
          <w:snapToGrid/>
          <w:color w:val="auto"/>
          <w:kern w:val="2"/>
          <w:sz w:val="24"/>
          <w:szCs w:val="24"/>
          <w:highlight w:val="none"/>
          <w:u w:val="single"/>
          <w:lang w:eastAsia="zh-CN"/>
        </w:rPr>
        <w:t>（企业名称）</w:t>
      </w:r>
      <w:r>
        <w:rPr>
          <w:rFonts w:hint="eastAsia" w:ascii="仿宋" w:hAnsi="仿宋" w:eastAsia="仿宋" w:cs="仿宋"/>
          <w:snapToGrid/>
          <w:color w:val="auto"/>
          <w:kern w:val="2"/>
          <w:sz w:val="24"/>
          <w:szCs w:val="24"/>
          <w:highlight w:val="none"/>
          <w:lang w:eastAsia="zh-CN"/>
        </w:rPr>
        <w:t>，从业人员人，营业收入为万元，资产总额为万元，属于</w:t>
      </w:r>
      <w:r>
        <w:rPr>
          <w:rFonts w:hint="eastAsia" w:ascii="仿宋" w:hAnsi="仿宋" w:eastAsia="仿宋" w:cs="仿宋"/>
          <w:snapToGrid/>
          <w:color w:val="auto"/>
          <w:kern w:val="2"/>
          <w:sz w:val="24"/>
          <w:szCs w:val="24"/>
          <w:highlight w:val="none"/>
          <w:u w:val="single"/>
          <w:lang w:eastAsia="zh-CN"/>
        </w:rPr>
        <w:t>（中型企业、小型企业、微型企业）</w:t>
      </w:r>
      <w:r>
        <w:rPr>
          <w:rFonts w:hint="eastAsia" w:ascii="仿宋" w:hAnsi="仿宋" w:eastAsia="仿宋" w:cs="仿宋"/>
          <w:snapToGrid/>
          <w:color w:val="auto"/>
          <w:kern w:val="2"/>
          <w:sz w:val="24"/>
          <w:szCs w:val="24"/>
          <w:highlight w:val="none"/>
          <w:lang w:eastAsia="zh-CN"/>
        </w:rPr>
        <w:t>；</w:t>
      </w:r>
    </w:p>
    <w:p w14:paraId="76EDF988">
      <w:pPr>
        <w:widowControl w:val="0"/>
        <w:tabs>
          <w:tab w:val="left" w:pos="1065"/>
          <w:tab w:val="left" w:pos="4262"/>
          <w:tab w:val="left" w:pos="6477"/>
        </w:tabs>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u w:val="single"/>
          <w:lang w:eastAsia="zh-CN"/>
        </w:rPr>
      </w:pPr>
      <w:r>
        <w:rPr>
          <w:rFonts w:hint="eastAsia" w:ascii="仿宋" w:hAnsi="仿宋" w:eastAsia="仿宋" w:cs="仿宋"/>
          <w:snapToGrid/>
          <w:color w:val="auto"/>
          <w:kern w:val="2"/>
          <w:sz w:val="24"/>
          <w:szCs w:val="24"/>
          <w:highlight w:val="none"/>
          <w:lang w:eastAsia="zh-CN"/>
        </w:rPr>
        <w:t>2.</w:t>
      </w:r>
      <w:r>
        <w:rPr>
          <w:rFonts w:hint="eastAsia" w:ascii="仿宋" w:hAnsi="仿宋" w:eastAsia="仿宋" w:cs="仿宋"/>
          <w:snapToGrid/>
          <w:color w:val="auto"/>
          <w:kern w:val="2"/>
          <w:sz w:val="24"/>
          <w:szCs w:val="24"/>
          <w:highlight w:val="none"/>
          <w:u w:val="single"/>
          <w:lang w:eastAsia="zh-CN"/>
        </w:rPr>
        <w:t>（标的名称）</w:t>
      </w:r>
      <w:r>
        <w:rPr>
          <w:rFonts w:hint="eastAsia" w:ascii="仿宋" w:hAnsi="仿宋" w:eastAsia="仿宋" w:cs="仿宋"/>
          <w:snapToGrid/>
          <w:color w:val="auto"/>
          <w:kern w:val="2"/>
          <w:sz w:val="24"/>
          <w:szCs w:val="24"/>
          <w:highlight w:val="none"/>
          <w:lang w:eastAsia="zh-CN"/>
        </w:rPr>
        <w:t>，属于</w:t>
      </w:r>
      <w:r>
        <w:rPr>
          <w:rFonts w:hint="eastAsia" w:ascii="仿宋" w:hAnsi="仿宋" w:eastAsia="仿宋" w:cs="仿宋"/>
          <w:snapToGrid/>
          <w:color w:val="auto"/>
          <w:kern w:val="2"/>
          <w:sz w:val="24"/>
          <w:szCs w:val="24"/>
          <w:highlight w:val="none"/>
          <w:u w:val="single"/>
          <w:lang w:eastAsia="zh-CN"/>
        </w:rPr>
        <w:t>（采购文件中明确的所属行业）</w:t>
      </w:r>
      <w:r>
        <w:rPr>
          <w:rFonts w:hint="eastAsia" w:ascii="仿宋" w:hAnsi="仿宋" w:eastAsia="仿宋" w:cs="仿宋"/>
          <w:snapToGrid/>
          <w:color w:val="auto"/>
          <w:kern w:val="2"/>
          <w:sz w:val="24"/>
          <w:szCs w:val="24"/>
          <w:highlight w:val="none"/>
          <w:lang w:eastAsia="zh-CN"/>
        </w:rPr>
        <w:t>；承接企业为</w:t>
      </w:r>
      <w:r>
        <w:rPr>
          <w:rFonts w:hint="eastAsia" w:ascii="仿宋" w:hAnsi="仿宋" w:eastAsia="仿宋" w:cs="仿宋"/>
          <w:snapToGrid/>
          <w:color w:val="auto"/>
          <w:kern w:val="2"/>
          <w:sz w:val="24"/>
          <w:szCs w:val="24"/>
          <w:highlight w:val="none"/>
          <w:u w:val="single"/>
          <w:lang w:eastAsia="zh-CN"/>
        </w:rPr>
        <w:t>（企业名称）</w:t>
      </w:r>
      <w:r>
        <w:rPr>
          <w:rFonts w:hint="eastAsia" w:ascii="仿宋" w:hAnsi="仿宋" w:eastAsia="仿宋" w:cs="仿宋"/>
          <w:snapToGrid/>
          <w:color w:val="auto"/>
          <w:kern w:val="2"/>
          <w:sz w:val="24"/>
          <w:szCs w:val="24"/>
          <w:highlight w:val="none"/>
          <w:lang w:eastAsia="zh-CN"/>
        </w:rPr>
        <w:t>，从业人员人，营业收入为万元，资产总额为万元，属于</w:t>
      </w:r>
      <w:r>
        <w:rPr>
          <w:rFonts w:hint="eastAsia" w:ascii="仿宋" w:hAnsi="仿宋" w:eastAsia="仿宋" w:cs="仿宋"/>
          <w:snapToGrid/>
          <w:color w:val="auto"/>
          <w:kern w:val="2"/>
          <w:sz w:val="24"/>
          <w:szCs w:val="24"/>
          <w:highlight w:val="none"/>
          <w:u w:val="single"/>
          <w:lang w:eastAsia="zh-CN"/>
        </w:rPr>
        <w:t>（中型企业、小型企业、微型企业）</w:t>
      </w:r>
      <w:r>
        <w:rPr>
          <w:rFonts w:hint="eastAsia" w:ascii="仿宋" w:hAnsi="仿宋" w:eastAsia="仿宋" w:cs="仿宋"/>
          <w:snapToGrid/>
          <w:color w:val="auto"/>
          <w:kern w:val="2"/>
          <w:sz w:val="24"/>
          <w:szCs w:val="24"/>
          <w:highlight w:val="none"/>
          <w:lang w:eastAsia="zh-CN"/>
        </w:rPr>
        <w:t>；</w:t>
      </w:r>
    </w:p>
    <w:p w14:paraId="433257C0">
      <w:pPr>
        <w:widowControl w:val="0"/>
        <w:kinsoku/>
        <w:spacing w:line="360" w:lineRule="auto"/>
        <w:ind w:firstLine="480" w:firstLineChars="200"/>
        <w:rPr>
          <w:rFonts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 xml:space="preserve">…… </w:t>
      </w:r>
    </w:p>
    <w:p w14:paraId="3635FCFA">
      <w:pPr>
        <w:widowControl w:val="0"/>
        <w:kinsoku/>
        <w:spacing w:line="360" w:lineRule="auto"/>
        <w:ind w:firstLine="480" w:firstLineChars="200"/>
        <w:rPr>
          <w:rFonts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以上企业，不属于大企业的分支机构，不存在控股股东为大企业的情形，也不存在与大企业的负责人为同一人的情形。</w:t>
      </w:r>
    </w:p>
    <w:p w14:paraId="7872A797">
      <w:pPr>
        <w:widowControl w:val="0"/>
        <w:kinsoku/>
        <w:spacing w:line="360" w:lineRule="auto"/>
        <w:ind w:firstLine="480" w:firstLineChars="200"/>
        <w:rPr>
          <w:rFonts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本企业对上述声明内容的真实性负责。如有虚假，将依法承担相应责任。</w:t>
      </w:r>
    </w:p>
    <w:p w14:paraId="0C37BF56">
      <w:pPr>
        <w:widowControl w:val="0"/>
        <w:kinsoku/>
        <w:spacing w:line="360" w:lineRule="auto"/>
        <w:ind w:firstLine="480" w:firstLineChars="200"/>
        <w:rPr>
          <w:rFonts w:ascii="仿宋" w:hAnsi="仿宋" w:eastAsia="仿宋" w:cs="仿宋"/>
          <w:color w:val="auto"/>
          <w:kern w:val="2"/>
          <w:sz w:val="24"/>
          <w:szCs w:val="24"/>
          <w:highlight w:val="none"/>
          <w:lang w:eastAsia="zh-CN"/>
        </w:rPr>
      </w:pPr>
    </w:p>
    <w:p w14:paraId="7E9D6049">
      <w:pPr>
        <w:widowControl w:val="0"/>
        <w:kinsoku/>
        <w:autoSpaceDE/>
        <w:autoSpaceDN/>
        <w:adjustRightInd/>
        <w:snapToGrid/>
        <w:spacing w:line="360" w:lineRule="auto"/>
        <w:ind w:firstLine="3840" w:firstLineChars="1600"/>
        <w:textAlignment w:val="auto"/>
        <w:rPr>
          <w:rFonts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 xml:space="preserve">企业名称（章）： </w:t>
      </w:r>
    </w:p>
    <w:p w14:paraId="34F30DAB">
      <w:pPr>
        <w:widowControl w:val="0"/>
        <w:kinsoku/>
        <w:autoSpaceDE/>
        <w:autoSpaceDN/>
        <w:adjustRightInd/>
        <w:snapToGrid/>
        <w:spacing w:line="360" w:lineRule="auto"/>
        <w:ind w:firstLine="3840" w:firstLineChars="1600"/>
        <w:textAlignment w:val="auto"/>
        <w:rPr>
          <w:rFonts w:ascii="仿宋" w:hAnsi="仿宋" w:eastAsia="仿宋" w:cs="仿宋"/>
          <w:color w:val="auto"/>
          <w:kern w:val="2"/>
          <w:sz w:val="24"/>
          <w:szCs w:val="24"/>
          <w:highlight w:val="none"/>
          <w:lang w:eastAsia="zh-CN"/>
        </w:rPr>
      </w:pPr>
      <w:r>
        <w:rPr>
          <w:rFonts w:hint="eastAsia" w:ascii="仿宋" w:hAnsi="仿宋" w:eastAsia="仿宋" w:cs="仿宋"/>
          <w:color w:val="auto"/>
          <w:kern w:val="2"/>
          <w:sz w:val="24"/>
          <w:szCs w:val="24"/>
          <w:highlight w:val="none"/>
          <w:lang w:eastAsia="zh-CN"/>
        </w:rPr>
        <w:t>日 期：</w:t>
      </w:r>
    </w:p>
    <w:p w14:paraId="5E5E16D7">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1311F8E">
      <w:pPr>
        <w:widowControl w:val="0"/>
        <w:kinsoku/>
        <w:autoSpaceDE/>
        <w:autoSpaceDN/>
        <w:adjustRightInd/>
        <w:snapToGrid/>
        <w:spacing w:line="360" w:lineRule="auto"/>
        <w:textAlignment w:val="auto"/>
        <w:outlineLvl w:val="2"/>
        <w:rPr>
          <w:rFonts w:ascii="仿宋" w:hAnsi="仿宋" w:eastAsia="仿宋" w:cs="仿宋"/>
          <w:b/>
          <w:bCs/>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br w:type="page"/>
      </w:r>
      <w:bookmarkStart w:id="166" w:name="_Toc1069"/>
      <w:bookmarkStart w:id="167" w:name="_Toc2502"/>
      <w:bookmarkStart w:id="168" w:name="_Toc6465"/>
      <w:r>
        <w:rPr>
          <w:rFonts w:hint="eastAsia" w:ascii="仿宋" w:hAnsi="仿宋" w:eastAsia="仿宋" w:cs="仿宋"/>
          <w:b/>
          <w:bCs/>
          <w:snapToGrid/>
          <w:color w:val="auto"/>
          <w:kern w:val="2"/>
          <w:sz w:val="24"/>
          <w:szCs w:val="24"/>
          <w:highlight w:val="none"/>
          <w:lang w:eastAsia="zh-CN"/>
        </w:rPr>
        <w:t>2.残疾人福利性单位声明函</w:t>
      </w:r>
      <w:bookmarkEnd w:id="166"/>
      <w:bookmarkEnd w:id="167"/>
      <w:bookmarkEnd w:id="168"/>
    </w:p>
    <w:p w14:paraId="6AD57E3D">
      <w:pPr>
        <w:widowControl w:val="0"/>
        <w:kinsoku/>
        <w:autoSpaceDE/>
        <w:autoSpaceDN/>
        <w:adjustRightInd/>
        <w:snapToGrid/>
        <w:spacing w:line="360" w:lineRule="auto"/>
        <w:contextualSpacing/>
        <w:jc w:val="center"/>
        <w:textAlignment w:val="auto"/>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残疾人福利性单位声明函</w:t>
      </w:r>
    </w:p>
    <w:p w14:paraId="0F00E5DC">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D46DD51">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本单位对上述声明的真实性负责。如有虚假，将依法承担相应责任。</w:t>
      </w:r>
    </w:p>
    <w:p w14:paraId="2114F5AA">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349202B7">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5E746DB5">
      <w:pPr>
        <w:widowControl w:val="0"/>
        <w:kinsoku/>
        <w:autoSpaceDE/>
        <w:autoSpaceDN/>
        <w:adjustRightInd/>
        <w:snapToGrid/>
        <w:spacing w:line="360" w:lineRule="auto"/>
        <w:ind w:firstLine="3840" w:firstLineChars="16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单位名称（盖章）：</w:t>
      </w:r>
    </w:p>
    <w:p w14:paraId="31603F67">
      <w:pPr>
        <w:widowControl w:val="0"/>
        <w:kinsoku/>
        <w:autoSpaceDE/>
        <w:autoSpaceDN/>
        <w:adjustRightInd/>
        <w:snapToGrid/>
        <w:spacing w:line="360" w:lineRule="auto"/>
        <w:ind w:firstLine="3840" w:firstLineChars="16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日  期：</w:t>
      </w:r>
    </w:p>
    <w:p w14:paraId="002D974C">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43FED72A">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517146F9">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p>
    <w:p w14:paraId="3B14B05D">
      <w:pPr>
        <w:widowControl w:val="0"/>
        <w:kinsoku/>
        <w:autoSpaceDE/>
        <w:autoSpaceDN/>
        <w:adjustRightInd/>
        <w:snapToGrid/>
        <w:spacing w:line="360" w:lineRule="auto"/>
        <w:ind w:firstLine="480" w:firstLineChars="200"/>
        <w:contextualSpacing/>
        <w:textAlignment w:val="auto"/>
        <w:rPr>
          <w:rFonts w:ascii="仿宋" w:hAnsi="仿宋" w:eastAsia="仿宋" w:cs="仿宋"/>
          <w:snapToGrid/>
          <w:color w:val="auto"/>
          <w:kern w:val="2"/>
          <w:sz w:val="24"/>
          <w:szCs w:val="24"/>
          <w:highlight w:val="none"/>
          <w:lang w:eastAsia="zh-CN"/>
        </w:rPr>
      </w:pPr>
      <w:r>
        <w:rPr>
          <w:rFonts w:hint="eastAsia" w:ascii="仿宋" w:hAnsi="仿宋" w:eastAsia="仿宋" w:cs="仿宋"/>
          <w:snapToGrid/>
          <w:color w:val="auto"/>
          <w:kern w:val="2"/>
          <w:sz w:val="24"/>
          <w:szCs w:val="24"/>
          <w:highlight w:val="none"/>
          <w:lang w:eastAsia="zh-CN"/>
        </w:rPr>
        <w:t>注：请根据自己的真实情况出具《残疾人福利性单位声明函》。依法享受中小企业扶持政策的，采购人或者采购代理机构在公告成交结果时，同时公告其《残疾人福利性单位声明函》，接受社会监督。</w:t>
      </w:r>
    </w:p>
    <w:p w14:paraId="255E3860">
      <w:pPr>
        <w:widowControl w:val="0"/>
        <w:kinsoku/>
        <w:autoSpaceDE/>
        <w:autoSpaceDN/>
        <w:adjustRightInd/>
        <w:snapToGrid/>
        <w:spacing w:line="360" w:lineRule="auto"/>
        <w:ind w:firstLine="480" w:firstLineChars="200"/>
        <w:textAlignment w:val="auto"/>
        <w:rPr>
          <w:rFonts w:ascii="仿宋" w:hAnsi="仿宋" w:eastAsia="仿宋" w:cs="仿宋"/>
          <w:snapToGrid/>
          <w:color w:val="auto"/>
          <w:kern w:val="2"/>
          <w:sz w:val="24"/>
          <w:szCs w:val="24"/>
          <w:highlight w:val="none"/>
          <w:lang w:eastAsia="zh-CN"/>
        </w:rPr>
        <w:sectPr>
          <w:headerReference r:id="rId9" w:type="default"/>
          <w:footerReference r:id="rId10" w:type="default"/>
          <w:pgSz w:w="11910" w:h="16830"/>
          <w:pgMar w:top="820" w:right="1426" w:bottom="1069" w:left="1640" w:header="0" w:footer="927" w:gutter="0"/>
          <w:cols w:space="720" w:num="1"/>
        </w:sectPr>
      </w:pPr>
      <w:r>
        <w:rPr>
          <w:rFonts w:hint="eastAsia" w:ascii="仿宋" w:hAnsi="仿宋" w:eastAsia="仿宋" w:cs="仿宋"/>
          <w:snapToGrid/>
          <w:color w:val="auto"/>
          <w:kern w:val="2"/>
          <w:sz w:val="24"/>
          <w:szCs w:val="24"/>
          <w:highlight w:val="none"/>
          <w:lang w:eastAsia="zh-CN"/>
        </w:rPr>
        <w:br w:type="page"/>
      </w:r>
    </w:p>
    <w:p w14:paraId="665BBFCB">
      <w:pPr>
        <w:widowControl w:val="0"/>
        <w:spacing w:line="360" w:lineRule="auto"/>
        <w:outlineLvl w:val="2"/>
        <w:rPr>
          <w:rFonts w:ascii="仿宋" w:hAnsi="仿宋" w:eastAsia="仿宋" w:cs="仿宋"/>
          <w:b/>
          <w:bCs/>
          <w:snapToGrid/>
          <w:color w:val="auto"/>
          <w:kern w:val="2"/>
          <w:sz w:val="24"/>
          <w:szCs w:val="24"/>
          <w:highlight w:val="none"/>
          <w:lang w:eastAsia="zh-CN" w:bidi="ar"/>
        </w:rPr>
      </w:pPr>
      <w:bookmarkStart w:id="169" w:name="_Toc29169"/>
      <w:r>
        <w:rPr>
          <w:rFonts w:hint="eastAsia" w:ascii="仿宋" w:hAnsi="仿宋" w:eastAsia="仿宋" w:cs="仿宋"/>
          <w:b/>
          <w:bCs/>
          <w:snapToGrid/>
          <w:color w:val="auto"/>
          <w:kern w:val="2"/>
          <w:sz w:val="24"/>
          <w:szCs w:val="24"/>
          <w:highlight w:val="none"/>
          <w:lang w:eastAsia="zh-CN" w:bidi="ar"/>
        </w:rPr>
        <w:t>3.关于符合本国产品标准的声明函的格式：</w:t>
      </w:r>
      <w:bookmarkEnd w:id="169"/>
    </w:p>
    <w:p w14:paraId="30ACF793">
      <w:pPr>
        <w:shd w:val="clear" w:color="auto" w:fill="FFFFFF"/>
        <w:spacing w:before="30" w:after="30"/>
        <w:jc w:val="center"/>
        <w:rPr>
          <w:rFonts w:ascii="仿宋" w:hAnsi="仿宋" w:eastAsia="仿宋" w:cs="仿宋"/>
          <w:b/>
          <w:color w:val="auto"/>
          <w:kern w:val="2"/>
          <w:sz w:val="30"/>
          <w:szCs w:val="30"/>
          <w:highlight w:val="none"/>
          <w:lang w:eastAsia="zh-CN" w:bidi="ar"/>
        </w:rPr>
      </w:pPr>
    </w:p>
    <w:p w14:paraId="29482368">
      <w:pPr>
        <w:shd w:val="clear" w:color="auto" w:fill="FFFFFF"/>
        <w:spacing w:before="30" w:after="30"/>
        <w:jc w:val="center"/>
        <w:rPr>
          <w:rFonts w:ascii="仿宋" w:hAnsi="仿宋" w:eastAsia="仿宋" w:cs="仿宋"/>
          <w:color w:val="auto"/>
          <w:kern w:val="2"/>
          <w:sz w:val="24"/>
          <w:szCs w:val="24"/>
          <w:highlight w:val="none"/>
          <w:lang w:eastAsia="zh-CN" w:bidi="ar"/>
        </w:rPr>
      </w:pPr>
      <w:r>
        <w:rPr>
          <w:rFonts w:hint="eastAsia" w:ascii="仿宋" w:hAnsi="仿宋" w:eastAsia="仿宋" w:cs="仿宋"/>
          <w:b/>
          <w:color w:val="auto"/>
          <w:kern w:val="2"/>
          <w:sz w:val="30"/>
          <w:szCs w:val="30"/>
          <w:highlight w:val="none"/>
          <w:lang w:eastAsia="zh-CN" w:bidi="ar"/>
        </w:rPr>
        <w:t>关于符合本国产品标准的声明函</w:t>
      </w:r>
    </w:p>
    <w:p w14:paraId="309C0453">
      <w:pPr>
        <w:shd w:val="clear" w:color="auto" w:fill="FFFFFF"/>
        <w:spacing w:before="30" w:after="30"/>
        <w:ind w:firstLine="420"/>
        <w:jc w:val="both"/>
        <w:rPr>
          <w:rFonts w:ascii="仿宋" w:hAnsi="仿宋" w:eastAsia="仿宋" w:cs="仿宋"/>
          <w:color w:val="auto"/>
          <w:kern w:val="2"/>
          <w:sz w:val="24"/>
          <w:szCs w:val="24"/>
          <w:highlight w:val="none"/>
          <w:lang w:eastAsia="zh-CN" w:bidi="ar"/>
        </w:rPr>
      </w:pPr>
    </w:p>
    <w:p w14:paraId="45C72393">
      <w:pPr>
        <w:shd w:val="clear" w:color="auto" w:fill="FFFFFF"/>
        <w:spacing w:before="30" w:after="30" w:line="360" w:lineRule="auto"/>
        <w:ind w:firstLine="420"/>
        <w:jc w:val="both"/>
        <w:rPr>
          <w:rFonts w:ascii="仿宋" w:hAnsi="仿宋" w:eastAsia="仿宋" w:cs="仿宋"/>
          <w:color w:val="auto"/>
          <w:kern w:val="2"/>
          <w:sz w:val="24"/>
          <w:szCs w:val="24"/>
          <w:highlight w:val="none"/>
          <w:lang w:eastAsia="zh-CN" w:bidi="ar"/>
        </w:rPr>
      </w:pPr>
      <w:r>
        <w:rPr>
          <w:rFonts w:hint="eastAsia" w:ascii="仿宋" w:hAnsi="仿宋" w:eastAsia="仿宋" w:cs="仿宋"/>
          <w:color w:val="auto"/>
          <w:kern w:val="2"/>
          <w:sz w:val="24"/>
          <w:szCs w:val="24"/>
          <w:highlight w:val="none"/>
          <w:lang w:eastAsia="zh-CN" w:bidi="ar"/>
        </w:rPr>
        <w:t>本公司（单位）郑重声明，根据《国务院办公厅关于在政府采购中实施本国产品标准及相关政策的通知》（国办发〔2025〕34号）的规定，本公司（单位）提供的以下产品属于本国产品。具体情况如下：</w:t>
      </w:r>
    </w:p>
    <w:p w14:paraId="36173750">
      <w:pPr>
        <w:shd w:val="clear" w:color="auto" w:fill="FFFFFF"/>
        <w:spacing w:before="30" w:after="30" w:line="360" w:lineRule="auto"/>
        <w:ind w:firstLine="420"/>
        <w:jc w:val="both"/>
        <w:rPr>
          <w:rFonts w:ascii="仿宋" w:hAnsi="仿宋" w:eastAsia="仿宋" w:cs="仿宋"/>
          <w:color w:val="auto"/>
          <w:kern w:val="2"/>
          <w:sz w:val="24"/>
          <w:szCs w:val="24"/>
          <w:highlight w:val="none"/>
          <w:lang w:eastAsia="zh-CN" w:bidi="ar"/>
        </w:rPr>
      </w:pPr>
      <w:r>
        <w:rPr>
          <w:rFonts w:hint="eastAsia" w:ascii="仿宋" w:hAnsi="仿宋" w:eastAsia="仿宋" w:cs="仿宋"/>
          <w:color w:val="auto"/>
          <w:kern w:val="2"/>
          <w:sz w:val="24"/>
          <w:szCs w:val="24"/>
          <w:highlight w:val="none"/>
          <w:lang w:eastAsia="zh-CN" w:bidi="ar"/>
        </w:rPr>
        <w:t>1.</w:t>
      </w:r>
      <w:r>
        <w:rPr>
          <w:rStyle w:val="28"/>
          <w:rFonts w:hint="eastAsia" w:ascii="仿宋" w:hAnsi="仿宋" w:eastAsia="仿宋" w:cs="仿宋"/>
          <w:i w:val="0"/>
          <w:color w:val="auto"/>
          <w:kern w:val="2"/>
          <w:sz w:val="24"/>
          <w:szCs w:val="24"/>
          <w:highlight w:val="none"/>
          <w:u w:val="single"/>
          <w:shd w:val="clear" w:color="auto" w:fill="FFFFFF"/>
          <w:lang w:eastAsia="zh-CN"/>
        </w:rPr>
        <w:t>（产品名称1）</w:t>
      </w:r>
      <w:r>
        <w:rPr>
          <w:rStyle w:val="28"/>
          <w:rFonts w:hint="eastAsia" w:ascii="仿宋" w:hAnsi="仿宋" w:eastAsia="仿宋" w:cs="仿宋"/>
          <w:i w:val="0"/>
          <w:color w:val="auto"/>
          <w:kern w:val="2"/>
          <w:sz w:val="24"/>
          <w:szCs w:val="24"/>
          <w:highlight w:val="none"/>
          <w:shd w:val="clear" w:color="auto" w:fill="FFFFFF"/>
          <w:vertAlign w:val="superscript"/>
          <w:lang w:eastAsia="zh-CN"/>
        </w:rPr>
        <w:t>1</w:t>
      </w:r>
      <w:r>
        <w:rPr>
          <w:rFonts w:hint="eastAsia" w:ascii="仿宋" w:hAnsi="仿宋" w:eastAsia="仿宋" w:cs="仿宋"/>
          <w:color w:val="auto"/>
          <w:sz w:val="24"/>
          <w:szCs w:val="24"/>
          <w:highlight w:val="none"/>
          <w:shd w:val="clear" w:color="auto" w:fill="FFFFFF"/>
          <w:lang w:eastAsia="zh-CN" w:bidi="ar"/>
        </w:rPr>
        <w:t>，生产厂为</w:t>
      </w:r>
      <w:r>
        <w:rPr>
          <w:rStyle w:val="28"/>
          <w:rFonts w:hint="eastAsia" w:ascii="仿宋" w:hAnsi="仿宋" w:eastAsia="仿宋" w:cs="仿宋"/>
          <w:i w:val="0"/>
          <w:color w:val="auto"/>
          <w:kern w:val="2"/>
          <w:sz w:val="24"/>
          <w:szCs w:val="24"/>
          <w:highlight w:val="none"/>
          <w:u w:val="single"/>
          <w:shd w:val="clear" w:color="auto" w:fill="FFFFFF"/>
          <w:lang w:eastAsia="zh-CN"/>
        </w:rPr>
        <w:t>（厂名）</w:t>
      </w:r>
      <w:r>
        <w:rPr>
          <w:rStyle w:val="28"/>
          <w:rFonts w:hint="eastAsia" w:ascii="仿宋" w:hAnsi="仿宋" w:eastAsia="仿宋" w:cs="仿宋"/>
          <w:i w:val="0"/>
          <w:color w:val="auto"/>
          <w:kern w:val="2"/>
          <w:sz w:val="24"/>
          <w:szCs w:val="24"/>
          <w:highlight w:val="none"/>
          <w:shd w:val="clear" w:color="auto" w:fill="FFFFFF"/>
          <w:vertAlign w:val="superscript"/>
          <w:lang w:eastAsia="zh-CN"/>
        </w:rPr>
        <w:t>2</w:t>
      </w:r>
      <w:r>
        <w:rPr>
          <w:rFonts w:hint="eastAsia" w:ascii="仿宋" w:hAnsi="仿宋" w:eastAsia="仿宋" w:cs="仿宋"/>
          <w:color w:val="auto"/>
          <w:sz w:val="24"/>
          <w:szCs w:val="24"/>
          <w:highlight w:val="none"/>
          <w:shd w:val="clear" w:color="auto" w:fill="FFFFFF"/>
          <w:lang w:eastAsia="zh-CN" w:bidi="ar"/>
        </w:rPr>
        <w:t>，厂址为</w:t>
      </w:r>
      <w:r>
        <w:rPr>
          <w:rStyle w:val="28"/>
          <w:rFonts w:hint="eastAsia" w:ascii="仿宋" w:hAnsi="仿宋" w:eastAsia="仿宋" w:cs="仿宋"/>
          <w:i w:val="0"/>
          <w:color w:val="auto"/>
          <w:kern w:val="2"/>
          <w:sz w:val="24"/>
          <w:szCs w:val="24"/>
          <w:highlight w:val="none"/>
          <w:u w:val="single"/>
          <w:shd w:val="clear" w:color="auto" w:fill="FFFFFF"/>
          <w:lang w:eastAsia="zh-CN"/>
        </w:rPr>
        <w:t>（生产厂址）</w:t>
      </w:r>
      <w:r>
        <w:rPr>
          <w:rFonts w:hint="eastAsia" w:ascii="仿宋" w:hAnsi="仿宋" w:eastAsia="仿宋" w:cs="仿宋"/>
          <w:color w:val="auto"/>
          <w:sz w:val="24"/>
          <w:szCs w:val="24"/>
          <w:highlight w:val="none"/>
          <w:shd w:val="clear" w:color="auto" w:fill="FFFFFF"/>
          <w:lang w:eastAsia="zh-CN" w:bidi="ar"/>
        </w:rPr>
        <w:t>。</w:t>
      </w:r>
      <w:r>
        <w:rPr>
          <w:rStyle w:val="28"/>
          <w:rFonts w:hint="eastAsia" w:ascii="仿宋" w:hAnsi="仿宋" w:eastAsia="仿宋" w:cs="仿宋"/>
          <w:i w:val="0"/>
          <w:color w:val="auto"/>
          <w:kern w:val="2"/>
          <w:sz w:val="24"/>
          <w:szCs w:val="24"/>
          <w:highlight w:val="none"/>
          <w:u w:val="single"/>
          <w:shd w:val="clear" w:color="auto" w:fill="FFFFFF"/>
          <w:lang w:eastAsia="zh-CN"/>
        </w:rPr>
        <w:t>（产品名称1）</w:t>
      </w:r>
      <w:r>
        <w:rPr>
          <w:rFonts w:hint="eastAsia" w:ascii="仿宋" w:hAnsi="仿宋" w:eastAsia="仿宋" w:cs="仿宋"/>
          <w:color w:val="auto"/>
          <w:sz w:val="24"/>
          <w:szCs w:val="24"/>
          <w:highlight w:val="none"/>
          <w:shd w:val="clear" w:color="auto" w:fill="FFFFFF"/>
          <w:lang w:eastAsia="zh-CN" w:bidi="ar"/>
        </w:rPr>
        <w:t>的中国境内生产的组件成本占比≥</w:t>
      </w:r>
      <w:r>
        <w:rPr>
          <w:rStyle w:val="28"/>
          <w:rFonts w:hint="eastAsia" w:ascii="仿宋" w:hAnsi="仿宋" w:eastAsia="仿宋" w:cs="仿宋"/>
          <w:i w:val="0"/>
          <w:color w:val="auto"/>
          <w:kern w:val="2"/>
          <w:sz w:val="24"/>
          <w:szCs w:val="24"/>
          <w:highlight w:val="none"/>
          <w:u w:val="single"/>
          <w:shd w:val="clear" w:color="auto" w:fill="FFFFFF"/>
          <w:lang w:eastAsia="zh-CN"/>
        </w:rPr>
        <w:t>（规定比例）</w:t>
      </w:r>
      <w:r>
        <w:rPr>
          <w:rStyle w:val="28"/>
          <w:rFonts w:hint="eastAsia" w:ascii="仿宋" w:hAnsi="仿宋" w:eastAsia="仿宋" w:cs="仿宋"/>
          <w:i w:val="0"/>
          <w:color w:val="auto"/>
          <w:kern w:val="2"/>
          <w:sz w:val="24"/>
          <w:szCs w:val="24"/>
          <w:highlight w:val="none"/>
          <w:shd w:val="clear" w:color="auto" w:fill="FFFFFF"/>
          <w:vertAlign w:val="superscript"/>
          <w:lang w:eastAsia="zh-CN"/>
        </w:rPr>
        <w:t>3</w:t>
      </w:r>
      <w:r>
        <w:rPr>
          <w:rFonts w:hint="eastAsia" w:ascii="仿宋" w:hAnsi="仿宋" w:eastAsia="仿宋" w:cs="仿宋"/>
          <w:color w:val="auto"/>
          <w:sz w:val="24"/>
          <w:szCs w:val="24"/>
          <w:highlight w:val="none"/>
          <w:shd w:val="clear" w:color="auto" w:fill="FFFFFF"/>
          <w:lang w:eastAsia="zh-CN" w:bidi="ar"/>
        </w:rPr>
        <w:t>。</w:t>
      </w:r>
      <w:r>
        <w:rPr>
          <w:rStyle w:val="28"/>
          <w:rFonts w:hint="eastAsia" w:ascii="仿宋" w:hAnsi="仿宋" w:eastAsia="仿宋" w:cs="仿宋"/>
          <w:i w:val="0"/>
          <w:color w:val="auto"/>
          <w:kern w:val="2"/>
          <w:sz w:val="24"/>
          <w:szCs w:val="24"/>
          <w:highlight w:val="none"/>
          <w:u w:val="single"/>
          <w:shd w:val="clear" w:color="auto" w:fill="FFFFFF"/>
          <w:lang w:eastAsia="zh-CN"/>
        </w:rPr>
        <w:t>（产品名称1）</w:t>
      </w:r>
      <w:r>
        <w:rPr>
          <w:rFonts w:hint="eastAsia" w:ascii="仿宋" w:hAnsi="仿宋" w:eastAsia="仿宋" w:cs="仿宋"/>
          <w:color w:val="auto"/>
          <w:sz w:val="24"/>
          <w:szCs w:val="24"/>
          <w:highlight w:val="none"/>
          <w:shd w:val="clear" w:color="auto" w:fill="FFFFFF"/>
          <w:lang w:eastAsia="zh-CN" w:bidi="ar"/>
        </w:rPr>
        <w:t>的</w:t>
      </w:r>
      <w:r>
        <w:rPr>
          <w:rStyle w:val="28"/>
          <w:rFonts w:hint="eastAsia" w:ascii="仿宋" w:hAnsi="仿宋" w:eastAsia="仿宋" w:cs="仿宋"/>
          <w:i w:val="0"/>
          <w:color w:val="auto"/>
          <w:kern w:val="2"/>
          <w:sz w:val="24"/>
          <w:szCs w:val="24"/>
          <w:highlight w:val="none"/>
          <w:u w:val="single"/>
          <w:shd w:val="clear" w:color="auto" w:fill="FFFFFF"/>
          <w:lang w:eastAsia="zh-CN"/>
        </w:rPr>
        <w:t>（关键组件）</w:t>
      </w:r>
      <w:r>
        <w:rPr>
          <w:rStyle w:val="28"/>
          <w:rFonts w:hint="eastAsia" w:ascii="仿宋" w:hAnsi="仿宋" w:eastAsia="仿宋" w:cs="仿宋"/>
          <w:i w:val="0"/>
          <w:color w:val="auto"/>
          <w:kern w:val="2"/>
          <w:sz w:val="24"/>
          <w:szCs w:val="24"/>
          <w:highlight w:val="none"/>
          <w:shd w:val="clear" w:color="auto" w:fill="FFFFFF"/>
          <w:vertAlign w:val="superscript"/>
          <w:lang w:eastAsia="zh-CN"/>
        </w:rPr>
        <w:t>4</w:t>
      </w:r>
      <w:r>
        <w:rPr>
          <w:rFonts w:hint="eastAsia" w:ascii="仿宋" w:hAnsi="仿宋" w:eastAsia="仿宋" w:cs="仿宋"/>
          <w:color w:val="auto"/>
          <w:sz w:val="24"/>
          <w:szCs w:val="24"/>
          <w:highlight w:val="none"/>
          <w:shd w:val="clear" w:color="auto" w:fill="FFFFFF"/>
          <w:lang w:eastAsia="zh-CN" w:bidi="ar"/>
        </w:rPr>
        <w:t>在中国境内生产。</w:t>
      </w:r>
      <w:r>
        <w:rPr>
          <w:rStyle w:val="28"/>
          <w:rFonts w:hint="eastAsia" w:ascii="仿宋" w:hAnsi="仿宋" w:eastAsia="仿宋" w:cs="仿宋"/>
          <w:i w:val="0"/>
          <w:color w:val="auto"/>
          <w:kern w:val="2"/>
          <w:sz w:val="24"/>
          <w:szCs w:val="24"/>
          <w:highlight w:val="none"/>
          <w:u w:val="single"/>
          <w:shd w:val="clear" w:color="auto" w:fill="FFFFFF"/>
          <w:lang w:eastAsia="zh-CN"/>
        </w:rPr>
        <w:t>（产品名称1）</w:t>
      </w:r>
      <w:r>
        <w:rPr>
          <w:rFonts w:hint="eastAsia" w:ascii="仿宋" w:hAnsi="仿宋" w:eastAsia="仿宋" w:cs="仿宋"/>
          <w:color w:val="auto"/>
          <w:sz w:val="24"/>
          <w:szCs w:val="24"/>
          <w:highlight w:val="none"/>
          <w:shd w:val="clear" w:color="auto" w:fill="FFFFFF"/>
          <w:lang w:eastAsia="zh-CN" w:bidi="ar"/>
        </w:rPr>
        <w:t>的</w:t>
      </w:r>
      <w:r>
        <w:rPr>
          <w:rStyle w:val="28"/>
          <w:rFonts w:hint="eastAsia" w:ascii="仿宋" w:hAnsi="仿宋" w:eastAsia="仿宋" w:cs="仿宋"/>
          <w:i w:val="0"/>
          <w:color w:val="auto"/>
          <w:kern w:val="2"/>
          <w:sz w:val="24"/>
          <w:szCs w:val="24"/>
          <w:highlight w:val="none"/>
          <w:u w:val="single"/>
          <w:shd w:val="clear" w:color="auto" w:fill="FFFFFF"/>
          <w:lang w:eastAsia="zh-CN"/>
        </w:rPr>
        <w:t>（关键工序）</w:t>
      </w:r>
      <w:r>
        <w:rPr>
          <w:rStyle w:val="28"/>
          <w:rFonts w:hint="eastAsia" w:ascii="仿宋" w:hAnsi="仿宋" w:eastAsia="仿宋" w:cs="仿宋"/>
          <w:i w:val="0"/>
          <w:color w:val="auto"/>
          <w:kern w:val="2"/>
          <w:sz w:val="24"/>
          <w:szCs w:val="24"/>
          <w:highlight w:val="none"/>
          <w:shd w:val="clear" w:color="auto" w:fill="FFFFFF"/>
          <w:vertAlign w:val="superscript"/>
          <w:lang w:eastAsia="zh-CN"/>
        </w:rPr>
        <w:t>5</w:t>
      </w:r>
      <w:r>
        <w:rPr>
          <w:rFonts w:hint="eastAsia" w:ascii="仿宋" w:hAnsi="仿宋" w:eastAsia="仿宋" w:cs="仿宋"/>
          <w:color w:val="auto"/>
          <w:sz w:val="24"/>
          <w:szCs w:val="24"/>
          <w:highlight w:val="none"/>
          <w:shd w:val="clear" w:color="auto" w:fill="FFFFFF"/>
          <w:lang w:eastAsia="zh-CN" w:bidi="ar"/>
        </w:rPr>
        <w:t>在中国境内完成。</w:t>
      </w:r>
    </w:p>
    <w:p w14:paraId="095F3874">
      <w:pPr>
        <w:shd w:val="clear" w:color="auto" w:fill="FFFFFF"/>
        <w:spacing w:before="30" w:after="30" w:line="360" w:lineRule="auto"/>
        <w:ind w:firstLine="420"/>
        <w:jc w:val="both"/>
        <w:rPr>
          <w:rFonts w:ascii="仿宋" w:hAnsi="仿宋" w:eastAsia="仿宋" w:cs="仿宋"/>
          <w:color w:val="auto"/>
          <w:kern w:val="2"/>
          <w:sz w:val="24"/>
          <w:szCs w:val="24"/>
          <w:highlight w:val="none"/>
          <w:lang w:eastAsia="zh-CN" w:bidi="ar"/>
        </w:rPr>
      </w:pPr>
      <w:r>
        <w:rPr>
          <w:rFonts w:hint="eastAsia" w:ascii="仿宋" w:hAnsi="仿宋" w:eastAsia="仿宋" w:cs="仿宋"/>
          <w:color w:val="auto"/>
          <w:kern w:val="2"/>
          <w:sz w:val="24"/>
          <w:szCs w:val="24"/>
          <w:highlight w:val="none"/>
          <w:lang w:eastAsia="zh-CN" w:bidi="ar"/>
        </w:rPr>
        <w:t>2.</w:t>
      </w:r>
      <w:r>
        <w:rPr>
          <w:rStyle w:val="28"/>
          <w:rFonts w:hint="eastAsia" w:ascii="仿宋" w:hAnsi="仿宋" w:eastAsia="仿宋" w:cs="仿宋"/>
          <w:i w:val="0"/>
          <w:color w:val="auto"/>
          <w:kern w:val="2"/>
          <w:sz w:val="24"/>
          <w:szCs w:val="24"/>
          <w:highlight w:val="none"/>
          <w:u w:val="single"/>
          <w:shd w:val="clear" w:color="auto" w:fill="FFFFFF"/>
          <w:lang w:eastAsia="zh-CN"/>
        </w:rPr>
        <w:t>（产品名称2）</w:t>
      </w:r>
      <w:r>
        <w:rPr>
          <w:rFonts w:hint="eastAsia" w:ascii="仿宋" w:hAnsi="仿宋" w:eastAsia="仿宋" w:cs="仿宋"/>
          <w:color w:val="auto"/>
          <w:sz w:val="24"/>
          <w:szCs w:val="24"/>
          <w:highlight w:val="none"/>
          <w:shd w:val="clear" w:color="auto" w:fill="FFFFFF"/>
          <w:lang w:eastAsia="zh-CN" w:bidi="ar"/>
        </w:rPr>
        <w:t>，生产厂为</w:t>
      </w:r>
      <w:r>
        <w:rPr>
          <w:rStyle w:val="28"/>
          <w:rFonts w:hint="eastAsia" w:ascii="仿宋" w:hAnsi="仿宋" w:eastAsia="仿宋" w:cs="仿宋"/>
          <w:i w:val="0"/>
          <w:color w:val="auto"/>
          <w:kern w:val="2"/>
          <w:sz w:val="24"/>
          <w:szCs w:val="24"/>
          <w:highlight w:val="none"/>
          <w:u w:val="single"/>
          <w:shd w:val="clear" w:color="auto" w:fill="FFFFFF"/>
          <w:lang w:eastAsia="zh-CN"/>
        </w:rPr>
        <w:t>（厂名）</w:t>
      </w:r>
      <w:r>
        <w:rPr>
          <w:rFonts w:hint="eastAsia" w:ascii="仿宋" w:hAnsi="仿宋" w:eastAsia="仿宋" w:cs="仿宋"/>
          <w:color w:val="auto"/>
          <w:sz w:val="24"/>
          <w:szCs w:val="24"/>
          <w:highlight w:val="none"/>
          <w:shd w:val="clear" w:color="auto" w:fill="FFFFFF"/>
          <w:lang w:eastAsia="zh-CN" w:bidi="ar"/>
        </w:rPr>
        <w:t>，厂址为</w:t>
      </w:r>
      <w:r>
        <w:rPr>
          <w:rStyle w:val="28"/>
          <w:rFonts w:hint="eastAsia" w:ascii="仿宋" w:hAnsi="仿宋" w:eastAsia="仿宋" w:cs="仿宋"/>
          <w:i w:val="0"/>
          <w:color w:val="auto"/>
          <w:kern w:val="2"/>
          <w:sz w:val="24"/>
          <w:szCs w:val="24"/>
          <w:highlight w:val="none"/>
          <w:u w:val="single"/>
          <w:shd w:val="clear" w:color="auto" w:fill="FFFFFF"/>
          <w:lang w:eastAsia="zh-CN"/>
        </w:rPr>
        <w:t>（生产厂址）</w:t>
      </w:r>
      <w:r>
        <w:rPr>
          <w:rFonts w:hint="eastAsia" w:ascii="仿宋" w:hAnsi="仿宋" w:eastAsia="仿宋" w:cs="仿宋"/>
          <w:color w:val="auto"/>
          <w:sz w:val="24"/>
          <w:szCs w:val="24"/>
          <w:highlight w:val="none"/>
          <w:shd w:val="clear" w:color="auto" w:fill="FFFFFF"/>
          <w:lang w:eastAsia="zh-CN" w:bidi="ar"/>
        </w:rPr>
        <w:t>。</w:t>
      </w:r>
      <w:r>
        <w:rPr>
          <w:rStyle w:val="28"/>
          <w:rFonts w:hint="eastAsia" w:ascii="仿宋" w:hAnsi="仿宋" w:eastAsia="仿宋" w:cs="仿宋"/>
          <w:i w:val="0"/>
          <w:color w:val="auto"/>
          <w:kern w:val="2"/>
          <w:sz w:val="24"/>
          <w:szCs w:val="24"/>
          <w:highlight w:val="none"/>
          <w:u w:val="single"/>
          <w:shd w:val="clear" w:color="auto" w:fill="FFFFFF"/>
          <w:lang w:eastAsia="zh-CN"/>
        </w:rPr>
        <w:t>（产品名称2）</w:t>
      </w:r>
      <w:r>
        <w:rPr>
          <w:rFonts w:hint="eastAsia" w:ascii="仿宋" w:hAnsi="仿宋" w:eastAsia="仿宋" w:cs="仿宋"/>
          <w:color w:val="auto"/>
          <w:sz w:val="24"/>
          <w:szCs w:val="24"/>
          <w:highlight w:val="none"/>
          <w:shd w:val="clear" w:color="auto" w:fill="FFFFFF"/>
          <w:lang w:eastAsia="zh-CN" w:bidi="ar"/>
        </w:rPr>
        <w:t>的中国境内生产的组件成本占比≥</w:t>
      </w:r>
      <w:r>
        <w:rPr>
          <w:rStyle w:val="28"/>
          <w:rFonts w:hint="eastAsia" w:ascii="仿宋" w:hAnsi="仿宋" w:eastAsia="仿宋" w:cs="仿宋"/>
          <w:i w:val="0"/>
          <w:color w:val="auto"/>
          <w:kern w:val="2"/>
          <w:sz w:val="24"/>
          <w:szCs w:val="24"/>
          <w:highlight w:val="none"/>
          <w:u w:val="single"/>
          <w:shd w:val="clear" w:color="auto" w:fill="FFFFFF"/>
          <w:lang w:eastAsia="zh-CN"/>
        </w:rPr>
        <w:t>（规定比例）</w:t>
      </w:r>
      <w:r>
        <w:rPr>
          <w:rFonts w:hint="eastAsia" w:ascii="仿宋" w:hAnsi="仿宋" w:eastAsia="仿宋" w:cs="仿宋"/>
          <w:color w:val="auto"/>
          <w:sz w:val="24"/>
          <w:szCs w:val="24"/>
          <w:highlight w:val="none"/>
          <w:shd w:val="clear" w:color="auto" w:fill="FFFFFF"/>
          <w:lang w:eastAsia="zh-CN" w:bidi="ar"/>
        </w:rPr>
        <w:t>。</w:t>
      </w:r>
      <w:r>
        <w:rPr>
          <w:rStyle w:val="28"/>
          <w:rFonts w:hint="eastAsia" w:ascii="仿宋" w:hAnsi="仿宋" w:eastAsia="仿宋" w:cs="仿宋"/>
          <w:i w:val="0"/>
          <w:color w:val="auto"/>
          <w:kern w:val="2"/>
          <w:sz w:val="24"/>
          <w:szCs w:val="24"/>
          <w:highlight w:val="none"/>
          <w:u w:val="single"/>
          <w:shd w:val="clear" w:color="auto" w:fill="FFFFFF"/>
          <w:lang w:eastAsia="zh-CN"/>
        </w:rPr>
        <w:t>（产品名称2）</w:t>
      </w:r>
      <w:r>
        <w:rPr>
          <w:rFonts w:hint="eastAsia" w:ascii="仿宋" w:hAnsi="仿宋" w:eastAsia="仿宋" w:cs="仿宋"/>
          <w:color w:val="auto"/>
          <w:sz w:val="24"/>
          <w:szCs w:val="24"/>
          <w:highlight w:val="none"/>
          <w:shd w:val="clear" w:color="auto" w:fill="FFFFFF"/>
          <w:lang w:eastAsia="zh-CN" w:bidi="ar"/>
        </w:rPr>
        <w:t>的</w:t>
      </w:r>
      <w:r>
        <w:rPr>
          <w:rStyle w:val="28"/>
          <w:rFonts w:hint="eastAsia" w:ascii="仿宋" w:hAnsi="仿宋" w:eastAsia="仿宋" w:cs="仿宋"/>
          <w:i w:val="0"/>
          <w:color w:val="auto"/>
          <w:kern w:val="2"/>
          <w:sz w:val="24"/>
          <w:szCs w:val="24"/>
          <w:highlight w:val="none"/>
          <w:u w:val="single"/>
          <w:shd w:val="clear" w:color="auto" w:fill="FFFFFF"/>
          <w:lang w:eastAsia="zh-CN"/>
        </w:rPr>
        <w:t>（关键组件）</w:t>
      </w:r>
      <w:r>
        <w:rPr>
          <w:rFonts w:hint="eastAsia" w:ascii="仿宋" w:hAnsi="仿宋" w:eastAsia="仿宋" w:cs="仿宋"/>
          <w:color w:val="auto"/>
          <w:sz w:val="24"/>
          <w:szCs w:val="24"/>
          <w:highlight w:val="none"/>
          <w:shd w:val="clear" w:color="auto" w:fill="FFFFFF"/>
          <w:lang w:eastAsia="zh-CN" w:bidi="ar"/>
        </w:rPr>
        <w:t>在中国境内生产。</w:t>
      </w:r>
      <w:r>
        <w:rPr>
          <w:rStyle w:val="28"/>
          <w:rFonts w:hint="eastAsia" w:ascii="仿宋" w:hAnsi="仿宋" w:eastAsia="仿宋" w:cs="仿宋"/>
          <w:i w:val="0"/>
          <w:color w:val="auto"/>
          <w:kern w:val="2"/>
          <w:sz w:val="24"/>
          <w:szCs w:val="24"/>
          <w:highlight w:val="none"/>
          <w:u w:val="single"/>
          <w:shd w:val="clear" w:color="auto" w:fill="FFFFFF"/>
          <w:lang w:eastAsia="zh-CN"/>
        </w:rPr>
        <w:t>（产品名称2）</w:t>
      </w:r>
      <w:r>
        <w:rPr>
          <w:rFonts w:hint="eastAsia" w:ascii="仿宋" w:hAnsi="仿宋" w:eastAsia="仿宋" w:cs="仿宋"/>
          <w:color w:val="auto"/>
          <w:sz w:val="24"/>
          <w:szCs w:val="24"/>
          <w:highlight w:val="none"/>
          <w:shd w:val="clear" w:color="auto" w:fill="FFFFFF"/>
          <w:lang w:eastAsia="zh-CN" w:bidi="ar"/>
        </w:rPr>
        <w:t>的</w:t>
      </w:r>
      <w:r>
        <w:rPr>
          <w:rStyle w:val="28"/>
          <w:rFonts w:hint="eastAsia" w:ascii="仿宋" w:hAnsi="仿宋" w:eastAsia="仿宋" w:cs="仿宋"/>
          <w:i w:val="0"/>
          <w:color w:val="auto"/>
          <w:kern w:val="2"/>
          <w:sz w:val="24"/>
          <w:szCs w:val="24"/>
          <w:highlight w:val="none"/>
          <w:u w:val="single"/>
          <w:shd w:val="clear" w:color="auto" w:fill="FFFFFF"/>
          <w:lang w:eastAsia="zh-CN"/>
        </w:rPr>
        <w:t>（关键工序）</w:t>
      </w:r>
      <w:r>
        <w:rPr>
          <w:rFonts w:hint="eastAsia" w:ascii="仿宋" w:hAnsi="仿宋" w:eastAsia="仿宋" w:cs="仿宋"/>
          <w:color w:val="auto"/>
          <w:sz w:val="24"/>
          <w:szCs w:val="24"/>
          <w:highlight w:val="none"/>
          <w:shd w:val="clear" w:color="auto" w:fill="FFFFFF"/>
          <w:lang w:eastAsia="zh-CN" w:bidi="ar"/>
        </w:rPr>
        <w:t>在中国境内完成。</w:t>
      </w:r>
    </w:p>
    <w:p w14:paraId="033F8645">
      <w:pPr>
        <w:shd w:val="clear" w:color="auto" w:fill="FFFFFF"/>
        <w:spacing w:before="30" w:after="30" w:line="360" w:lineRule="auto"/>
        <w:ind w:firstLine="420"/>
        <w:jc w:val="both"/>
        <w:rPr>
          <w:rFonts w:ascii="仿宋" w:hAnsi="仿宋" w:eastAsia="仿宋" w:cs="仿宋"/>
          <w:color w:val="auto"/>
          <w:kern w:val="2"/>
          <w:sz w:val="24"/>
          <w:szCs w:val="24"/>
          <w:highlight w:val="none"/>
          <w:lang w:eastAsia="zh-CN" w:bidi="ar"/>
        </w:rPr>
      </w:pPr>
      <w:r>
        <w:rPr>
          <w:rFonts w:hint="eastAsia" w:ascii="仿宋" w:hAnsi="仿宋" w:eastAsia="仿宋" w:cs="仿宋"/>
          <w:color w:val="auto"/>
          <w:kern w:val="2"/>
          <w:sz w:val="24"/>
          <w:szCs w:val="24"/>
          <w:highlight w:val="none"/>
          <w:lang w:eastAsia="zh-CN" w:bidi="ar"/>
        </w:rPr>
        <w:t>……</w:t>
      </w:r>
    </w:p>
    <w:p w14:paraId="2BA15DD6">
      <w:pPr>
        <w:shd w:val="clear" w:color="auto" w:fill="FFFFFF"/>
        <w:spacing w:before="30" w:after="30" w:line="360" w:lineRule="auto"/>
        <w:ind w:firstLine="420"/>
        <w:jc w:val="both"/>
        <w:rPr>
          <w:rFonts w:ascii="仿宋" w:hAnsi="仿宋" w:eastAsia="仿宋" w:cs="仿宋"/>
          <w:color w:val="auto"/>
          <w:kern w:val="2"/>
          <w:sz w:val="24"/>
          <w:szCs w:val="24"/>
          <w:highlight w:val="none"/>
          <w:lang w:eastAsia="zh-CN" w:bidi="ar"/>
        </w:rPr>
      </w:pPr>
      <w:r>
        <w:rPr>
          <w:rFonts w:hint="eastAsia" w:ascii="仿宋" w:hAnsi="仿宋" w:eastAsia="仿宋" w:cs="仿宋"/>
          <w:color w:val="auto"/>
          <w:kern w:val="2"/>
          <w:sz w:val="24"/>
          <w:szCs w:val="24"/>
          <w:highlight w:val="none"/>
          <w:lang w:eastAsia="zh-CN" w:bidi="ar"/>
        </w:rPr>
        <w:t>本公司（单位）对上述声明内容的真实性负责。如有虚假，愿承担相应法律责任。</w:t>
      </w:r>
    </w:p>
    <w:p w14:paraId="3E5020DE">
      <w:pPr>
        <w:shd w:val="clear" w:color="auto" w:fill="FFFFFF"/>
        <w:spacing w:before="30" w:after="30" w:line="360" w:lineRule="auto"/>
        <w:jc w:val="both"/>
        <w:rPr>
          <w:rFonts w:ascii="仿宋" w:hAnsi="仿宋" w:eastAsia="仿宋" w:cs="仿宋"/>
          <w:color w:val="auto"/>
          <w:kern w:val="2"/>
          <w:sz w:val="24"/>
          <w:szCs w:val="24"/>
          <w:highlight w:val="none"/>
          <w:lang w:eastAsia="zh-CN" w:bidi="ar"/>
        </w:rPr>
      </w:pPr>
    </w:p>
    <w:p w14:paraId="532822CF">
      <w:pPr>
        <w:shd w:val="clear" w:color="auto" w:fill="FFFFFF"/>
        <w:spacing w:before="30" w:after="30" w:line="360" w:lineRule="auto"/>
        <w:jc w:val="right"/>
        <w:rPr>
          <w:rFonts w:ascii="仿宋" w:hAnsi="仿宋" w:eastAsia="仿宋" w:cs="仿宋"/>
          <w:color w:val="auto"/>
          <w:kern w:val="2"/>
          <w:sz w:val="24"/>
          <w:szCs w:val="24"/>
          <w:highlight w:val="none"/>
          <w:lang w:eastAsia="zh-CN" w:bidi="ar"/>
        </w:rPr>
      </w:pPr>
      <w:r>
        <w:rPr>
          <w:rFonts w:hint="eastAsia" w:ascii="仿宋" w:hAnsi="仿宋" w:eastAsia="仿宋" w:cs="仿宋"/>
          <w:color w:val="auto"/>
          <w:kern w:val="2"/>
          <w:sz w:val="24"/>
          <w:szCs w:val="24"/>
          <w:highlight w:val="none"/>
          <w:lang w:eastAsia="zh-CN" w:bidi="ar"/>
        </w:rPr>
        <w:t>公司（单位）名称（盖章）：　        </w:t>
      </w:r>
    </w:p>
    <w:p w14:paraId="59515071">
      <w:pPr>
        <w:shd w:val="clear" w:color="auto" w:fill="FFFFFF"/>
        <w:spacing w:before="30" w:after="30" w:line="360" w:lineRule="auto"/>
        <w:jc w:val="right"/>
        <w:rPr>
          <w:rFonts w:ascii="仿宋" w:hAnsi="仿宋" w:eastAsia="仿宋" w:cs="仿宋"/>
          <w:color w:val="auto"/>
          <w:kern w:val="2"/>
          <w:sz w:val="24"/>
          <w:szCs w:val="24"/>
          <w:highlight w:val="none"/>
          <w:lang w:eastAsia="zh-CN" w:bidi="ar"/>
        </w:rPr>
      </w:pPr>
      <w:r>
        <w:rPr>
          <w:rFonts w:hint="eastAsia" w:ascii="仿宋" w:hAnsi="仿宋" w:eastAsia="仿宋" w:cs="仿宋"/>
          <w:color w:val="auto"/>
          <w:kern w:val="2"/>
          <w:sz w:val="24"/>
          <w:szCs w:val="24"/>
          <w:highlight w:val="none"/>
          <w:lang w:eastAsia="zh-CN" w:bidi="ar"/>
        </w:rPr>
        <w:t>日期：　     年　  月　  日         </w:t>
      </w:r>
    </w:p>
    <w:p w14:paraId="6C3194FF">
      <w:pPr>
        <w:shd w:val="clear" w:color="auto" w:fill="FFFFFF"/>
        <w:spacing w:before="30" w:after="30" w:line="360" w:lineRule="auto"/>
        <w:rPr>
          <w:rFonts w:ascii="仿宋" w:hAnsi="仿宋" w:eastAsia="仿宋" w:cs="仿宋"/>
          <w:color w:val="auto"/>
          <w:kern w:val="2"/>
          <w:sz w:val="24"/>
          <w:szCs w:val="24"/>
          <w:highlight w:val="none"/>
          <w:lang w:eastAsia="zh-CN" w:bidi="ar"/>
        </w:rPr>
      </w:pPr>
      <w:r>
        <w:rPr>
          <w:rFonts w:hint="eastAsia" w:ascii="仿宋" w:hAnsi="仿宋" w:eastAsia="仿宋" w:cs="仿宋"/>
          <w:color w:val="auto"/>
          <w:kern w:val="2"/>
          <w:sz w:val="24"/>
          <w:szCs w:val="24"/>
          <w:highlight w:val="none"/>
          <w:lang w:eastAsia="zh-CN" w:bidi="ar"/>
        </w:rPr>
        <w:t>__________________</w:t>
      </w:r>
    </w:p>
    <w:p w14:paraId="6F36AFFD">
      <w:pPr>
        <w:shd w:val="clear" w:color="auto" w:fill="FFFFFF"/>
        <w:spacing w:before="30" w:after="30" w:line="360" w:lineRule="auto"/>
        <w:ind w:firstLine="420"/>
        <w:jc w:val="both"/>
        <w:rPr>
          <w:rFonts w:ascii="仿宋" w:hAnsi="仿宋" w:eastAsia="仿宋" w:cs="仿宋"/>
          <w:color w:val="auto"/>
          <w:kern w:val="2"/>
          <w:highlight w:val="none"/>
          <w:lang w:eastAsia="zh-CN" w:bidi="ar"/>
        </w:rPr>
      </w:pPr>
      <w:r>
        <w:rPr>
          <w:rFonts w:hint="eastAsia" w:ascii="仿宋" w:hAnsi="仿宋" w:eastAsia="仿宋" w:cs="仿宋"/>
          <w:color w:val="auto"/>
          <w:kern w:val="2"/>
          <w:highlight w:val="none"/>
          <w:lang w:eastAsia="zh-CN" w:bidi="ar"/>
        </w:rPr>
        <w:t>1.产品如有型号，请在“产品名称”栏一并填写。</w:t>
      </w:r>
    </w:p>
    <w:p w14:paraId="1B172D03">
      <w:pPr>
        <w:shd w:val="clear" w:color="auto" w:fill="FFFFFF"/>
        <w:spacing w:before="30" w:after="30" w:line="360" w:lineRule="auto"/>
        <w:ind w:firstLine="420"/>
        <w:jc w:val="both"/>
        <w:rPr>
          <w:rFonts w:ascii="仿宋" w:hAnsi="仿宋" w:eastAsia="仿宋" w:cs="仿宋"/>
          <w:color w:val="auto"/>
          <w:kern w:val="2"/>
          <w:highlight w:val="none"/>
          <w:lang w:eastAsia="zh-CN" w:bidi="ar"/>
        </w:rPr>
      </w:pPr>
      <w:r>
        <w:rPr>
          <w:rFonts w:hint="eastAsia" w:ascii="仿宋" w:hAnsi="仿宋" w:eastAsia="仿宋" w:cs="仿宋"/>
          <w:color w:val="auto"/>
          <w:kern w:val="2"/>
          <w:highlight w:val="none"/>
          <w:lang w:eastAsia="zh-CN" w:bidi="ar"/>
        </w:rPr>
        <w:t>2.生产厂名与厂址应与生产厂营业执照载明的相关信息保持一致。</w:t>
      </w:r>
    </w:p>
    <w:p w14:paraId="2BF6171A">
      <w:pPr>
        <w:shd w:val="clear" w:color="auto" w:fill="FFFFFF"/>
        <w:spacing w:before="30" w:after="30" w:line="360" w:lineRule="auto"/>
        <w:ind w:firstLine="420"/>
        <w:jc w:val="both"/>
        <w:rPr>
          <w:rFonts w:ascii="仿宋" w:hAnsi="仿宋" w:eastAsia="仿宋" w:cs="仿宋"/>
          <w:color w:val="auto"/>
          <w:kern w:val="2"/>
          <w:highlight w:val="none"/>
          <w:lang w:eastAsia="zh-CN" w:bidi="ar"/>
        </w:rPr>
      </w:pPr>
      <w:r>
        <w:rPr>
          <w:rFonts w:hint="eastAsia" w:ascii="仿宋" w:hAnsi="仿宋" w:eastAsia="仿宋" w:cs="仿宋"/>
          <w:color w:val="auto"/>
          <w:kern w:val="2"/>
          <w:highlight w:val="none"/>
          <w:lang w:eastAsia="zh-CN" w:bidi="ar"/>
        </w:rPr>
        <w:t>3.该产品的中国境内生产的组件成本占比相关要求实施前，“规定比例”栏可不填，下同。</w:t>
      </w:r>
    </w:p>
    <w:p w14:paraId="2CFDF00D">
      <w:pPr>
        <w:shd w:val="clear" w:color="auto" w:fill="FFFFFF"/>
        <w:spacing w:before="30" w:after="30" w:line="360" w:lineRule="auto"/>
        <w:ind w:firstLine="420"/>
        <w:jc w:val="both"/>
        <w:rPr>
          <w:rFonts w:ascii="仿宋" w:hAnsi="仿宋" w:eastAsia="仿宋" w:cs="仿宋"/>
          <w:color w:val="auto"/>
          <w:kern w:val="2"/>
          <w:highlight w:val="none"/>
          <w:lang w:eastAsia="zh-CN" w:bidi="ar"/>
        </w:rPr>
      </w:pPr>
      <w:r>
        <w:rPr>
          <w:rFonts w:hint="eastAsia" w:ascii="仿宋" w:hAnsi="仿宋" w:eastAsia="仿宋" w:cs="仿宋"/>
          <w:color w:val="auto"/>
          <w:kern w:val="2"/>
          <w:highlight w:val="none"/>
          <w:lang w:eastAsia="zh-CN" w:bidi="ar"/>
        </w:rPr>
        <w:t>4.该产品的关键组件要求实施前，“关键组件”栏可不填，下同。</w:t>
      </w:r>
    </w:p>
    <w:p w14:paraId="4CCFDBBC">
      <w:pPr>
        <w:widowControl w:val="0"/>
        <w:kinsoku/>
        <w:autoSpaceDE/>
        <w:autoSpaceDN/>
        <w:adjustRightInd/>
        <w:snapToGrid/>
        <w:spacing w:line="360" w:lineRule="auto"/>
        <w:ind w:right="420" w:firstLine="420" w:firstLineChars="200"/>
        <w:jc w:val="both"/>
        <w:textAlignment w:val="auto"/>
        <w:rPr>
          <w:rFonts w:ascii="仿宋" w:hAnsi="仿宋" w:eastAsia="仿宋" w:cs="仿宋"/>
          <w:snapToGrid/>
          <w:color w:val="auto"/>
          <w:kern w:val="2"/>
          <w:highlight w:val="none"/>
          <w:lang w:eastAsia="zh-CN"/>
        </w:rPr>
      </w:pPr>
      <w:r>
        <w:rPr>
          <w:rFonts w:hint="eastAsia" w:ascii="仿宋" w:hAnsi="仿宋" w:eastAsia="仿宋" w:cs="仿宋"/>
          <w:snapToGrid/>
          <w:color w:val="auto"/>
          <w:kern w:val="2"/>
          <w:highlight w:val="none"/>
          <w:lang w:eastAsia="zh-CN"/>
        </w:rPr>
        <w:t>5.该产品的关键工序要求实施前，“关键工序”栏可不填，下同。</w:t>
      </w:r>
    </w:p>
    <w:p w14:paraId="223477D6">
      <w:pPr>
        <w:shd w:val="clear" w:color="auto" w:fill="FFFFFF"/>
        <w:spacing w:before="30" w:after="30"/>
        <w:jc w:val="center"/>
        <w:rPr>
          <w:rFonts w:ascii="仿宋" w:hAnsi="仿宋" w:eastAsia="仿宋" w:cs="仿宋"/>
          <w:color w:val="auto"/>
          <w:sz w:val="24"/>
          <w:szCs w:val="24"/>
          <w:highlight w:val="none"/>
          <w:shd w:val="clear" w:color="auto" w:fill="FFFFFF"/>
          <w:lang w:eastAsia="zh-CN" w:bidi="ar"/>
        </w:rPr>
      </w:pPr>
    </w:p>
    <w:p w14:paraId="2D060002">
      <w:pPr>
        <w:shd w:val="clear" w:color="auto" w:fill="FFFFFF"/>
        <w:spacing w:line="480" w:lineRule="atLeast"/>
        <w:jc w:val="both"/>
        <w:rPr>
          <w:rFonts w:ascii="仿宋" w:hAnsi="仿宋" w:eastAsia="仿宋" w:cs="仿宋"/>
          <w:color w:val="auto"/>
          <w:sz w:val="24"/>
          <w:highlight w:val="none"/>
          <w:lang w:eastAsia="zh-CN"/>
        </w:rPr>
        <w:sectPr>
          <w:pgSz w:w="11911" w:h="16838"/>
          <w:pgMar w:top="1134" w:right="1134" w:bottom="1134" w:left="1134" w:header="720" w:footer="720" w:gutter="0"/>
          <w:cols w:space="720" w:num="1"/>
        </w:sectPr>
      </w:pPr>
      <w:r>
        <w:rPr>
          <w:rFonts w:hint="eastAsia" w:ascii="仿宋" w:hAnsi="仿宋" w:eastAsia="仿宋" w:cs="仿宋"/>
          <w:snapToGrid/>
          <w:color w:val="auto"/>
          <w:kern w:val="2"/>
          <w:sz w:val="24"/>
          <w:szCs w:val="24"/>
          <w:highlight w:val="none"/>
          <w:shd w:val="clear" w:color="auto" w:fill="FFFFFF"/>
          <w:lang w:eastAsia="zh-CN"/>
        </w:rPr>
        <w:t>注：成交供应商提供的《声明函》或有关证明文件随成交结果同时公告。</w:t>
      </w:r>
    </w:p>
    <w:p w14:paraId="7EE5528A">
      <w:pPr>
        <w:widowControl w:val="0"/>
        <w:kinsoku/>
        <w:autoSpaceDE/>
        <w:autoSpaceDN/>
        <w:adjustRightInd/>
        <w:snapToGrid/>
        <w:spacing w:line="360" w:lineRule="auto"/>
        <w:textAlignment w:val="auto"/>
        <w:outlineLvl w:val="2"/>
        <w:rPr>
          <w:rFonts w:ascii="仿宋" w:hAnsi="仿宋" w:eastAsia="仿宋" w:cs="仿宋"/>
          <w:b/>
          <w:bCs/>
          <w:snapToGrid/>
          <w:color w:val="auto"/>
          <w:kern w:val="2"/>
          <w:sz w:val="24"/>
          <w:szCs w:val="24"/>
          <w:highlight w:val="none"/>
          <w:lang w:eastAsia="zh-CN"/>
        </w:rPr>
      </w:pPr>
      <w:bookmarkStart w:id="170" w:name="_Toc21858"/>
      <w:bookmarkStart w:id="171" w:name="_Toc13804"/>
      <w:bookmarkStart w:id="172" w:name="_Toc30035"/>
      <w:r>
        <w:rPr>
          <w:rFonts w:hint="eastAsia" w:ascii="仿宋" w:hAnsi="仿宋" w:eastAsia="仿宋" w:cs="仿宋"/>
          <w:b/>
          <w:bCs/>
          <w:snapToGrid/>
          <w:color w:val="auto"/>
          <w:kern w:val="2"/>
          <w:sz w:val="24"/>
          <w:szCs w:val="24"/>
          <w:highlight w:val="none"/>
          <w:lang w:eastAsia="zh-CN"/>
        </w:rPr>
        <w:t>4.质疑函（格式）</w:t>
      </w:r>
      <w:bookmarkEnd w:id="170"/>
      <w:bookmarkEnd w:id="171"/>
      <w:bookmarkEnd w:id="172"/>
    </w:p>
    <w:p w14:paraId="4AB73498">
      <w:pPr>
        <w:widowControl w:val="0"/>
        <w:kinsoku/>
        <w:autoSpaceDE/>
        <w:autoSpaceDN/>
        <w:adjustRightInd/>
        <w:snapToGrid/>
        <w:spacing w:line="360" w:lineRule="auto"/>
        <w:jc w:val="center"/>
        <w:textAlignment w:val="auto"/>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t>质疑函（格式）</w:t>
      </w:r>
    </w:p>
    <w:p w14:paraId="4D865431">
      <w:pPr>
        <w:pStyle w:val="14"/>
        <w:kinsoku/>
        <w:autoSpaceDE/>
        <w:autoSpaceDN/>
        <w:adjustRightInd/>
        <w:snapToGrid/>
        <w:spacing w:line="360" w:lineRule="auto"/>
        <w:ind w:firstLine="482" w:firstLineChars="200"/>
        <w:contextualSpacing/>
        <w:jc w:val="left"/>
        <w:textAlignment w:val="auto"/>
        <w:rPr>
          <w:rFonts w:ascii="仿宋" w:hAnsi="仿宋" w:eastAsia="仿宋" w:cs="仿宋"/>
          <w:b/>
          <w:bCs/>
          <w:snapToGrid/>
          <w:color w:val="auto"/>
          <w:sz w:val="24"/>
          <w:szCs w:val="24"/>
          <w:highlight w:val="none"/>
        </w:rPr>
      </w:pPr>
      <w:r>
        <w:rPr>
          <w:rFonts w:hint="eastAsia" w:ascii="仿宋" w:hAnsi="仿宋" w:eastAsia="仿宋" w:cs="仿宋"/>
          <w:b/>
          <w:bCs/>
          <w:snapToGrid/>
          <w:color w:val="auto"/>
          <w:sz w:val="24"/>
          <w:szCs w:val="24"/>
          <w:highlight w:val="none"/>
        </w:rPr>
        <w:t>一、质疑供应商基本信息：</w:t>
      </w:r>
    </w:p>
    <w:p w14:paraId="6B7C4AEC">
      <w:pPr>
        <w:pStyle w:val="14"/>
        <w:kinsoku/>
        <w:autoSpaceDE/>
        <w:autoSpaceDN/>
        <w:adjustRightInd/>
        <w:snapToGrid/>
        <w:spacing w:line="360" w:lineRule="auto"/>
        <w:ind w:firstLine="480" w:firstLineChars="200"/>
        <w:contextualSpacing/>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质疑供应商：</w:t>
      </w:r>
    </w:p>
    <w:p w14:paraId="62FC1AA3">
      <w:pPr>
        <w:pStyle w:val="14"/>
        <w:kinsoku/>
        <w:autoSpaceDE/>
        <w:autoSpaceDN/>
        <w:adjustRightInd/>
        <w:snapToGrid/>
        <w:spacing w:line="360" w:lineRule="auto"/>
        <w:ind w:firstLine="480" w:firstLineChars="200"/>
        <w:contextualSpacing/>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地址：邮编：</w:t>
      </w:r>
    </w:p>
    <w:p w14:paraId="0F67CD5F">
      <w:pPr>
        <w:pStyle w:val="14"/>
        <w:kinsoku/>
        <w:autoSpaceDE/>
        <w:autoSpaceDN/>
        <w:adjustRightInd/>
        <w:snapToGrid/>
        <w:spacing w:line="360" w:lineRule="auto"/>
        <w:ind w:firstLine="480" w:firstLineChars="200"/>
        <w:contextualSpacing/>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联系人：联系电话：</w:t>
      </w:r>
    </w:p>
    <w:p w14:paraId="48AB827A">
      <w:pPr>
        <w:pStyle w:val="14"/>
        <w:kinsoku/>
        <w:autoSpaceDE/>
        <w:autoSpaceDN/>
        <w:adjustRightInd/>
        <w:snapToGrid/>
        <w:spacing w:line="360" w:lineRule="auto"/>
        <w:ind w:firstLine="480" w:firstLineChars="200"/>
        <w:contextualSpacing/>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授权代表：</w:t>
      </w:r>
    </w:p>
    <w:p w14:paraId="5D0BEB06">
      <w:pPr>
        <w:pStyle w:val="14"/>
        <w:kinsoku/>
        <w:autoSpaceDE/>
        <w:autoSpaceDN/>
        <w:adjustRightInd/>
        <w:snapToGrid/>
        <w:spacing w:line="360" w:lineRule="auto"/>
        <w:ind w:firstLine="480" w:firstLineChars="200"/>
        <w:contextualSpacing/>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联系电话：</w:t>
      </w:r>
    </w:p>
    <w:p w14:paraId="60B56B31">
      <w:pPr>
        <w:pStyle w:val="14"/>
        <w:kinsoku/>
        <w:autoSpaceDE/>
        <w:autoSpaceDN/>
        <w:adjustRightInd/>
        <w:snapToGrid/>
        <w:spacing w:line="360" w:lineRule="auto"/>
        <w:ind w:firstLine="480" w:firstLineChars="200"/>
        <w:contextualSpacing/>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地址：邮编：</w:t>
      </w:r>
    </w:p>
    <w:p w14:paraId="0D0D91F5">
      <w:pPr>
        <w:pStyle w:val="14"/>
        <w:kinsoku/>
        <w:autoSpaceDE/>
        <w:autoSpaceDN/>
        <w:adjustRightInd/>
        <w:snapToGrid/>
        <w:spacing w:line="360" w:lineRule="auto"/>
        <w:ind w:firstLine="482" w:firstLineChars="200"/>
        <w:contextualSpacing/>
        <w:jc w:val="left"/>
        <w:textAlignment w:val="auto"/>
        <w:rPr>
          <w:rFonts w:ascii="仿宋" w:hAnsi="仿宋" w:eastAsia="仿宋" w:cs="仿宋"/>
          <w:b/>
          <w:bCs/>
          <w:snapToGrid/>
          <w:color w:val="auto"/>
          <w:sz w:val="24"/>
          <w:szCs w:val="24"/>
          <w:highlight w:val="none"/>
        </w:rPr>
      </w:pPr>
      <w:r>
        <w:rPr>
          <w:rFonts w:hint="eastAsia" w:ascii="仿宋" w:hAnsi="仿宋" w:eastAsia="仿宋" w:cs="仿宋"/>
          <w:b/>
          <w:bCs/>
          <w:snapToGrid/>
          <w:color w:val="auto"/>
          <w:sz w:val="24"/>
          <w:szCs w:val="24"/>
          <w:highlight w:val="none"/>
        </w:rPr>
        <w:t>二、质疑项目基本情况：</w:t>
      </w:r>
    </w:p>
    <w:p w14:paraId="31DAEFCA">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bCs/>
          <w:snapToGrid/>
          <w:color w:val="auto"/>
          <w:sz w:val="24"/>
          <w:szCs w:val="24"/>
          <w:highlight w:val="none"/>
        </w:rPr>
        <w:t>质疑</w:t>
      </w:r>
      <w:r>
        <w:rPr>
          <w:rFonts w:hint="eastAsia" w:ascii="仿宋" w:hAnsi="仿宋" w:eastAsia="仿宋" w:cs="仿宋"/>
          <w:snapToGrid/>
          <w:color w:val="auto"/>
          <w:sz w:val="24"/>
          <w:szCs w:val="24"/>
          <w:highlight w:val="none"/>
        </w:rPr>
        <w:t>项目的名称：</w:t>
      </w:r>
    </w:p>
    <w:p w14:paraId="15D35795">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bCs/>
          <w:snapToGrid/>
          <w:color w:val="auto"/>
          <w:sz w:val="24"/>
          <w:szCs w:val="24"/>
          <w:highlight w:val="none"/>
        </w:rPr>
        <w:t>质疑</w:t>
      </w:r>
      <w:r>
        <w:rPr>
          <w:rFonts w:hint="eastAsia" w:ascii="仿宋" w:hAnsi="仿宋" w:eastAsia="仿宋" w:cs="仿宋"/>
          <w:snapToGrid/>
          <w:color w:val="auto"/>
          <w:sz w:val="24"/>
          <w:szCs w:val="24"/>
          <w:highlight w:val="none"/>
        </w:rPr>
        <w:t>项目的编号：</w:t>
      </w:r>
    </w:p>
    <w:p w14:paraId="5B980190">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采购人名称：</w:t>
      </w:r>
    </w:p>
    <w:p w14:paraId="7CDB13B0">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质疑事项：</w:t>
      </w:r>
    </w:p>
    <w:p w14:paraId="5C35B168">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□采购文件   采购文件获取日期：</w:t>
      </w:r>
    </w:p>
    <w:p w14:paraId="031E7886">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 xml:space="preserve">□采购过程   </w:t>
      </w:r>
    </w:p>
    <w:p w14:paraId="1061F587">
      <w:pPr>
        <w:pStyle w:val="14"/>
        <w:kinsoku/>
        <w:autoSpaceDE/>
        <w:autoSpaceDN/>
        <w:adjustRightInd/>
        <w:snapToGrid/>
        <w:spacing w:line="360" w:lineRule="auto"/>
        <w:ind w:firstLine="480" w:firstLineChars="200"/>
        <w:contextualSpacing/>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snapToGrid/>
          <w:color w:val="auto"/>
          <w:sz w:val="24"/>
          <w:szCs w:val="24"/>
          <w:highlight w:val="none"/>
        </w:rPr>
        <w:t xml:space="preserve">□成交结果   </w:t>
      </w:r>
    </w:p>
    <w:p w14:paraId="131DF6BE">
      <w:pPr>
        <w:pStyle w:val="14"/>
        <w:kinsoku/>
        <w:autoSpaceDE/>
        <w:autoSpaceDN/>
        <w:adjustRightInd/>
        <w:snapToGrid/>
        <w:spacing w:line="360" w:lineRule="auto"/>
        <w:ind w:firstLine="482" w:firstLineChars="200"/>
        <w:contextualSpacing/>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三、质疑事项具体内容</w:t>
      </w:r>
    </w:p>
    <w:p w14:paraId="5802E134">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质疑事项1：</w:t>
      </w:r>
    </w:p>
    <w:p w14:paraId="75DF3D06">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事实依据：</w:t>
      </w:r>
    </w:p>
    <w:p w14:paraId="66C99173">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法律依据：</w:t>
      </w:r>
    </w:p>
    <w:p w14:paraId="3E66B8C7">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质疑事项2</w:t>
      </w:r>
    </w:p>
    <w:p w14:paraId="032A6E07">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w:t>
      </w:r>
    </w:p>
    <w:p w14:paraId="2AF16B4C">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四、与质疑事项相关的质疑请求：</w:t>
      </w:r>
    </w:p>
    <w:p w14:paraId="5DE3712C">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请求：</w:t>
      </w:r>
    </w:p>
    <w:p w14:paraId="198AFE83">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p>
    <w:p w14:paraId="52C72F23">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 xml:space="preserve">签字（签章）：                                       </w:t>
      </w:r>
    </w:p>
    <w:p w14:paraId="41C1F34F">
      <w:pPr>
        <w:pStyle w:val="14"/>
        <w:kinsoku/>
        <w:autoSpaceDE/>
        <w:autoSpaceDN/>
        <w:adjustRightInd/>
        <w:snapToGrid/>
        <w:spacing w:line="360" w:lineRule="auto"/>
        <w:ind w:firstLine="480" w:firstLineChars="200"/>
        <w:contextualSpacing/>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公章：</w:t>
      </w:r>
    </w:p>
    <w:p w14:paraId="13CF046E">
      <w:pPr>
        <w:pStyle w:val="14"/>
        <w:kinsoku/>
        <w:autoSpaceDE/>
        <w:autoSpaceDN/>
        <w:adjustRightInd/>
        <w:snapToGrid/>
        <w:spacing w:line="360" w:lineRule="auto"/>
        <w:ind w:firstLine="480" w:firstLineChars="200"/>
        <w:contextualSpacing/>
        <w:jc w:val="left"/>
        <w:textAlignment w:val="auto"/>
        <w:rPr>
          <w:rFonts w:ascii="仿宋" w:hAnsi="仿宋" w:eastAsia="仿宋" w:cs="仿宋"/>
          <w:b/>
          <w:snapToGrid/>
          <w:color w:val="auto"/>
          <w:sz w:val="24"/>
          <w:szCs w:val="24"/>
          <w:highlight w:val="none"/>
        </w:rPr>
      </w:pPr>
      <w:r>
        <w:rPr>
          <w:rFonts w:hint="eastAsia" w:ascii="仿宋" w:hAnsi="仿宋" w:eastAsia="仿宋" w:cs="仿宋"/>
          <w:snapToGrid/>
          <w:color w:val="auto"/>
          <w:sz w:val="24"/>
          <w:szCs w:val="24"/>
          <w:highlight w:val="none"/>
        </w:rPr>
        <w:t>日期：</w:t>
      </w:r>
    </w:p>
    <w:p w14:paraId="7277C658">
      <w:pPr>
        <w:pStyle w:val="14"/>
        <w:kinsoku/>
        <w:autoSpaceDE/>
        <w:autoSpaceDN/>
        <w:adjustRightInd/>
        <w:snapToGrid/>
        <w:spacing w:line="360" w:lineRule="auto"/>
        <w:ind w:firstLine="482" w:firstLineChars="200"/>
        <w:contextualSpacing/>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说明：</w:t>
      </w:r>
    </w:p>
    <w:p w14:paraId="5AA738C6">
      <w:pPr>
        <w:pStyle w:val="14"/>
        <w:kinsoku/>
        <w:autoSpaceDE/>
        <w:autoSpaceDN/>
        <w:adjustRightInd/>
        <w:snapToGrid/>
        <w:spacing w:line="360" w:lineRule="auto"/>
        <w:ind w:firstLine="482" w:firstLineChars="200"/>
        <w:contextualSpacing/>
        <w:jc w:val="left"/>
        <w:textAlignment w:val="auto"/>
        <w:rPr>
          <w:rFonts w:ascii="仿宋" w:hAnsi="仿宋" w:eastAsia="仿宋" w:cs="仿宋"/>
          <w:b/>
          <w:bCs/>
          <w:snapToGrid/>
          <w:color w:val="auto"/>
          <w:sz w:val="24"/>
          <w:szCs w:val="24"/>
          <w:highlight w:val="none"/>
        </w:rPr>
      </w:pPr>
      <w:r>
        <w:rPr>
          <w:rFonts w:hint="eastAsia" w:ascii="仿宋" w:hAnsi="仿宋" w:eastAsia="仿宋" w:cs="仿宋"/>
          <w:b/>
          <w:snapToGrid/>
          <w:color w:val="auto"/>
          <w:sz w:val="24"/>
          <w:szCs w:val="24"/>
          <w:highlight w:val="none"/>
        </w:rPr>
        <w:t>1.供应商提出质疑时，应提交质疑函和必要的证明材料</w:t>
      </w:r>
      <w:r>
        <w:rPr>
          <w:rFonts w:hint="eastAsia" w:ascii="仿宋" w:hAnsi="仿宋" w:eastAsia="仿宋" w:cs="仿宋"/>
          <w:b/>
          <w:bCs/>
          <w:snapToGrid/>
          <w:color w:val="auto"/>
          <w:sz w:val="24"/>
          <w:szCs w:val="24"/>
          <w:highlight w:val="none"/>
        </w:rPr>
        <w:t>。</w:t>
      </w:r>
    </w:p>
    <w:p w14:paraId="5492A408">
      <w:pPr>
        <w:pStyle w:val="14"/>
        <w:kinsoku/>
        <w:autoSpaceDE/>
        <w:autoSpaceDN/>
        <w:adjustRightInd/>
        <w:snapToGrid/>
        <w:spacing w:line="360" w:lineRule="auto"/>
        <w:ind w:firstLine="482" w:firstLineChars="200"/>
        <w:contextualSpacing/>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B81A44">
      <w:pPr>
        <w:pStyle w:val="14"/>
        <w:kinsoku/>
        <w:autoSpaceDE/>
        <w:autoSpaceDN/>
        <w:adjustRightInd/>
        <w:snapToGrid/>
        <w:spacing w:line="360" w:lineRule="auto"/>
        <w:ind w:firstLine="482" w:firstLineChars="200"/>
        <w:contextualSpacing/>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3.质疑函的质疑事项应具体、明确，并有必要的事实依据和法律依据。</w:t>
      </w:r>
    </w:p>
    <w:p w14:paraId="07847B61">
      <w:pPr>
        <w:pStyle w:val="14"/>
        <w:kinsoku/>
        <w:autoSpaceDE/>
        <w:autoSpaceDN/>
        <w:adjustRightInd/>
        <w:snapToGrid/>
        <w:spacing w:line="360" w:lineRule="auto"/>
        <w:ind w:firstLine="482" w:firstLineChars="200"/>
        <w:contextualSpacing/>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4.质疑函的质疑请求应与质疑事项相关。</w:t>
      </w:r>
    </w:p>
    <w:p w14:paraId="2BF2EF6B">
      <w:pPr>
        <w:pStyle w:val="14"/>
        <w:kinsoku/>
        <w:autoSpaceDE/>
        <w:autoSpaceDN/>
        <w:adjustRightInd/>
        <w:snapToGrid/>
        <w:spacing w:line="360" w:lineRule="auto"/>
        <w:ind w:firstLine="482" w:firstLineChars="200"/>
        <w:contextualSpacing/>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5.质疑供应商为法人或者其他组织的，质疑函应由法定代表人、主要负责人，或者其授权代表签字或者盖章，并加盖公章。</w:t>
      </w:r>
    </w:p>
    <w:p w14:paraId="574E5E72">
      <w:pPr>
        <w:pStyle w:val="14"/>
        <w:kinsoku/>
        <w:autoSpaceDE/>
        <w:autoSpaceDN/>
        <w:adjustRightInd/>
        <w:spacing w:line="360" w:lineRule="auto"/>
        <w:ind w:firstLine="482" w:firstLineChars="200"/>
        <w:jc w:val="left"/>
        <w:textAlignment w:val="auto"/>
        <w:rPr>
          <w:rFonts w:ascii="仿宋" w:hAnsi="仿宋" w:eastAsia="仿宋" w:cs="仿宋"/>
          <w:b/>
          <w:snapToGrid/>
          <w:color w:val="auto"/>
          <w:sz w:val="24"/>
          <w:szCs w:val="24"/>
          <w:highlight w:val="none"/>
        </w:rPr>
      </w:pPr>
    </w:p>
    <w:p w14:paraId="52ACDCCB">
      <w:pPr>
        <w:widowControl w:val="0"/>
        <w:kinsoku/>
        <w:autoSpaceDE/>
        <w:autoSpaceDN/>
        <w:adjustRightInd/>
        <w:snapToGrid/>
        <w:jc w:val="both"/>
        <w:textAlignment w:val="auto"/>
        <w:rPr>
          <w:rFonts w:ascii="仿宋" w:hAnsi="仿宋" w:eastAsia="仿宋" w:cs="仿宋"/>
          <w:b/>
          <w:bCs/>
          <w:snapToGrid/>
          <w:color w:val="auto"/>
          <w:kern w:val="2"/>
          <w:sz w:val="24"/>
          <w:szCs w:val="24"/>
          <w:highlight w:val="none"/>
          <w:lang w:eastAsia="zh-CN"/>
        </w:rPr>
      </w:pPr>
      <w:r>
        <w:rPr>
          <w:rFonts w:hint="eastAsia" w:ascii="仿宋" w:hAnsi="仿宋" w:eastAsia="仿宋" w:cs="仿宋"/>
          <w:b/>
          <w:bCs/>
          <w:snapToGrid/>
          <w:color w:val="auto"/>
          <w:kern w:val="2"/>
          <w:sz w:val="24"/>
          <w:szCs w:val="24"/>
          <w:highlight w:val="none"/>
          <w:lang w:eastAsia="zh-CN"/>
        </w:rPr>
        <w:br w:type="page"/>
      </w:r>
    </w:p>
    <w:p w14:paraId="27EF1C38">
      <w:pPr>
        <w:widowControl w:val="0"/>
        <w:kinsoku/>
        <w:autoSpaceDE/>
        <w:autoSpaceDN/>
        <w:adjustRightInd/>
        <w:snapToGrid/>
        <w:spacing w:line="360" w:lineRule="auto"/>
        <w:textAlignment w:val="auto"/>
        <w:outlineLvl w:val="2"/>
        <w:rPr>
          <w:rFonts w:ascii="仿宋" w:hAnsi="仿宋" w:eastAsia="仿宋" w:cs="仿宋"/>
          <w:b/>
          <w:bCs/>
          <w:snapToGrid/>
          <w:color w:val="auto"/>
          <w:kern w:val="2"/>
          <w:sz w:val="24"/>
          <w:szCs w:val="24"/>
          <w:highlight w:val="none"/>
          <w:lang w:eastAsia="zh-CN"/>
        </w:rPr>
      </w:pPr>
      <w:bookmarkStart w:id="173" w:name="_Toc26170"/>
      <w:bookmarkStart w:id="174" w:name="_Toc10480"/>
      <w:bookmarkStart w:id="175" w:name="_Toc30591"/>
      <w:r>
        <w:rPr>
          <w:rFonts w:hint="eastAsia" w:ascii="仿宋" w:hAnsi="仿宋" w:eastAsia="仿宋" w:cs="仿宋"/>
          <w:b/>
          <w:bCs/>
          <w:snapToGrid/>
          <w:color w:val="auto"/>
          <w:kern w:val="2"/>
          <w:sz w:val="24"/>
          <w:szCs w:val="24"/>
          <w:highlight w:val="none"/>
          <w:lang w:eastAsia="zh-CN"/>
        </w:rPr>
        <w:t>4.投诉书（格式）</w:t>
      </w:r>
      <w:bookmarkEnd w:id="173"/>
      <w:bookmarkEnd w:id="174"/>
      <w:bookmarkEnd w:id="175"/>
    </w:p>
    <w:p w14:paraId="3CCA8AB3">
      <w:pPr>
        <w:pStyle w:val="14"/>
        <w:kinsoku/>
        <w:autoSpaceDE/>
        <w:autoSpaceDN/>
        <w:adjustRightInd/>
        <w:spacing w:line="360" w:lineRule="auto"/>
        <w:jc w:val="center"/>
        <w:textAlignment w:val="auto"/>
        <w:rPr>
          <w:rFonts w:ascii="仿宋" w:hAnsi="仿宋" w:eastAsia="仿宋" w:cs="仿宋"/>
          <w:b/>
          <w:bCs/>
          <w:snapToGrid/>
          <w:color w:val="auto"/>
          <w:kern w:val="2"/>
          <w:sz w:val="24"/>
          <w:szCs w:val="24"/>
          <w:highlight w:val="none"/>
        </w:rPr>
      </w:pPr>
      <w:r>
        <w:rPr>
          <w:rFonts w:hint="eastAsia" w:ascii="仿宋" w:hAnsi="仿宋" w:eastAsia="仿宋" w:cs="仿宋"/>
          <w:b/>
          <w:bCs/>
          <w:snapToGrid/>
          <w:color w:val="auto"/>
          <w:kern w:val="2"/>
          <w:sz w:val="24"/>
          <w:szCs w:val="24"/>
          <w:highlight w:val="none"/>
        </w:rPr>
        <w:t>投诉书（格式）</w:t>
      </w:r>
    </w:p>
    <w:p w14:paraId="3527366B">
      <w:pPr>
        <w:pStyle w:val="14"/>
        <w:kinsoku/>
        <w:autoSpaceDE/>
        <w:autoSpaceDN/>
        <w:adjustRightInd/>
        <w:spacing w:line="360" w:lineRule="auto"/>
        <w:ind w:firstLine="482" w:firstLineChars="200"/>
        <w:jc w:val="left"/>
        <w:textAlignment w:val="auto"/>
        <w:rPr>
          <w:rFonts w:ascii="仿宋" w:hAnsi="仿宋" w:eastAsia="仿宋" w:cs="仿宋"/>
          <w:b/>
          <w:bCs/>
          <w:snapToGrid/>
          <w:color w:val="auto"/>
          <w:sz w:val="24"/>
          <w:szCs w:val="24"/>
          <w:highlight w:val="none"/>
        </w:rPr>
      </w:pPr>
      <w:r>
        <w:rPr>
          <w:rFonts w:hint="eastAsia" w:ascii="仿宋" w:hAnsi="仿宋" w:eastAsia="仿宋" w:cs="仿宋"/>
          <w:b/>
          <w:bCs/>
          <w:snapToGrid/>
          <w:color w:val="auto"/>
          <w:sz w:val="24"/>
          <w:szCs w:val="24"/>
          <w:highlight w:val="none"/>
        </w:rPr>
        <w:t>一、投诉相关主体基本情况：</w:t>
      </w:r>
    </w:p>
    <w:p w14:paraId="7C4F045F">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供应商：</w:t>
      </w:r>
    </w:p>
    <w:p w14:paraId="5F14755A">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地址：邮编：</w:t>
      </w:r>
    </w:p>
    <w:p w14:paraId="5F172D64">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法定代表人/主要负责人：</w:t>
      </w:r>
    </w:p>
    <w:p w14:paraId="0ACEB778">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联系电话：</w:t>
      </w:r>
    </w:p>
    <w:p w14:paraId="7A2375E3">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授权代表：联系电话：</w:t>
      </w:r>
    </w:p>
    <w:p w14:paraId="6B4DDA25">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地址：</w:t>
      </w:r>
    </w:p>
    <w:p w14:paraId="454CD65A">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邮编：</w:t>
      </w:r>
    </w:p>
    <w:p w14:paraId="23E2A658">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被投诉人1：</w:t>
      </w:r>
    </w:p>
    <w:p w14:paraId="19ECC159">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地址：</w:t>
      </w:r>
    </w:p>
    <w:p w14:paraId="76BB3391">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邮编：</w:t>
      </w:r>
    </w:p>
    <w:p w14:paraId="378548E2">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联系人：联系电话：</w:t>
      </w:r>
    </w:p>
    <w:p w14:paraId="4A9193C6">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被投诉人2：</w:t>
      </w:r>
    </w:p>
    <w:p w14:paraId="2496C70C">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w:t>
      </w:r>
    </w:p>
    <w:p w14:paraId="68F0912B">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相关供应商：</w:t>
      </w:r>
    </w:p>
    <w:p w14:paraId="5925C301">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地址：邮编：</w:t>
      </w:r>
    </w:p>
    <w:p w14:paraId="01F1D675">
      <w:pPr>
        <w:pStyle w:val="14"/>
        <w:kinsoku/>
        <w:autoSpaceDE/>
        <w:autoSpaceDN/>
        <w:adjustRightInd/>
        <w:spacing w:line="360" w:lineRule="auto"/>
        <w:ind w:firstLine="480" w:firstLineChars="200"/>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联系人：联系电话：</w:t>
      </w:r>
    </w:p>
    <w:p w14:paraId="2CB39192">
      <w:pPr>
        <w:pStyle w:val="14"/>
        <w:kinsoku/>
        <w:autoSpaceDE/>
        <w:autoSpaceDN/>
        <w:adjustRightInd/>
        <w:spacing w:line="360" w:lineRule="auto"/>
        <w:ind w:firstLine="482" w:firstLineChars="200"/>
        <w:jc w:val="left"/>
        <w:textAlignment w:val="auto"/>
        <w:rPr>
          <w:rFonts w:ascii="仿宋" w:hAnsi="仿宋" w:eastAsia="仿宋" w:cs="仿宋"/>
          <w:b/>
          <w:bCs/>
          <w:snapToGrid/>
          <w:color w:val="auto"/>
          <w:sz w:val="24"/>
          <w:szCs w:val="24"/>
          <w:highlight w:val="none"/>
        </w:rPr>
      </w:pPr>
      <w:r>
        <w:rPr>
          <w:rFonts w:hint="eastAsia" w:ascii="仿宋" w:hAnsi="仿宋" w:eastAsia="仿宋" w:cs="仿宋"/>
          <w:b/>
          <w:bCs/>
          <w:snapToGrid/>
          <w:color w:val="auto"/>
          <w:sz w:val="24"/>
          <w:szCs w:val="24"/>
          <w:highlight w:val="none"/>
        </w:rPr>
        <w:t>二、投诉项目基本情况：</w:t>
      </w:r>
    </w:p>
    <w:p w14:paraId="52F05887">
      <w:pPr>
        <w:pStyle w:val="14"/>
        <w:kinsoku/>
        <w:autoSpaceDE/>
        <w:autoSpaceDN/>
        <w:adjustRightInd/>
        <w:snapToGri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bCs/>
          <w:snapToGrid/>
          <w:color w:val="auto"/>
          <w:sz w:val="24"/>
          <w:szCs w:val="24"/>
          <w:highlight w:val="none"/>
        </w:rPr>
        <w:t>采购</w:t>
      </w:r>
      <w:r>
        <w:rPr>
          <w:rFonts w:hint="eastAsia" w:ascii="仿宋" w:hAnsi="仿宋" w:eastAsia="仿宋" w:cs="仿宋"/>
          <w:snapToGrid/>
          <w:color w:val="auto"/>
          <w:sz w:val="24"/>
          <w:szCs w:val="24"/>
          <w:highlight w:val="none"/>
        </w:rPr>
        <w:t>项目的名称：</w:t>
      </w:r>
    </w:p>
    <w:p w14:paraId="42A28FF4">
      <w:pPr>
        <w:pStyle w:val="14"/>
        <w:kinsoku/>
        <w:autoSpaceDE/>
        <w:autoSpaceDN/>
        <w:adjustRightInd/>
        <w:snapToGri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bCs/>
          <w:snapToGrid/>
          <w:color w:val="auto"/>
          <w:sz w:val="24"/>
          <w:szCs w:val="24"/>
          <w:highlight w:val="none"/>
        </w:rPr>
        <w:t>采购</w:t>
      </w:r>
      <w:r>
        <w:rPr>
          <w:rFonts w:hint="eastAsia" w:ascii="仿宋" w:hAnsi="仿宋" w:eastAsia="仿宋" w:cs="仿宋"/>
          <w:snapToGrid/>
          <w:color w:val="auto"/>
          <w:sz w:val="24"/>
          <w:szCs w:val="24"/>
          <w:highlight w:val="none"/>
        </w:rPr>
        <w:t>项目的编号：</w:t>
      </w:r>
    </w:p>
    <w:p w14:paraId="7A7F7C02">
      <w:pPr>
        <w:pStyle w:val="14"/>
        <w:kinsoku/>
        <w:autoSpaceDE/>
        <w:autoSpaceDN/>
        <w:adjustRightInd/>
        <w:snapToGri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snapToGrid/>
          <w:color w:val="auto"/>
          <w:sz w:val="24"/>
          <w:szCs w:val="24"/>
          <w:highlight w:val="none"/>
        </w:rPr>
        <w:t>采购人名称：</w:t>
      </w:r>
    </w:p>
    <w:p w14:paraId="70838270">
      <w:pPr>
        <w:pStyle w:val="14"/>
        <w:kinsoku/>
        <w:autoSpaceDE/>
        <w:autoSpaceDN/>
        <w:adjustRightInd/>
        <w:snapToGri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snapToGrid/>
          <w:color w:val="auto"/>
          <w:sz w:val="24"/>
          <w:szCs w:val="24"/>
          <w:highlight w:val="none"/>
        </w:rPr>
        <w:t>代理机构名称：</w:t>
      </w:r>
    </w:p>
    <w:p w14:paraId="3F4FD46A">
      <w:pPr>
        <w:pStyle w:val="14"/>
        <w:kinsoku/>
        <w:autoSpaceDE/>
        <w:autoSpaceDN/>
        <w:adjustRightInd/>
        <w:snapToGri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采购文件公告：</w:t>
      </w:r>
      <w:r>
        <w:rPr>
          <w:rFonts w:hint="eastAsia" w:ascii="仿宋" w:hAnsi="仿宋" w:eastAsia="仿宋" w:cs="仿宋"/>
          <w:bCs/>
          <w:snapToGrid/>
          <w:color w:val="auto"/>
          <w:sz w:val="24"/>
          <w:szCs w:val="24"/>
          <w:highlight w:val="none"/>
          <w:u w:val="single"/>
        </w:rPr>
        <w:t>是/否</w:t>
      </w:r>
      <w:r>
        <w:rPr>
          <w:rFonts w:hint="eastAsia" w:ascii="仿宋" w:hAnsi="仿宋" w:eastAsia="仿宋" w:cs="仿宋"/>
          <w:bCs/>
          <w:snapToGrid/>
          <w:color w:val="auto"/>
          <w:sz w:val="24"/>
          <w:szCs w:val="24"/>
          <w:highlight w:val="none"/>
        </w:rPr>
        <w:t>公告期限：</w:t>
      </w:r>
    </w:p>
    <w:p w14:paraId="642EA8FE">
      <w:pPr>
        <w:pStyle w:val="14"/>
        <w:kinsoku/>
        <w:autoSpaceDE/>
        <w:autoSpaceDN/>
        <w:adjustRightInd/>
        <w:snapToGrid/>
        <w:spacing w:line="360" w:lineRule="auto"/>
        <w:ind w:firstLine="480" w:firstLineChars="200"/>
        <w:jc w:val="left"/>
        <w:textAlignment w:val="auto"/>
        <w:rPr>
          <w:rFonts w:ascii="仿宋" w:hAnsi="仿宋" w:eastAsia="仿宋" w:cs="仿宋"/>
          <w:b/>
          <w:snapToGrid/>
          <w:color w:val="auto"/>
          <w:sz w:val="24"/>
          <w:szCs w:val="24"/>
          <w:highlight w:val="none"/>
        </w:rPr>
      </w:pPr>
      <w:r>
        <w:rPr>
          <w:rFonts w:hint="eastAsia" w:ascii="仿宋" w:hAnsi="仿宋" w:eastAsia="仿宋" w:cs="仿宋"/>
          <w:bCs/>
          <w:snapToGrid/>
          <w:color w:val="auto"/>
          <w:sz w:val="24"/>
          <w:szCs w:val="24"/>
          <w:highlight w:val="none"/>
        </w:rPr>
        <w:t>采购结果公告：</w:t>
      </w:r>
      <w:r>
        <w:rPr>
          <w:rFonts w:hint="eastAsia" w:ascii="仿宋" w:hAnsi="仿宋" w:eastAsia="仿宋" w:cs="仿宋"/>
          <w:bCs/>
          <w:snapToGrid/>
          <w:color w:val="auto"/>
          <w:sz w:val="24"/>
          <w:szCs w:val="24"/>
          <w:highlight w:val="none"/>
          <w:u w:val="single"/>
        </w:rPr>
        <w:t>是/否</w:t>
      </w:r>
      <w:r>
        <w:rPr>
          <w:rFonts w:hint="eastAsia" w:ascii="仿宋" w:hAnsi="仿宋" w:eastAsia="仿宋" w:cs="仿宋"/>
          <w:bCs/>
          <w:snapToGrid/>
          <w:color w:val="auto"/>
          <w:sz w:val="24"/>
          <w:szCs w:val="24"/>
          <w:highlight w:val="none"/>
        </w:rPr>
        <w:t>公告期限：</w:t>
      </w:r>
    </w:p>
    <w:p w14:paraId="44AFE936">
      <w:pPr>
        <w:pStyle w:val="14"/>
        <w:kinsoku/>
        <w:autoSpaceDE/>
        <w:autoSpaceDN/>
        <w:adjustRightInd/>
        <w:snapToGrid/>
        <w:spacing w:line="360" w:lineRule="auto"/>
        <w:ind w:firstLine="482" w:firstLineChars="200"/>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三、质疑基本情况</w:t>
      </w:r>
    </w:p>
    <w:p w14:paraId="657E46E2">
      <w:pPr>
        <w:pStyle w:val="14"/>
        <w:kinsoku/>
        <w:autoSpaceDE/>
        <w:autoSpaceDN/>
        <w:adjustRightInd/>
        <w:snapToGri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投诉人于   年   月   日，向   提出质疑，质疑事项为：</w:t>
      </w:r>
    </w:p>
    <w:p w14:paraId="6616C612">
      <w:pPr>
        <w:pStyle w:val="14"/>
        <w:kinsoku/>
        <w:autoSpaceDE/>
        <w:autoSpaceDN/>
        <w:adjustRightInd/>
        <w:snapToGrid/>
        <w:spacing w:line="360" w:lineRule="auto"/>
        <w:ind w:firstLine="480" w:firstLineChars="200"/>
        <w:jc w:val="left"/>
        <w:textAlignment w:val="auto"/>
        <w:rPr>
          <w:rFonts w:ascii="仿宋" w:hAnsi="仿宋" w:eastAsia="仿宋" w:cs="仿宋"/>
          <w:bCs/>
          <w:snapToGrid/>
          <w:color w:val="auto"/>
          <w:sz w:val="24"/>
          <w:szCs w:val="24"/>
          <w:highlight w:val="none"/>
          <w:u w:val="single"/>
        </w:rPr>
      </w:pPr>
    </w:p>
    <w:p w14:paraId="18EF5A4C">
      <w:pPr>
        <w:pStyle w:val="14"/>
        <w:kinsoku/>
        <w:autoSpaceDE/>
        <w:autoSpaceDN/>
        <w:adjustRightInd/>
        <w:snapToGrid/>
        <w:spacing w:line="360" w:lineRule="auto"/>
        <w:ind w:firstLine="480" w:firstLineChars="200"/>
        <w:jc w:val="left"/>
        <w:textAlignment w:val="auto"/>
        <w:rPr>
          <w:rFonts w:ascii="仿宋" w:hAnsi="仿宋" w:eastAsia="仿宋" w:cs="仿宋"/>
          <w:bCs/>
          <w:snapToGrid/>
          <w:color w:val="auto"/>
          <w:sz w:val="24"/>
          <w:szCs w:val="24"/>
          <w:highlight w:val="none"/>
          <w:u w:val="single"/>
        </w:rPr>
      </w:pPr>
    </w:p>
    <w:p w14:paraId="7F067616">
      <w:pPr>
        <w:pStyle w:val="14"/>
        <w:kinsoku/>
        <w:autoSpaceDE/>
        <w:autoSpaceDN/>
        <w:adjustRightInd/>
        <w:snapToGri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bCs/>
          <w:snapToGrid/>
          <w:color w:val="auto"/>
          <w:sz w:val="24"/>
          <w:szCs w:val="24"/>
          <w:highlight w:val="none"/>
          <w:u w:val="single"/>
        </w:rPr>
        <w:t>采购人/代理机构</w:t>
      </w:r>
      <w:r>
        <w:rPr>
          <w:rFonts w:hint="eastAsia" w:ascii="仿宋" w:hAnsi="仿宋" w:eastAsia="仿宋" w:cs="仿宋"/>
          <w:bCs/>
          <w:snapToGrid/>
          <w:color w:val="auto"/>
          <w:sz w:val="24"/>
          <w:szCs w:val="24"/>
          <w:highlight w:val="none"/>
        </w:rPr>
        <w:t>于</w:t>
      </w:r>
      <w:r>
        <w:rPr>
          <w:rFonts w:hint="eastAsia" w:ascii="仿宋" w:hAnsi="仿宋" w:eastAsia="仿宋" w:cs="仿宋"/>
          <w:snapToGrid/>
          <w:color w:val="auto"/>
          <w:sz w:val="24"/>
          <w:szCs w:val="24"/>
          <w:highlight w:val="none"/>
        </w:rPr>
        <w:t>年月日，</w:t>
      </w:r>
      <w:r>
        <w:rPr>
          <w:rFonts w:hint="eastAsia" w:ascii="仿宋" w:hAnsi="仿宋" w:eastAsia="仿宋" w:cs="仿宋"/>
          <w:bCs/>
          <w:snapToGrid/>
          <w:color w:val="auto"/>
          <w:sz w:val="24"/>
          <w:szCs w:val="24"/>
          <w:highlight w:val="none"/>
        </w:rPr>
        <w:t xml:space="preserve">就质疑事项作出了答复/没有在法定期限内作出答复。                                                                                             </w:t>
      </w:r>
    </w:p>
    <w:p w14:paraId="341ED36D">
      <w:pPr>
        <w:pStyle w:val="14"/>
        <w:kinsoku/>
        <w:autoSpaceDE/>
        <w:autoSpaceDN/>
        <w:adjustRightInd/>
        <w:snapToGrid/>
        <w:spacing w:line="360" w:lineRule="auto"/>
        <w:ind w:firstLine="482" w:firstLineChars="200"/>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四、投诉事项具体内容</w:t>
      </w:r>
    </w:p>
    <w:p w14:paraId="4DB782E6">
      <w:pPr>
        <w:pStyle w:val="14"/>
        <w:kinsoku/>
        <w:autoSpaceDE/>
        <w:autoSpaceDN/>
        <w:adjustRightInd/>
        <w:snapToGri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snapToGrid/>
          <w:color w:val="auto"/>
          <w:sz w:val="24"/>
          <w:szCs w:val="24"/>
          <w:highlight w:val="none"/>
        </w:rPr>
        <w:t>投诉事项1：</w:t>
      </w:r>
    </w:p>
    <w:p w14:paraId="1A2A647B">
      <w:pPr>
        <w:pStyle w:val="14"/>
        <w:kinsoku/>
        <w:autoSpaceDE/>
        <w:autoSpaceDN/>
        <w:adjustRightInd/>
        <w:snapToGri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事实依据：</w:t>
      </w:r>
    </w:p>
    <w:p w14:paraId="17A61E44">
      <w:pPr>
        <w:pStyle w:val="14"/>
        <w:kinsoku/>
        <w:autoSpaceDE/>
        <w:autoSpaceDN/>
        <w:adjustRightInd/>
        <w:snapToGrid/>
        <w:spacing w:line="360" w:lineRule="auto"/>
        <w:ind w:firstLine="480" w:firstLineChars="200"/>
        <w:jc w:val="left"/>
        <w:textAlignment w:val="auto"/>
        <w:rPr>
          <w:rFonts w:ascii="仿宋" w:hAnsi="仿宋" w:eastAsia="仿宋" w:cs="仿宋"/>
          <w:snapToGrid/>
          <w:color w:val="auto"/>
          <w:sz w:val="24"/>
          <w:szCs w:val="24"/>
          <w:highlight w:val="none"/>
        </w:rPr>
      </w:pPr>
    </w:p>
    <w:p w14:paraId="69980DAA">
      <w:pPr>
        <w:pStyle w:val="14"/>
        <w:kinsoku/>
        <w:autoSpaceDE/>
        <w:autoSpaceDN/>
        <w:adjustRightInd/>
        <w:snapToGrid/>
        <w:spacing w:line="360" w:lineRule="auto"/>
        <w:ind w:firstLine="480" w:firstLineChars="200"/>
        <w:jc w:val="left"/>
        <w:textAlignment w:val="auto"/>
        <w:rPr>
          <w:rFonts w:ascii="仿宋" w:hAnsi="仿宋" w:eastAsia="仿宋" w:cs="仿宋"/>
          <w:bCs/>
          <w:snapToGrid/>
          <w:color w:val="auto"/>
          <w:sz w:val="24"/>
          <w:szCs w:val="24"/>
          <w:highlight w:val="none"/>
          <w:u w:val="single"/>
        </w:rPr>
      </w:pPr>
      <w:r>
        <w:rPr>
          <w:rFonts w:hint="eastAsia" w:ascii="仿宋" w:hAnsi="仿宋" w:eastAsia="仿宋" w:cs="仿宋"/>
          <w:bCs/>
          <w:snapToGrid/>
          <w:color w:val="auto"/>
          <w:sz w:val="24"/>
          <w:szCs w:val="24"/>
          <w:highlight w:val="none"/>
        </w:rPr>
        <w:t>法律依据：</w:t>
      </w:r>
    </w:p>
    <w:p w14:paraId="1DEE99EE">
      <w:pPr>
        <w:pStyle w:val="14"/>
        <w:kinsoku/>
        <w:autoSpaceDE/>
        <w:autoSpaceDN/>
        <w:adjustRightInd/>
        <w:snapToGrid/>
        <w:spacing w:line="360" w:lineRule="auto"/>
        <w:ind w:firstLine="480" w:firstLineChars="200"/>
        <w:jc w:val="left"/>
        <w:textAlignment w:val="auto"/>
        <w:rPr>
          <w:rFonts w:ascii="仿宋" w:hAnsi="仿宋" w:eastAsia="仿宋" w:cs="仿宋"/>
          <w:bCs/>
          <w:snapToGrid/>
          <w:color w:val="auto"/>
          <w:sz w:val="24"/>
          <w:szCs w:val="24"/>
          <w:highlight w:val="none"/>
          <w:u w:val="single"/>
        </w:rPr>
      </w:pPr>
    </w:p>
    <w:p w14:paraId="40D77FA2">
      <w:pPr>
        <w:pStyle w:val="14"/>
        <w:kinsoku/>
        <w:autoSpaceDE/>
        <w:autoSpaceDN/>
        <w:adjustRightInd/>
        <w:snapToGrid/>
        <w:spacing w:line="360" w:lineRule="auto"/>
        <w:ind w:firstLine="480" w:firstLineChars="200"/>
        <w:jc w:val="left"/>
        <w:textAlignment w:val="auto"/>
        <w:rPr>
          <w:rFonts w:ascii="仿宋" w:hAnsi="仿宋" w:eastAsia="仿宋" w:cs="仿宋"/>
          <w:bCs/>
          <w:snapToGrid/>
          <w:color w:val="auto"/>
          <w:sz w:val="24"/>
          <w:szCs w:val="24"/>
          <w:highlight w:val="none"/>
        </w:rPr>
      </w:pPr>
      <w:r>
        <w:rPr>
          <w:rFonts w:hint="eastAsia" w:ascii="仿宋" w:hAnsi="仿宋" w:eastAsia="仿宋" w:cs="仿宋"/>
          <w:snapToGrid/>
          <w:color w:val="auto"/>
          <w:sz w:val="24"/>
          <w:szCs w:val="24"/>
          <w:highlight w:val="none"/>
        </w:rPr>
        <w:t xml:space="preserve">投诉事项2  </w:t>
      </w:r>
    </w:p>
    <w:p w14:paraId="127EB4C0">
      <w:pPr>
        <w:pStyle w:val="14"/>
        <w:kinsoku/>
        <w:autoSpaceDE/>
        <w:autoSpaceDN/>
        <w:adjustRightInd/>
        <w:snapToGrid/>
        <w:spacing w:line="360" w:lineRule="auto"/>
        <w:ind w:firstLine="480" w:firstLineChars="200"/>
        <w:jc w:val="left"/>
        <w:textAlignment w:val="auto"/>
        <w:rPr>
          <w:rFonts w:ascii="仿宋" w:hAnsi="仿宋" w:eastAsia="仿宋" w:cs="仿宋"/>
          <w:bCs/>
          <w:snapToGrid/>
          <w:color w:val="auto"/>
          <w:sz w:val="24"/>
          <w:szCs w:val="24"/>
          <w:highlight w:val="none"/>
        </w:rPr>
      </w:pPr>
      <w:r>
        <w:rPr>
          <w:rFonts w:hint="eastAsia" w:ascii="仿宋" w:hAnsi="仿宋" w:eastAsia="仿宋" w:cs="仿宋"/>
          <w:bCs/>
          <w:snapToGrid/>
          <w:color w:val="auto"/>
          <w:sz w:val="24"/>
          <w:szCs w:val="24"/>
          <w:highlight w:val="none"/>
        </w:rPr>
        <w:t>……</w:t>
      </w:r>
    </w:p>
    <w:p w14:paraId="74AB5A4C">
      <w:pPr>
        <w:pStyle w:val="14"/>
        <w:kinsoku/>
        <w:autoSpaceDE/>
        <w:autoSpaceDN/>
        <w:adjustRightInd/>
        <w:snapToGrid/>
        <w:spacing w:line="360" w:lineRule="auto"/>
        <w:ind w:firstLine="482" w:firstLineChars="200"/>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五、与投诉事项相关的投诉请求：</w:t>
      </w:r>
    </w:p>
    <w:p w14:paraId="57924BD8">
      <w:pPr>
        <w:pStyle w:val="14"/>
        <w:kinsoku/>
        <w:autoSpaceDE/>
        <w:autoSpaceDN/>
        <w:adjustRightInd/>
        <w:snapToGri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请求：</w:t>
      </w:r>
    </w:p>
    <w:p w14:paraId="39471A55">
      <w:pPr>
        <w:pStyle w:val="14"/>
        <w:kinsoku/>
        <w:autoSpaceDE/>
        <w:autoSpaceDN/>
        <w:adjustRightInd/>
        <w:snapToGrid/>
        <w:spacing w:line="360" w:lineRule="auto"/>
        <w:ind w:firstLine="480" w:firstLineChars="200"/>
        <w:jc w:val="left"/>
        <w:textAlignment w:val="auto"/>
        <w:rPr>
          <w:rFonts w:ascii="仿宋" w:hAnsi="仿宋" w:eastAsia="仿宋" w:cs="仿宋"/>
          <w:snapToGrid/>
          <w:color w:val="auto"/>
          <w:sz w:val="24"/>
          <w:szCs w:val="24"/>
          <w:highlight w:val="none"/>
        </w:rPr>
      </w:pPr>
    </w:p>
    <w:p w14:paraId="5DDF0AC2">
      <w:pPr>
        <w:pStyle w:val="14"/>
        <w:kinsoku/>
        <w:autoSpaceDE/>
        <w:autoSpaceDN/>
        <w:adjustRightInd/>
        <w:snapToGri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签字（签章）：                                       公章：</w:t>
      </w:r>
    </w:p>
    <w:p w14:paraId="67F31729">
      <w:pPr>
        <w:pStyle w:val="14"/>
        <w:kinsoku/>
        <w:autoSpaceDE/>
        <w:autoSpaceDN/>
        <w:adjustRightInd/>
        <w:snapToGrid/>
        <w:spacing w:line="360" w:lineRule="auto"/>
        <w:ind w:firstLine="480" w:firstLineChars="200"/>
        <w:jc w:val="left"/>
        <w:textAlignment w:val="auto"/>
        <w:rPr>
          <w:rFonts w:ascii="仿宋" w:hAnsi="仿宋" w:eastAsia="仿宋" w:cs="仿宋"/>
          <w:snapToGrid/>
          <w:color w:val="auto"/>
          <w:sz w:val="24"/>
          <w:szCs w:val="24"/>
          <w:highlight w:val="none"/>
        </w:rPr>
      </w:pPr>
    </w:p>
    <w:p w14:paraId="439194CB">
      <w:pPr>
        <w:pStyle w:val="14"/>
        <w:kinsoku/>
        <w:autoSpaceDE/>
        <w:autoSpaceDN/>
        <w:adjustRightInd/>
        <w:snapToGrid/>
        <w:spacing w:line="360" w:lineRule="auto"/>
        <w:ind w:firstLine="480" w:firstLineChars="200"/>
        <w:jc w:val="left"/>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日期：</w:t>
      </w:r>
    </w:p>
    <w:p w14:paraId="4369B685">
      <w:pPr>
        <w:pStyle w:val="14"/>
        <w:kinsoku/>
        <w:autoSpaceDE/>
        <w:autoSpaceDN/>
        <w:adjustRightInd/>
        <w:snapToGrid/>
        <w:spacing w:line="360" w:lineRule="auto"/>
        <w:ind w:firstLine="482" w:firstLineChars="200"/>
        <w:jc w:val="left"/>
        <w:textAlignment w:val="auto"/>
        <w:rPr>
          <w:rFonts w:ascii="仿宋" w:hAnsi="仿宋" w:eastAsia="仿宋" w:cs="仿宋"/>
          <w:b/>
          <w:snapToGrid/>
          <w:color w:val="auto"/>
          <w:sz w:val="24"/>
          <w:szCs w:val="24"/>
          <w:highlight w:val="none"/>
        </w:rPr>
      </w:pPr>
    </w:p>
    <w:p w14:paraId="294F340F">
      <w:pPr>
        <w:pStyle w:val="14"/>
        <w:kinsoku/>
        <w:autoSpaceDE/>
        <w:autoSpaceDN/>
        <w:adjustRightInd/>
        <w:spacing w:line="360" w:lineRule="auto"/>
        <w:ind w:firstLine="482" w:firstLineChars="200"/>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说明：</w:t>
      </w:r>
    </w:p>
    <w:p w14:paraId="63CAADF0">
      <w:pPr>
        <w:pStyle w:val="14"/>
        <w:kinsoku/>
        <w:autoSpaceDE/>
        <w:autoSpaceDN/>
        <w:adjustRightInd/>
        <w:snapToGrid/>
        <w:spacing w:line="360" w:lineRule="auto"/>
        <w:ind w:firstLine="482" w:firstLineChars="200"/>
        <w:jc w:val="left"/>
        <w:textAlignment w:val="auto"/>
        <w:rPr>
          <w:rFonts w:ascii="仿宋" w:hAnsi="仿宋" w:eastAsia="仿宋" w:cs="仿宋"/>
          <w:b/>
          <w:bCs/>
          <w:snapToGrid/>
          <w:color w:val="auto"/>
          <w:sz w:val="24"/>
          <w:szCs w:val="24"/>
          <w:highlight w:val="none"/>
        </w:rPr>
      </w:pPr>
      <w:r>
        <w:rPr>
          <w:rFonts w:hint="eastAsia" w:ascii="仿宋" w:hAnsi="仿宋" w:eastAsia="仿宋" w:cs="仿宋"/>
          <w:b/>
          <w:snapToGrid/>
          <w:color w:val="auto"/>
          <w:sz w:val="24"/>
          <w:szCs w:val="24"/>
          <w:highlight w:val="none"/>
        </w:rPr>
        <w:t>1.投诉人提起投诉时，应当提交投诉书和必要的证明材料，并按照被投诉人和与投诉事项有关的供应商数量提供投诉书副本</w:t>
      </w:r>
      <w:r>
        <w:rPr>
          <w:rFonts w:hint="eastAsia" w:ascii="仿宋" w:hAnsi="仿宋" w:eastAsia="仿宋" w:cs="仿宋"/>
          <w:b/>
          <w:bCs/>
          <w:snapToGrid/>
          <w:color w:val="auto"/>
          <w:sz w:val="24"/>
          <w:szCs w:val="24"/>
          <w:highlight w:val="none"/>
        </w:rPr>
        <w:t>。</w:t>
      </w:r>
    </w:p>
    <w:p w14:paraId="740CEA97">
      <w:pPr>
        <w:pStyle w:val="14"/>
        <w:kinsoku/>
        <w:autoSpaceDE/>
        <w:autoSpaceDN/>
        <w:adjustRightInd/>
        <w:snapToGrid/>
        <w:spacing w:line="360" w:lineRule="auto"/>
        <w:ind w:firstLine="482" w:firstLineChars="200"/>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C608356">
      <w:pPr>
        <w:pStyle w:val="14"/>
        <w:kinsoku/>
        <w:autoSpaceDE/>
        <w:autoSpaceDN/>
        <w:adjustRightInd/>
        <w:snapToGrid/>
        <w:spacing w:line="360" w:lineRule="auto"/>
        <w:ind w:firstLine="482" w:firstLineChars="200"/>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3.投诉书应简要列明质疑事项，质疑函、质疑答复等作为附件材料提供。</w:t>
      </w:r>
    </w:p>
    <w:p w14:paraId="4E2A0A9A">
      <w:pPr>
        <w:pStyle w:val="14"/>
        <w:kinsoku/>
        <w:autoSpaceDE/>
        <w:autoSpaceDN/>
        <w:adjustRightInd/>
        <w:snapToGrid/>
        <w:spacing w:line="360" w:lineRule="auto"/>
        <w:ind w:firstLine="482" w:firstLineChars="200"/>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4.投诉书的投诉事项应具体、明确，并有必要的事实依据和法律依据。</w:t>
      </w:r>
    </w:p>
    <w:p w14:paraId="5B6B0AFC">
      <w:pPr>
        <w:pStyle w:val="14"/>
        <w:kinsoku/>
        <w:autoSpaceDE/>
        <w:autoSpaceDN/>
        <w:adjustRightInd/>
        <w:snapToGrid/>
        <w:spacing w:line="360" w:lineRule="auto"/>
        <w:ind w:firstLine="482" w:firstLineChars="200"/>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5.投诉书的投诉请求应与投诉事项相关。</w:t>
      </w:r>
    </w:p>
    <w:p w14:paraId="0BBA2C1F">
      <w:pPr>
        <w:pStyle w:val="14"/>
        <w:kinsoku/>
        <w:autoSpaceDE/>
        <w:autoSpaceDN/>
        <w:adjustRightInd/>
        <w:snapToGrid/>
        <w:spacing w:line="360" w:lineRule="auto"/>
        <w:ind w:firstLine="482" w:firstLineChars="200"/>
        <w:jc w:val="left"/>
        <w:textAlignment w:val="auto"/>
        <w:rPr>
          <w:rFonts w:ascii="仿宋" w:hAnsi="仿宋" w:eastAsia="仿宋" w:cs="仿宋"/>
          <w:b/>
          <w:snapToGrid/>
          <w:color w:val="auto"/>
          <w:sz w:val="24"/>
          <w:szCs w:val="24"/>
          <w:highlight w:val="none"/>
        </w:rPr>
      </w:pPr>
      <w:r>
        <w:rPr>
          <w:rFonts w:hint="eastAsia" w:ascii="仿宋" w:hAnsi="仿宋" w:eastAsia="仿宋" w:cs="仿宋"/>
          <w:b/>
          <w:snapToGrid/>
          <w:color w:val="auto"/>
          <w:sz w:val="24"/>
          <w:szCs w:val="24"/>
          <w:highlight w:val="none"/>
        </w:rPr>
        <w:t>6.投诉人为法人或者其他组织的，投诉书应由法定代表人、主要负责人，或者其授权代表签字或者盖章，并加盖公章。</w:t>
      </w:r>
    </w:p>
    <w:p w14:paraId="0790098E">
      <w:pPr>
        <w:widowControl w:val="0"/>
        <w:kinsoku/>
        <w:autoSpaceDE/>
        <w:autoSpaceDN/>
        <w:adjustRightInd/>
        <w:snapToGrid/>
        <w:jc w:val="both"/>
        <w:textAlignment w:val="auto"/>
        <w:rPr>
          <w:rFonts w:ascii="仿宋" w:hAnsi="仿宋" w:eastAsia="仿宋" w:cs="仿宋"/>
          <w:snapToGrid/>
          <w:color w:val="auto"/>
          <w:kern w:val="2"/>
          <w:sz w:val="24"/>
          <w:szCs w:val="24"/>
          <w:highlight w:val="none"/>
          <w:lang w:eastAsia="zh-CN"/>
        </w:rPr>
      </w:pPr>
      <w:bookmarkStart w:id="176" w:name="_Toc74323461"/>
      <w:r>
        <w:rPr>
          <w:rFonts w:hint="eastAsia" w:ascii="仿宋" w:hAnsi="仿宋" w:eastAsia="仿宋" w:cs="仿宋"/>
          <w:snapToGrid/>
          <w:color w:val="auto"/>
          <w:kern w:val="2"/>
          <w:sz w:val="24"/>
          <w:szCs w:val="24"/>
          <w:highlight w:val="none"/>
          <w:lang w:eastAsia="zh-CN"/>
        </w:rPr>
        <w:br w:type="page"/>
      </w:r>
    </w:p>
    <w:p w14:paraId="06EDE894">
      <w:pPr>
        <w:widowControl w:val="0"/>
        <w:kinsoku/>
        <w:autoSpaceDE/>
        <w:autoSpaceDN/>
        <w:adjustRightInd/>
        <w:snapToGrid/>
        <w:spacing w:line="360" w:lineRule="auto"/>
        <w:jc w:val="center"/>
        <w:textAlignment w:val="auto"/>
        <w:outlineLvl w:val="0"/>
        <w:rPr>
          <w:rFonts w:ascii="仿宋" w:hAnsi="仿宋" w:eastAsia="仿宋" w:cs="仿宋"/>
          <w:b/>
          <w:bCs/>
          <w:snapToGrid/>
          <w:color w:val="auto"/>
          <w:kern w:val="2"/>
          <w:sz w:val="36"/>
          <w:szCs w:val="36"/>
          <w:highlight w:val="none"/>
          <w:lang w:eastAsia="zh-CN"/>
        </w:rPr>
      </w:pPr>
      <w:bookmarkStart w:id="177" w:name="_Toc22143"/>
      <w:bookmarkStart w:id="178" w:name="_Toc11531"/>
      <w:bookmarkStart w:id="179" w:name="_Toc25944"/>
    </w:p>
    <w:p w14:paraId="60FA8A91">
      <w:pPr>
        <w:widowControl w:val="0"/>
        <w:kinsoku/>
        <w:autoSpaceDE/>
        <w:autoSpaceDN/>
        <w:adjustRightInd/>
        <w:snapToGrid/>
        <w:spacing w:line="360" w:lineRule="auto"/>
        <w:jc w:val="center"/>
        <w:textAlignment w:val="auto"/>
        <w:outlineLvl w:val="0"/>
        <w:rPr>
          <w:rFonts w:ascii="仿宋" w:hAnsi="仿宋" w:eastAsia="仿宋" w:cs="仿宋"/>
          <w:snapToGrid/>
          <w:color w:val="auto"/>
          <w:kern w:val="2"/>
          <w:szCs w:val="24"/>
          <w:highlight w:val="none"/>
          <w:lang w:eastAsia="zh-CN"/>
        </w:rPr>
      </w:pPr>
      <w:r>
        <w:rPr>
          <w:rFonts w:hint="eastAsia" w:ascii="仿宋" w:hAnsi="仿宋" w:eastAsia="仿宋" w:cs="仿宋"/>
          <w:b/>
          <w:bCs/>
          <w:snapToGrid/>
          <w:color w:val="auto"/>
          <w:kern w:val="2"/>
          <w:sz w:val="36"/>
          <w:szCs w:val="36"/>
          <w:highlight w:val="none"/>
          <w:lang w:eastAsia="zh-CN"/>
        </w:rPr>
        <w:t xml:space="preserve">第六章  </w:t>
      </w:r>
      <w:bookmarkEnd w:id="176"/>
      <w:bookmarkEnd w:id="177"/>
      <w:bookmarkEnd w:id="178"/>
      <w:bookmarkEnd w:id="179"/>
      <w:r>
        <w:rPr>
          <w:rFonts w:hint="eastAsia" w:ascii="仿宋" w:hAnsi="仿宋" w:eastAsia="仿宋" w:cs="仿宋"/>
          <w:b/>
          <w:bCs/>
          <w:snapToGrid/>
          <w:color w:val="auto"/>
          <w:kern w:val="2"/>
          <w:sz w:val="32"/>
          <w:szCs w:val="32"/>
          <w:highlight w:val="none"/>
          <w:lang w:eastAsia="zh-CN"/>
        </w:rPr>
        <w:t>政府采购合同</w:t>
      </w:r>
      <w:r>
        <w:rPr>
          <w:rFonts w:hint="eastAsia" w:ascii="仿宋" w:hAnsi="仿宋" w:eastAsia="仿宋" w:cs="仿宋"/>
          <w:b/>
          <w:snapToGrid/>
          <w:color w:val="auto"/>
          <w:kern w:val="2"/>
          <w:sz w:val="32"/>
          <w:szCs w:val="32"/>
          <w:highlight w:val="none"/>
          <w:lang w:eastAsia="zh-CN"/>
        </w:rPr>
        <w:t>文本</w:t>
      </w:r>
    </w:p>
    <w:p w14:paraId="18013D57">
      <w:pPr>
        <w:widowControl w:val="0"/>
        <w:kinsoku/>
        <w:autoSpaceDE/>
        <w:autoSpaceDN/>
        <w:adjustRightInd/>
        <w:snapToGrid/>
        <w:spacing w:line="520" w:lineRule="exact"/>
        <w:jc w:val="both"/>
        <w:textAlignment w:val="auto"/>
        <w:rPr>
          <w:rFonts w:ascii="仿宋" w:hAnsi="仿宋" w:eastAsia="仿宋" w:cs="仿宋"/>
          <w:b/>
          <w:snapToGrid/>
          <w:color w:val="auto"/>
          <w:kern w:val="2"/>
          <w:sz w:val="32"/>
          <w:szCs w:val="32"/>
          <w:highlight w:val="none"/>
          <w:lang w:eastAsia="zh-CN"/>
        </w:rPr>
      </w:pPr>
    </w:p>
    <w:p w14:paraId="74E572E6">
      <w:pPr>
        <w:pStyle w:val="20"/>
        <w:shd w:val="clear" w:color="auto" w:fill="FFFFFF"/>
        <w:spacing w:line="400" w:lineRule="exact"/>
        <w:rPr>
          <w:rFonts w:cs="黑体"/>
          <w:color w:val="auto"/>
          <w:sz w:val="36"/>
          <w:szCs w:val="36"/>
          <w:highlight w:val="none"/>
          <w:shd w:val="clear" w:color="auto" w:fill="FFFFFF"/>
        </w:rPr>
      </w:pPr>
      <w:r>
        <w:rPr>
          <w:rFonts w:hint="eastAsia" w:cs="黑体"/>
          <w:color w:val="auto"/>
          <w:sz w:val="36"/>
          <w:szCs w:val="36"/>
          <w:highlight w:val="none"/>
          <w:shd w:val="clear" w:color="auto" w:fill="FFFFFF"/>
        </w:rPr>
        <w:br w:type="page"/>
      </w:r>
      <w:r>
        <w:rPr>
          <w:rFonts w:hint="eastAsia" w:cs="黑体"/>
          <w:color w:val="auto"/>
          <w:sz w:val="36"/>
          <w:szCs w:val="36"/>
          <w:highlight w:val="none"/>
          <w:shd w:val="clear" w:color="auto" w:fill="FFFFFF"/>
        </w:rPr>
        <w:t xml:space="preserve">  </w:t>
      </w:r>
    </w:p>
    <w:p w14:paraId="5C270F76">
      <w:pPr>
        <w:pStyle w:val="20"/>
        <w:shd w:val="clear" w:color="auto" w:fill="FFFFFF"/>
        <w:spacing w:line="400" w:lineRule="exact"/>
        <w:rPr>
          <w:rFonts w:cs="黑体"/>
          <w:color w:val="auto"/>
          <w:sz w:val="36"/>
          <w:szCs w:val="36"/>
          <w:highlight w:val="none"/>
          <w:shd w:val="clear" w:color="auto" w:fill="FFFFFF"/>
        </w:rPr>
      </w:pPr>
    </w:p>
    <w:p w14:paraId="2F80E44D">
      <w:pPr>
        <w:pStyle w:val="20"/>
        <w:shd w:val="clear" w:color="auto" w:fill="FFFFFF"/>
        <w:spacing w:line="400" w:lineRule="exact"/>
        <w:ind w:firstLine="420" w:firstLineChars="200"/>
        <w:rPr>
          <w:rFonts w:ascii="宋体" w:hAnsi="宋体" w:cs="宋体"/>
          <w:color w:val="auto"/>
          <w:sz w:val="21"/>
          <w:szCs w:val="21"/>
          <w:highlight w:val="none"/>
          <w:u w:val="single"/>
          <w:shd w:val="clear" w:color="auto" w:fill="FFFFFF"/>
        </w:rPr>
      </w:pPr>
      <w:r>
        <w:rPr>
          <w:rFonts w:hint="eastAsia" w:ascii="宋体" w:hAnsi="宋体" w:cs="宋体"/>
          <w:color w:val="auto"/>
          <w:sz w:val="21"/>
          <w:szCs w:val="21"/>
          <w:highlight w:val="none"/>
          <w:shd w:val="clear" w:color="auto" w:fill="FFFFFF"/>
        </w:rPr>
        <w:t>委托方（甲方）：</w:t>
      </w:r>
      <w:r>
        <w:rPr>
          <w:rFonts w:hint="eastAsia" w:ascii="宋体" w:hAnsi="宋体" w:cs="宋体"/>
          <w:color w:val="auto"/>
          <w:sz w:val="21"/>
          <w:szCs w:val="21"/>
          <w:highlight w:val="none"/>
          <w:u w:val="single"/>
          <w:shd w:val="clear" w:color="auto" w:fill="FFFFFF"/>
        </w:rPr>
        <w:t>崇左市江州区住房</w:t>
      </w:r>
      <w:r>
        <w:rPr>
          <w:rFonts w:hint="eastAsia" w:cs="宋体"/>
          <w:color w:val="auto"/>
          <w:sz w:val="21"/>
          <w:szCs w:val="21"/>
          <w:highlight w:val="none"/>
          <w:u w:val="single"/>
          <w:shd w:val="clear" w:color="auto" w:fill="FFFFFF"/>
        </w:rPr>
        <w:t>和</w:t>
      </w:r>
      <w:r>
        <w:rPr>
          <w:rFonts w:hint="eastAsia" w:ascii="宋体" w:hAnsi="宋体" w:cs="宋体"/>
          <w:color w:val="auto"/>
          <w:sz w:val="21"/>
          <w:szCs w:val="21"/>
          <w:highlight w:val="none"/>
          <w:u w:val="single"/>
          <w:shd w:val="clear" w:color="auto" w:fill="FFFFFF"/>
        </w:rPr>
        <w:t>城乡建设局</w:t>
      </w:r>
    </w:p>
    <w:p w14:paraId="0180BF13">
      <w:pPr>
        <w:pStyle w:val="20"/>
        <w:shd w:val="clear" w:color="auto" w:fill="FFFFFF"/>
        <w:spacing w:line="400" w:lineRule="exact"/>
        <w:ind w:firstLine="420" w:firstLineChars="200"/>
        <w:rPr>
          <w:rFonts w:ascii="宋体" w:hAnsi="宋体" w:cs="宋体"/>
          <w:color w:val="auto"/>
          <w:sz w:val="21"/>
          <w:szCs w:val="21"/>
          <w:highlight w:val="none"/>
          <w:u w:val="single"/>
          <w:shd w:val="clear" w:color="auto" w:fill="FFFFFF"/>
        </w:rPr>
      </w:pPr>
      <w:r>
        <w:rPr>
          <w:rFonts w:hint="eastAsia" w:ascii="宋体" w:hAnsi="宋体" w:cs="宋体"/>
          <w:color w:val="auto"/>
          <w:sz w:val="21"/>
          <w:szCs w:val="21"/>
          <w:highlight w:val="none"/>
          <w:shd w:val="clear" w:color="auto" w:fill="FFFFFF"/>
        </w:rPr>
        <w:t>受委托方（乙方）：</w:t>
      </w:r>
      <w:r>
        <w:rPr>
          <w:rFonts w:hint="eastAsia" w:ascii="宋体" w:hAnsi="宋体" w:cs="宋体"/>
          <w:color w:val="auto"/>
          <w:sz w:val="21"/>
          <w:szCs w:val="21"/>
          <w:highlight w:val="none"/>
          <w:u w:val="single"/>
          <w:shd w:val="clear" w:color="auto" w:fill="FFFFFF"/>
        </w:rPr>
        <w:t xml:space="preserve">                         </w:t>
      </w:r>
    </w:p>
    <w:p w14:paraId="2BF1EA70">
      <w:pPr>
        <w:pStyle w:val="20"/>
        <w:shd w:val="clear" w:color="auto" w:fill="FFFFFF"/>
        <w:spacing w:line="40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根据《中华人民共和国民法典》及有关规定，甲、乙双方遵循平等、合作、守信的基础上就崇左市江州区左州镇、那隆镇污水处理厂运营服务项目事项协商一致，共同达成如下合同。</w:t>
      </w:r>
    </w:p>
    <w:p w14:paraId="5441D6A3">
      <w:pPr>
        <w:pStyle w:val="20"/>
        <w:shd w:val="clear" w:color="auto" w:fill="FFFFFF"/>
        <w:spacing w:line="400" w:lineRule="exact"/>
        <w:ind w:firstLine="422" w:firstLineChars="200"/>
        <w:rPr>
          <w:rFonts w:ascii="宋体" w:hAnsi="宋体" w:cs="宋体"/>
          <w:color w:val="auto"/>
          <w:sz w:val="21"/>
          <w:szCs w:val="21"/>
          <w:highlight w:val="none"/>
        </w:rPr>
      </w:pPr>
      <w:r>
        <w:rPr>
          <w:rFonts w:hint="eastAsia" w:ascii="宋体" w:hAnsi="宋体" w:cs="宋体"/>
          <w:b/>
          <w:bCs/>
          <w:color w:val="auto"/>
          <w:sz w:val="21"/>
          <w:szCs w:val="21"/>
          <w:highlight w:val="none"/>
          <w:shd w:val="clear" w:color="auto" w:fill="FFFFFF"/>
        </w:rPr>
        <w:t>一、项目概况</w:t>
      </w:r>
    </w:p>
    <w:p w14:paraId="357F211B">
      <w:pPr>
        <w:pStyle w:val="20"/>
        <w:shd w:val="clear" w:color="auto" w:fill="FFFFFF"/>
        <w:spacing w:line="400" w:lineRule="exact"/>
        <w:ind w:firstLine="420" w:firstLineChars="20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1.项目名称：</w:t>
      </w:r>
    </w:p>
    <w:p w14:paraId="4481C0A2">
      <w:pPr>
        <w:pStyle w:val="20"/>
        <w:shd w:val="clear" w:color="auto" w:fill="FFFFFF"/>
        <w:spacing w:line="400" w:lineRule="exact"/>
        <w:ind w:firstLine="420" w:firstLineChars="20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2.项目地点：</w:t>
      </w:r>
    </w:p>
    <w:p w14:paraId="4E686BF2">
      <w:pPr>
        <w:pStyle w:val="20"/>
        <w:shd w:val="clear" w:color="auto" w:fill="FFFFFF"/>
        <w:spacing w:line="400" w:lineRule="exact"/>
        <w:ind w:firstLine="420" w:firstLineChars="20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3.委托内容：</w:t>
      </w:r>
    </w:p>
    <w:p w14:paraId="3C3A1AD9">
      <w:pPr>
        <w:pStyle w:val="20"/>
        <w:shd w:val="clear" w:color="auto" w:fill="FFFFFF"/>
        <w:spacing w:line="400" w:lineRule="exact"/>
        <w:ind w:firstLine="422" w:firstLineChars="200"/>
        <w:rPr>
          <w:rFonts w:ascii="宋体" w:hAnsi="宋体" w:cs="宋体"/>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二、委托期限：</w:t>
      </w:r>
    </w:p>
    <w:p w14:paraId="29A04E6C">
      <w:pPr>
        <w:pStyle w:val="20"/>
        <w:shd w:val="clear" w:color="auto" w:fill="FFFFFF"/>
        <w:spacing w:line="40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签订合同之日起3年</w:t>
      </w:r>
      <w:r>
        <w:rPr>
          <w:rFonts w:hint="eastAsia" w:ascii="宋体" w:hAnsi="宋体" w:cs="宋体"/>
          <w:color w:val="auto"/>
          <w:sz w:val="21"/>
          <w:szCs w:val="21"/>
          <w:highlight w:val="none"/>
          <w:shd w:val="clear" w:color="auto" w:fill="FFFFFF"/>
        </w:rPr>
        <w:t>，自</w:t>
      </w:r>
      <w:r>
        <w:rPr>
          <w:rFonts w:hint="eastAsia" w:ascii="宋体" w:hAnsi="宋体" w:cs="宋体"/>
          <w:color w:val="auto"/>
          <w:sz w:val="21"/>
          <w:szCs w:val="21"/>
          <w:highlight w:val="none"/>
          <w:u w:val="single"/>
          <w:shd w:val="clear" w:color="auto" w:fill="FFFFFF"/>
        </w:rPr>
        <w:t xml:space="preserve"> 2026</w:t>
      </w:r>
      <w:r>
        <w:rPr>
          <w:rFonts w:hint="eastAsia" w:ascii="宋体" w:hAnsi="宋体" w:cs="宋体"/>
          <w:color w:val="auto"/>
          <w:sz w:val="21"/>
          <w:szCs w:val="21"/>
          <w:highlight w:val="none"/>
          <w:shd w:val="clear" w:color="auto" w:fill="FFFFFF"/>
        </w:rPr>
        <w:t>年</w:t>
      </w:r>
      <w:r>
        <w:rPr>
          <w:rFonts w:hint="eastAsia" w:ascii="宋体" w:hAnsi="宋体" w:cs="宋体"/>
          <w:color w:val="auto"/>
          <w:sz w:val="21"/>
          <w:szCs w:val="21"/>
          <w:highlight w:val="none"/>
          <w:u w:val="single"/>
          <w:shd w:val="clear" w:color="auto" w:fill="FFFFFF"/>
        </w:rPr>
        <w:t xml:space="preserve">   </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u w:val="single"/>
          <w:shd w:val="clear" w:color="auto" w:fill="FFFFFF"/>
        </w:rPr>
        <w:t xml:space="preserve">    </w:t>
      </w:r>
      <w:r>
        <w:rPr>
          <w:rFonts w:hint="eastAsia" w:ascii="宋体" w:hAnsi="宋体" w:cs="宋体"/>
          <w:color w:val="auto"/>
          <w:sz w:val="21"/>
          <w:szCs w:val="21"/>
          <w:highlight w:val="none"/>
          <w:shd w:val="clear" w:color="auto" w:fill="FFFFFF"/>
        </w:rPr>
        <w:t xml:space="preserve">日 至 </w:t>
      </w:r>
      <w:r>
        <w:rPr>
          <w:rFonts w:hint="eastAsia" w:ascii="宋体" w:hAnsi="宋体" w:cs="宋体"/>
          <w:color w:val="auto"/>
          <w:sz w:val="21"/>
          <w:szCs w:val="21"/>
          <w:highlight w:val="none"/>
          <w:u w:val="single"/>
          <w:shd w:val="clear" w:color="auto" w:fill="FFFFFF"/>
        </w:rPr>
        <w:t xml:space="preserve">      </w:t>
      </w:r>
      <w:r>
        <w:rPr>
          <w:rFonts w:hint="eastAsia" w:ascii="宋体" w:hAnsi="宋体" w:cs="宋体"/>
          <w:color w:val="auto"/>
          <w:sz w:val="21"/>
          <w:szCs w:val="21"/>
          <w:highlight w:val="none"/>
          <w:shd w:val="clear" w:color="auto" w:fill="FFFFFF"/>
        </w:rPr>
        <w:t>年</w:t>
      </w:r>
      <w:r>
        <w:rPr>
          <w:rFonts w:hint="eastAsia" w:ascii="宋体" w:hAnsi="宋体" w:cs="宋体"/>
          <w:color w:val="auto"/>
          <w:sz w:val="21"/>
          <w:szCs w:val="21"/>
          <w:highlight w:val="none"/>
          <w:u w:val="single"/>
          <w:shd w:val="clear" w:color="auto" w:fill="FFFFFF"/>
        </w:rPr>
        <w:t xml:space="preserve">   </w:t>
      </w:r>
      <w:r>
        <w:rPr>
          <w:rFonts w:hint="eastAsia" w:ascii="宋体" w:hAnsi="宋体" w:cs="宋体"/>
          <w:color w:val="auto"/>
          <w:sz w:val="21"/>
          <w:szCs w:val="21"/>
          <w:highlight w:val="none"/>
          <w:shd w:val="clear" w:color="auto" w:fill="FFFFFF"/>
        </w:rPr>
        <w:t>月</w:t>
      </w:r>
      <w:r>
        <w:rPr>
          <w:rFonts w:hint="eastAsia" w:ascii="宋体" w:hAnsi="宋体" w:cs="宋体"/>
          <w:color w:val="auto"/>
          <w:sz w:val="21"/>
          <w:szCs w:val="21"/>
          <w:highlight w:val="none"/>
          <w:u w:val="single"/>
          <w:shd w:val="clear" w:color="auto" w:fill="FFFFFF"/>
        </w:rPr>
        <w:t xml:space="preserve">    </w:t>
      </w:r>
      <w:r>
        <w:rPr>
          <w:rFonts w:hint="eastAsia" w:ascii="宋体" w:hAnsi="宋体" w:cs="宋体"/>
          <w:color w:val="auto"/>
          <w:sz w:val="21"/>
          <w:szCs w:val="21"/>
          <w:highlight w:val="none"/>
          <w:shd w:val="clear" w:color="auto" w:fill="FFFFFF"/>
        </w:rPr>
        <w:t>日，</w:t>
      </w:r>
      <w:r>
        <w:rPr>
          <w:rFonts w:hint="eastAsia" w:ascii="宋体" w:hAnsi="宋体" w:cs="宋体"/>
          <w:color w:val="auto"/>
          <w:sz w:val="21"/>
          <w:szCs w:val="21"/>
          <w:highlight w:val="none"/>
        </w:rPr>
        <w:t>项目</w:t>
      </w:r>
      <w:r>
        <w:rPr>
          <w:rFonts w:hint="eastAsia" w:ascii="宋体" w:hAnsi="宋体" w:cs="宋体"/>
          <w:color w:val="auto"/>
          <w:sz w:val="21"/>
          <w:szCs w:val="21"/>
          <w:highlight w:val="none"/>
          <w:u w:val="single"/>
          <w:shd w:val="clear" w:color="auto" w:fill="FFFFFF"/>
        </w:rPr>
        <w:t>运维管理</w:t>
      </w:r>
      <w:r>
        <w:rPr>
          <w:rFonts w:hint="eastAsia" w:ascii="宋体" w:hAnsi="宋体" w:cs="宋体"/>
          <w:color w:val="auto"/>
          <w:sz w:val="21"/>
          <w:szCs w:val="21"/>
          <w:highlight w:val="none"/>
        </w:rPr>
        <w:t>期间，乙方严格按照运行管理规定负责实施整治的崇左市江州区左州镇、那隆镇污水处理厂。</w:t>
      </w:r>
    </w:p>
    <w:p w14:paraId="2260B2E3">
      <w:pPr>
        <w:spacing w:line="400" w:lineRule="exact"/>
        <w:ind w:firstLine="422" w:firstLineChars="200"/>
        <w:rPr>
          <w:rFonts w:ascii="宋体" w:hAnsi="宋体" w:eastAsia="宋体" w:cs="宋体"/>
          <w:b/>
          <w:bCs/>
          <w:color w:val="auto"/>
          <w:highlight w:val="none"/>
          <w:shd w:val="clear" w:color="auto" w:fill="FFFFFF"/>
          <w:lang w:eastAsia="zh-CN"/>
        </w:rPr>
      </w:pPr>
      <w:r>
        <w:rPr>
          <w:rFonts w:hint="eastAsia" w:ascii="宋体" w:hAnsi="宋体" w:eastAsia="宋体" w:cs="宋体"/>
          <w:b/>
          <w:bCs/>
          <w:color w:val="auto"/>
          <w:highlight w:val="none"/>
          <w:shd w:val="clear" w:color="auto" w:fill="FFFFFF"/>
          <w:lang w:eastAsia="zh-CN"/>
        </w:rPr>
        <w:t>三、污水处理厂(站)</w:t>
      </w:r>
      <w:r>
        <w:rPr>
          <w:rFonts w:hint="eastAsia" w:ascii="宋体" w:hAnsi="宋体" w:eastAsia="宋体" w:cs="宋体"/>
          <w:b/>
          <w:bCs/>
          <w:color w:val="auto"/>
          <w:highlight w:val="none"/>
          <w:shd w:val="clear" w:color="auto" w:fill="FFFFFF"/>
          <w:lang w:eastAsia="zh-CN"/>
        </w:rPr>
        <w:t>进</w:t>
      </w:r>
      <w:r>
        <w:rPr>
          <w:rFonts w:hint="eastAsia" w:ascii="宋体" w:hAnsi="宋体" w:eastAsia="宋体" w:cs="宋体"/>
          <w:b/>
          <w:bCs/>
          <w:color w:val="auto"/>
          <w:highlight w:val="none"/>
          <w:shd w:val="clear" w:color="auto" w:fill="FFFFFF"/>
          <w:lang w:eastAsia="zh-CN"/>
        </w:rPr>
        <w:t>出水标准</w:t>
      </w:r>
    </w:p>
    <w:p w14:paraId="3C468C71">
      <w:pPr>
        <w:kinsoku/>
        <w:autoSpaceDE/>
        <w:autoSpaceDN/>
        <w:adjustRightInd/>
        <w:snapToGrid/>
        <w:spacing w:line="400" w:lineRule="exact"/>
        <w:ind w:firstLine="420" w:firstLineChars="200"/>
        <w:jc w:val="both"/>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1、进水水质标准</w:t>
      </w:r>
    </w:p>
    <w:p w14:paraId="168A7E87">
      <w:pPr>
        <w:kinsoku/>
        <w:autoSpaceDE/>
        <w:autoSpaceDN/>
        <w:adjustRightInd/>
        <w:snapToGrid/>
        <w:spacing w:line="400" w:lineRule="exact"/>
        <w:ind w:firstLine="420" w:firstLineChars="200"/>
        <w:jc w:val="both"/>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本项目的左州镇和那隆镇污水处理厂的进水水质应符合以下标准：</w:t>
      </w:r>
    </w:p>
    <w:tbl>
      <w:tblPr>
        <w:tblStyle w:val="24"/>
        <w:tblW w:w="8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1"/>
        <w:gridCol w:w="1163"/>
        <w:gridCol w:w="1111"/>
        <w:gridCol w:w="1156"/>
        <w:gridCol w:w="1024"/>
        <w:gridCol w:w="1029"/>
        <w:gridCol w:w="1016"/>
        <w:gridCol w:w="1057"/>
      </w:tblGrid>
      <w:tr w14:paraId="1F1D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61" w:type="dxa"/>
            <w:tcBorders>
              <w:top w:val="single" w:color="auto" w:sz="4" w:space="0"/>
              <w:left w:val="single" w:color="auto" w:sz="4" w:space="0"/>
              <w:bottom w:val="single" w:color="auto" w:sz="4" w:space="0"/>
              <w:right w:val="single" w:color="auto" w:sz="4" w:space="0"/>
            </w:tcBorders>
            <w:vAlign w:val="center"/>
          </w:tcPr>
          <w:p w14:paraId="0A5EC24B">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项目</w:t>
            </w:r>
          </w:p>
        </w:tc>
        <w:tc>
          <w:tcPr>
            <w:tcW w:w="1163" w:type="dxa"/>
            <w:tcBorders>
              <w:top w:val="single" w:color="auto" w:sz="4" w:space="0"/>
              <w:left w:val="single" w:color="auto" w:sz="4" w:space="0"/>
              <w:bottom w:val="single" w:color="auto" w:sz="4" w:space="0"/>
              <w:right w:val="single" w:color="auto" w:sz="4" w:space="0"/>
            </w:tcBorders>
            <w:vAlign w:val="center"/>
          </w:tcPr>
          <w:p w14:paraId="705073B6">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CODcr</w:t>
            </w:r>
          </w:p>
        </w:tc>
        <w:tc>
          <w:tcPr>
            <w:tcW w:w="1111" w:type="dxa"/>
            <w:tcBorders>
              <w:top w:val="single" w:color="auto" w:sz="4" w:space="0"/>
              <w:left w:val="single" w:color="auto" w:sz="4" w:space="0"/>
              <w:bottom w:val="single" w:color="auto" w:sz="4" w:space="0"/>
              <w:right w:val="single" w:color="auto" w:sz="4" w:space="0"/>
            </w:tcBorders>
            <w:vAlign w:val="center"/>
          </w:tcPr>
          <w:p w14:paraId="5973FD5C">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BOD5</w:t>
            </w:r>
          </w:p>
        </w:tc>
        <w:tc>
          <w:tcPr>
            <w:tcW w:w="1156" w:type="dxa"/>
            <w:tcBorders>
              <w:top w:val="single" w:color="auto" w:sz="4" w:space="0"/>
              <w:left w:val="single" w:color="auto" w:sz="4" w:space="0"/>
              <w:bottom w:val="single" w:color="auto" w:sz="4" w:space="0"/>
              <w:right w:val="single" w:color="auto" w:sz="4" w:space="0"/>
            </w:tcBorders>
            <w:vAlign w:val="center"/>
          </w:tcPr>
          <w:p w14:paraId="51CB9028">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SS</w:t>
            </w:r>
          </w:p>
        </w:tc>
        <w:tc>
          <w:tcPr>
            <w:tcW w:w="1024" w:type="dxa"/>
            <w:tcBorders>
              <w:top w:val="single" w:color="auto" w:sz="4" w:space="0"/>
              <w:left w:val="single" w:color="auto" w:sz="4" w:space="0"/>
              <w:bottom w:val="single" w:color="auto" w:sz="4" w:space="0"/>
              <w:right w:val="single" w:color="auto" w:sz="4" w:space="0"/>
            </w:tcBorders>
            <w:vAlign w:val="center"/>
          </w:tcPr>
          <w:p w14:paraId="0966314A">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TN</w:t>
            </w:r>
          </w:p>
        </w:tc>
        <w:tc>
          <w:tcPr>
            <w:tcW w:w="1029" w:type="dxa"/>
            <w:tcBorders>
              <w:top w:val="single" w:color="auto" w:sz="4" w:space="0"/>
              <w:left w:val="single" w:color="auto" w:sz="4" w:space="0"/>
              <w:bottom w:val="single" w:color="auto" w:sz="4" w:space="0"/>
              <w:right w:val="single" w:color="auto" w:sz="4" w:space="0"/>
            </w:tcBorders>
            <w:vAlign w:val="center"/>
          </w:tcPr>
          <w:p w14:paraId="307DA6CC">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TP</w:t>
            </w:r>
          </w:p>
        </w:tc>
        <w:tc>
          <w:tcPr>
            <w:tcW w:w="1016" w:type="dxa"/>
            <w:tcBorders>
              <w:top w:val="single" w:color="auto" w:sz="4" w:space="0"/>
              <w:left w:val="single" w:color="auto" w:sz="4" w:space="0"/>
              <w:bottom w:val="single" w:color="auto" w:sz="4" w:space="0"/>
              <w:right w:val="single" w:color="auto" w:sz="4" w:space="0"/>
            </w:tcBorders>
            <w:vAlign w:val="center"/>
          </w:tcPr>
          <w:p w14:paraId="5F749B73">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NH3-N</w:t>
            </w:r>
          </w:p>
        </w:tc>
        <w:tc>
          <w:tcPr>
            <w:tcW w:w="1057" w:type="dxa"/>
            <w:tcBorders>
              <w:top w:val="single" w:color="auto" w:sz="4" w:space="0"/>
              <w:left w:val="single" w:color="auto" w:sz="4" w:space="0"/>
              <w:bottom w:val="single" w:color="auto" w:sz="4" w:space="0"/>
              <w:right w:val="single" w:color="auto" w:sz="4" w:space="0"/>
            </w:tcBorders>
            <w:vAlign w:val="center"/>
          </w:tcPr>
          <w:p w14:paraId="177C8596">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PH</w:t>
            </w:r>
          </w:p>
        </w:tc>
      </w:tr>
      <w:tr w14:paraId="7142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61" w:type="dxa"/>
            <w:tcBorders>
              <w:top w:val="single" w:color="auto" w:sz="4" w:space="0"/>
              <w:left w:val="single" w:color="auto" w:sz="4" w:space="0"/>
              <w:bottom w:val="single" w:color="auto" w:sz="4" w:space="0"/>
              <w:right w:val="single" w:color="auto" w:sz="4" w:space="0"/>
            </w:tcBorders>
            <w:vAlign w:val="center"/>
          </w:tcPr>
          <w:p w14:paraId="4DB032D2">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单位</w:t>
            </w:r>
          </w:p>
        </w:tc>
        <w:tc>
          <w:tcPr>
            <w:tcW w:w="1163" w:type="dxa"/>
            <w:tcBorders>
              <w:top w:val="single" w:color="auto" w:sz="4" w:space="0"/>
              <w:left w:val="single" w:color="auto" w:sz="4" w:space="0"/>
              <w:bottom w:val="single" w:color="auto" w:sz="4" w:space="0"/>
              <w:right w:val="single" w:color="auto" w:sz="4" w:space="0"/>
            </w:tcBorders>
            <w:vAlign w:val="center"/>
          </w:tcPr>
          <w:p w14:paraId="7B9A7BE6">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mg/L</w:t>
            </w:r>
          </w:p>
        </w:tc>
        <w:tc>
          <w:tcPr>
            <w:tcW w:w="1111" w:type="dxa"/>
            <w:tcBorders>
              <w:top w:val="single" w:color="auto" w:sz="4" w:space="0"/>
              <w:left w:val="single" w:color="auto" w:sz="4" w:space="0"/>
              <w:bottom w:val="single" w:color="auto" w:sz="4" w:space="0"/>
              <w:right w:val="single" w:color="auto" w:sz="4" w:space="0"/>
            </w:tcBorders>
            <w:vAlign w:val="center"/>
          </w:tcPr>
          <w:p w14:paraId="7090300C">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mg/L</w:t>
            </w:r>
          </w:p>
        </w:tc>
        <w:tc>
          <w:tcPr>
            <w:tcW w:w="1156" w:type="dxa"/>
            <w:tcBorders>
              <w:top w:val="single" w:color="auto" w:sz="4" w:space="0"/>
              <w:left w:val="single" w:color="auto" w:sz="4" w:space="0"/>
              <w:bottom w:val="single" w:color="auto" w:sz="4" w:space="0"/>
              <w:right w:val="single" w:color="auto" w:sz="4" w:space="0"/>
            </w:tcBorders>
            <w:vAlign w:val="center"/>
          </w:tcPr>
          <w:p w14:paraId="6690222F">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mg/L</w:t>
            </w:r>
          </w:p>
        </w:tc>
        <w:tc>
          <w:tcPr>
            <w:tcW w:w="1024" w:type="dxa"/>
            <w:tcBorders>
              <w:top w:val="single" w:color="auto" w:sz="4" w:space="0"/>
              <w:left w:val="single" w:color="auto" w:sz="4" w:space="0"/>
              <w:bottom w:val="single" w:color="auto" w:sz="4" w:space="0"/>
              <w:right w:val="single" w:color="auto" w:sz="4" w:space="0"/>
            </w:tcBorders>
            <w:vAlign w:val="center"/>
          </w:tcPr>
          <w:p w14:paraId="427C5F95">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mg/L</w:t>
            </w:r>
          </w:p>
        </w:tc>
        <w:tc>
          <w:tcPr>
            <w:tcW w:w="1029" w:type="dxa"/>
            <w:tcBorders>
              <w:top w:val="single" w:color="auto" w:sz="4" w:space="0"/>
              <w:left w:val="single" w:color="auto" w:sz="4" w:space="0"/>
              <w:bottom w:val="single" w:color="auto" w:sz="4" w:space="0"/>
              <w:right w:val="single" w:color="auto" w:sz="4" w:space="0"/>
            </w:tcBorders>
            <w:vAlign w:val="center"/>
          </w:tcPr>
          <w:p w14:paraId="386BB04B">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mg/L</w:t>
            </w:r>
          </w:p>
        </w:tc>
        <w:tc>
          <w:tcPr>
            <w:tcW w:w="1016" w:type="dxa"/>
            <w:tcBorders>
              <w:top w:val="single" w:color="auto" w:sz="4" w:space="0"/>
              <w:left w:val="single" w:color="auto" w:sz="4" w:space="0"/>
              <w:bottom w:val="single" w:color="auto" w:sz="4" w:space="0"/>
              <w:right w:val="single" w:color="auto" w:sz="4" w:space="0"/>
            </w:tcBorders>
            <w:vAlign w:val="center"/>
          </w:tcPr>
          <w:p w14:paraId="16570CEF">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mg/L</w:t>
            </w:r>
          </w:p>
        </w:tc>
        <w:tc>
          <w:tcPr>
            <w:tcW w:w="1057" w:type="dxa"/>
            <w:tcBorders>
              <w:top w:val="single" w:color="auto" w:sz="4" w:space="0"/>
              <w:left w:val="single" w:color="auto" w:sz="4" w:space="0"/>
              <w:bottom w:val="single" w:color="auto" w:sz="4" w:space="0"/>
              <w:right w:val="single" w:color="auto" w:sz="4" w:space="0"/>
            </w:tcBorders>
            <w:vAlign w:val="center"/>
          </w:tcPr>
          <w:p w14:paraId="2497DE94">
            <w:pPr>
              <w:adjustRightInd/>
              <w:spacing w:line="360" w:lineRule="auto"/>
              <w:jc w:val="center"/>
              <w:rPr>
                <w:rFonts w:ascii="宋体" w:hAnsi="宋体" w:eastAsia="宋体" w:cs="宋体"/>
                <w:color w:val="auto"/>
                <w:highlight w:val="none"/>
                <w:shd w:val="clear" w:color="auto" w:fill="FFFFFF"/>
                <w:lang w:eastAsia="zh-CN"/>
              </w:rPr>
            </w:pPr>
          </w:p>
        </w:tc>
      </w:tr>
      <w:tr w14:paraId="5A6B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361" w:type="dxa"/>
            <w:tcBorders>
              <w:top w:val="single" w:color="auto" w:sz="4" w:space="0"/>
              <w:left w:val="single" w:color="auto" w:sz="4" w:space="0"/>
              <w:bottom w:val="single" w:color="auto" w:sz="4" w:space="0"/>
              <w:right w:val="single" w:color="auto" w:sz="4" w:space="0"/>
            </w:tcBorders>
            <w:vAlign w:val="center"/>
          </w:tcPr>
          <w:p w14:paraId="23CBFED9">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进水水质</w:t>
            </w:r>
          </w:p>
        </w:tc>
        <w:tc>
          <w:tcPr>
            <w:tcW w:w="1163" w:type="dxa"/>
            <w:tcBorders>
              <w:top w:val="single" w:color="auto" w:sz="4" w:space="0"/>
              <w:left w:val="single" w:color="auto" w:sz="4" w:space="0"/>
              <w:bottom w:val="single" w:color="auto" w:sz="4" w:space="0"/>
              <w:right w:val="single" w:color="auto" w:sz="4" w:space="0"/>
            </w:tcBorders>
            <w:vAlign w:val="center"/>
          </w:tcPr>
          <w:p w14:paraId="63FC9097">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≤200</w:t>
            </w:r>
          </w:p>
        </w:tc>
        <w:tc>
          <w:tcPr>
            <w:tcW w:w="1111" w:type="dxa"/>
            <w:tcBorders>
              <w:top w:val="single" w:color="auto" w:sz="4" w:space="0"/>
              <w:left w:val="single" w:color="auto" w:sz="4" w:space="0"/>
              <w:bottom w:val="single" w:color="auto" w:sz="4" w:space="0"/>
              <w:right w:val="single" w:color="auto" w:sz="4" w:space="0"/>
            </w:tcBorders>
            <w:vAlign w:val="center"/>
          </w:tcPr>
          <w:p w14:paraId="6B43CED0">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≤100</w:t>
            </w:r>
          </w:p>
        </w:tc>
        <w:tc>
          <w:tcPr>
            <w:tcW w:w="1156" w:type="dxa"/>
            <w:tcBorders>
              <w:top w:val="single" w:color="auto" w:sz="4" w:space="0"/>
              <w:left w:val="single" w:color="auto" w:sz="4" w:space="0"/>
              <w:bottom w:val="single" w:color="auto" w:sz="4" w:space="0"/>
              <w:right w:val="single" w:color="auto" w:sz="4" w:space="0"/>
            </w:tcBorders>
            <w:vAlign w:val="center"/>
          </w:tcPr>
          <w:p w14:paraId="2361F93A">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≤180</w:t>
            </w:r>
          </w:p>
        </w:tc>
        <w:tc>
          <w:tcPr>
            <w:tcW w:w="1024" w:type="dxa"/>
            <w:tcBorders>
              <w:top w:val="single" w:color="auto" w:sz="4" w:space="0"/>
              <w:left w:val="single" w:color="auto" w:sz="4" w:space="0"/>
              <w:bottom w:val="single" w:color="auto" w:sz="4" w:space="0"/>
              <w:right w:val="single" w:color="auto" w:sz="4" w:space="0"/>
            </w:tcBorders>
            <w:vAlign w:val="center"/>
          </w:tcPr>
          <w:p w14:paraId="00A2DCB2">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≤40</w:t>
            </w:r>
          </w:p>
        </w:tc>
        <w:tc>
          <w:tcPr>
            <w:tcW w:w="1029" w:type="dxa"/>
            <w:tcBorders>
              <w:top w:val="single" w:color="auto" w:sz="4" w:space="0"/>
              <w:left w:val="single" w:color="auto" w:sz="4" w:space="0"/>
              <w:bottom w:val="single" w:color="auto" w:sz="4" w:space="0"/>
              <w:right w:val="single" w:color="auto" w:sz="4" w:space="0"/>
            </w:tcBorders>
            <w:vAlign w:val="center"/>
          </w:tcPr>
          <w:p w14:paraId="02F95C1B">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≤4</w:t>
            </w:r>
          </w:p>
        </w:tc>
        <w:tc>
          <w:tcPr>
            <w:tcW w:w="1016" w:type="dxa"/>
            <w:tcBorders>
              <w:top w:val="single" w:color="auto" w:sz="4" w:space="0"/>
              <w:left w:val="single" w:color="auto" w:sz="4" w:space="0"/>
              <w:bottom w:val="single" w:color="auto" w:sz="4" w:space="0"/>
              <w:right w:val="single" w:color="auto" w:sz="4" w:space="0"/>
            </w:tcBorders>
            <w:vAlign w:val="center"/>
          </w:tcPr>
          <w:p w14:paraId="334F1735">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35</w:t>
            </w:r>
          </w:p>
        </w:tc>
        <w:tc>
          <w:tcPr>
            <w:tcW w:w="1057" w:type="dxa"/>
            <w:tcBorders>
              <w:top w:val="single" w:color="auto" w:sz="4" w:space="0"/>
              <w:left w:val="single" w:color="auto" w:sz="4" w:space="0"/>
              <w:bottom w:val="single" w:color="auto" w:sz="4" w:space="0"/>
              <w:right w:val="single" w:color="auto" w:sz="4" w:space="0"/>
            </w:tcBorders>
            <w:vAlign w:val="center"/>
          </w:tcPr>
          <w:p w14:paraId="7C3A0F59">
            <w:pPr>
              <w:adjustRightInd/>
              <w:spacing w:line="360" w:lineRule="auto"/>
              <w:jc w:val="center"/>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6</w:t>
            </w:r>
            <w:r>
              <w:rPr>
                <w:rFonts w:hint="eastAsia" w:ascii="仿宋" w:hAnsi="仿宋" w:eastAsia="仿宋" w:cs="宋体"/>
                <w:color w:val="auto"/>
                <w:highlight w:val="none"/>
                <w:shd w:val="clear" w:color="auto" w:fill="FFFFFF"/>
                <w:lang w:eastAsia="zh-CN"/>
              </w:rPr>
              <w:t>～</w:t>
            </w:r>
            <w:r>
              <w:rPr>
                <w:rFonts w:hint="eastAsia" w:ascii="宋体" w:hAnsi="宋体" w:eastAsia="宋体" w:cs="宋体"/>
                <w:color w:val="auto"/>
                <w:highlight w:val="none"/>
                <w:shd w:val="clear" w:color="auto" w:fill="FFFFFF"/>
                <w:lang w:eastAsia="zh-CN"/>
              </w:rPr>
              <w:t>9</w:t>
            </w:r>
          </w:p>
        </w:tc>
      </w:tr>
    </w:tbl>
    <w:p w14:paraId="6EF60258">
      <w:pPr>
        <w:kinsoku/>
        <w:autoSpaceDE/>
        <w:autoSpaceDN/>
        <w:adjustRightInd/>
        <w:snapToGrid/>
        <w:spacing w:line="400" w:lineRule="exact"/>
        <w:ind w:firstLine="420" w:firstLineChars="200"/>
        <w:jc w:val="both"/>
        <w:rPr>
          <w:rStyle w:val="38"/>
          <w:rFonts w:ascii="宋体" w:hAnsi="宋体" w:eastAsia="宋体" w:cs="宋体"/>
          <w:b/>
          <w:bCs/>
          <w:color w:val="auto"/>
          <w:highlight w:val="none"/>
          <w:lang w:eastAsia="zh-CN"/>
        </w:rPr>
      </w:pPr>
      <w:r>
        <w:rPr>
          <w:rStyle w:val="38"/>
          <w:rFonts w:hint="eastAsia" w:ascii="宋体" w:hAnsi="宋体" w:eastAsia="宋体" w:cs="宋体"/>
          <w:color w:val="auto"/>
          <w:highlight w:val="none"/>
          <w:lang w:eastAsia="zh-CN"/>
        </w:rPr>
        <w:t>2、</w:t>
      </w:r>
      <w:r>
        <w:rPr>
          <w:rFonts w:hint="eastAsia" w:ascii="宋体" w:hAnsi="宋体" w:eastAsia="宋体" w:cs="宋体"/>
          <w:color w:val="auto"/>
          <w:highlight w:val="none"/>
          <w:shd w:val="clear" w:color="auto" w:fill="FFFFFF"/>
          <w:lang w:eastAsia="zh-CN"/>
        </w:rPr>
        <w:t>出水水质标准</w:t>
      </w:r>
    </w:p>
    <w:p w14:paraId="2A8D273C">
      <w:pPr>
        <w:kinsoku/>
        <w:autoSpaceDE/>
        <w:autoSpaceDN/>
        <w:adjustRightInd/>
        <w:snapToGrid/>
        <w:spacing w:line="400" w:lineRule="exact"/>
        <w:ind w:firstLine="420" w:firstLineChars="200"/>
        <w:jc w:val="both"/>
        <w:rPr>
          <w:rStyle w:val="38"/>
          <w:rFonts w:ascii="宋体" w:hAnsi="宋体" w:eastAsia="宋体" w:cs="宋体"/>
          <w:color w:val="auto"/>
          <w:highlight w:val="none"/>
          <w:lang w:eastAsia="zh-CN"/>
        </w:rPr>
      </w:pPr>
      <w:r>
        <w:rPr>
          <w:rFonts w:hint="eastAsia" w:ascii="宋体" w:hAnsi="宋体" w:eastAsia="宋体" w:cs="宋体"/>
          <w:color w:val="auto"/>
          <w:highlight w:val="none"/>
          <w:shd w:val="clear" w:color="auto" w:fill="FFFFFF"/>
          <w:lang w:eastAsia="zh-CN"/>
        </w:rPr>
        <w:t>在委托运营期限内，负责污水处理厂运营达到《城镇污水厂污染物排放标准》（GB18918-2002）中的一级B标准。污水处理厂的出水水质执行《城镇污水处理厂污染物排放标准》（GB18918-2002）一级B标准，主要控制指标应满足下列要求：</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1168"/>
        <w:gridCol w:w="1105"/>
        <w:gridCol w:w="978"/>
        <w:gridCol w:w="1111"/>
        <w:gridCol w:w="1083"/>
        <w:gridCol w:w="1230"/>
        <w:gridCol w:w="707"/>
      </w:tblGrid>
      <w:tr w14:paraId="1B5C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05" w:type="dxa"/>
            <w:tcBorders>
              <w:top w:val="single" w:color="auto" w:sz="4" w:space="0"/>
              <w:left w:val="single" w:color="auto" w:sz="4" w:space="0"/>
              <w:bottom w:val="single" w:color="auto" w:sz="4" w:space="0"/>
              <w:right w:val="single" w:color="auto" w:sz="4" w:space="0"/>
            </w:tcBorders>
            <w:vAlign w:val="center"/>
          </w:tcPr>
          <w:p w14:paraId="4D2B2342">
            <w:pPr>
              <w:kinsoku/>
              <w:autoSpaceDE/>
              <w:autoSpaceDN/>
              <w:adjustRightInd/>
              <w:snapToGrid/>
              <w:spacing w:line="560" w:lineRule="exact"/>
              <w:jc w:val="center"/>
              <w:rPr>
                <w:rStyle w:val="38"/>
                <w:rFonts w:ascii="宋体" w:hAnsi="宋体" w:eastAsia="宋体" w:cs="宋体"/>
                <w:b/>
                <w:bCs/>
                <w:color w:val="auto"/>
                <w:highlight w:val="none"/>
              </w:rPr>
            </w:pPr>
            <w:r>
              <w:rPr>
                <w:rStyle w:val="38"/>
                <w:rFonts w:hint="eastAsia" w:ascii="宋体" w:hAnsi="宋体" w:eastAsia="宋体" w:cs="宋体"/>
                <w:b/>
                <w:bCs/>
                <w:color w:val="auto"/>
                <w:highlight w:val="none"/>
              </w:rPr>
              <w:t>项目</w:t>
            </w:r>
          </w:p>
        </w:tc>
        <w:tc>
          <w:tcPr>
            <w:tcW w:w="1168" w:type="dxa"/>
            <w:tcBorders>
              <w:top w:val="single" w:color="auto" w:sz="4" w:space="0"/>
              <w:left w:val="single" w:color="auto" w:sz="4" w:space="0"/>
              <w:bottom w:val="single" w:color="auto" w:sz="4" w:space="0"/>
              <w:right w:val="single" w:color="auto" w:sz="4" w:space="0"/>
            </w:tcBorders>
            <w:vAlign w:val="center"/>
          </w:tcPr>
          <w:p w14:paraId="2321D333">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CODcr</w:t>
            </w:r>
          </w:p>
        </w:tc>
        <w:tc>
          <w:tcPr>
            <w:tcW w:w="1105" w:type="dxa"/>
            <w:tcBorders>
              <w:top w:val="single" w:color="auto" w:sz="4" w:space="0"/>
              <w:left w:val="single" w:color="auto" w:sz="4" w:space="0"/>
              <w:bottom w:val="single" w:color="auto" w:sz="4" w:space="0"/>
              <w:right w:val="single" w:color="auto" w:sz="4" w:space="0"/>
            </w:tcBorders>
            <w:vAlign w:val="center"/>
          </w:tcPr>
          <w:p w14:paraId="00F1C10B">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BOD5</w:t>
            </w:r>
          </w:p>
        </w:tc>
        <w:tc>
          <w:tcPr>
            <w:tcW w:w="978" w:type="dxa"/>
            <w:tcBorders>
              <w:top w:val="single" w:color="auto" w:sz="4" w:space="0"/>
              <w:left w:val="single" w:color="auto" w:sz="4" w:space="0"/>
              <w:bottom w:val="single" w:color="auto" w:sz="4" w:space="0"/>
              <w:right w:val="single" w:color="auto" w:sz="4" w:space="0"/>
            </w:tcBorders>
            <w:vAlign w:val="center"/>
          </w:tcPr>
          <w:p w14:paraId="324A91D7">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SS</w:t>
            </w:r>
          </w:p>
        </w:tc>
        <w:tc>
          <w:tcPr>
            <w:tcW w:w="1111" w:type="dxa"/>
            <w:tcBorders>
              <w:top w:val="single" w:color="auto" w:sz="4" w:space="0"/>
              <w:left w:val="single" w:color="auto" w:sz="4" w:space="0"/>
              <w:bottom w:val="single" w:color="auto" w:sz="4" w:space="0"/>
              <w:right w:val="single" w:color="auto" w:sz="4" w:space="0"/>
            </w:tcBorders>
            <w:vAlign w:val="center"/>
          </w:tcPr>
          <w:p w14:paraId="56FA729E">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TN</w:t>
            </w:r>
          </w:p>
        </w:tc>
        <w:tc>
          <w:tcPr>
            <w:tcW w:w="1083" w:type="dxa"/>
            <w:tcBorders>
              <w:top w:val="single" w:color="auto" w:sz="4" w:space="0"/>
              <w:left w:val="single" w:color="auto" w:sz="4" w:space="0"/>
              <w:bottom w:val="single" w:color="auto" w:sz="4" w:space="0"/>
              <w:right w:val="single" w:color="auto" w:sz="4" w:space="0"/>
            </w:tcBorders>
            <w:vAlign w:val="center"/>
          </w:tcPr>
          <w:p w14:paraId="4E23A70C">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TP</w:t>
            </w:r>
          </w:p>
        </w:tc>
        <w:tc>
          <w:tcPr>
            <w:tcW w:w="1230" w:type="dxa"/>
            <w:tcBorders>
              <w:top w:val="single" w:color="auto" w:sz="4" w:space="0"/>
              <w:left w:val="single" w:color="auto" w:sz="4" w:space="0"/>
              <w:bottom w:val="single" w:color="auto" w:sz="4" w:space="0"/>
              <w:right w:val="single" w:color="auto" w:sz="4" w:space="0"/>
            </w:tcBorders>
            <w:vAlign w:val="center"/>
          </w:tcPr>
          <w:p w14:paraId="1CE99329">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NH3-N</w:t>
            </w:r>
          </w:p>
        </w:tc>
        <w:tc>
          <w:tcPr>
            <w:tcW w:w="707" w:type="dxa"/>
            <w:tcBorders>
              <w:top w:val="single" w:color="auto" w:sz="4" w:space="0"/>
              <w:left w:val="single" w:color="auto" w:sz="4" w:space="0"/>
              <w:bottom w:val="single" w:color="auto" w:sz="4" w:space="0"/>
              <w:right w:val="single" w:color="auto" w:sz="4" w:space="0"/>
            </w:tcBorders>
            <w:vAlign w:val="center"/>
          </w:tcPr>
          <w:p w14:paraId="3405BA95">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PH</w:t>
            </w:r>
          </w:p>
        </w:tc>
      </w:tr>
      <w:tr w14:paraId="5A75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05" w:type="dxa"/>
            <w:tcBorders>
              <w:top w:val="single" w:color="auto" w:sz="4" w:space="0"/>
              <w:left w:val="single" w:color="auto" w:sz="4" w:space="0"/>
              <w:bottom w:val="single" w:color="auto" w:sz="4" w:space="0"/>
              <w:right w:val="single" w:color="auto" w:sz="4" w:space="0"/>
            </w:tcBorders>
            <w:vAlign w:val="center"/>
          </w:tcPr>
          <w:p w14:paraId="5E0F3B3F">
            <w:pPr>
              <w:kinsoku/>
              <w:autoSpaceDE/>
              <w:autoSpaceDN/>
              <w:adjustRightInd/>
              <w:snapToGrid/>
              <w:spacing w:line="560" w:lineRule="exact"/>
              <w:jc w:val="center"/>
              <w:rPr>
                <w:rStyle w:val="38"/>
                <w:rFonts w:ascii="宋体" w:hAnsi="宋体" w:eastAsia="宋体" w:cs="宋体"/>
                <w:b/>
                <w:bCs/>
                <w:color w:val="auto"/>
                <w:highlight w:val="none"/>
              </w:rPr>
            </w:pPr>
            <w:r>
              <w:rPr>
                <w:rStyle w:val="38"/>
                <w:rFonts w:hint="eastAsia" w:ascii="宋体" w:hAnsi="宋体" w:eastAsia="宋体" w:cs="宋体"/>
                <w:b/>
                <w:bCs/>
                <w:color w:val="auto"/>
                <w:highlight w:val="none"/>
              </w:rPr>
              <w:t>单位</w:t>
            </w:r>
          </w:p>
        </w:tc>
        <w:tc>
          <w:tcPr>
            <w:tcW w:w="1168" w:type="dxa"/>
            <w:tcBorders>
              <w:top w:val="single" w:color="auto" w:sz="4" w:space="0"/>
              <w:left w:val="single" w:color="auto" w:sz="4" w:space="0"/>
              <w:bottom w:val="single" w:color="auto" w:sz="4" w:space="0"/>
              <w:right w:val="single" w:color="auto" w:sz="4" w:space="0"/>
            </w:tcBorders>
            <w:vAlign w:val="center"/>
          </w:tcPr>
          <w:p w14:paraId="282A7CD1">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mg/L</w:t>
            </w:r>
          </w:p>
        </w:tc>
        <w:tc>
          <w:tcPr>
            <w:tcW w:w="1105" w:type="dxa"/>
            <w:tcBorders>
              <w:top w:val="single" w:color="auto" w:sz="4" w:space="0"/>
              <w:left w:val="single" w:color="auto" w:sz="4" w:space="0"/>
              <w:bottom w:val="single" w:color="auto" w:sz="4" w:space="0"/>
              <w:right w:val="single" w:color="auto" w:sz="4" w:space="0"/>
            </w:tcBorders>
            <w:vAlign w:val="center"/>
          </w:tcPr>
          <w:p w14:paraId="2E86D8D6">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mg/L</w:t>
            </w:r>
          </w:p>
        </w:tc>
        <w:tc>
          <w:tcPr>
            <w:tcW w:w="978" w:type="dxa"/>
            <w:tcBorders>
              <w:top w:val="single" w:color="auto" w:sz="4" w:space="0"/>
              <w:left w:val="single" w:color="auto" w:sz="4" w:space="0"/>
              <w:bottom w:val="single" w:color="auto" w:sz="4" w:space="0"/>
              <w:right w:val="single" w:color="auto" w:sz="4" w:space="0"/>
            </w:tcBorders>
            <w:vAlign w:val="center"/>
          </w:tcPr>
          <w:p w14:paraId="69CE97C8">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mg/L</w:t>
            </w:r>
          </w:p>
        </w:tc>
        <w:tc>
          <w:tcPr>
            <w:tcW w:w="1111" w:type="dxa"/>
            <w:tcBorders>
              <w:top w:val="single" w:color="auto" w:sz="4" w:space="0"/>
              <w:left w:val="single" w:color="auto" w:sz="4" w:space="0"/>
              <w:bottom w:val="single" w:color="auto" w:sz="4" w:space="0"/>
              <w:right w:val="single" w:color="auto" w:sz="4" w:space="0"/>
            </w:tcBorders>
            <w:vAlign w:val="center"/>
          </w:tcPr>
          <w:p w14:paraId="3FCAF358">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mg/L</w:t>
            </w:r>
          </w:p>
        </w:tc>
        <w:tc>
          <w:tcPr>
            <w:tcW w:w="1083" w:type="dxa"/>
            <w:tcBorders>
              <w:top w:val="single" w:color="auto" w:sz="4" w:space="0"/>
              <w:left w:val="single" w:color="auto" w:sz="4" w:space="0"/>
              <w:bottom w:val="single" w:color="auto" w:sz="4" w:space="0"/>
              <w:right w:val="single" w:color="auto" w:sz="4" w:space="0"/>
            </w:tcBorders>
            <w:vAlign w:val="center"/>
          </w:tcPr>
          <w:p w14:paraId="3ED8348E">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mg/L</w:t>
            </w:r>
          </w:p>
        </w:tc>
        <w:tc>
          <w:tcPr>
            <w:tcW w:w="1230" w:type="dxa"/>
            <w:tcBorders>
              <w:top w:val="single" w:color="auto" w:sz="4" w:space="0"/>
              <w:left w:val="single" w:color="auto" w:sz="4" w:space="0"/>
              <w:bottom w:val="single" w:color="auto" w:sz="4" w:space="0"/>
              <w:right w:val="single" w:color="auto" w:sz="4" w:space="0"/>
            </w:tcBorders>
            <w:vAlign w:val="center"/>
          </w:tcPr>
          <w:p w14:paraId="30C0D658">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mg/L</w:t>
            </w:r>
          </w:p>
        </w:tc>
        <w:tc>
          <w:tcPr>
            <w:tcW w:w="707" w:type="dxa"/>
            <w:tcBorders>
              <w:top w:val="single" w:color="auto" w:sz="4" w:space="0"/>
              <w:left w:val="single" w:color="auto" w:sz="4" w:space="0"/>
              <w:bottom w:val="single" w:color="auto" w:sz="4" w:space="0"/>
              <w:right w:val="single" w:color="auto" w:sz="4" w:space="0"/>
            </w:tcBorders>
            <w:vAlign w:val="center"/>
          </w:tcPr>
          <w:p w14:paraId="6D37F95B">
            <w:pPr>
              <w:kinsoku/>
              <w:autoSpaceDE/>
              <w:autoSpaceDN/>
              <w:adjustRightInd/>
              <w:snapToGrid/>
              <w:spacing w:line="560" w:lineRule="exact"/>
              <w:jc w:val="center"/>
              <w:rPr>
                <w:rStyle w:val="38"/>
                <w:rFonts w:ascii="宋体" w:hAnsi="宋体" w:eastAsia="宋体" w:cs="宋体"/>
                <w:color w:val="auto"/>
                <w:highlight w:val="none"/>
              </w:rPr>
            </w:pPr>
          </w:p>
        </w:tc>
      </w:tr>
      <w:tr w14:paraId="43C8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05" w:type="dxa"/>
            <w:tcBorders>
              <w:top w:val="single" w:color="auto" w:sz="4" w:space="0"/>
              <w:left w:val="single" w:color="auto" w:sz="4" w:space="0"/>
              <w:bottom w:val="single" w:color="auto" w:sz="4" w:space="0"/>
              <w:right w:val="single" w:color="auto" w:sz="4" w:space="0"/>
            </w:tcBorders>
            <w:vAlign w:val="center"/>
          </w:tcPr>
          <w:p w14:paraId="1F06EFFF">
            <w:pPr>
              <w:kinsoku/>
              <w:autoSpaceDE/>
              <w:autoSpaceDN/>
              <w:adjustRightInd/>
              <w:snapToGrid/>
              <w:spacing w:line="560" w:lineRule="exact"/>
              <w:jc w:val="center"/>
              <w:rPr>
                <w:rStyle w:val="38"/>
                <w:rFonts w:ascii="宋体" w:hAnsi="宋体" w:eastAsia="宋体" w:cs="宋体"/>
                <w:b/>
                <w:bCs/>
                <w:color w:val="auto"/>
                <w:highlight w:val="none"/>
              </w:rPr>
            </w:pPr>
            <w:r>
              <w:rPr>
                <w:rStyle w:val="38"/>
                <w:rFonts w:hint="eastAsia" w:ascii="宋体" w:hAnsi="宋体" w:eastAsia="宋体" w:cs="宋体"/>
                <w:b/>
                <w:bCs/>
                <w:color w:val="auto"/>
                <w:highlight w:val="none"/>
              </w:rPr>
              <w:t>出水水质</w:t>
            </w:r>
          </w:p>
        </w:tc>
        <w:tc>
          <w:tcPr>
            <w:tcW w:w="1168" w:type="dxa"/>
            <w:tcBorders>
              <w:top w:val="single" w:color="auto" w:sz="4" w:space="0"/>
              <w:left w:val="single" w:color="auto" w:sz="4" w:space="0"/>
              <w:bottom w:val="single" w:color="auto" w:sz="4" w:space="0"/>
              <w:right w:val="single" w:color="auto" w:sz="4" w:space="0"/>
            </w:tcBorders>
            <w:vAlign w:val="center"/>
          </w:tcPr>
          <w:p w14:paraId="09A1A168">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≤60</w:t>
            </w:r>
          </w:p>
        </w:tc>
        <w:tc>
          <w:tcPr>
            <w:tcW w:w="1105" w:type="dxa"/>
            <w:tcBorders>
              <w:top w:val="single" w:color="auto" w:sz="4" w:space="0"/>
              <w:left w:val="single" w:color="auto" w:sz="4" w:space="0"/>
              <w:bottom w:val="single" w:color="auto" w:sz="4" w:space="0"/>
              <w:right w:val="single" w:color="auto" w:sz="4" w:space="0"/>
            </w:tcBorders>
            <w:vAlign w:val="center"/>
          </w:tcPr>
          <w:p w14:paraId="6F84A50E">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≤20</w:t>
            </w:r>
          </w:p>
        </w:tc>
        <w:tc>
          <w:tcPr>
            <w:tcW w:w="978" w:type="dxa"/>
            <w:tcBorders>
              <w:top w:val="single" w:color="auto" w:sz="4" w:space="0"/>
              <w:left w:val="single" w:color="auto" w:sz="4" w:space="0"/>
              <w:bottom w:val="single" w:color="auto" w:sz="4" w:space="0"/>
              <w:right w:val="single" w:color="auto" w:sz="4" w:space="0"/>
            </w:tcBorders>
            <w:vAlign w:val="center"/>
          </w:tcPr>
          <w:p w14:paraId="6789A9E3">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≤20</w:t>
            </w:r>
          </w:p>
        </w:tc>
        <w:tc>
          <w:tcPr>
            <w:tcW w:w="1111" w:type="dxa"/>
            <w:tcBorders>
              <w:top w:val="single" w:color="auto" w:sz="4" w:space="0"/>
              <w:left w:val="single" w:color="auto" w:sz="4" w:space="0"/>
              <w:bottom w:val="single" w:color="auto" w:sz="4" w:space="0"/>
              <w:right w:val="single" w:color="auto" w:sz="4" w:space="0"/>
            </w:tcBorders>
            <w:vAlign w:val="center"/>
          </w:tcPr>
          <w:p w14:paraId="5E5B56E8">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≤20</w:t>
            </w:r>
          </w:p>
        </w:tc>
        <w:tc>
          <w:tcPr>
            <w:tcW w:w="1083" w:type="dxa"/>
            <w:tcBorders>
              <w:top w:val="single" w:color="auto" w:sz="4" w:space="0"/>
              <w:left w:val="single" w:color="auto" w:sz="4" w:space="0"/>
              <w:bottom w:val="single" w:color="auto" w:sz="4" w:space="0"/>
              <w:right w:val="single" w:color="auto" w:sz="4" w:space="0"/>
            </w:tcBorders>
            <w:vAlign w:val="center"/>
          </w:tcPr>
          <w:p w14:paraId="70C094C9">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≤1</w:t>
            </w:r>
          </w:p>
        </w:tc>
        <w:tc>
          <w:tcPr>
            <w:tcW w:w="1230" w:type="dxa"/>
            <w:tcBorders>
              <w:top w:val="single" w:color="auto" w:sz="4" w:space="0"/>
              <w:left w:val="single" w:color="auto" w:sz="4" w:space="0"/>
              <w:bottom w:val="single" w:color="auto" w:sz="4" w:space="0"/>
              <w:right w:val="single" w:color="auto" w:sz="4" w:space="0"/>
            </w:tcBorders>
            <w:vAlign w:val="center"/>
          </w:tcPr>
          <w:p w14:paraId="38F395DC">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8（15）</w:t>
            </w:r>
          </w:p>
        </w:tc>
        <w:tc>
          <w:tcPr>
            <w:tcW w:w="707" w:type="dxa"/>
            <w:tcBorders>
              <w:top w:val="single" w:color="auto" w:sz="4" w:space="0"/>
              <w:left w:val="single" w:color="auto" w:sz="4" w:space="0"/>
              <w:bottom w:val="single" w:color="auto" w:sz="4" w:space="0"/>
              <w:right w:val="single" w:color="auto" w:sz="4" w:space="0"/>
            </w:tcBorders>
            <w:vAlign w:val="center"/>
          </w:tcPr>
          <w:p w14:paraId="38FB96AD">
            <w:pPr>
              <w:kinsoku/>
              <w:autoSpaceDE/>
              <w:autoSpaceDN/>
              <w:adjustRightInd/>
              <w:snapToGrid/>
              <w:spacing w:line="560" w:lineRule="exact"/>
              <w:jc w:val="center"/>
              <w:rPr>
                <w:rStyle w:val="38"/>
                <w:rFonts w:ascii="宋体" w:hAnsi="宋体" w:eastAsia="宋体" w:cs="宋体"/>
                <w:color w:val="auto"/>
                <w:highlight w:val="none"/>
              </w:rPr>
            </w:pPr>
            <w:r>
              <w:rPr>
                <w:rStyle w:val="38"/>
                <w:rFonts w:hint="eastAsia" w:ascii="宋体" w:hAnsi="宋体" w:eastAsia="宋体" w:cs="宋体"/>
                <w:color w:val="auto"/>
                <w:highlight w:val="none"/>
              </w:rPr>
              <w:t>6</w:t>
            </w:r>
            <w:r>
              <w:rPr>
                <w:rStyle w:val="38"/>
                <w:rFonts w:hint="eastAsia" w:ascii="仿宋" w:hAnsi="仿宋" w:eastAsia="仿宋" w:cs="宋体"/>
                <w:color w:val="auto"/>
                <w:highlight w:val="none"/>
                <w:lang w:eastAsia="zh-CN"/>
              </w:rPr>
              <w:t>～</w:t>
            </w:r>
            <w:r>
              <w:rPr>
                <w:rStyle w:val="38"/>
                <w:rFonts w:hint="eastAsia" w:ascii="宋体" w:hAnsi="宋体" w:eastAsia="宋体" w:cs="宋体"/>
                <w:color w:val="auto"/>
                <w:highlight w:val="none"/>
              </w:rPr>
              <w:t>9</w:t>
            </w:r>
          </w:p>
        </w:tc>
      </w:tr>
    </w:tbl>
    <w:p w14:paraId="61AEFF1A">
      <w:pPr>
        <w:kinsoku/>
        <w:autoSpaceDE/>
        <w:autoSpaceDN/>
        <w:adjustRightInd/>
        <w:snapToGrid/>
        <w:spacing w:line="400" w:lineRule="exact"/>
        <w:ind w:firstLine="420" w:firstLineChars="200"/>
        <w:jc w:val="both"/>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注：括号外数值为水温&gt;12℃时的控制指标，括号内数值为水温≤12℃时的控制指标。</w:t>
      </w:r>
    </w:p>
    <w:p w14:paraId="0DE1166D">
      <w:pPr>
        <w:kinsoku/>
        <w:autoSpaceDE/>
        <w:autoSpaceDN/>
        <w:adjustRightInd/>
        <w:snapToGrid/>
        <w:spacing w:line="400" w:lineRule="exact"/>
        <w:ind w:firstLine="420" w:firstLineChars="200"/>
        <w:jc w:val="both"/>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如上述指标调整，按新指标执行或以环境主管部门指定为准。</w:t>
      </w:r>
    </w:p>
    <w:p w14:paraId="48741532">
      <w:pPr>
        <w:spacing w:line="400" w:lineRule="exact"/>
        <w:ind w:firstLine="422" w:firstLineChars="200"/>
        <w:rPr>
          <w:rFonts w:ascii="宋体" w:hAnsi="宋体" w:eastAsia="宋体" w:cs="宋体"/>
          <w:color w:val="auto"/>
          <w:highlight w:val="none"/>
          <w:shd w:val="clear" w:color="auto" w:fill="FFFFFF"/>
          <w:lang w:eastAsia="zh-CN"/>
        </w:rPr>
      </w:pPr>
      <w:r>
        <w:rPr>
          <w:rFonts w:hint="eastAsia" w:ascii="宋体" w:hAnsi="宋体" w:eastAsia="宋体" w:cs="宋体"/>
          <w:b/>
          <w:bCs/>
          <w:color w:val="auto"/>
          <w:highlight w:val="none"/>
          <w:shd w:val="clear" w:color="auto" w:fill="FFFFFF"/>
          <w:lang w:eastAsia="zh-CN"/>
        </w:rPr>
        <w:t>四、合同金额及支付方式</w:t>
      </w:r>
    </w:p>
    <w:p w14:paraId="6BCD87FC">
      <w:pPr>
        <w:pStyle w:val="20"/>
        <w:widowControl/>
        <w:shd w:val="clear" w:color="auto" w:fill="FFFFFF"/>
        <w:kinsoku/>
        <w:overflowPunct w:val="0"/>
        <w:spacing w:line="400" w:lineRule="exact"/>
        <w:ind w:left="420" w:leftChars="200"/>
        <w:rPr>
          <w:rFonts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1</w:t>
      </w:r>
      <w:bookmarkStart w:id="180" w:name="_Hlk101274165"/>
      <w:bookmarkEnd w:id="180"/>
      <w:r>
        <w:rPr>
          <w:rFonts w:hint="eastAsia" w:ascii="宋体" w:hAnsi="宋体" w:cs="宋体"/>
          <w:color w:val="auto"/>
          <w:sz w:val="21"/>
          <w:szCs w:val="21"/>
          <w:highlight w:val="none"/>
          <w:shd w:val="clear" w:color="auto" w:fill="FFFFFF"/>
        </w:rPr>
        <w:t>.运维服务费采用总价包干的计价模式，共计人民币大写                  元（¥           ）。具体费用包括但不限于以下内容：药剂费、人力成本、水电费、污泥外运处置费、管理费、日常设备维护费、配套的一体化泵站和污水收集管</w:t>
      </w:r>
      <w:bookmarkStart w:id="181" w:name="_GoBack"/>
      <w:bookmarkEnd w:id="181"/>
      <w:r>
        <w:rPr>
          <w:rFonts w:hint="eastAsia" w:ascii="宋体" w:hAnsi="宋体" w:cs="宋体"/>
          <w:color w:val="auto"/>
          <w:sz w:val="21"/>
          <w:szCs w:val="21"/>
          <w:highlight w:val="none"/>
          <w:shd w:val="clear" w:color="auto" w:fill="FFFFFF"/>
        </w:rPr>
        <w:t>网及其检查井的日常巡视、维护、清淤、安全设施养护、税费等费用（该费用不含：管网因管网断裂、漏水而开挖、换管、回填等工序修复所产生费用；</w:t>
      </w:r>
      <w:r>
        <w:rPr>
          <w:rFonts w:hint="eastAsia" w:ascii="宋体" w:hAnsi="宋体" w:cs="宋体"/>
          <w:color w:val="auto"/>
          <w:sz w:val="21"/>
          <w:szCs w:val="21"/>
          <w:highlight w:val="none"/>
          <w:shd w:val="clear" w:color="auto" w:fill="FFFFFF"/>
          <w:lang w:bidi="ar"/>
        </w:rPr>
        <w:t>因自然灾害引起的抢修、抢险费用；在运维过程中产生的各项技改费用）</w:t>
      </w:r>
      <w:r>
        <w:rPr>
          <w:rFonts w:hint="eastAsia" w:ascii="宋体" w:hAnsi="宋体" w:cs="宋体"/>
          <w:color w:val="auto"/>
          <w:sz w:val="21"/>
          <w:szCs w:val="21"/>
          <w:highlight w:val="none"/>
          <w:shd w:val="clear" w:color="auto" w:fill="FFFFFF"/>
        </w:rPr>
        <w:t>；</w:t>
      </w:r>
    </w:p>
    <w:p w14:paraId="5BC8A451">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2.设备、设施零部件损坏需要大修理或更新，单项费用</w:t>
      </w:r>
      <w:r>
        <w:rPr>
          <w:rFonts w:hint="eastAsia" w:ascii="宋体" w:hAnsi="宋体" w:eastAsia="宋体" w:cs="宋体"/>
          <w:color w:val="auto"/>
          <w:highlight w:val="none"/>
          <w:shd w:val="clear" w:color="auto" w:fill="FFFFFF"/>
          <w:lang w:val="en-US" w:eastAsia="zh-CN" w:bidi="ar"/>
        </w:rPr>
        <w:t>3000</w:t>
      </w:r>
      <w:r>
        <w:rPr>
          <w:rFonts w:hint="eastAsia" w:ascii="宋体" w:hAnsi="宋体" w:eastAsia="宋体" w:cs="宋体"/>
          <w:color w:val="auto"/>
          <w:highlight w:val="none"/>
          <w:shd w:val="clear" w:color="auto" w:fill="FFFFFF"/>
          <w:lang w:eastAsia="zh-CN" w:bidi="ar"/>
        </w:rPr>
        <w:t>元(含</w:t>
      </w:r>
      <w:r>
        <w:rPr>
          <w:rFonts w:hint="eastAsia" w:ascii="宋体" w:hAnsi="宋体" w:eastAsia="宋体" w:cs="宋体"/>
          <w:color w:val="auto"/>
          <w:highlight w:val="none"/>
          <w:shd w:val="clear" w:color="auto" w:fill="FFFFFF"/>
          <w:lang w:val="en-US" w:eastAsia="zh-CN" w:bidi="ar"/>
        </w:rPr>
        <w:t>30</w:t>
      </w:r>
      <w:r>
        <w:rPr>
          <w:rFonts w:hint="eastAsia" w:ascii="宋体" w:hAnsi="宋体" w:eastAsia="宋体" w:cs="宋体"/>
          <w:color w:val="auto"/>
          <w:highlight w:val="none"/>
          <w:shd w:val="clear" w:color="auto" w:fill="FFFFFF"/>
          <w:lang w:eastAsia="zh-CN" w:bidi="ar"/>
        </w:rPr>
        <w:t>00元)</w:t>
      </w:r>
      <w:r>
        <w:rPr>
          <w:rFonts w:hint="eastAsia" w:ascii="宋体" w:hAnsi="宋体" w:eastAsia="宋体" w:cs="宋体"/>
          <w:color w:val="auto"/>
          <w:highlight w:val="none"/>
          <w:shd w:val="clear" w:color="auto" w:fill="FFFFFF"/>
          <w:lang w:eastAsia="zh-CN" w:bidi="ar"/>
        </w:rPr>
        <w:t>以内的，由乙方负责，单项费用</w:t>
      </w:r>
      <w:r>
        <w:rPr>
          <w:rFonts w:hint="eastAsia" w:ascii="宋体" w:hAnsi="宋体" w:eastAsia="宋体" w:cs="宋体"/>
          <w:color w:val="auto"/>
          <w:highlight w:val="none"/>
          <w:shd w:val="clear" w:color="auto" w:fill="FFFFFF"/>
          <w:lang w:val="en-US" w:eastAsia="zh-CN" w:bidi="ar"/>
        </w:rPr>
        <w:t>30</w:t>
      </w:r>
      <w:r>
        <w:rPr>
          <w:rFonts w:hint="eastAsia" w:ascii="宋体" w:hAnsi="宋体" w:eastAsia="宋体" w:cs="宋体"/>
          <w:color w:val="auto"/>
          <w:highlight w:val="none"/>
          <w:shd w:val="clear" w:color="auto" w:fill="FFFFFF"/>
          <w:lang w:eastAsia="zh-CN" w:bidi="ar"/>
        </w:rPr>
        <w:t>00元</w:t>
      </w:r>
      <w:r>
        <w:rPr>
          <w:rFonts w:hint="eastAsia" w:ascii="宋体" w:hAnsi="宋体" w:eastAsia="宋体" w:cs="宋体"/>
          <w:color w:val="auto"/>
          <w:highlight w:val="none"/>
          <w:shd w:val="clear" w:color="auto" w:fill="FFFFFF"/>
          <w:lang w:eastAsia="zh-CN" w:bidi="ar"/>
        </w:rPr>
        <w:t>以上经甲乙双方现场勘察，必要时请第三方公司评估，如属于设备正常老化或非乙方原因的人为故意损坏、非操作失误导致损坏需要维修的，超出部分费用由甲方负责，如属于乙方原因的人为故意损坏、操作失误导致损坏需要维修的，费用由乙方负责。</w:t>
      </w:r>
    </w:p>
    <w:p w14:paraId="59FC6475">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设备整体损坏需要更换，经甲乙双方现场勘察，必要时请第三方公司评估，如属于设备正常老化或非乙方原因的人为故意损坏、非操作失误导致损坏需要维修的，费用由甲方负责，如属于乙方原因的人为故意损坏、操作失误导致损坏或未及时维护保养不当导致损坏的，费用由乙方负责。</w:t>
      </w:r>
    </w:p>
    <w:p w14:paraId="39AA51E7">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4.本项目的第三方运维自动监测设备委托费、定期检测费及水、电费、柴油发电机组油料费、电信宽带费等已包含在合同价款中。日常监测、定期检测等数据应确保符合环保要求。</w:t>
      </w:r>
    </w:p>
    <w:p w14:paraId="48699044">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5.支付方式：自合同签订之日起，服务费按月支付一次，在每月末甲方组织人员现场核查。</w:t>
      </w:r>
      <w:r>
        <w:rPr>
          <w:rFonts w:hint="eastAsia" w:ascii="宋体" w:hAnsi="宋体" w:eastAsia="宋体" w:cs="宋体"/>
          <w:color w:val="auto"/>
          <w:highlight w:val="none"/>
          <w:shd w:val="clear" w:color="auto" w:fill="FFFFFF"/>
          <w:lang w:val="en-US" w:eastAsia="zh-CN" w:bidi="ar"/>
        </w:rPr>
        <w:t>确</w:t>
      </w:r>
      <w:r>
        <w:rPr>
          <w:rFonts w:hint="eastAsia" w:ascii="宋体" w:hAnsi="宋体" w:eastAsia="宋体" w:cs="宋体"/>
          <w:color w:val="auto"/>
          <w:highlight w:val="none"/>
          <w:shd w:val="clear" w:color="auto" w:fill="FFFFFF"/>
          <w:lang w:eastAsia="zh-CN" w:bidi="ar"/>
        </w:rPr>
        <w:t>认乙方履行运维义务完毕后，通知乙方开具足额的税务发票。</w:t>
      </w:r>
    </w:p>
    <w:p w14:paraId="06B57166">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6.甲方在收到乙方的付款申请及足额税务专用发票并审核完毕的20个工作日支付此次服务费。每次支付款项前，甲方有权优先扣除乙方在对履约检查中被罚扣金额。</w:t>
      </w:r>
    </w:p>
    <w:p w14:paraId="047D6E53">
      <w:pPr>
        <w:pStyle w:val="10"/>
        <w:kinsoku/>
        <w:overflowPunct w:val="0"/>
        <w:spacing w:line="400" w:lineRule="exact"/>
        <w:ind w:firstLine="420" w:firstLineChars="200"/>
        <w:jc w:val="both"/>
        <w:rPr>
          <w:rFonts w:ascii="宋体" w:hAnsi="宋体" w:eastAsia="宋体" w:cs="宋体"/>
          <w:color w:val="auto"/>
          <w:highlight w:val="none"/>
          <w:lang w:eastAsia="zh-CN"/>
        </w:rPr>
      </w:pPr>
      <w:r>
        <w:rPr>
          <w:rFonts w:hint="eastAsia" w:ascii="宋体" w:hAnsi="宋体" w:eastAsia="宋体" w:cs="宋体"/>
          <w:color w:val="auto"/>
          <w:highlight w:val="none"/>
          <w:shd w:val="clear" w:color="auto" w:fill="FFFFFF"/>
          <w:lang w:eastAsia="zh-CN" w:bidi="ar"/>
        </w:rPr>
        <w:t>7.甲方所有设备及附属配套设施交付前应安排专人与乙方共同清点，双方清点无误后签署移交单，正式移交乙方。</w:t>
      </w:r>
      <w:r>
        <w:rPr>
          <w:rFonts w:hint="eastAsia" w:ascii="宋体" w:hAnsi="宋体" w:eastAsia="宋体" w:cs="宋体"/>
          <w:color w:val="auto"/>
          <w:highlight w:val="none"/>
          <w:shd w:val="clear" w:color="auto" w:fill="FFFFFF"/>
          <w:lang w:eastAsia="zh-CN" w:bidi="ar"/>
        </w:rPr>
        <w:br w:type="textWrapping"/>
      </w:r>
      <w:r>
        <w:rPr>
          <w:rFonts w:hint="eastAsia" w:ascii="宋体" w:hAnsi="宋体" w:eastAsia="宋体" w:cs="宋体"/>
          <w:b/>
          <w:bCs/>
          <w:color w:val="auto"/>
          <w:highlight w:val="none"/>
          <w:shd w:val="clear" w:color="auto" w:fill="FFFFFF"/>
          <w:lang w:eastAsia="zh-CN"/>
        </w:rPr>
        <w:t>五、甲方责任</w:t>
      </w:r>
    </w:p>
    <w:p w14:paraId="4F31B163">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1.提供运维服务条件</w:t>
      </w:r>
    </w:p>
    <w:p w14:paraId="40AE0A9D">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甲方应负责提供运维服务所需要的条件，包括：</w:t>
      </w:r>
    </w:p>
    <w:p w14:paraId="705393C0">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(1)交付运维前水电、道路及通讯线路等正常使用；</w:t>
      </w:r>
    </w:p>
    <w:p w14:paraId="68439599">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(2)综合办公楼及厂区相应设备达到交付标准，并通过相关单位验收。</w:t>
      </w:r>
    </w:p>
    <w:p w14:paraId="39D04A13">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(3)本项目所有设备及附属配套(包括构筑物、机械设备、污水管网、水生植物、检查井、配电设备、简介牌、标示牌、栏杆等)在移交乙方运营管理前须保持完好状态。</w:t>
      </w:r>
    </w:p>
    <w:p w14:paraId="44F24E3E">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2.提供基础资料</w:t>
      </w:r>
    </w:p>
    <w:p w14:paraId="702772AC">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甲方应当在移交处理设施前向乙方提供合同范围内设备处理设施及设备处理设施运维所必需的有关基础资料，并对所提供资料的真实性、准确性和完整性负责，包括：</w:t>
      </w:r>
    </w:p>
    <w:p w14:paraId="767A4EC1">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(1)提供乡镇生活污水处理设施的图纸、主要设施设备质保文件和使用说明书等技术资料；</w:t>
      </w:r>
    </w:p>
    <w:p w14:paraId="21F4BE33">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(2)向乙方提供江州区左州镇、那隆镇污水处理厂的平面总布置图及项目征地红线图等材料；</w:t>
      </w:r>
    </w:p>
    <w:p w14:paraId="5E289F7E">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(3)提供厂区设备设施的详细清单，交付前安排专人与乙方共同清点，双方清点无误后签字盖章确认。</w:t>
      </w:r>
    </w:p>
    <w:p w14:paraId="792E9109">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3.支付运维服务费用</w:t>
      </w:r>
    </w:p>
    <w:p w14:paraId="3CD7C46C">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甲方应按合同约定向乙方及时支付运维服务费。</w:t>
      </w:r>
    </w:p>
    <w:p w14:paraId="49CC15F3">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4.督促开展运维服务</w:t>
      </w:r>
    </w:p>
    <w:p w14:paraId="4CABF0D7">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甲方可不定期抽检污水处理厂水样，如检测结果未达到《城镇污水处理厂污染物排放标准》(GB18918-2002)中一级B标准，乙方应按合同金额5%向甲方支付违约金并承担违规排放的所有责任。</w:t>
      </w:r>
    </w:p>
    <w:p w14:paraId="79D49AE8">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甲方负责定期或不定期检查乙方是否按合同约定的服务内容开展服务工作，对不满足本合同约定的现象或行为下达限期整改指令，乙方必须按照指令的要求限期内完成整改，否</w:t>
      </w:r>
      <w:r>
        <w:rPr>
          <w:rFonts w:hint="eastAsia" w:ascii="宋体" w:hAnsi="宋体" w:eastAsia="宋体" w:cs="宋体"/>
          <w:color w:val="auto"/>
          <w:highlight w:val="none"/>
          <w:shd w:val="clear" w:color="auto" w:fill="FFFFFF"/>
          <w:lang w:eastAsia="zh-CN"/>
        </w:rPr>
        <w:drawing>
          <wp:anchor distT="0" distB="0" distL="114300" distR="114300" simplePos="0" relativeHeight="251659264" behindDoc="1" locked="0" layoutInCell="1" allowOverlap="1">
            <wp:simplePos x="0" y="0"/>
            <wp:positionH relativeFrom="column">
              <wp:posOffset>0</wp:posOffset>
            </wp:positionH>
            <wp:positionV relativeFrom="paragraph">
              <wp:posOffset>728345</wp:posOffset>
            </wp:positionV>
            <wp:extent cx="94615" cy="1360805"/>
            <wp:effectExtent l="0" t="0" r="12065" b="10795"/>
            <wp:wrapNone/>
            <wp:docPr id="11" name="IM 12"/>
            <wp:cNvGraphicFramePr/>
            <a:graphic xmlns:a="http://schemas.openxmlformats.org/drawingml/2006/main">
              <a:graphicData uri="http://schemas.openxmlformats.org/drawingml/2006/picture">
                <pic:pic xmlns:pic="http://schemas.openxmlformats.org/drawingml/2006/picture">
                  <pic:nvPicPr>
                    <pic:cNvPr id="11" name="IM 12"/>
                    <pic:cNvPicPr/>
                  </pic:nvPicPr>
                  <pic:blipFill>
                    <a:blip r:embed="rId13"/>
                    <a:stretch>
                      <a:fillRect/>
                    </a:stretch>
                  </pic:blipFill>
                  <pic:spPr>
                    <a:xfrm>
                      <a:off x="0" y="0"/>
                      <a:ext cx="94615" cy="1360805"/>
                    </a:xfrm>
                    <a:prstGeom prst="rect">
                      <a:avLst/>
                    </a:prstGeom>
                    <a:noFill/>
                    <a:ln>
                      <a:noFill/>
                    </a:ln>
                  </pic:spPr>
                </pic:pic>
              </a:graphicData>
            </a:graphic>
          </wp:anchor>
        </w:drawing>
      </w:r>
      <w:r>
        <w:rPr>
          <w:rFonts w:hint="eastAsia" w:ascii="宋体" w:hAnsi="宋体" w:eastAsia="宋体" w:cs="宋体"/>
          <w:color w:val="auto"/>
          <w:highlight w:val="none"/>
          <w:shd w:val="clear" w:color="auto" w:fill="FFFFFF"/>
          <w:lang w:eastAsia="zh-CN" w:bidi="ar"/>
        </w:rPr>
        <w:t>则甲方有权暂停支付服务经费，可视情节轻重给予乙方书面警告并扣减当季服务经费的5-10%作为违约金，同时甲方可安排合同外的第三方人员完成整改指令，乙方不能对此进行干预，由此产生的费用从服务经费扣除。甲方不能妨碍乙方正常的生产经营活动。</w:t>
      </w:r>
    </w:p>
    <w:p w14:paraId="278FB60D">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5.监督责任</w:t>
      </w:r>
    </w:p>
    <w:p w14:paraId="7593273B">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乙方产生的以下行为，甲方有权解除合同：</w:t>
      </w:r>
    </w:p>
    <w:p w14:paraId="5EF0B6BF">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(1)不履行合同；</w:t>
      </w:r>
    </w:p>
    <w:p w14:paraId="6F2BE4FE">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(2)乙方由于运维不力，污水处理后未达到合同约定的排放标准造成环境污染等环保事故，乙方承担事故的一切责任；</w:t>
      </w:r>
    </w:p>
    <w:p w14:paraId="222E134D">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(3)主管部门或甲方提出整改意见，运维单位拒绝整改或未在期限内完成整改；</w:t>
      </w:r>
    </w:p>
    <w:p w14:paraId="62DA05C7">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(4)因管理运维不当，出现重大事故而造成重大社会影响；</w:t>
      </w:r>
    </w:p>
    <w:p w14:paraId="4E1C4FE3">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(5)甲方通知乙方更换不称职的运维项目负责人乙方拒不更换；</w:t>
      </w:r>
    </w:p>
    <w:p w14:paraId="207385E0">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(6)乙方不配合主管部门、甲方开展项目管理、迎检等工作。</w:t>
      </w:r>
    </w:p>
    <w:p w14:paraId="14D24474">
      <w:pPr>
        <w:shd w:val="clear" w:color="auto" w:fill="FFFFFF"/>
        <w:kinsoku/>
        <w:overflowPunct w:val="0"/>
        <w:spacing w:line="400" w:lineRule="exact"/>
        <w:ind w:firstLine="422" w:firstLineChars="200"/>
        <w:jc w:val="both"/>
        <w:rPr>
          <w:rFonts w:ascii="宋体" w:hAnsi="宋体" w:eastAsia="宋体" w:cs="宋体"/>
          <w:b/>
          <w:bCs/>
          <w:color w:val="auto"/>
          <w:highlight w:val="none"/>
          <w:shd w:val="clear" w:color="auto" w:fill="FFFFFF"/>
          <w:lang w:eastAsia="zh-CN"/>
        </w:rPr>
      </w:pPr>
      <w:r>
        <w:rPr>
          <w:rFonts w:hint="eastAsia" w:ascii="宋体" w:hAnsi="宋体" w:eastAsia="宋体" w:cs="宋体"/>
          <w:b/>
          <w:bCs/>
          <w:color w:val="auto"/>
          <w:highlight w:val="none"/>
          <w:shd w:val="clear" w:color="auto" w:fill="FFFFFF"/>
          <w:lang w:eastAsia="zh-CN"/>
        </w:rPr>
        <w:t>六、乙方责任</w:t>
      </w:r>
    </w:p>
    <w:p w14:paraId="2B1A2BDA">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1.运维项目负责人</w:t>
      </w:r>
    </w:p>
    <w:p w14:paraId="53F31612">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运维项目负责人应为合同双方所确认的人选，乙方应书面告知甲方运维项目负责人的相关信息。包括但不限于：运维项目负责人的姓名、职称、相关证书编号、联系方式、授权范围、劳动合同等，运维项目负责人于乙方授权后代表乙方负责履行合同。乙方不提交上述文件前，运维项目负责人无权履行职责，甲方有权要求更换运维项目负责人，由此产生的费用和法律责任由乙方承担。</w:t>
      </w:r>
    </w:p>
    <w:p w14:paraId="36AD1655">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运维项目负责人按合同约定组织处理设施运维工作。在紧急情况下为确保设施安全和人员安全，在无法与甲方代表及时取得联系时，运维项目负责人有权采取必要的措施保证与处理设施有关的人身、财产的安全，但应在48小时内向甲方代表补充书面报告。</w:t>
      </w:r>
    </w:p>
    <w:p w14:paraId="2B723D52">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乙方需要更换运维项目负责人的，应提前7天书面通知甲方，并征得甲方书面同意。通知中应当载明继任运维项目负责人的资格、管理经验等资料，继任运维项目负责人继续履行原合同约定的职责。未经甲方书面同意，乙方不得擅自更换更换项目负责人。若乙方擅自更换项目负责人导致甲方利益受损时，乙方应按合同金额5%向甲方支付违约金，并赔偿甲方因此遭受的实际损失。</w:t>
      </w:r>
    </w:p>
    <w:p w14:paraId="0075070E">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4）乙方应在接到甲方更换运维项目负责人通知后，7天内进行更换，并将新任命的运维项目负责人的资格、管理经验等资料书面通知甲方。继任运维项目负责人继续履行原合同约定的职责。乙方无正当理由拒绝更换运维项目负责人的，应按照合同条款的约定承担违约责任。</w:t>
      </w:r>
    </w:p>
    <w:p w14:paraId="7FA927D2">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2.主要运维管理人员</w:t>
      </w:r>
    </w:p>
    <w:p w14:paraId="02772B11">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乙方正式运营10个工作日内，向甲方提交乙方运维项目人员的岗位安排情况，明确主要运维管理人员。乙方派遣到运维现场的主要运维管理人员应相对稳定。运维过程中如有变动，乙方应及时向甲方提交人员变动情况的书面报告。特殊工种专业操作人员均应持 有相应的资格证明，甲方有权随时检查。</w:t>
      </w:r>
    </w:p>
    <w:p w14:paraId="7E7844FB">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甲方对于乙方主要运维管理人员的资格或能力有异议的，乙方应提供资料证明被质疑人员有能力完成其岗位工作或不存在甲方所质疑的情形。甲方要求撤换不能按照合同约定履行职责及义务的主要运维管理人员的，乙方应当撤换。乙方无正当理由拒绝撤换的，应 按照合同约定承担违约责任。</w:t>
      </w:r>
    </w:p>
    <w:p w14:paraId="0EC5D33F">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乙方主要运维管理人员离开运维项目所在地每月累计超过6天的，应通知甲方，并征得甲方书面同意。主要运维管理人员离开前应指定一名有经验的人员临时代行其职责，该人员应具备履行相应职责的资格和能力，且应征得甲方的同意。</w:t>
      </w:r>
    </w:p>
    <w:p w14:paraId="6A94C03F">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3.履行合同约定</w:t>
      </w:r>
    </w:p>
    <w:p w14:paraId="1AF27C0A">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乙方具备运维江州区左州镇、那隆镇污水处理厂基本能力，按合同约定完成服务内容，保证厂(站)区设施正常运转，接收污水并按合同约定的排放标准处理后排放。</w:t>
      </w:r>
    </w:p>
    <w:p w14:paraId="6DDD10AB">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4.乙方义务</w:t>
      </w:r>
    </w:p>
    <w:p w14:paraId="5EEA5B54">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乙方在履行合同过程中应遵守法律规章和运行维护服务标准，并履行以下义务：</w:t>
      </w:r>
    </w:p>
    <w:p w14:paraId="43E06CAF">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(1)应当在厂(站)区适当位置公示运行维护范围、标准、巡查时间、工作人员及其联系电话、责任人监督电话等内容，接受社会监督。</w:t>
      </w:r>
    </w:p>
    <w:p w14:paraId="7E4962A8">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(2)至少每个季度向甲方报送一次其运维服务范围内所有设施的体检报告。</w:t>
      </w:r>
    </w:p>
    <w:p w14:paraId="649E89D7">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(3)按合同约定完成江州区左州镇、那隆镇生活污水处理厂的设施维修工作；</w:t>
      </w:r>
    </w:p>
    <w:p w14:paraId="33B87680">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(4)采取必要的安全措施，确保其人员、材料和设备的安全，防止因处理设施运维造成的人身伤害和财产损失；</w:t>
      </w:r>
    </w:p>
    <w:p w14:paraId="4D4F0338">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(5)在进行合同约定的各项工作时，不得侵害甲方与他人使用公用道路、水源、市政管网等公共设施的权利，避免对邻近的他人或公共设施产生干扰；</w:t>
      </w:r>
    </w:p>
    <w:p w14:paraId="41EC4FB1">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(6)及时支付雇用人员工资，不得出现员工集体讨薪或因此产生的维权事件；</w:t>
      </w:r>
    </w:p>
    <w:p w14:paraId="1DD7B91F">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(7)在服务期内乙方应当承担因环保部门及工作需要新增的服务内容(合同外新增内容双方另行协商费用);</w:t>
      </w:r>
    </w:p>
    <w:p w14:paraId="6322C100">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(8)按照运维企业基本条件要求，为本运维项目配置包括但不限于人员配备、运维车辆、运维工器具，明确配置的数量、到位时间、相关技术参数规格等要求。</w:t>
      </w:r>
    </w:p>
    <w:p w14:paraId="05B236F9">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(9)协助政府、环保部门等有关单位开展工作。</w:t>
      </w:r>
    </w:p>
    <w:p w14:paraId="5886E753">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(10)应履行的其他义务。</w:t>
      </w:r>
    </w:p>
    <w:p w14:paraId="480346A8">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5.排污责任</w:t>
      </w:r>
    </w:p>
    <w:p w14:paraId="31E3590D">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(1)合同签订后，乙方应根据甲方要求办理排污许可证变更事项。</w:t>
      </w:r>
    </w:p>
    <w:p w14:paraId="451C77CB">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(2)合同签订后，乙方作为排污责任人并承担全部责任。</w:t>
      </w:r>
    </w:p>
    <w:p w14:paraId="287D4E3D">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6.保险条款</w:t>
      </w:r>
    </w:p>
    <w:p w14:paraId="6E2F3ABA">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为防止意外损失，乙方应为厂(站)区购买足额的财产保险及其他必需的保险；为其员工购买人身意外。由于意外事故造成乙方人身或财产损害的，责任由乙方自行负责。甲方不承担因乙方责任所引起的乙方的损失或损害。</w:t>
      </w:r>
    </w:p>
    <w:p w14:paraId="0D876AB7">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7.中标合同内的维修清淤及日常维护由乙方负责并由乙方承担费用，如甲方发现需要维修部分，乙方未能完成的，甲方有权委托第三方入场完成，并由双方协商定价，第三方入场的产出的费用从本项目污水厂年维修清淤及日常维护费的扣除。</w:t>
      </w:r>
    </w:p>
    <w:p w14:paraId="326DC65E">
      <w:pPr>
        <w:shd w:val="clear" w:color="auto" w:fill="FFFFFF"/>
        <w:kinsoku/>
        <w:overflowPunct w:val="0"/>
        <w:spacing w:line="400" w:lineRule="exact"/>
        <w:ind w:firstLine="422" w:firstLineChars="200"/>
        <w:rPr>
          <w:rFonts w:ascii="宋体" w:hAnsi="宋体" w:eastAsia="宋体" w:cs="宋体"/>
          <w:b/>
          <w:bCs/>
          <w:color w:val="auto"/>
          <w:highlight w:val="none"/>
          <w:shd w:val="clear" w:color="auto" w:fill="FFFFFF"/>
          <w:lang w:eastAsia="zh-CN"/>
        </w:rPr>
      </w:pPr>
      <w:r>
        <w:rPr>
          <w:rFonts w:hint="eastAsia" w:ascii="宋体" w:hAnsi="宋体" w:eastAsia="宋体" w:cs="宋体"/>
          <w:b/>
          <w:bCs/>
          <w:color w:val="auto"/>
          <w:highlight w:val="none"/>
          <w:shd w:val="clear" w:color="auto" w:fill="FFFFFF"/>
          <w:lang w:eastAsia="zh-CN"/>
        </w:rPr>
        <w:t>七、乙方服务具体要求</w:t>
      </w:r>
    </w:p>
    <w:p w14:paraId="6282ECA4">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 、设备的运行维护管理</w:t>
      </w:r>
    </w:p>
    <w:p w14:paraId="704C871E">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污水收集管网维护：包含镇区排污管网疏通、清淤、管网维护、泵站设备维护，观察每日污水进水量，定期排查镇区管网等(自然灾害因或其他不可抗力因素以及非乙方原因造成的管网维护、维修或更换，费用由甲方另行支付)。</w:t>
      </w:r>
    </w:p>
    <w:p w14:paraId="15A09AFD">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(2)进水格栅维护：包含栅渣清理、电机维护、电机转动件加注润滑油、格栅耙齿维护、格栅挡水板维护、螺旋输送机的维护，进水闸阀的维护等；</w:t>
      </w:r>
    </w:p>
    <w:p w14:paraId="29CB693C">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(3)沉砂池维护：包含排砂泵维护、砂渣清理等；</w:t>
      </w:r>
    </w:p>
    <w:p w14:paraId="49AAC6DD">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rPr>
        <w:drawing>
          <wp:anchor distT="0" distB="0" distL="114300" distR="114300" simplePos="0" relativeHeight="251660288" behindDoc="1" locked="0" layoutInCell="1" allowOverlap="1">
            <wp:simplePos x="0" y="0"/>
            <wp:positionH relativeFrom="column">
              <wp:posOffset>6532880</wp:posOffset>
            </wp:positionH>
            <wp:positionV relativeFrom="paragraph">
              <wp:posOffset>647700</wp:posOffset>
            </wp:positionV>
            <wp:extent cx="135255" cy="1377950"/>
            <wp:effectExtent l="0" t="0" r="1905" b="8890"/>
            <wp:wrapNone/>
            <wp:docPr id="4" name="IM 20"/>
            <wp:cNvGraphicFramePr/>
            <a:graphic xmlns:a="http://schemas.openxmlformats.org/drawingml/2006/main">
              <a:graphicData uri="http://schemas.openxmlformats.org/drawingml/2006/picture">
                <pic:pic xmlns:pic="http://schemas.openxmlformats.org/drawingml/2006/picture">
                  <pic:nvPicPr>
                    <pic:cNvPr id="4" name="IM 20"/>
                    <pic:cNvPicPr/>
                  </pic:nvPicPr>
                  <pic:blipFill>
                    <a:blip r:embed="rId14"/>
                    <a:stretch>
                      <a:fillRect/>
                    </a:stretch>
                  </pic:blipFill>
                  <pic:spPr>
                    <a:xfrm>
                      <a:off x="0" y="0"/>
                      <a:ext cx="135255" cy="1377950"/>
                    </a:xfrm>
                    <a:prstGeom prst="rect">
                      <a:avLst/>
                    </a:prstGeom>
                    <a:noFill/>
                    <a:ln>
                      <a:noFill/>
                    </a:ln>
                  </pic:spPr>
                </pic:pic>
              </a:graphicData>
            </a:graphic>
          </wp:anchor>
        </w:drawing>
      </w:r>
      <w:r>
        <w:rPr>
          <w:rFonts w:hint="eastAsia" w:ascii="宋体" w:hAnsi="宋体" w:eastAsia="宋体" w:cs="宋体"/>
          <w:color w:val="auto"/>
          <w:highlight w:val="none"/>
          <w:shd w:val="clear" w:color="auto" w:fill="FFFFFF"/>
          <w:lang w:eastAsia="zh-CN" w:bidi="ar"/>
        </w:rPr>
        <w:t>(4)调节池维护：搅拌器维护(包含起吊装置、搅拌叶轮、搅拌电机维护等);提升泵维护(包含提升泵电机、叶轮维护，起吊装置维护等);液位计维护(包含探头维护、信号线维护);流量计维护；各类阀门的维护；</w:t>
      </w:r>
    </w:p>
    <w:p w14:paraId="142664AB">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(5)沉淀池的维护：观察沉淀池的出水水质，清理浮泥，清理出水槽藻类等，适时调整加药量，及时排泥，各类阀门的维护，加药装置的维护(计量泵隔膜更换、搅拌器维护等)等；</w:t>
      </w:r>
    </w:p>
    <w:p w14:paraId="48B19C33">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(6)生化系统维护：观察缺氧微生物和好氧微生物的生长状况，适时对工艺进行调整，包含混合液的回流量、是否进行营养物质的补充投加、曝气量的调整、进水量的调整，及时更换老化的生物填料，对混合液回流泵的维护(包含提升泵电机、叶轮维护，起吊装置维护等),各类阀门的维护等；</w:t>
      </w:r>
    </w:p>
    <w:p w14:paraId="09C79CCE">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(7) MBR 池的维护：MBR膜的维护(包含产水量的控制、膜的反洗、在线药洗、定期离线药洗膜组(一个季度一次),曝气系统的维护(包含曝气量的控制、曝气管道的维护等),污泥浓度的控制，污泥回流泵的维护(包含提升泵电机、叶轮维护、连接件加注润滑油等),产水泵的维护(包含提升泵电机、叶轮维护、连接件加注润滑油等),反洗泵的维护(包含提升泵电机、叶轮维护、连接件加注润滑油等),污泥泵的维护(包含提升泵电机、叶轮维护、连接件加注润滑油等),加药装置的维护(计量泵隔膜更换、搅拌器维护等)</w:t>
      </w:r>
    </w:p>
    <w:p w14:paraId="174D5800">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(8)消毒系统维护：紫外消毒房包含紫外消毒装置清洗、紫外灯更换、控制系统维护等；</w:t>
      </w:r>
    </w:p>
    <w:p w14:paraId="0FF68C30">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(9)计量渠的维护：计量渠的藻类、沉积物清扫；</w:t>
      </w:r>
    </w:p>
    <w:p w14:paraId="057ACE4D">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(10)曝气系统的维护：包含鼓风机的维护(进风口的维护、隔音罩的维护、加注润滑油、清洁等),曝气管路的维护，曝气器的维护等；</w:t>
      </w:r>
    </w:p>
    <w:p w14:paraId="2E9F8908">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(11)控制系统维护：保持各元器件清洁，通风干燥，各接线端子连接紧固；</w:t>
      </w:r>
    </w:p>
    <w:p w14:paraId="4A38D24F">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(12)污泥脱水系统的维护：叠螺机包含叠螺片的清洗、清洗喷头、减速机、螺旋轴、混凝槽、控制系统的维护等；带式机包含转动轴、清洗装置、纠偏装置、滤带、控制系统的维护等；污泥的处置(包含存放、运输、台账);</w:t>
      </w:r>
    </w:p>
    <w:p w14:paraId="0E69C173">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(13)除臭系统的维护：包含填料的维护、引风机的维护、循环水泵的维护；</w:t>
      </w:r>
    </w:p>
    <w:p w14:paraId="4E2DAE61">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(14)中控系统的维护：包含监控装置、视频显示装置、网络连接系统的维护；</w:t>
      </w:r>
    </w:p>
    <w:p w14:paraId="28BB49AF">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(15)环保监测设备的管理及维修维护：委托第三方运营在线监测设备，协助排除设备故障，设备异常时按规定向环保局备案，协助管理在线监测设备间。</w:t>
      </w:r>
    </w:p>
    <w:p w14:paraId="2733E362">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(16)柴油发电机组的维护：包含发电机维护、滤清器清洗、设备润滑等；</w:t>
      </w:r>
    </w:p>
    <w:p w14:paraId="5B80306D">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(17)江州区左州镇、那隆镇污水处理厂的维护，包括：污水管网、监控设备、网络连接系统、湿地植物、一体化设备等。</w:t>
      </w:r>
    </w:p>
    <w:p w14:paraId="527B3F96">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(18)污水处理厂配电室的运行和维护，保持配电室的干净、整洁、线路完好等；</w:t>
      </w:r>
    </w:p>
    <w:p w14:paraId="39FA5656">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(19)离线清洗单元的运行和维护：保持设备间干净整洁，无污泥、污水残留，维护相关设备，使用后及时清洗各功能池、平台等。</w:t>
      </w:r>
    </w:p>
    <w:p w14:paraId="4748EF17">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(20)实验室的运行和维护：维护保养相关检测设备、药剂等，按环保要求开展手工监测并做好相应台账记录。</w:t>
      </w:r>
    </w:p>
    <w:p w14:paraId="7190C1A1">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(21)宣传牌、标识牌的维护：保持干净、整洁、清晰、完好；</w:t>
      </w:r>
    </w:p>
    <w:p w14:paraId="28F36F10">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(22)厂区的卫生：厂区的绿植修剪、补种，厂区的卫生打扫，围墙、栏杆、路灯的维护等；</w:t>
      </w:r>
    </w:p>
    <w:p w14:paraId="2B8470A8">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(23)各类机械设备的维修工作：设备零部件损坏及时维修或更换；</w:t>
      </w:r>
    </w:p>
    <w:p w14:paraId="3A22A77D">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(24)做好移交清单上所含的设备运行和维护工作，确保设备、设施、仪表、仪器等完好率达95%以上。</w:t>
      </w:r>
    </w:p>
    <w:p w14:paraId="0197DED5">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 、运营管理台账和档案管理工作</w:t>
      </w:r>
    </w:p>
    <w:p w14:paraId="6691FF65">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各台账和记录：包含进出水数据、用电、运行、药剂、厂(站)区各类设备运行和维护情况、在线数据、问题与整改记录、水质检测记录等，完成相关资料立卷及归档，并按管理要求移交或报送甲方或甲方指定的单位；</w:t>
      </w:r>
    </w:p>
    <w:p w14:paraId="2BD50EE0">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(2)设备巡察：按时巡察，及时发现问题，及时汇报，及时处理，确保设备正常运转，确保水质达标排放；</w:t>
      </w:r>
    </w:p>
    <w:p w14:paraId="77122035">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(3)水质化验：按时按量对各处理工序的水质进行检测，对水质排放做到心中有数；</w:t>
      </w:r>
    </w:p>
    <w:p w14:paraId="65D70C54">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3、项目管理工作</w:t>
      </w:r>
    </w:p>
    <w:p w14:paraId="67045C5C">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(1)人员的培训：对所有操作及管理人员进行岗前培训，确保操作规范和安全生产；</w:t>
      </w:r>
    </w:p>
    <w:p w14:paraId="5DC11A75">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(2)厂区的安全维护：安防监控系统的维护，厂区的大门不允许闲杂人等进入。</w:t>
      </w:r>
    </w:p>
    <w:p w14:paraId="2A9700C8">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(3)建立健全运行服务质量管理文件以及与其运维项目相适应的规章制度、工艺文件、作业指导书、设备操作规程等文件。</w:t>
      </w:r>
    </w:p>
    <w:p w14:paraId="3C76421F">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(4)迎检工作：时刻做好迎检准备，按相关法规要求开展合同服务工作。</w:t>
      </w:r>
    </w:p>
    <w:p w14:paraId="5DCDB954">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(5)接受社会监督，对群众投诉、有关单位反映的问题应及时前往现场，核查问题原因并根据实际情况开展后续工作，做到有记录有答复。</w:t>
      </w:r>
    </w:p>
    <w:p w14:paraId="5F4C1B3D">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4、设备停运时的报备工作</w:t>
      </w:r>
    </w:p>
    <w:p w14:paraId="19E0D6AB">
      <w:pPr>
        <w:pStyle w:val="10"/>
        <w:kinsoku/>
        <w:overflowPunct w:val="0"/>
        <w:spacing w:line="400" w:lineRule="exact"/>
        <w:ind w:firstLine="420" w:firstLineChars="200"/>
        <w:jc w:val="both"/>
        <w:rPr>
          <w:rFonts w:ascii="宋体" w:hAnsi="宋体" w:eastAsia="宋体" w:cs="宋体"/>
          <w:b/>
          <w:bCs/>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bidi="ar"/>
        </w:rPr>
        <w:t>无特殊情况不得擅自停运污水处理设施。确因检修、停用等原因确需停运全部或者部分污水处理设施的，应当在十个工作日前将停运原因、相应应急处理措施等向乡镇人民政府或者县(市、区)污水处理设施主管部门报告，并通知甲方及相关单位。</w:t>
      </w:r>
    </w:p>
    <w:p w14:paraId="3D7E323E">
      <w:pPr>
        <w:shd w:val="clear" w:color="auto" w:fill="FFFFFF"/>
        <w:kinsoku/>
        <w:overflowPunct w:val="0"/>
        <w:spacing w:line="400" w:lineRule="exact"/>
        <w:ind w:firstLine="422" w:firstLineChars="200"/>
        <w:rPr>
          <w:rFonts w:ascii="宋体" w:hAnsi="宋体" w:eastAsia="宋体" w:cs="宋体"/>
          <w:b/>
          <w:bCs/>
          <w:color w:val="auto"/>
          <w:highlight w:val="none"/>
          <w:shd w:val="clear" w:color="auto" w:fill="FFFFFF"/>
          <w:lang w:eastAsia="zh-CN"/>
        </w:rPr>
      </w:pPr>
      <w:r>
        <w:rPr>
          <w:rFonts w:hint="eastAsia" w:ascii="宋体" w:hAnsi="宋体" w:eastAsia="宋体" w:cs="宋体"/>
          <w:b/>
          <w:bCs/>
          <w:color w:val="auto"/>
          <w:highlight w:val="none"/>
          <w:shd w:val="clear" w:color="auto" w:fill="FFFFFF"/>
          <w:lang w:eastAsia="zh-CN"/>
        </w:rPr>
        <w:t>八、项目分包</w:t>
      </w:r>
    </w:p>
    <w:p w14:paraId="5B751C05">
      <w:pPr>
        <w:shd w:val="clear" w:color="auto" w:fill="FFFFFF"/>
        <w:kinsoku/>
        <w:overflowPunct w:val="0"/>
        <w:autoSpaceDE/>
        <w:autoSpaceDN/>
        <w:adjustRightInd/>
        <w:snapToGrid/>
        <w:spacing w:line="400" w:lineRule="exact"/>
        <w:ind w:firstLine="420" w:firstLineChars="200"/>
        <w:textAlignment w:val="auto"/>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乙方不得将除劳务分包外的内容分包给第三方。</w:t>
      </w:r>
    </w:p>
    <w:p w14:paraId="64341E94">
      <w:pPr>
        <w:shd w:val="clear" w:color="auto" w:fill="FFFFFF"/>
        <w:kinsoku/>
        <w:overflowPunct w:val="0"/>
        <w:autoSpaceDE/>
        <w:autoSpaceDN/>
        <w:adjustRightInd/>
        <w:snapToGrid/>
        <w:spacing w:line="400" w:lineRule="exact"/>
        <w:ind w:firstLine="422" w:firstLineChars="200"/>
        <w:textAlignment w:val="auto"/>
        <w:rPr>
          <w:rFonts w:ascii="宋体" w:hAnsi="宋体" w:eastAsia="宋体" w:cs="宋体"/>
          <w:b/>
          <w:bCs/>
          <w:color w:val="auto"/>
          <w:highlight w:val="none"/>
          <w:shd w:val="clear" w:color="auto" w:fill="FFFFFF"/>
          <w:lang w:eastAsia="zh-CN"/>
        </w:rPr>
      </w:pPr>
      <w:r>
        <w:rPr>
          <w:rFonts w:hint="eastAsia" w:ascii="宋体" w:hAnsi="宋体" w:eastAsia="宋体" w:cs="宋体"/>
          <w:b/>
          <w:bCs/>
          <w:color w:val="auto"/>
          <w:highlight w:val="none"/>
          <w:shd w:val="clear" w:color="auto" w:fill="FFFFFF"/>
          <w:lang w:eastAsia="zh-CN"/>
        </w:rPr>
        <w:t>九、甲方违约</w:t>
      </w:r>
    </w:p>
    <w:p w14:paraId="32862B82">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1.在合同履行过程中发生的下列情形，属于甲方违约：</w:t>
      </w:r>
    </w:p>
    <w:p w14:paraId="1CA6997F">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(1)因甲方原因未按合同约定办理移交手续超过30天；</w:t>
      </w:r>
    </w:p>
    <w:p w14:paraId="6977C1CB">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(2)甲方无故拖欠乙方服务费时间长达2个月以上的；</w:t>
      </w:r>
    </w:p>
    <w:p w14:paraId="23AFF09E">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(3)甲方未能按照合同约定履行其他义务的。</w:t>
      </w:r>
    </w:p>
    <w:p w14:paraId="77C9700A">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2.甲方违约的责任</w:t>
      </w:r>
    </w:p>
    <w:p w14:paraId="47FC7366">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甲方违反合同约定造成乙方损失，甲方应按合同金额</w:t>
      </w:r>
      <w:r>
        <w:rPr>
          <w:rFonts w:hint="eastAsia" w:ascii="宋体" w:hAnsi="宋体" w:eastAsia="宋体" w:cs="宋体"/>
          <w:color w:val="auto"/>
          <w:highlight w:val="none"/>
          <w:shd w:val="clear" w:color="auto" w:fill="FFFFFF"/>
          <w:lang w:val="en-US" w:eastAsia="zh-CN"/>
        </w:rPr>
        <w:t>2</w:t>
      </w:r>
      <w:r>
        <w:rPr>
          <w:rFonts w:hint="eastAsia" w:ascii="宋体" w:hAnsi="宋体" w:eastAsia="宋体" w:cs="宋体"/>
          <w:color w:val="auto"/>
          <w:highlight w:val="none"/>
          <w:shd w:val="clear" w:color="auto" w:fill="FFFFFF"/>
          <w:lang w:eastAsia="zh-CN"/>
        </w:rPr>
        <w:t>%向乙方支付违约金。</w:t>
      </w:r>
    </w:p>
    <w:p w14:paraId="59F48867">
      <w:pPr>
        <w:pStyle w:val="10"/>
        <w:kinsoku/>
        <w:overflowPunct w:val="0"/>
        <w:spacing w:line="400" w:lineRule="exact"/>
        <w:ind w:firstLine="422" w:firstLineChars="200"/>
        <w:rPr>
          <w:rFonts w:ascii="宋体" w:hAnsi="宋体" w:eastAsia="宋体" w:cs="宋体"/>
          <w:b/>
          <w:bCs/>
          <w:color w:val="auto"/>
          <w:highlight w:val="none"/>
          <w:shd w:val="clear" w:color="auto" w:fill="FFFFFF"/>
          <w:lang w:eastAsia="zh-CN"/>
        </w:rPr>
      </w:pPr>
      <w:r>
        <w:rPr>
          <w:rFonts w:hint="eastAsia" w:ascii="宋体" w:hAnsi="宋体" w:eastAsia="宋体" w:cs="宋体"/>
          <w:b/>
          <w:bCs/>
          <w:color w:val="auto"/>
          <w:highlight w:val="none"/>
          <w:shd w:val="clear" w:color="auto" w:fill="FFFFFF"/>
          <w:lang w:eastAsia="zh-CN"/>
        </w:rPr>
        <w:t>十、乙方违约</w:t>
      </w:r>
    </w:p>
    <w:p w14:paraId="217E21F4">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1.在合同履行过程中发生的下列情形，属于乙方违约：</w:t>
      </w:r>
    </w:p>
    <w:p w14:paraId="1E76869A">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(1)乙方违反合同约定进行转包或违法分包的；</w:t>
      </w:r>
    </w:p>
    <w:p w14:paraId="4C7F0C7B">
      <w:pPr>
        <w:shd w:val="clear" w:color="auto" w:fill="FFFFFF"/>
        <w:kinsoku/>
        <w:overflowPunct w:val="0"/>
        <w:autoSpaceDE/>
        <w:autoSpaceDN/>
        <w:adjustRightInd/>
        <w:snapToGrid/>
        <w:spacing w:line="400" w:lineRule="exact"/>
        <w:ind w:firstLine="420" w:firstLineChars="200"/>
        <w:textAlignment w:val="auto"/>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(2)因乙方原因导致处理设施功能性损坏或丧失的；</w:t>
      </w:r>
    </w:p>
    <w:p w14:paraId="3EA2E650">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(3)乙方明确表示或者以其行为表明不履行合同义务的；</w:t>
      </w:r>
    </w:p>
    <w:p w14:paraId="75041CF6">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(4)乙方未能按照合同约定履行合同服务内容的；</w:t>
      </w:r>
    </w:p>
    <w:p w14:paraId="6E448221">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(5)乙方不具备履约能力的；</w:t>
      </w:r>
    </w:p>
    <w:p w14:paraId="0ECFC277">
      <w:pPr>
        <w:pStyle w:val="10"/>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(6)因乙方原因出现重大环保事故的。</w:t>
      </w:r>
    </w:p>
    <w:p w14:paraId="73792053">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2.乙方违约的责任</w:t>
      </w:r>
    </w:p>
    <w:p w14:paraId="4B6ECE21">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乙方应承担因其违约行为而产生的法律责任和费用，乙方应按合同金额5%向甲方支付违约金。</w:t>
      </w:r>
    </w:p>
    <w:p w14:paraId="2B708DBC">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3.因乙方违约解除合同</w:t>
      </w:r>
    </w:p>
    <w:p w14:paraId="5A025AD7">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除合同条款另有约定外，出</w:t>
      </w:r>
      <w:r>
        <w:rPr>
          <w:rFonts w:hint="eastAsia" w:ascii="宋体" w:hAnsi="宋体" w:eastAsia="宋体" w:cs="宋体"/>
          <w:color w:val="auto"/>
          <w:highlight w:val="none"/>
          <w:shd w:val="clear" w:color="auto" w:fill="FFFFFF"/>
          <w:lang w:eastAsia="zh-CN" w:bidi="ar"/>
        </w:rPr>
        <w:t>现第十项中〔乙方违约的情形〕约定的违约情况，或甲方发出整改通知后，乙方在指定的合理期限内仍不纠正违约行为并致使合同目的不能实现的，甲</w:t>
      </w:r>
      <w:r>
        <w:rPr>
          <w:rFonts w:hint="eastAsia" w:ascii="宋体" w:hAnsi="宋体" w:eastAsia="宋体" w:cs="宋体"/>
          <w:color w:val="auto"/>
          <w:highlight w:val="none"/>
          <w:shd w:val="clear" w:color="auto" w:fill="FFFFFF"/>
          <w:lang w:eastAsia="zh-CN" w:bidi="ar"/>
        </w:rPr>
        <w:t>方有权解除合同。</w:t>
      </w:r>
    </w:p>
    <w:p w14:paraId="5DA9D852">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4.因乙方违约解除合同后的处理</w:t>
      </w:r>
    </w:p>
    <w:p w14:paraId="7CCDDB76">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因乙方原因导致合同解除的，则合同当事人应在合同解除后28天内完成估价、付款和清算，并按以下约定执行：</w:t>
      </w:r>
    </w:p>
    <w:p w14:paraId="2CA7532A">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(1)合同解除后，由甲方确定乙方实际完成运维工作对应的运维服务费用；</w:t>
      </w:r>
    </w:p>
    <w:p w14:paraId="563FA70E">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(2)合同解除后，乙方应按合同金额5%向甲方支付违约金；</w:t>
      </w:r>
    </w:p>
    <w:p w14:paraId="7ED52E65">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(3)合同解除后，乙方应支付因解除合同给甲方造成的损失；</w:t>
      </w:r>
    </w:p>
    <w:p w14:paraId="73B2DA9A">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(4)合同解除后，乙方应按照甲方要求指示完成运维现场的清理和撤离；</w:t>
      </w:r>
    </w:p>
    <w:p w14:paraId="375B0EBE">
      <w:pPr>
        <w:pStyle w:val="10"/>
        <w:kinsoku/>
        <w:overflowPunct w:val="0"/>
        <w:spacing w:line="400" w:lineRule="exact"/>
        <w:ind w:firstLine="420" w:firstLineChars="200"/>
        <w:jc w:val="both"/>
        <w:rPr>
          <w:rFonts w:ascii="宋体" w:hAnsi="宋体" w:eastAsia="宋体" w:cs="宋体"/>
          <w:color w:val="auto"/>
          <w:spacing w:val="-4"/>
          <w:highlight w:val="none"/>
          <w:lang w:eastAsia="zh-CN"/>
        </w:rPr>
      </w:pPr>
      <w:r>
        <w:rPr>
          <w:rFonts w:hint="eastAsia" w:ascii="宋体" w:hAnsi="宋体" w:eastAsia="宋体" w:cs="宋体"/>
          <w:color w:val="auto"/>
          <w:highlight w:val="none"/>
          <w:shd w:val="clear" w:color="auto" w:fill="FFFFFF"/>
          <w:lang w:eastAsia="zh-CN" w:bidi="ar"/>
        </w:rPr>
        <w:t>(5)甲方和乙方应在合同解除后进行清算，出具最终结清付款凭证，结清全部款项。因乙方违约解除合同的，甲方有权暂停对乙方的付款，查清各项付款和已扣款项。甲方和乙方未能就合同解除后的清算和款项支付达成一致的，按合</w:t>
      </w:r>
      <w:r>
        <w:rPr>
          <w:rFonts w:hint="eastAsia" w:ascii="宋体" w:hAnsi="宋体" w:eastAsia="宋体" w:cs="宋体"/>
          <w:color w:val="auto"/>
          <w:highlight w:val="none"/>
          <w:shd w:val="clear" w:color="auto" w:fill="FFFFFF"/>
          <w:lang w:eastAsia="zh-CN" w:bidi="ar"/>
        </w:rPr>
        <w:t>同约定第十四项第3点处理。</w:t>
      </w:r>
    </w:p>
    <w:p w14:paraId="06A5ECA9">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本项目对服务质量和效果、效率和持续性要求较高；因此乙方承诺在本项目服务期间，除不可抗力原因外，无论任何原因(除第九项第2点外),不能擅自终止项</w:t>
      </w:r>
      <w:r>
        <w:rPr>
          <w:rFonts w:hint="eastAsia" w:ascii="宋体" w:hAnsi="宋体" w:eastAsia="宋体" w:cs="宋体"/>
          <w:color w:val="auto"/>
          <w:highlight w:val="none"/>
          <w:shd w:val="clear" w:color="auto" w:fill="FFFFFF"/>
          <w:lang w:eastAsia="zh-CN" w:bidi="ar"/>
        </w:rPr>
        <w:t>目服务工作。如乙方擅自提前解除或终止服务，则视为乙方单方违约，除应按合同金额5%向甲方支付违约金，还应承担甲方临时安排第三方继续完成服务工作而产生的费用以及由此造成的甲方损失和所有责任。</w:t>
      </w:r>
    </w:p>
    <w:p w14:paraId="656E6458">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至双方约定的交还日期，仍存在乙方未完成整改的缺陷项目的，在项目如期交还后，缺陷项目由乙方继续进行整改或由甲方另行安排他人整改，所需费用由乙方承担。</w:t>
      </w:r>
    </w:p>
    <w:p w14:paraId="443F5193">
      <w:pPr>
        <w:shd w:val="clear" w:color="auto" w:fill="FFFFFF"/>
        <w:kinsoku/>
        <w:overflowPunct w:val="0"/>
        <w:spacing w:line="400" w:lineRule="exact"/>
        <w:ind w:firstLine="422" w:firstLineChars="200"/>
        <w:rPr>
          <w:rFonts w:ascii="宋体" w:hAnsi="宋体" w:eastAsia="宋体" w:cs="宋体"/>
          <w:b/>
          <w:bCs/>
          <w:color w:val="auto"/>
          <w:highlight w:val="none"/>
          <w:shd w:val="clear" w:color="auto" w:fill="FFFFFF"/>
          <w:lang w:eastAsia="zh-CN"/>
        </w:rPr>
      </w:pPr>
      <w:r>
        <w:rPr>
          <w:rFonts w:hint="eastAsia" w:ascii="宋体" w:hAnsi="宋体" w:eastAsia="宋体" w:cs="宋体"/>
          <w:b/>
          <w:bCs/>
          <w:color w:val="auto"/>
          <w:highlight w:val="none"/>
          <w:shd w:val="clear" w:color="auto" w:fill="FFFFFF"/>
          <w:lang w:eastAsia="zh-CN"/>
        </w:rPr>
        <w:t>十一、其他</w:t>
      </w:r>
    </w:p>
    <w:p w14:paraId="1709C547">
      <w:pPr>
        <w:shd w:val="clear" w:color="auto" w:fill="FFFFFF"/>
        <w:kinsoku/>
        <w:overflowPunct w:val="0"/>
        <w:spacing w:line="400" w:lineRule="exact"/>
        <w:ind w:firstLine="420" w:firstLineChars="200"/>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1、江州区左州镇、那隆镇污水处理厂运营期间的所有收益归甲方所有，乙方不得向其他主体另行收取费用。</w:t>
      </w:r>
    </w:p>
    <w:p w14:paraId="47457CBA">
      <w:pPr>
        <w:shd w:val="clear" w:color="auto" w:fill="FFFFFF"/>
        <w:kinsoku/>
        <w:overflowPunct w:val="0"/>
        <w:spacing w:line="400" w:lineRule="exact"/>
        <w:ind w:firstLine="420" w:firstLineChars="200"/>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2、乙方提供的服务如果侵犯了第三方合法权益而引发的任何纠纷或诉讼，均由乙方负责交涉并承担全部责任。</w:t>
      </w:r>
    </w:p>
    <w:p w14:paraId="64C47878">
      <w:pPr>
        <w:shd w:val="clear" w:color="auto" w:fill="FFFFFF"/>
        <w:kinsoku/>
        <w:overflowPunct w:val="0"/>
        <w:spacing w:line="400" w:lineRule="exact"/>
        <w:ind w:firstLine="420" w:firstLineChars="200"/>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3、乙方签订合同后3个工作日内应安排技术人员进入厂区开展运营工作，提供技术指导等服务。</w:t>
      </w:r>
    </w:p>
    <w:p w14:paraId="0A507FD6">
      <w:pPr>
        <w:shd w:val="clear" w:color="auto" w:fill="FFFFFF"/>
        <w:kinsoku/>
        <w:overflowPunct w:val="0"/>
        <w:spacing w:line="400" w:lineRule="exact"/>
        <w:ind w:firstLine="422" w:firstLineChars="200"/>
        <w:rPr>
          <w:rFonts w:ascii="宋体" w:hAnsi="宋体" w:eastAsia="宋体" w:cs="宋体"/>
          <w:b/>
          <w:bCs/>
          <w:color w:val="auto"/>
          <w:highlight w:val="none"/>
          <w:shd w:val="clear" w:color="auto" w:fill="FFFFFF"/>
          <w:lang w:eastAsia="zh-CN"/>
        </w:rPr>
      </w:pPr>
      <w:r>
        <w:rPr>
          <w:rFonts w:hint="eastAsia" w:ascii="宋体" w:hAnsi="宋体" w:eastAsia="宋体" w:cs="宋体"/>
          <w:b/>
          <w:bCs/>
          <w:color w:val="auto"/>
          <w:highlight w:val="none"/>
          <w:shd w:val="clear" w:color="auto" w:fill="FFFFFF"/>
          <w:lang w:eastAsia="zh-CN"/>
        </w:rPr>
        <w:t>十二、合同到期</w:t>
      </w:r>
    </w:p>
    <w:p w14:paraId="7F054BAC">
      <w:pPr>
        <w:shd w:val="clear" w:color="auto" w:fill="FFFFFF"/>
        <w:kinsoku/>
        <w:overflowPunct w:val="0"/>
        <w:spacing w:line="400" w:lineRule="exact"/>
        <w:ind w:firstLine="420" w:firstLineChars="200"/>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合同到期结束或提前终止时，乙方应将本项目所有设备及附属配套(包括构筑物、机械设备、污水管网、水生植物、检查井、配电设备、简介牌、标示牌、栏杆等)在撤场前须保持完好状态。如上述设备及附属配套撤场前未能保持完好状态，属乙方原因造成的，乙方根据实际整改并达到移交要求后，甲方应同意接收，该部分整改费用由乙方负责，如乙方拒绝整改，甲方有权自行安排第三方公司进行整改，整改费用从合同费用中扣除。上述完好状态不包括设备自然老化、磨损等。</w:t>
      </w:r>
    </w:p>
    <w:p w14:paraId="5AD7CE51">
      <w:pPr>
        <w:shd w:val="clear" w:color="auto" w:fill="FFFFFF"/>
        <w:kinsoku/>
        <w:overflowPunct w:val="0"/>
        <w:spacing w:line="400" w:lineRule="exact"/>
        <w:ind w:firstLine="420" w:firstLineChars="200"/>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至双方约定的交还日期，仍存在乙方未完成整改的缺陷项目的，在项目如期交还后，缺陷项目由乙方继续进行整改或由甲方另行安排他人整改，所需费用由乙方承担。</w:t>
      </w:r>
    </w:p>
    <w:p w14:paraId="24494AD0">
      <w:pPr>
        <w:shd w:val="clear" w:color="auto" w:fill="FFFFFF"/>
        <w:kinsoku/>
        <w:overflowPunct w:val="0"/>
        <w:spacing w:line="400" w:lineRule="exact"/>
        <w:ind w:firstLine="422" w:firstLineChars="200"/>
        <w:rPr>
          <w:rFonts w:ascii="宋体" w:hAnsi="宋体" w:eastAsia="宋体" w:cs="宋体"/>
          <w:color w:val="auto"/>
          <w:highlight w:val="none"/>
          <w:lang w:eastAsia="zh-CN"/>
        </w:rPr>
      </w:pPr>
      <w:r>
        <w:rPr>
          <w:rFonts w:hint="eastAsia" w:ascii="宋体" w:hAnsi="宋体" w:eastAsia="宋体" w:cs="宋体"/>
          <w:b/>
          <w:bCs/>
          <w:color w:val="auto"/>
          <w:highlight w:val="none"/>
          <w:shd w:val="clear" w:color="auto" w:fill="FFFFFF"/>
          <w:lang w:eastAsia="zh-CN"/>
        </w:rPr>
        <w:t>十三、不可抗力事件处理</w:t>
      </w:r>
    </w:p>
    <w:p w14:paraId="68A88D66">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在合同有效期内，乙方因不可抗力事件导致不能履行合同，则合同履行期可延长，其延长期与不可抗力影响期相同。如因乙方管理疏忽造成的损失乙方全部负责。</w:t>
      </w:r>
    </w:p>
    <w:p w14:paraId="195C9DAD">
      <w:pPr>
        <w:shd w:val="clear" w:color="auto" w:fill="FFFFFF"/>
        <w:kinsoku/>
        <w:overflowPunct w:val="0"/>
        <w:spacing w:line="400" w:lineRule="exact"/>
        <w:ind w:firstLine="422" w:firstLineChars="200"/>
        <w:rPr>
          <w:rFonts w:ascii="宋体" w:hAnsi="宋体" w:eastAsia="宋体" w:cs="宋体"/>
          <w:b/>
          <w:bCs/>
          <w:color w:val="auto"/>
          <w:highlight w:val="none"/>
          <w:shd w:val="clear" w:color="auto" w:fill="FFFFFF"/>
          <w:lang w:eastAsia="zh-CN"/>
        </w:rPr>
      </w:pPr>
      <w:r>
        <w:rPr>
          <w:rFonts w:hint="eastAsia" w:ascii="宋体" w:hAnsi="宋体" w:eastAsia="宋体" w:cs="宋体"/>
          <w:b/>
          <w:bCs/>
          <w:color w:val="auto"/>
          <w:highlight w:val="none"/>
          <w:shd w:val="clear" w:color="auto" w:fill="FFFFFF"/>
          <w:lang w:eastAsia="zh-CN"/>
        </w:rPr>
        <w:t>十四、合同争议解决</w:t>
      </w:r>
    </w:p>
    <w:p w14:paraId="656BAE9B">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1、合同经甲乙双方法定代表人(负责人/自然人)或相应授权代表签字并加盖单位公章后生效。</w:t>
      </w:r>
    </w:p>
    <w:p w14:paraId="1D9307E2">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2、合同执行中涉及采购资金和采购内容修改或补充的，需经相关部门审批，并签订书面补充协议报相关部门备案，方可作为主合同不可分割的一部分。</w:t>
      </w:r>
    </w:p>
    <w:p w14:paraId="1323DE09">
      <w:pPr>
        <w:pStyle w:val="10"/>
        <w:kinsoku/>
        <w:overflowPunct w:val="0"/>
        <w:spacing w:line="400" w:lineRule="exact"/>
        <w:ind w:firstLine="420" w:firstLineChars="200"/>
        <w:jc w:val="both"/>
        <w:rPr>
          <w:rFonts w:ascii="宋体" w:hAnsi="宋体" w:eastAsia="宋体" w:cs="宋体"/>
          <w:color w:val="auto"/>
          <w:highlight w:val="none"/>
          <w:shd w:val="clear" w:color="auto" w:fill="FFFFFF"/>
          <w:lang w:eastAsia="zh-CN" w:bidi="ar"/>
        </w:rPr>
      </w:pPr>
      <w:r>
        <w:rPr>
          <w:rFonts w:hint="eastAsia" w:ascii="宋体" w:hAnsi="宋体" w:eastAsia="宋体" w:cs="宋体"/>
          <w:color w:val="auto"/>
          <w:highlight w:val="none"/>
          <w:shd w:val="clear" w:color="auto" w:fill="FFFFFF"/>
          <w:lang w:eastAsia="zh-CN" w:bidi="ar"/>
        </w:rPr>
        <w:t>3、履行合同时发生纠纷，应友好协商解决；如协商不成的，任何一方可向合同签订地人民法院起诉。</w:t>
      </w:r>
    </w:p>
    <w:p w14:paraId="62D660B7">
      <w:pPr>
        <w:shd w:val="clear" w:color="auto" w:fill="FFFFFF"/>
        <w:kinsoku/>
        <w:overflowPunct w:val="0"/>
        <w:spacing w:line="400" w:lineRule="exact"/>
        <w:ind w:firstLine="422" w:firstLineChars="200"/>
        <w:rPr>
          <w:rFonts w:ascii="宋体" w:hAnsi="宋体" w:eastAsia="宋体" w:cs="宋体"/>
          <w:b/>
          <w:bCs/>
          <w:color w:val="auto"/>
          <w:highlight w:val="none"/>
          <w:shd w:val="clear" w:color="auto" w:fill="FFFFFF"/>
          <w:lang w:eastAsia="zh-CN"/>
        </w:rPr>
      </w:pPr>
      <w:r>
        <w:rPr>
          <w:rFonts w:hint="eastAsia" w:ascii="宋体" w:hAnsi="宋体" w:eastAsia="宋体" w:cs="宋体"/>
          <w:b/>
          <w:bCs/>
          <w:color w:val="auto"/>
          <w:highlight w:val="none"/>
          <w:shd w:val="clear" w:color="auto" w:fill="FFFFFF"/>
          <w:lang w:eastAsia="zh-CN"/>
        </w:rPr>
        <w:t>十五、合同的变更、续签、终止与转让</w:t>
      </w:r>
    </w:p>
    <w:p w14:paraId="5007F38F">
      <w:pPr>
        <w:shd w:val="clear" w:color="auto" w:fill="FFFFFF"/>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1.本合同一经签订，甲乙双方不得擅自变更合同内容。</w:t>
      </w:r>
    </w:p>
    <w:p w14:paraId="0B46A1C4">
      <w:pPr>
        <w:shd w:val="clear" w:color="auto" w:fill="FFFFFF"/>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2.合同续签：合同执行期间，乙方无违约情况，乙方如有意愿继续运维本合同项目，可在本合同终止日前 30 日内以书面形式向甲方提出续签申请。若乙方在服务期内无重大违约行为，且前述绩效评估达到“良好”或以上等级，则甲方有权在同等条件下优先与乙方续签一年或两年期的运营服务合同，不再另行招标。续签合同具体条款，包括服务费用（可根据当时情况进行合理调整），由双方另行协商确定。</w:t>
      </w:r>
    </w:p>
    <w:p w14:paraId="49D822B3">
      <w:pPr>
        <w:shd w:val="clear" w:color="auto" w:fill="FFFFFF"/>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3.当甲方因市委、市政府或上级单位工作安排，不再作为江州区左州镇、那隆镇生活污水处理厂的权益人，需将污水处理厂(站)移交给其他单位时，乙方应配合甲方在相关文件规定的移交之日前完成交接工作，本合同在移交之日终止，甲方应根据实际运维天数向乙方结算合同费用。当因此情况终止合同时，甲乙双方不承担任何违约责任，不需向对方支付任何违约费用。</w:t>
      </w:r>
    </w:p>
    <w:p w14:paraId="7119E937">
      <w:pPr>
        <w:shd w:val="clear" w:color="auto" w:fill="FFFFFF"/>
        <w:kinsoku/>
        <w:overflowPunct w:val="0"/>
        <w:spacing w:line="400" w:lineRule="exact"/>
        <w:ind w:firstLine="420" w:firstLineChars="200"/>
        <w:rPr>
          <w:rFonts w:ascii="宋体" w:hAnsi="宋体" w:eastAsia="宋体" w:cs="宋体"/>
          <w:color w:val="auto"/>
          <w:highlight w:val="none"/>
          <w:shd w:val="clear" w:color="auto" w:fill="FFFFFF"/>
          <w:lang w:eastAsia="zh-CN"/>
        </w:rPr>
      </w:pPr>
      <w:r>
        <w:rPr>
          <w:rFonts w:hint="eastAsia" w:ascii="宋体" w:hAnsi="宋体" w:eastAsia="宋体" w:cs="宋体"/>
          <w:color w:val="auto"/>
          <w:highlight w:val="none"/>
          <w:shd w:val="clear" w:color="auto" w:fill="FFFFFF"/>
          <w:lang w:eastAsia="zh-CN"/>
        </w:rPr>
        <w:t>4.乙方不得擅自转让其应履行的合同义务。</w:t>
      </w:r>
    </w:p>
    <w:p w14:paraId="1225F9CB">
      <w:pPr>
        <w:kinsoku/>
        <w:overflowPunct w:val="0"/>
        <w:autoSpaceDE/>
        <w:autoSpaceDN/>
        <w:adjustRightInd/>
        <w:spacing w:line="400" w:lineRule="exact"/>
        <w:ind w:firstLine="422" w:firstLineChars="200"/>
        <w:jc w:val="both"/>
        <w:rPr>
          <w:rFonts w:ascii="宋体" w:hAnsi="宋体" w:eastAsia="宋体" w:cs="宋体"/>
          <w:color w:val="auto"/>
          <w:highlight w:val="none"/>
          <w:lang w:eastAsia="zh-CN"/>
        </w:rPr>
      </w:pPr>
      <w:r>
        <w:rPr>
          <w:rFonts w:hint="eastAsia" w:ascii="宋体" w:hAnsi="宋体" w:eastAsia="宋体" w:cs="宋体"/>
          <w:b/>
          <w:color w:val="auto"/>
          <w:highlight w:val="none"/>
          <w:lang w:eastAsia="zh-CN"/>
        </w:rPr>
        <w:t>十六、</w:t>
      </w:r>
      <w:r>
        <w:rPr>
          <w:rFonts w:hint="eastAsia" w:ascii="宋体" w:hAnsi="宋体" w:eastAsia="宋体" w:cs="宋体"/>
          <w:color w:val="auto"/>
          <w:highlight w:val="none"/>
          <w:lang w:eastAsia="zh-CN"/>
        </w:rPr>
        <w:t>本合同一式</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份，具有同等法律效力，采购代理机构一份，甲乙双方各</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份（可根据实际需要另行增加）。</w:t>
      </w:r>
    </w:p>
    <w:p w14:paraId="4BC45A61">
      <w:pPr>
        <w:kinsoku/>
        <w:overflowPunct w:val="0"/>
        <w:autoSpaceDE/>
        <w:autoSpaceDN/>
        <w:adjustRightInd/>
        <w:spacing w:line="400" w:lineRule="exact"/>
        <w:ind w:firstLine="420" w:firstLineChars="200"/>
        <w:jc w:val="both"/>
        <w:rPr>
          <w:rFonts w:ascii="宋体" w:hAnsi="宋体" w:eastAsia="宋体" w:cs="宋体"/>
          <w:color w:val="auto"/>
          <w:highlight w:val="none"/>
          <w:lang w:eastAsia="zh-CN"/>
        </w:rPr>
      </w:pPr>
      <w:r>
        <w:rPr>
          <w:rFonts w:hint="eastAsia" w:ascii="宋体" w:hAnsi="宋体" w:eastAsia="宋体" w:cs="宋体"/>
          <w:color w:val="auto"/>
          <w:highlight w:val="none"/>
          <w:lang w:eastAsia="zh-CN"/>
        </w:rPr>
        <w:t>本合同自签订之日起2个工作日内，甲方应当将采购合同在广西壮族自治区财政厅指定的媒体上公告。</w:t>
      </w:r>
    </w:p>
    <w:tbl>
      <w:tblPr>
        <w:tblStyle w:val="24"/>
        <w:tblW w:w="8303" w:type="dxa"/>
        <w:jc w:val="center"/>
        <w:tblLayout w:type="autofit"/>
        <w:tblCellMar>
          <w:top w:w="0" w:type="dxa"/>
          <w:left w:w="0" w:type="dxa"/>
          <w:bottom w:w="0" w:type="dxa"/>
          <w:right w:w="0" w:type="dxa"/>
        </w:tblCellMar>
      </w:tblPr>
      <w:tblGrid>
        <w:gridCol w:w="4146"/>
        <w:gridCol w:w="4157"/>
      </w:tblGrid>
      <w:tr w14:paraId="33EA5527">
        <w:tblPrEx>
          <w:tblCellMar>
            <w:top w:w="0" w:type="dxa"/>
            <w:left w:w="0" w:type="dxa"/>
            <w:bottom w:w="0" w:type="dxa"/>
            <w:right w:w="0" w:type="dxa"/>
          </w:tblCellMar>
        </w:tblPrEx>
        <w:trPr>
          <w:jc w:val="center"/>
        </w:trPr>
        <w:tc>
          <w:tcPr>
            <w:tcW w:w="0" w:type="auto"/>
          </w:tcPr>
          <w:p w14:paraId="77FE4CD2">
            <w:pPr>
              <w:spacing w:line="400" w:lineRule="exact"/>
              <w:jc w:val="both"/>
              <w:rPr>
                <w:rFonts w:ascii="宋体" w:hAnsi="宋体" w:eastAsia="宋体" w:cs="宋体"/>
                <w:color w:val="auto"/>
                <w:highlight w:val="none"/>
              </w:rPr>
            </w:pPr>
            <w:r>
              <w:rPr>
                <w:rFonts w:hint="eastAsia" w:ascii="宋体" w:hAnsi="宋体" w:eastAsia="宋体" w:cs="宋体"/>
                <w:color w:val="auto"/>
                <w:spacing w:val="6"/>
                <w:highlight w:val="none"/>
              </w:rPr>
              <w:t>甲方</w:t>
            </w:r>
            <w:r>
              <w:rPr>
                <w:rFonts w:hint="eastAsia" w:ascii="宋体" w:hAnsi="宋体" w:eastAsia="宋体" w:cs="宋体"/>
                <w:color w:val="auto"/>
                <w:spacing w:val="-6"/>
                <w:highlight w:val="none"/>
              </w:rPr>
              <w:t>：</w:t>
            </w:r>
          </w:p>
          <w:p w14:paraId="32B360B7">
            <w:pPr>
              <w:spacing w:line="400" w:lineRule="exact"/>
              <w:jc w:val="both"/>
              <w:rPr>
                <w:rFonts w:ascii="宋体" w:hAnsi="宋体" w:eastAsia="宋体" w:cs="宋体"/>
                <w:color w:val="auto"/>
                <w:highlight w:val="none"/>
              </w:rPr>
            </w:pPr>
          </w:p>
          <w:p w14:paraId="16877D05">
            <w:pPr>
              <w:spacing w:line="400" w:lineRule="exact"/>
              <w:jc w:val="both"/>
              <w:rPr>
                <w:rFonts w:ascii="宋体" w:hAnsi="宋体" w:eastAsia="宋体" w:cs="宋体"/>
                <w:color w:val="auto"/>
                <w:highlight w:val="none"/>
              </w:rPr>
            </w:pPr>
          </w:p>
          <w:p w14:paraId="2A39AB95">
            <w:pPr>
              <w:spacing w:line="400" w:lineRule="exact"/>
              <w:jc w:val="both"/>
              <w:rPr>
                <w:rFonts w:ascii="宋体" w:hAnsi="宋体" w:eastAsia="宋体" w:cs="宋体"/>
                <w:color w:val="auto"/>
                <w:highlight w:val="none"/>
              </w:rPr>
            </w:pPr>
            <w:r>
              <w:rPr>
                <w:rFonts w:hint="eastAsia" w:ascii="宋体" w:hAnsi="宋体" w:eastAsia="宋体" w:cs="宋体"/>
                <w:color w:val="auto"/>
                <w:spacing w:val="-2"/>
                <w:highlight w:val="none"/>
              </w:rPr>
              <w:t>年</w:t>
            </w:r>
            <w:r>
              <w:rPr>
                <w:rFonts w:hint="eastAsia" w:ascii="宋体" w:hAnsi="宋体" w:eastAsia="宋体" w:cs="宋体"/>
                <w:color w:val="auto"/>
                <w:spacing w:val="9"/>
                <w:highlight w:val="none"/>
              </w:rPr>
              <w:t xml:space="preserve">   </w:t>
            </w:r>
            <w:r>
              <w:rPr>
                <w:rFonts w:hint="eastAsia" w:ascii="宋体" w:hAnsi="宋体" w:eastAsia="宋体" w:cs="宋体"/>
                <w:color w:val="auto"/>
                <w:spacing w:val="-2"/>
                <w:highlight w:val="none"/>
              </w:rPr>
              <w:t>月</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2"/>
                <w:highlight w:val="none"/>
              </w:rPr>
              <w:t>日</w:t>
            </w:r>
          </w:p>
        </w:tc>
        <w:tc>
          <w:tcPr>
            <w:tcW w:w="4157" w:type="dxa"/>
          </w:tcPr>
          <w:p w14:paraId="1FF441BA">
            <w:pPr>
              <w:spacing w:line="400" w:lineRule="exact"/>
              <w:jc w:val="both"/>
              <w:rPr>
                <w:rFonts w:ascii="宋体" w:hAnsi="宋体" w:eastAsia="宋体" w:cs="宋体"/>
                <w:color w:val="auto"/>
                <w:highlight w:val="none"/>
              </w:rPr>
            </w:pPr>
            <w:r>
              <w:rPr>
                <w:rFonts w:hint="eastAsia" w:ascii="宋体" w:hAnsi="宋体" w:eastAsia="宋体" w:cs="宋体"/>
                <w:color w:val="auto"/>
                <w:spacing w:val="7"/>
                <w:highlight w:val="none"/>
              </w:rPr>
              <w:t>乙方</w:t>
            </w:r>
            <w:r>
              <w:rPr>
                <w:rFonts w:hint="eastAsia" w:ascii="宋体" w:hAnsi="宋体" w:eastAsia="宋体" w:cs="宋体"/>
                <w:color w:val="auto"/>
                <w:spacing w:val="-5"/>
                <w:highlight w:val="none"/>
              </w:rPr>
              <w:t>：</w:t>
            </w:r>
          </w:p>
          <w:p w14:paraId="0ACD8DC4">
            <w:pPr>
              <w:spacing w:line="400" w:lineRule="exact"/>
              <w:jc w:val="both"/>
              <w:rPr>
                <w:rFonts w:ascii="宋体" w:hAnsi="宋体" w:eastAsia="宋体" w:cs="宋体"/>
                <w:color w:val="auto"/>
                <w:highlight w:val="none"/>
              </w:rPr>
            </w:pPr>
          </w:p>
          <w:p w14:paraId="782EBFD2">
            <w:pPr>
              <w:spacing w:line="400" w:lineRule="exact"/>
              <w:jc w:val="both"/>
              <w:rPr>
                <w:rFonts w:ascii="宋体" w:hAnsi="宋体" w:eastAsia="宋体" w:cs="宋体"/>
                <w:color w:val="auto"/>
                <w:highlight w:val="none"/>
              </w:rPr>
            </w:pPr>
          </w:p>
          <w:p w14:paraId="430C0A1A">
            <w:pPr>
              <w:spacing w:line="400" w:lineRule="exact"/>
              <w:jc w:val="both"/>
              <w:rPr>
                <w:rFonts w:ascii="宋体" w:hAnsi="宋体" w:eastAsia="宋体" w:cs="宋体"/>
                <w:color w:val="auto"/>
                <w:highlight w:val="none"/>
              </w:rPr>
            </w:pPr>
            <w:r>
              <w:rPr>
                <w:rFonts w:hint="eastAsia" w:ascii="宋体" w:hAnsi="宋体" w:eastAsia="宋体" w:cs="宋体"/>
                <w:color w:val="auto"/>
                <w:spacing w:val="-2"/>
                <w:highlight w:val="none"/>
              </w:rPr>
              <w:t>年</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2"/>
                <w:highlight w:val="none"/>
              </w:rPr>
              <w:t>月</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2"/>
                <w:highlight w:val="none"/>
              </w:rPr>
              <w:t>日</w:t>
            </w:r>
          </w:p>
        </w:tc>
      </w:tr>
      <w:tr w14:paraId="1F622F3D">
        <w:tblPrEx>
          <w:tblCellMar>
            <w:top w:w="0" w:type="dxa"/>
            <w:left w:w="0" w:type="dxa"/>
            <w:bottom w:w="0" w:type="dxa"/>
            <w:right w:w="0" w:type="dxa"/>
          </w:tblCellMar>
        </w:tblPrEx>
        <w:trPr>
          <w:jc w:val="center"/>
        </w:trPr>
        <w:tc>
          <w:tcPr>
            <w:tcW w:w="0" w:type="auto"/>
            <w:vAlign w:val="center"/>
          </w:tcPr>
          <w:p w14:paraId="41556CCD">
            <w:pPr>
              <w:spacing w:line="400" w:lineRule="exact"/>
              <w:jc w:val="both"/>
              <w:rPr>
                <w:rFonts w:ascii="宋体" w:hAnsi="宋体" w:eastAsia="宋体" w:cs="宋体"/>
                <w:color w:val="auto"/>
                <w:highlight w:val="none"/>
              </w:rPr>
            </w:pPr>
            <w:r>
              <w:rPr>
                <w:rFonts w:hint="eastAsia" w:ascii="宋体" w:hAnsi="宋体" w:eastAsia="宋体" w:cs="宋体"/>
                <w:color w:val="auto"/>
                <w:spacing w:val="5"/>
                <w:highlight w:val="none"/>
              </w:rPr>
              <w:t>单位地址：</w:t>
            </w:r>
          </w:p>
        </w:tc>
        <w:tc>
          <w:tcPr>
            <w:tcW w:w="4157" w:type="dxa"/>
            <w:vAlign w:val="center"/>
          </w:tcPr>
          <w:p w14:paraId="4AB94EAD">
            <w:pPr>
              <w:spacing w:line="400" w:lineRule="exact"/>
              <w:jc w:val="both"/>
              <w:rPr>
                <w:rFonts w:ascii="宋体" w:hAnsi="宋体" w:eastAsia="宋体" w:cs="宋体"/>
                <w:color w:val="auto"/>
                <w:highlight w:val="none"/>
              </w:rPr>
            </w:pPr>
            <w:r>
              <w:rPr>
                <w:rFonts w:hint="eastAsia" w:ascii="宋体" w:hAnsi="宋体" w:eastAsia="宋体" w:cs="宋体"/>
                <w:color w:val="auto"/>
                <w:spacing w:val="5"/>
                <w:highlight w:val="none"/>
              </w:rPr>
              <w:t>单位地址：</w:t>
            </w:r>
          </w:p>
        </w:tc>
      </w:tr>
      <w:tr w14:paraId="6459B318">
        <w:tblPrEx>
          <w:tblCellMar>
            <w:top w:w="0" w:type="dxa"/>
            <w:left w:w="0" w:type="dxa"/>
            <w:bottom w:w="0" w:type="dxa"/>
            <w:right w:w="0" w:type="dxa"/>
          </w:tblCellMar>
        </w:tblPrEx>
        <w:trPr>
          <w:jc w:val="center"/>
        </w:trPr>
        <w:tc>
          <w:tcPr>
            <w:tcW w:w="0" w:type="auto"/>
            <w:vAlign w:val="center"/>
          </w:tcPr>
          <w:p w14:paraId="4FA0B1E1">
            <w:pPr>
              <w:spacing w:line="400" w:lineRule="exact"/>
              <w:jc w:val="both"/>
              <w:rPr>
                <w:rFonts w:ascii="宋体" w:hAnsi="宋体" w:eastAsia="宋体" w:cs="宋体"/>
                <w:color w:val="auto"/>
                <w:highlight w:val="none"/>
              </w:rPr>
            </w:pPr>
            <w:r>
              <w:rPr>
                <w:rFonts w:hint="eastAsia" w:ascii="宋体" w:hAnsi="宋体" w:eastAsia="宋体" w:cs="宋体"/>
                <w:color w:val="auto"/>
                <w:spacing w:val="6"/>
                <w:highlight w:val="none"/>
              </w:rPr>
              <w:t>法定代表人：</w:t>
            </w:r>
          </w:p>
        </w:tc>
        <w:tc>
          <w:tcPr>
            <w:tcW w:w="4157" w:type="dxa"/>
            <w:vAlign w:val="center"/>
          </w:tcPr>
          <w:p w14:paraId="2F18F2B1">
            <w:pPr>
              <w:spacing w:line="400" w:lineRule="exact"/>
              <w:jc w:val="both"/>
              <w:rPr>
                <w:rFonts w:ascii="宋体" w:hAnsi="宋体" w:eastAsia="宋体" w:cs="宋体"/>
                <w:color w:val="auto"/>
                <w:highlight w:val="none"/>
              </w:rPr>
            </w:pPr>
            <w:r>
              <w:rPr>
                <w:rFonts w:hint="eastAsia" w:ascii="宋体" w:hAnsi="宋体" w:eastAsia="宋体" w:cs="宋体"/>
                <w:color w:val="auto"/>
                <w:spacing w:val="6"/>
                <w:highlight w:val="none"/>
              </w:rPr>
              <w:t>法定代表人：</w:t>
            </w:r>
          </w:p>
        </w:tc>
      </w:tr>
      <w:tr w14:paraId="686F5C8A">
        <w:tblPrEx>
          <w:tblCellMar>
            <w:top w:w="0" w:type="dxa"/>
            <w:left w:w="0" w:type="dxa"/>
            <w:bottom w:w="0" w:type="dxa"/>
            <w:right w:w="0" w:type="dxa"/>
          </w:tblCellMar>
        </w:tblPrEx>
        <w:trPr>
          <w:jc w:val="center"/>
        </w:trPr>
        <w:tc>
          <w:tcPr>
            <w:tcW w:w="0" w:type="auto"/>
            <w:vAlign w:val="center"/>
          </w:tcPr>
          <w:p w14:paraId="5C18C920">
            <w:pPr>
              <w:spacing w:line="400" w:lineRule="exact"/>
              <w:jc w:val="both"/>
              <w:rPr>
                <w:rFonts w:ascii="宋体" w:hAnsi="宋体" w:eastAsia="宋体" w:cs="宋体"/>
                <w:color w:val="auto"/>
                <w:highlight w:val="none"/>
              </w:rPr>
            </w:pPr>
            <w:r>
              <w:rPr>
                <w:rFonts w:hint="eastAsia" w:ascii="宋体" w:hAnsi="宋体" w:eastAsia="宋体" w:cs="宋体"/>
                <w:color w:val="auto"/>
                <w:spacing w:val="6"/>
                <w:highlight w:val="none"/>
              </w:rPr>
              <w:t>委托代理人：</w:t>
            </w:r>
          </w:p>
        </w:tc>
        <w:tc>
          <w:tcPr>
            <w:tcW w:w="4157" w:type="dxa"/>
            <w:vAlign w:val="center"/>
          </w:tcPr>
          <w:p w14:paraId="29C64527">
            <w:pPr>
              <w:spacing w:line="400" w:lineRule="exact"/>
              <w:jc w:val="both"/>
              <w:rPr>
                <w:rFonts w:ascii="宋体" w:hAnsi="宋体" w:eastAsia="宋体" w:cs="宋体"/>
                <w:color w:val="auto"/>
                <w:highlight w:val="none"/>
              </w:rPr>
            </w:pPr>
            <w:r>
              <w:rPr>
                <w:rFonts w:hint="eastAsia" w:ascii="宋体" w:hAnsi="宋体" w:eastAsia="宋体" w:cs="宋体"/>
                <w:color w:val="auto"/>
                <w:spacing w:val="6"/>
                <w:highlight w:val="none"/>
              </w:rPr>
              <w:t>委托代理人：</w:t>
            </w:r>
          </w:p>
        </w:tc>
      </w:tr>
      <w:tr w14:paraId="0425D5E0">
        <w:tblPrEx>
          <w:tblCellMar>
            <w:top w:w="0" w:type="dxa"/>
            <w:left w:w="0" w:type="dxa"/>
            <w:bottom w:w="0" w:type="dxa"/>
            <w:right w:w="0" w:type="dxa"/>
          </w:tblCellMar>
        </w:tblPrEx>
        <w:trPr>
          <w:jc w:val="center"/>
        </w:trPr>
        <w:tc>
          <w:tcPr>
            <w:tcW w:w="0" w:type="auto"/>
            <w:vAlign w:val="center"/>
          </w:tcPr>
          <w:p w14:paraId="45A77BDE">
            <w:pPr>
              <w:spacing w:line="400" w:lineRule="exact"/>
              <w:jc w:val="both"/>
              <w:rPr>
                <w:rFonts w:ascii="宋体" w:hAnsi="宋体" w:eastAsia="宋体" w:cs="宋体"/>
                <w:color w:val="auto"/>
                <w:highlight w:val="none"/>
              </w:rPr>
            </w:pPr>
            <w:r>
              <w:rPr>
                <w:rFonts w:hint="eastAsia" w:ascii="宋体" w:hAnsi="宋体" w:eastAsia="宋体" w:cs="宋体"/>
                <w:color w:val="auto"/>
                <w:spacing w:val="-5"/>
                <w:highlight w:val="none"/>
              </w:rPr>
              <w:t>电话：</w:t>
            </w:r>
          </w:p>
        </w:tc>
        <w:tc>
          <w:tcPr>
            <w:tcW w:w="4157" w:type="dxa"/>
            <w:vAlign w:val="center"/>
          </w:tcPr>
          <w:p w14:paraId="5DA51EDF">
            <w:pPr>
              <w:spacing w:line="400" w:lineRule="exact"/>
              <w:jc w:val="both"/>
              <w:rPr>
                <w:rFonts w:ascii="宋体" w:hAnsi="宋体" w:eastAsia="宋体" w:cs="宋体"/>
                <w:color w:val="auto"/>
                <w:highlight w:val="none"/>
              </w:rPr>
            </w:pPr>
            <w:r>
              <w:rPr>
                <w:rFonts w:hint="eastAsia" w:ascii="宋体" w:hAnsi="宋体" w:eastAsia="宋体" w:cs="宋体"/>
                <w:color w:val="auto"/>
                <w:spacing w:val="-5"/>
                <w:highlight w:val="none"/>
              </w:rPr>
              <w:t>电话：</w:t>
            </w:r>
          </w:p>
        </w:tc>
      </w:tr>
      <w:tr w14:paraId="23F0D959">
        <w:tblPrEx>
          <w:tblCellMar>
            <w:top w:w="0" w:type="dxa"/>
            <w:left w:w="0" w:type="dxa"/>
            <w:bottom w:w="0" w:type="dxa"/>
            <w:right w:w="0" w:type="dxa"/>
          </w:tblCellMar>
        </w:tblPrEx>
        <w:trPr>
          <w:jc w:val="center"/>
        </w:trPr>
        <w:tc>
          <w:tcPr>
            <w:tcW w:w="0" w:type="auto"/>
            <w:vAlign w:val="center"/>
          </w:tcPr>
          <w:p w14:paraId="084D2E36">
            <w:pPr>
              <w:spacing w:line="400" w:lineRule="exact"/>
              <w:jc w:val="both"/>
              <w:rPr>
                <w:rFonts w:ascii="宋体" w:hAnsi="宋体" w:eastAsia="宋体" w:cs="宋体"/>
                <w:color w:val="auto"/>
                <w:highlight w:val="none"/>
              </w:rPr>
            </w:pPr>
            <w:r>
              <w:rPr>
                <w:rFonts w:hint="eastAsia" w:ascii="宋体" w:hAnsi="宋体" w:eastAsia="宋体" w:cs="宋体"/>
                <w:color w:val="auto"/>
                <w:spacing w:val="5"/>
                <w:highlight w:val="none"/>
              </w:rPr>
              <w:t>开户银行：</w:t>
            </w:r>
          </w:p>
        </w:tc>
        <w:tc>
          <w:tcPr>
            <w:tcW w:w="4157" w:type="dxa"/>
            <w:vAlign w:val="center"/>
          </w:tcPr>
          <w:p w14:paraId="077EF76C">
            <w:pPr>
              <w:spacing w:line="400" w:lineRule="exact"/>
              <w:jc w:val="both"/>
              <w:rPr>
                <w:rFonts w:ascii="宋体" w:hAnsi="宋体" w:eastAsia="宋体" w:cs="宋体"/>
                <w:color w:val="auto"/>
                <w:highlight w:val="none"/>
              </w:rPr>
            </w:pPr>
            <w:r>
              <w:rPr>
                <w:rFonts w:hint="eastAsia" w:ascii="宋体" w:hAnsi="宋体" w:eastAsia="宋体" w:cs="宋体"/>
                <w:color w:val="auto"/>
                <w:spacing w:val="5"/>
                <w:highlight w:val="none"/>
              </w:rPr>
              <w:t>开户银行：</w:t>
            </w:r>
          </w:p>
        </w:tc>
      </w:tr>
      <w:tr w14:paraId="22992B54">
        <w:tblPrEx>
          <w:tblCellMar>
            <w:top w:w="0" w:type="dxa"/>
            <w:left w:w="0" w:type="dxa"/>
            <w:bottom w:w="0" w:type="dxa"/>
            <w:right w:w="0" w:type="dxa"/>
          </w:tblCellMar>
        </w:tblPrEx>
        <w:trPr>
          <w:jc w:val="center"/>
        </w:trPr>
        <w:tc>
          <w:tcPr>
            <w:tcW w:w="0" w:type="auto"/>
            <w:vAlign w:val="center"/>
          </w:tcPr>
          <w:p w14:paraId="64A41375">
            <w:pPr>
              <w:spacing w:line="400" w:lineRule="exact"/>
              <w:jc w:val="both"/>
              <w:rPr>
                <w:rFonts w:ascii="宋体" w:hAnsi="宋体" w:eastAsia="宋体" w:cs="宋体"/>
                <w:color w:val="auto"/>
                <w:highlight w:val="none"/>
              </w:rPr>
            </w:pPr>
            <w:r>
              <w:rPr>
                <w:rFonts w:hint="eastAsia" w:ascii="宋体" w:hAnsi="宋体" w:eastAsia="宋体" w:cs="宋体"/>
                <w:color w:val="auto"/>
                <w:spacing w:val="2"/>
                <w:highlight w:val="none"/>
              </w:rPr>
              <w:t>账号：</w:t>
            </w:r>
          </w:p>
        </w:tc>
        <w:tc>
          <w:tcPr>
            <w:tcW w:w="4157" w:type="dxa"/>
            <w:vAlign w:val="center"/>
          </w:tcPr>
          <w:p w14:paraId="5CF2F2DE">
            <w:pPr>
              <w:spacing w:line="400" w:lineRule="exact"/>
              <w:jc w:val="both"/>
              <w:rPr>
                <w:rFonts w:ascii="宋体" w:hAnsi="宋体" w:eastAsia="宋体" w:cs="宋体"/>
                <w:color w:val="auto"/>
                <w:highlight w:val="none"/>
              </w:rPr>
            </w:pPr>
            <w:r>
              <w:rPr>
                <w:rFonts w:hint="eastAsia" w:ascii="宋体" w:hAnsi="宋体" w:eastAsia="宋体" w:cs="宋体"/>
                <w:color w:val="auto"/>
                <w:spacing w:val="2"/>
                <w:highlight w:val="none"/>
              </w:rPr>
              <w:t>账号：</w:t>
            </w:r>
          </w:p>
        </w:tc>
      </w:tr>
      <w:tr w14:paraId="151B9EA2">
        <w:tblPrEx>
          <w:tblCellMar>
            <w:top w:w="0" w:type="dxa"/>
            <w:left w:w="0" w:type="dxa"/>
            <w:bottom w:w="0" w:type="dxa"/>
            <w:right w:w="0" w:type="dxa"/>
          </w:tblCellMar>
        </w:tblPrEx>
        <w:trPr>
          <w:jc w:val="center"/>
        </w:trPr>
        <w:tc>
          <w:tcPr>
            <w:tcW w:w="4146" w:type="dxa"/>
            <w:vAlign w:val="center"/>
          </w:tcPr>
          <w:p w14:paraId="2CC61A23">
            <w:pPr>
              <w:spacing w:line="400" w:lineRule="exact"/>
              <w:jc w:val="both"/>
              <w:rPr>
                <w:rFonts w:ascii="宋体" w:hAnsi="宋体" w:eastAsia="宋体" w:cs="宋体"/>
                <w:color w:val="auto"/>
                <w:highlight w:val="none"/>
              </w:rPr>
            </w:pPr>
            <w:r>
              <w:rPr>
                <w:rFonts w:hint="eastAsia" w:ascii="宋体" w:hAnsi="宋体" w:eastAsia="宋体" w:cs="宋体"/>
                <w:color w:val="auto"/>
                <w:spacing w:val="2"/>
                <w:highlight w:val="none"/>
              </w:rPr>
              <w:t>邮政编码：</w:t>
            </w:r>
          </w:p>
        </w:tc>
        <w:tc>
          <w:tcPr>
            <w:tcW w:w="4157" w:type="dxa"/>
            <w:vAlign w:val="center"/>
          </w:tcPr>
          <w:p w14:paraId="02662CF9">
            <w:pPr>
              <w:spacing w:line="400" w:lineRule="exact"/>
              <w:jc w:val="both"/>
              <w:rPr>
                <w:rFonts w:ascii="宋体" w:hAnsi="宋体" w:eastAsia="宋体" w:cs="宋体"/>
                <w:color w:val="auto"/>
                <w:highlight w:val="none"/>
              </w:rPr>
            </w:pPr>
            <w:r>
              <w:rPr>
                <w:rFonts w:hint="eastAsia" w:ascii="宋体" w:hAnsi="宋体" w:eastAsia="宋体" w:cs="宋体"/>
                <w:color w:val="auto"/>
                <w:spacing w:val="2"/>
                <w:highlight w:val="none"/>
              </w:rPr>
              <w:t>邮政编码：</w:t>
            </w:r>
          </w:p>
        </w:tc>
      </w:tr>
    </w:tbl>
    <w:p w14:paraId="10126A37">
      <w:pPr>
        <w:widowControl w:val="0"/>
        <w:kinsoku/>
        <w:autoSpaceDE/>
        <w:autoSpaceDN/>
        <w:adjustRightInd/>
        <w:snapToGrid/>
        <w:spacing w:line="360" w:lineRule="auto"/>
        <w:ind w:firstLine="480" w:firstLineChars="200"/>
        <w:jc w:val="both"/>
        <w:textAlignment w:val="auto"/>
        <w:rPr>
          <w:rFonts w:ascii="仿宋" w:hAnsi="仿宋" w:eastAsia="仿宋" w:cs="仿宋"/>
          <w:snapToGrid/>
          <w:color w:val="auto"/>
          <w:kern w:val="2"/>
          <w:sz w:val="24"/>
          <w:szCs w:val="24"/>
          <w:highlight w:val="none"/>
          <w:lang w:eastAsia="zh-CN"/>
        </w:rPr>
      </w:pPr>
    </w:p>
    <w:p w14:paraId="60279D4F">
      <w:pPr>
        <w:widowControl w:val="0"/>
        <w:kinsoku/>
        <w:autoSpaceDE/>
        <w:autoSpaceDN/>
        <w:adjustRightInd/>
        <w:snapToGrid/>
        <w:spacing w:line="360" w:lineRule="auto"/>
        <w:ind w:firstLine="480" w:firstLineChars="200"/>
        <w:jc w:val="both"/>
        <w:textAlignment w:val="auto"/>
        <w:rPr>
          <w:rFonts w:ascii="仿宋" w:hAnsi="仿宋" w:eastAsia="仿宋" w:cs="仿宋"/>
          <w:snapToGrid/>
          <w:color w:val="auto"/>
          <w:kern w:val="2"/>
          <w:sz w:val="24"/>
          <w:szCs w:val="24"/>
          <w:highlight w:val="none"/>
          <w:lang w:eastAsia="zh-CN"/>
        </w:rPr>
      </w:pPr>
    </w:p>
    <w:p w14:paraId="6F20F531">
      <w:pPr>
        <w:kinsoku/>
        <w:autoSpaceDE/>
        <w:autoSpaceDN/>
        <w:adjustRightInd/>
        <w:snapToGrid/>
        <w:spacing w:line="360" w:lineRule="auto"/>
        <w:textAlignment w:val="auto"/>
        <w:rPr>
          <w:rFonts w:ascii="仿宋" w:hAnsi="仿宋" w:eastAsia="仿宋" w:cs="仿宋"/>
          <w:snapToGrid/>
          <w:color w:val="auto"/>
          <w:kern w:val="2"/>
          <w:sz w:val="24"/>
          <w:szCs w:val="24"/>
          <w:highlight w:val="none"/>
          <w:lang w:eastAsia="zh-CN"/>
        </w:rPr>
      </w:pPr>
    </w:p>
    <w:sectPr>
      <w:pgSz w:w="11910" w:h="16830"/>
      <w:pgMar w:top="1440" w:right="1080" w:bottom="1440" w:left="1080" w:header="0" w:footer="92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微软雅黑 Light">
    <w:panose1 w:val="020B0502040204020203"/>
    <w:charset w:val="86"/>
    <w:family w:val="swiss"/>
    <w:pitch w:val="default"/>
    <w:sig w:usb0="80000287" w:usb1="2ACF001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2BF0F">
    <w:pPr>
      <w:pStyle w:val="16"/>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0C37B">
                          <w:pPr>
                            <w:pStyle w:val="16"/>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D00C37B">
                    <w:pPr>
                      <w:pStyle w:val="1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20631">
    <w:pPr>
      <w:pStyle w:val="16"/>
    </w:pPr>
    <w:r>
      <w:rPr>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C9FC9">
                          <w:pPr>
                            <w:pStyle w:val="16"/>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BAC9FC9">
                    <w:pPr>
                      <w:pStyle w:val="16"/>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BAAF3">
    <w:pPr>
      <w:pStyle w:val="16"/>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7E40F">
                          <w:pPr>
                            <w:pStyle w:val="1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957E40F">
                    <w:pPr>
                      <w:pStyle w:val="1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60B4">
    <w:pPr>
      <w:pStyle w:val="16"/>
    </w:pPr>
    <w:r>
      <w:rPr>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A6539">
                          <w:pPr>
                            <w:pStyle w:val="16"/>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88A6539">
                    <w:pPr>
                      <w:pStyle w:val="16"/>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B3A3F">
    <w:pPr>
      <w:pStyle w:val="16"/>
    </w:pPr>
    <w:r>
      <w:rPr>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1683F5">
                          <w:pPr>
                            <w:pStyle w:val="1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181683F5">
                    <w:pPr>
                      <w:pStyle w:val="1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CC071">
    <w:pPr>
      <w:pStyle w:val="16"/>
    </w:pPr>
    <w:r>
      <w:rPr>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58BD6">
                          <w:pPr>
                            <w:pStyle w:val="16"/>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3BD58BD6">
                    <w:pPr>
                      <w:pStyle w:val="16"/>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91AF3">
    <w:pPr>
      <w:pStyle w:val="16"/>
    </w:pPr>
    <w:r>
      <w:rPr>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08778D">
                          <w:pPr>
                            <w:pStyle w:val="16"/>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1C08778D">
                    <w:pPr>
                      <w:pStyle w:val="16"/>
                    </w:pPr>
                    <w:r>
                      <w:fldChar w:fldCharType="begin"/>
                    </w:r>
                    <w:r>
                      <w:instrText xml:space="preserve"> PAGE  \* MERGEFORMAT </w:instrText>
                    </w:r>
                    <w:r>
                      <w:fldChar w:fldCharType="separate"/>
                    </w:r>
                    <w:r>
                      <w:t>83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E38CE">
    <w:pPr>
      <w:pStyle w:val="10"/>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61CBD"/>
    <w:multiLevelType w:val="singleLevel"/>
    <w:tmpl w:val="98461CBD"/>
    <w:lvl w:ilvl="0" w:tentative="0">
      <w:start w:val="1"/>
      <w:numFmt w:val="decimal"/>
      <w:pStyle w:val="6"/>
      <w:lvlText w:val="%1."/>
      <w:lvlJc w:val="left"/>
      <w:pPr>
        <w:tabs>
          <w:tab w:val="left" w:pos="360"/>
        </w:tabs>
        <w:ind w:left="360" w:hanging="360"/>
      </w:pPr>
    </w:lvl>
  </w:abstractNum>
  <w:abstractNum w:abstractNumId="1">
    <w:nsid w:val="1FFFC925"/>
    <w:multiLevelType w:val="singleLevel"/>
    <w:tmpl w:val="1FFFC925"/>
    <w:lvl w:ilvl="0" w:tentative="0">
      <w:start w:val="2"/>
      <w:numFmt w:val="decimal"/>
      <w:lvlText w:val="%1."/>
      <w:lvlJc w:val="left"/>
      <w:pPr>
        <w:tabs>
          <w:tab w:val="left" w:pos="312"/>
        </w:tabs>
        <w:ind w:left="420" w:firstLine="0"/>
      </w:pPr>
    </w:lvl>
  </w:abstractNum>
  <w:abstractNum w:abstractNumId="2">
    <w:nsid w:val="60755B8C"/>
    <w:multiLevelType w:val="multilevel"/>
    <w:tmpl w:val="60755B8C"/>
    <w:lvl w:ilvl="0" w:tentative="0">
      <w:start w:val="1"/>
      <w:numFmt w:val="decimal"/>
      <w:isLgl/>
      <w:suff w:val="space"/>
      <w:lvlText w:val="%1"/>
      <w:lvlJc w:val="left"/>
      <w:pPr>
        <w:tabs>
          <w:tab w:val="left" w:pos="0"/>
        </w:tabs>
      </w:pPr>
      <w:rPr>
        <w:rFonts w:hint="default" w:ascii="宋体" w:hAnsi="宋体" w:eastAsia="宋体" w:cs="Times New Roman"/>
        <w:b/>
        <w:i w:val="0"/>
        <w:color w:val="auto"/>
        <w:spacing w:val="0"/>
        <w:w w:val="100"/>
        <w:kern w:val="0"/>
        <w:position w:val="0"/>
        <w:sz w:val="28"/>
        <w:szCs w:val="28"/>
        <w:u w:val="none"/>
      </w:rPr>
    </w:lvl>
    <w:lvl w:ilvl="1" w:tentative="0">
      <w:start w:val="1"/>
      <w:numFmt w:val="decimal"/>
      <w:isLgl/>
      <w:lvlText w:val="%1.%2"/>
      <w:lvlJc w:val="left"/>
      <w:pPr>
        <w:tabs>
          <w:tab w:val="left" w:pos="3108"/>
        </w:tabs>
      </w:pPr>
      <w:rPr>
        <w:rFonts w:hint="default" w:ascii="Times New Roman" w:hAnsi="Times New Roman" w:eastAsia="宋体" w:cs="Times New Roman"/>
        <w:b/>
        <w:i w:val="0"/>
        <w:color w:val="auto"/>
        <w:spacing w:val="0"/>
        <w:w w:val="100"/>
        <w:position w:val="0"/>
        <w:sz w:val="28"/>
        <w:szCs w:val="28"/>
        <w:u w:val="none"/>
      </w:rPr>
    </w:lvl>
    <w:lvl w:ilvl="2" w:tentative="0">
      <w:start w:val="1"/>
      <w:numFmt w:val="decimal"/>
      <w:isLgl/>
      <w:lvlText w:val="%1.%2.%3"/>
      <w:lvlJc w:val="left"/>
      <w:pPr>
        <w:tabs>
          <w:tab w:val="left" w:pos="947"/>
        </w:tabs>
      </w:pPr>
      <w:rPr>
        <w:rFonts w:hint="default" w:ascii="Times New Roman" w:hAnsi="Times New Roman" w:eastAsia="宋体" w:cs="Times New Roman"/>
        <w:b w:val="0"/>
        <w:i w:val="0"/>
        <w:color w:val="auto"/>
        <w:spacing w:val="0"/>
        <w:w w:val="100"/>
        <w:position w:val="0"/>
        <w:sz w:val="24"/>
        <w:u w:val="none"/>
      </w:rPr>
    </w:lvl>
    <w:lvl w:ilvl="3" w:tentative="0">
      <w:start w:val="1"/>
      <w:numFmt w:val="decimal"/>
      <w:pStyle w:val="2"/>
      <w:lvlText w:val="%4)"/>
      <w:lvlJc w:val="left"/>
      <w:pPr>
        <w:tabs>
          <w:tab w:val="left" w:pos="0"/>
        </w:tabs>
      </w:pPr>
      <w:rPr>
        <w:rFonts w:hint="default" w:ascii="Times New Roman" w:hAnsi="Times New Roman" w:eastAsia="宋体" w:cs="Times New Roman"/>
        <w:b w:val="0"/>
        <w:i w:val="0"/>
        <w:color w:val="auto"/>
        <w:spacing w:val="0"/>
        <w:w w:val="100"/>
        <w:position w:val="0"/>
        <w:sz w:val="24"/>
        <w:u w:val="none"/>
      </w:rPr>
    </w:lvl>
    <w:lvl w:ilvl="4" w:tentative="0">
      <w:start w:val="1"/>
      <w:numFmt w:val="lowerLetter"/>
      <w:lvlText w:val="%5"/>
      <w:lvlJc w:val="left"/>
      <w:pPr>
        <w:tabs>
          <w:tab w:val="left" w:pos="851"/>
        </w:tabs>
        <w:ind w:left="851" w:hanging="352"/>
      </w:pPr>
      <w:rPr>
        <w:rFonts w:hint="default" w:ascii="Times New Roman" w:hAnsi="Times New Roman" w:eastAsia="宋体" w:cs="Times New Roman"/>
        <w:b w:val="0"/>
        <w:i w:val="0"/>
        <w:color w:val="auto"/>
        <w:spacing w:val="0"/>
        <w:w w:val="100"/>
        <w:position w:val="0"/>
        <w:sz w:val="24"/>
        <w:u w:val="none"/>
      </w:rPr>
    </w:lvl>
    <w:lvl w:ilvl="5" w:tentative="0">
      <w:start w:val="1"/>
      <w:numFmt w:val="bullet"/>
      <w:lvlText w:val="—"/>
      <w:lvlJc w:val="left"/>
      <w:pPr>
        <w:tabs>
          <w:tab w:val="left" w:pos="1349"/>
        </w:tabs>
        <w:ind w:left="1349" w:hanging="351"/>
      </w:pPr>
      <w:rPr>
        <w:rFonts w:hint="default" w:ascii="Times New Roman" w:hAnsi="Times New Roman" w:eastAsia="宋体"/>
        <w:b w:val="0"/>
        <w:i w:val="0"/>
        <w:color w:val="auto"/>
        <w:spacing w:val="0"/>
        <w:w w:val="100"/>
        <w:position w:val="0"/>
        <w:sz w:val="24"/>
        <w:u w:val="none"/>
      </w:rPr>
    </w:lvl>
    <w:lvl w:ilvl="6" w:tentative="0">
      <w:start w:val="1"/>
      <w:numFmt w:val="bullet"/>
      <w:lvlText w:val="●"/>
      <w:lvlJc w:val="left"/>
      <w:pPr>
        <w:tabs>
          <w:tab w:val="left" w:pos="1349"/>
        </w:tabs>
        <w:ind w:left="1349" w:hanging="351"/>
      </w:pPr>
      <w:rPr>
        <w:rFonts w:hint="default" w:ascii="Times New Roman" w:hAnsi="Times New Roman"/>
      </w:rPr>
    </w:lvl>
    <w:lvl w:ilvl="7" w:tentative="0">
      <w:start w:val="1"/>
      <w:numFmt w:val="decimal"/>
      <w:isLgl/>
      <w:lvlText w:val="%1.%2.%3.%4.%5.%6.%7.%8"/>
      <w:lvlJc w:val="left"/>
      <w:pPr>
        <w:tabs>
          <w:tab w:val="left" w:pos="1203"/>
        </w:tabs>
        <w:ind w:left="-172" w:hanging="425"/>
      </w:pPr>
      <w:rPr>
        <w:rFonts w:hint="eastAsia" w:cs="Times New Roman"/>
      </w:rPr>
    </w:lvl>
    <w:lvl w:ilvl="8" w:tentative="0">
      <w:start w:val="1"/>
      <w:numFmt w:val="decimal"/>
      <w:isLgl/>
      <w:lvlText w:val="%1.%2.%3.%4.%5.%6.%7.%8.%9"/>
      <w:lvlJc w:val="left"/>
      <w:pPr>
        <w:tabs>
          <w:tab w:val="left" w:pos="1563"/>
        </w:tabs>
        <w:ind w:left="-172" w:hanging="425"/>
      </w:pPr>
      <w:rPr>
        <w:rFonts w:hint="eastAsia"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isplayBackgroundShape w:val="1"/>
  <w:bordersDoNotSurroundHeader w:val="1"/>
  <w:bordersDoNotSurroundFooter w:val="1"/>
  <w:documentProtection w:enforcement="0"/>
  <w:defaultTabStop w:val="420"/>
  <w:noPunctuationKerning w:val="1"/>
  <w:characterSpacingControl w:val="doNotCompress"/>
  <w:compat>
    <w:spaceForUL/>
    <w:balanceSingleByteDoubleByteWidth/>
    <w:ulTrailSpace/>
    <w:doNotExpandShiftReturn/>
    <w:adjustLineHeightInTable/>
    <w:doNotWrapTextWithPunct/>
    <w:doNotUseEastAsianBreakRules/>
    <w:useFELayout/>
    <w:compatSetting w:name="compatibilityMode" w:uri="http://schemas.microsoft.com/office/word" w:val="14"/>
  </w:compat>
  <w:docVars>
    <w:docVar w:name="commondata" w:val="eyJoZGlkIjoiNmI5ZGY0NGQ5OGEyODUzY2E3MWM2YjNkMTgwZWQ4MjkifQ=="/>
  </w:docVars>
  <w:rsids>
    <w:rsidRoot w:val="00915F6A"/>
    <w:rsid w:val="00041CAD"/>
    <w:rsid w:val="00055C45"/>
    <w:rsid w:val="0010130D"/>
    <w:rsid w:val="00296055"/>
    <w:rsid w:val="00412FC2"/>
    <w:rsid w:val="00555EDF"/>
    <w:rsid w:val="00612493"/>
    <w:rsid w:val="00714B8E"/>
    <w:rsid w:val="007D413E"/>
    <w:rsid w:val="00834E15"/>
    <w:rsid w:val="008B73C2"/>
    <w:rsid w:val="008D4EE8"/>
    <w:rsid w:val="008E5C69"/>
    <w:rsid w:val="00915F6A"/>
    <w:rsid w:val="0092541C"/>
    <w:rsid w:val="00936276"/>
    <w:rsid w:val="009A1A32"/>
    <w:rsid w:val="00BB6B12"/>
    <w:rsid w:val="00CA0ACB"/>
    <w:rsid w:val="00E046BA"/>
    <w:rsid w:val="00E45336"/>
    <w:rsid w:val="00F34849"/>
    <w:rsid w:val="00F34DA8"/>
    <w:rsid w:val="00FE36EA"/>
    <w:rsid w:val="01475100"/>
    <w:rsid w:val="01505F15"/>
    <w:rsid w:val="01F40F97"/>
    <w:rsid w:val="02054F52"/>
    <w:rsid w:val="026305F6"/>
    <w:rsid w:val="050A6EA2"/>
    <w:rsid w:val="08407A10"/>
    <w:rsid w:val="0A070FC3"/>
    <w:rsid w:val="0ACC485F"/>
    <w:rsid w:val="0C8D626F"/>
    <w:rsid w:val="0E11306D"/>
    <w:rsid w:val="0E326C3F"/>
    <w:rsid w:val="0F0E0560"/>
    <w:rsid w:val="0F5D78B9"/>
    <w:rsid w:val="0F7A0D2D"/>
    <w:rsid w:val="0FB35FED"/>
    <w:rsid w:val="0FCA0507"/>
    <w:rsid w:val="0FE73EE9"/>
    <w:rsid w:val="104F21BA"/>
    <w:rsid w:val="10EA5A3E"/>
    <w:rsid w:val="11506EE9"/>
    <w:rsid w:val="11A55627"/>
    <w:rsid w:val="12AD35D5"/>
    <w:rsid w:val="1336140F"/>
    <w:rsid w:val="13E64BE3"/>
    <w:rsid w:val="13EE5846"/>
    <w:rsid w:val="13F7169A"/>
    <w:rsid w:val="14BC3B96"/>
    <w:rsid w:val="14FB763A"/>
    <w:rsid w:val="156813DB"/>
    <w:rsid w:val="17BEB6E7"/>
    <w:rsid w:val="17E4768B"/>
    <w:rsid w:val="18493992"/>
    <w:rsid w:val="1A71776B"/>
    <w:rsid w:val="1B684130"/>
    <w:rsid w:val="1B7C3363"/>
    <w:rsid w:val="1BC43A6F"/>
    <w:rsid w:val="1BD7059F"/>
    <w:rsid w:val="1BE374A4"/>
    <w:rsid w:val="1C375FCC"/>
    <w:rsid w:val="1C470141"/>
    <w:rsid w:val="1CE65C54"/>
    <w:rsid w:val="1E0D7210"/>
    <w:rsid w:val="1EFB07B2"/>
    <w:rsid w:val="20FC3C98"/>
    <w:rsid w:val="223A6D13"/>
    <w:rsid w:val="22456F79"/>
    <w:rsid w:val="23BF0FAD"/>
    <w:rsid w:val="24286B52"/>
    <w:rsid w:val="24575689"/>
    <w:rsid w:val="253432D4"/>
    <w:rsid w:val="26DE174A"/>
    <w:rsid w:val="26DE5BEE"/>
    <w:rsid w:val="26EB5D00"/>
    <w:rsid w:val="27357FE7"/>
    <w:rsid w:val="277327DA"/>
    <w:rsid w:val="27C76682"/>
    <w:rsid w:val="28794165"/>
    <w:rsid w:val="287C498E"/>
    <w:rsid w:val="2A2102CB"/>
    <w:rsid w:val="2A442AD5"/>
    <w:rsid w:val="2AF7102C"/>
    <w:rsid w:val="2C1005F7"/>
    <w:rsid w:val="2C5E1941"/>
    <w:rsid w:val="2CCD64E8"/>
    <w:rsid w:val="2D8868B3"/>
    <w:rsid w:val="2E13617D"/>
    <w:rsid w:val="2E180404"/>
    <w:rsid w:val="2F5359ED"/>
    <w:rsid w:val="2FB219C5"/>
    <w:rsid w:val="307B2670"/>
    <w:rsid w:val="30B22424"/>
    <w:rsid w:val="314B2DEF"/>
    <w:rsid w:val="32220B4F"/>
    <w:rsid w:val="32BA2316"/>
    <w:rsid w:val="352B4695"/>
    <w:rsid w:val="3567472C"/>
    <w:rsid w:val="35FB71D1"/>
    <w:rsid w:val="367744E1"/>
    <w:rsid w:val="36C21BE7"/>
    <w:rsid w:val="36E20DE2"/>
    <w:rsid w:val="370276D6"/>
    <w:rsid w:val="373F7FE3"/>
    <w:rsid w:val="37B7401D"/>
    <w:rsid w:val="37C91FA2"/>
    <w:rsid w:val="381E409C"/>
    <w:rsid w:val="38777184"/>
    <w:rsid w:val="38A65E3F"/>
    <w:rsid w:val="3A9643BE"/>
    <w:rsid w:val="3B181276"/>
    <w:rsid w:val="3B577589"/>
    <w:rsid w:val="3BDD7DCA"/>
    <w:rsid w:val="3C1D7108"/>
    <w:rsid w:val="3D2A2933"/>
    <w:rsid w:val="3DA212CB"/>
    <w:rsid w:val="3E960AF3"/>
    <w:rsid w:val="3E9A01F4"/>
    <w:rsid w:val="3EA352FB"/>
    <w:rsid w:val="3EC7320B"/>
    <w:rsid w:val="3F2301EA"/>
    <w:rsid w:val="3F520ACF"/>
    <w:rsid w:val="404E1296"/>
    <w:rsid w:val="4097091A"/>
    <w:rsid w:val="40EA022E"/>
    <w:rsid w:val="413B0E4D"/>
    <w:rsid w:val="414D154E"/>
    <w:rsid w:val="421F5007"/>
    <w:rsid w:val="44062F6B"/>
    <w:rsid w:val="45132EF1"/>
    <w:rsid w:val="45796DB6"/>
    <w:rsid w:val="45F20916"/>
    <w:rsid w:val="4654337F"/>
    <w:rsid w:val="482E197F"/>
    <w:rsid w:val="48496F13"/>
    <w:rsid w:val="49845D29"/>
    <w:rsid w:val="4A197D7C"/>
    <w:rsid w:val="4B0D42D4"/>
    <w:rsid w:val="4B5F6A4E"/>
    <w:rsid w:val="4C1930A0"/>
    <w:rsid w:val="4C1B441C"/>
    <w:rsid w:val="4C5C44C0"/>
    <w:rsid w:val="4CA35CD4"/>
    <w:rsid w:val="4DAA3230"/>
    <w:rsid w:val="4EAD0E27"/>
    <w:rsid w:val="4EC4765E"/>
    <w:rsid w:val="4ED45D3F"/>
    <w:rsid w:val="4F990227"/>
    <w:rsid w:val="4FBF21ED"/>
    <w:rsid w:val="50CB6599"/>
    <w:rsid w:val="51025EB1"/>
    <w:rsid w:val="51183927"/>
    <w:rsid w:val="51A46F68"/>
    <w:rsid w:val="52C85940"/>
    <w:rsid w:val="54843081"/>
    <w:rsid w:val="54EB1352"/>
    <w:rsid w:val="55186EDD"/>
    <w:rsid w:val="556F3961"/>
    <w:rsid w:val="55C95832"/>
    <w:rsid w:val="56A75EA3"/>
    <w:rsid w:val="5704203A"/>
    <w:rsid w:val="57803FD4"/>
    <w:rsid w:val="57905034"/>
    <w:rsid w:val="57C93BCD"/>
    <w:rsid w:val="581666E6"/>
    <w:rsid w:val="5856124E"/>
    <w:rsid w:val="586B6A32"/>
    <w:rsid w:val="59EF71EF"/>
    <w:rsid w:val="5ACD2708"/>
    <w:rsid w:val="5B370E4D"/>
    <w:rsid w:val="5C136F57"/>
    <w:rsid w:val="5C490CD0"/>
    <w:rsid w:val="5C891B7C"/>
    <w:rsid w:val="5CAE2661"/>
    <w:rsid w:val="5CE24DE9"/>
    <w:rsid w:val="5D3A5EE6"/>
    <w:rsid w:val="5EAB4A37"/>
    <w:rsid w:val="60224158"/>
    <w:rsid w:val="60326087"/>
    <w:rsid w:val="62BE1E54"/>
    <w:rsid w:val="649B41FB"/>
    <w:rsid w:val="649D4417"/>
    <w:rsid w:val="65D11E9E"/>
    <w:rsid w:val="67C43A69"/>
    <w:rsid w:val="68603225"/>
    <w:rsid w:val="68CF3BE2"/>
    <w:rsid w:val="69993B3C"/>
    <w:rsid w:val="699A7177"/>
    <w:rsid w:val="69AC1035"/>
    <w:rsid w:val="6A837C0B"/>
    <w:rsid w:val="6AA701F3"/>
    <w:rsid w:val="6ACA531D"/>
    <w:rsid w:val="6AF1726A"/>
    <w:rsid w:val="6B7B2C59"/>
    <w:rsid w:val="6DCC786D"/>
    <w:rsid w:val="6DFB0AFA"/>
    <w:rsid w:val="6E3B6A4F"/>
    <w:rsid w:val="6F3B14D6"/>
    <w:rsid w:val="6F637F10"/>
    <w:rsid w:val="70342F1D"/>
    <w:rsid w:val="71186863"/>
    <w:rsid w:val="711F32B7"/>
    <w:rsid w:val="720225E3"/>
    <w:rsid w:val="72C15774"/>
    <w:rsid w:val="7315786E"/>
    <w:rsid w:val="737B2D1B"/>
    <w:rsid w:val="73D4376A"/>
    <w:rsid w:val="73D5184B"/>
    <w:rsid w:val="74A013B9"/>
    <w:rsid w:val="7671169E"/>
    <w:rsid w:val="76AD7DBE"/>
    <w:rsid w:val="76BF505A"/>
    <w:rsid w:val="774A385E"/>
    <w:rsid w:val="7819395D"/>
    <w:rsid w:val="7872306D"/>
    <w:rsid w:val="796E5F2A"/>
    <w:rsid w:val="7A020420"/>
    <w:rsid w:val="7A8D5F6F"/>
    <w:rsid w:val="7CB41EA6"/>
    <w:rsid w:val="7D5E73DF"/>
    <w:rsid w:val="7DE247F1"/>
    <w:rsid w:val="7DE70059"/>
    <w:rsid w:val="7EF7251E"/>
    <w:rsid w:val="7F1C1F84"/>
    <w:rsid w:val="7F243128"/>
    <w:rsid w:val="7FEFB580"/>
    <w:rsid w:val="E9FE2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unhideWhenUsed/>
    <w:qFormat/>
    <w:uiPriority w:val="9"/>
    <w:pPr>
      <w:keepNext/>
      <w:keepLines/>
      <w:spacing w:before="260" w:after="260" w:line="415" w:lineRule="auto"/>
      <w:outlineLvl w:val="1"/>
    </w:pPr>
    <w:rPr>
      <w:rFonts w:asciiTheme="majorHAnsi" w:hAnsiTheme="majorHAnsi" w:eastAsiaTheme="majorEastAsia" w:cstheme="majorBidi"/>
      <w:b/>
      <w:bCs/>
      <w:szCs w:val="32"/>
    </w:rPr>
  </w:style>
  <w:style w:type="paragraph" w:styleId="4">
    <w:name w:val="heading 3"/>
    <w:basedOn w:val="1"/>
    <w:next w:val="1"/>
    <w:autoRedefine/>
    <w:qFormat/>
    <w:uiPriority w:val="9"/>
    <w:pPr>
      <w:keepNext/>
      <w:keepLines/>
      <w:widowControl w:val="0"/>
      <w:spacing w:before="260" w:after="260" w:line="416" w:lineRule="auto"/>
      <w:jc w:val="both"/>
      <w:outlineLvl w:val="2"/>
    </w:pPr>
    <w:rPr>
      <w:rFonts w:ascii="Times New Roman" w:hAnsi="Times New Roman" w:eastAsia="宋体" w:cs="Times New Roman"/>
      <w:b/>
      <w:bCs/>
      <w:kern w:val="2"/>
      <w:sz w:val="32"/>
      <w:szCs w:val="32"/>
      <w:lang w:eastAsia="zh-CN"/>
    </w:rPr>
  </w:style>
  <w:style w:type="paragraph" w:styleId="2">
    <w:name w:val="heading 4"/>
    <w:basedOn w:val="1"/>
    <w:next w:val="1"/>
    <w:unhideWhenUsed/>
    <w:qFormat/>
    <w:uiPriority w:val="0"/>
    <w:pPr>
      <w:numPr>
        <w:ilvl w:val="3"/>
        <w:numId w:val="1"/>
      </w:numPr>
      <w:spacing w:line="480" w:lineRule="atLeast"/>
      <w:outlineLvl w:val="3"/>
    </w:pPr>
    <w:rPr>
      <w:szCs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autoRedefine/>
    <w:qFormat/>
    <w:uiPriority w:val="0"/>
    <w:pPr>
      <w:widowControl w:val="0"/>
      <w:ind w:left="2940"/>
      <w:jc w:val="both"/>
    </w:pPr>
    <w:rPr>
      <w:rFonts w:ascii="Times New Roman" w:hAnsi="Times New Roman" w:eastAsia="宋体" w:cs="Times New Roman"/>
      <w:kern w:val="2"/>
      <w:szCs w:val="24"/>
      <w:lang w:eastAsia="zh-CN"/>
    </w:rPr>
  </w:style>
  <w:style w:type="paragraph" w:styleId="6">
    <w:name w:val="List Number"/>
    <w:basedOn w:val="1"/>
    <w:qFormat/>
    <w:uiPriority w:val="0"/>
    <w:pPr>
      <w:numPr>
        <w:ilvl w:val="0"/>
        <w:numId w:val="2"/>
      </w:numPr>
    </w:pPr>
  </w:style>
  <w:style w:type="paragraph" w:styleId="7">
    <w:name w:val="Normal Indent"/>
    <w:autoRedefine/>
    <w:qFormat/>
    <w:uiPriority w:val="0"/>
    <w:pPr>
      <w:widowControl w:val="0"/>
      <w:ind w:firstLine="420"/>
      <w:jc w:val="both"/>
    </w:pPr>
    <w:rPr>
      <w:rFonts w:ascii="Times New Roman" w:hAnsi="Times New Roman" w:eastAsia="宋体" w:cs="Times New Roman"/>
      <w:kern w:val="2"/>
      <w:sz w:val="21"/>
      <w:lang w:val="en-US" w:eastAsia="zh-CN" w:bidi="ar-SA"/>
    </w:rPr>
  </w:style>
  <w:style w:type="paragraph" w:styleId="8">
    <w:name w:val="annotation text"/>
    <w:basedOn w:val="1"/>
    <w:link w:val="39"/>
    <w:autoRedefine/>
    <w:qFormat/>
    <w:uiPriority w:val="0"/>
    <w:pPr>
      <w:widowControl w:val="0"/>
    </w:pPr>
    <w:rPr>
      <w:rFonts w:ascii="Times New Roman" w:hAnsi="Times New Roman" w:eastAsia="宋体" w:cs="Times New Roman"/>
      <w:kern w:val="2"/>
      <w:szCs w:val="24"/>
      <w:lang w:eastAsia="zh-CN"/>
    </w:rPr>
  </w:style>
  <w:style w:type="paragraph" w:styleId="9">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0">
    <w:name w:val="Body Text"/>
    <w:basedOn w:val="1"/>
    <w:autoRedefine/>
    <w:semiHidden/>
    <w:qFormat/>
    <w:uiPriority w:val="0"/>
  </w:style>
  <w:style w:type="paragraph" w:styleId="11">
    <w:name w:val="Body Text Indent"/>
    <w:basedOn w:val="1"/>
    <w:qFormat/>
    <w:uiPriority w:val="0"/>
    <w:pPr>
      <w:widowControl w:val="0"/>
      <w:ind w:firstLine="830" w:firstLineChars="352"/>
      <w:jc w:val="both"/>
    </w:pPr>
    <w:rPr>
      <w:rFonts w:ascii="仿宋_GB2312" w:hAnsi="Times New Roman" w:eastAsia="仿宋_GB2312" w:cs="Times New Roman"/>
      <w:sz w:val="32"/>
      <w:szCs w:val="20"/>
      <w:lang w:eastAsia="zh-CN"/>
    </w:rPr>
  </w:style>
  <w:style w:type="paragraph" w:styleId="12">
    <w:name w:val="List 2"/>
    <w:unhideWhenUsed/>
    <w:qFormat/>
    <w:uiPriority w:val="99"/>
    <w:pPr>
      <w:widowControl w:val="0"/>
      <w:ind w:left="100" w:leftChars="200" w:hanging="200" w:hangingChars="200"/>
      <w:contextualSpacing/>
      <w:jc w:val="both"/>
    </w:pPr>
    <w:rPr>
      <w:rFonts w:ascii="Times New Roman" w:hAnsi="Times New Roman" w:eastAsia="宋体" w:cs="Times New Roman"/>
      <w:kern w:val="2"/>
      <w:sz w:val="21"/>
      <w:szCs w:val="24"/>
      <w:lang w:val="en-US" w:eastAsia="zh-CN" w:bidi="ar-SA"/>
    </w:rPr>
  </w:style>
  <w:style w:type="paragraph" w:styleId="13">
    <w:name w:val="toc 3"/>
    <w:basedOn w:val="1"/>
    <w:next w:val="1"/>
    <w:autoRedefine/>
    <w:qFormat/>
    <w:uiPriority w:val="0"/>
    <w:pPr>
      <w:ind w:left="840" w:leftChars="400"/>
    </w:pPr>
  </w:style>
  <w:style w:type="paragraph" w:styleId="14">
    <w:name w:val="Plain Text"/>
    <w:basedOn w:val="1"/>
    <w:next w:val="5"/>
    <w:qFormat/>
    <w:uiPriority w:val="0"/>
    <w:pPr>
      <w:widowControl w:val="0"/>
      <w:jc w:val="both"/>
    </w:pPr>
    <w:rPr>
      <w:rFonts w:ascii="宋体" w:hAnsi="Courier New" w:eastAsia="宋体" w:cs="Times New Roman"/>
      <w:sz w:val="20"/>
      <w:lang w:eastAsia="zh-CN"/>
    </w:rPr>
  </w:style>
  <w:style w:type="paragraph" w:styleId="15">
    <w:name w:val="Balloon Text"/>
    <w:basedOn w:val="1"/>
    <w:link w:val="41"/>
    <w:qFormat/>
    <w:uiPriority w:val="0"/>
    <w:rPr>
      <w:sz w:val="18"/>
      <w:szCs w:val="18"/>
    </w:rPr>
  </w:style>
  <w:style w:type="paragraph" w:styleId="16">
    <w:name w:val="footer"/>
    <w:basedOn w:val="1"/>
    <w:qFormat/>
    <w:uiPriority w:val="0"/>
    <w:pPr>
      <w:tabs>
        <w:tab w:val="center" w:pos="4153"/>
        <w:tab w:val="right" w:pos="8306"/>
      </w:tabs>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unhideWhenUsed/>
    <w:qFormat/>
    <w:uiPriority w:val="99"/>
    <w:pPr>
      <w:widowControl w:val="0"/>
      <w:jc w:val="both"/>
    </w:pPr>
    <w:rPr>
      <w:rFonts w:ascii="Calibri" w:hAnsi="Calibri" w:eastAsia="宋体" w:cs="Times New Roman"/>
      <w:sz w:val="24"/>
      <w:szCs w:val="24"/>
      <w:lang w:eastAsia="zh-CN"/>
    </w:rPr>
  </w:style>
  <w:style w:type="paragraph" w:styleId="21">
    <w:name w:val="Title"/>
    <w:next w:val="1"/>
    <w:autoRedefine/>
    <w:qFormat/>
    <w:uiPriority w:val="0"/>
    <w:pPr>
      <w:widowControl w:val="0"/>
      <w:spacing w:before="240" w:after="60"/>
      <w:jc w:val="center"/>
      <w:outlineLvl w:val="0"/>
    </w:pPr>
    <w:rPr>
      <w:rFonts w:ascii="Arial" w:hAnsi="Arial" w:eastAsia="宋体" w:cs="Times New Roman"/>
      <w:b/>
      <w:bCs/>
      <w:kern w:val="2"/>
      <w:sz w:val="32"/>
      <w:szCs w:val="32"/>
      <w:lang w:val="en-US" w:eastAsia="zh-CN" w:bidi="ar-SA"/>
    </w:rPr>
  </w:style>
  <w:style w:type="paragraph" w:styleId="22">
    <w:name w:val="annotation subject"/>
    <w:basedOn w:val="8"/>
    <w:next w:val="8"/>
    <w:link w:val="40"/>
    <w:qFormat/>
    <w:uiPriority w:val="0"/>
    <w:pPr>
      <w:widowControl/>
    </w:pPr>
    <w:rPr>
      <w:rFonts w:ascii="Arial" w:hAnsi="Arial" w:eastAsia="Arial" w:cs="Arial"/>
      <w:b/>
      <w:bCs/>
      <w:kern w:val="0"/>
      <w:szCs w:val="21"/>
      <w:lang w:eastAsia="en-US"/>
    </w:rPr>
  </w:style>
  <w:style w:type="paragraph" w:styleId="23">
    <w:name w:val="Body Text First Indent 2"/>
    <w:basedOn w:val="11"/>
    <w:unhideWhenUsed/>
    <w:qFormat/>
    <w:uiPriority w:val="99"/>
    <w:pPr>
      <w:spacing w:after="120"/>
      <w:ind w:left="420" w:leftChars="200" w:firstLine="420" w:firstLineChars="200"/>
    </w:pPr>
    <w:rPr>
      <w:rFonts w:ascii="Times New Roman" w:eastAsia="宋体"/>
      <w:kern w:val="2"/>
      <w:sz w:val="21"/>
      <w:szCs w:val="24"/>
    </w:rPr>
  </w:style>
  <w:style w:type="table" w:styleId="25">
    <w:name w:val="Table Grid"/>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7">
    <w:name w:val="Strong"/>
    <w:qFormat/>
    <w:uiPriority w:val="0"/>
    <w:rPr>
      <w:b/>
    </w:rPr>
  </w:style>
  <w:style w:type="character" w:styleId="28">
    <w:name w:val="Emphasis"/>
    <w:autoRedefine/>
    <w:qFormat/>
    <w:uiPriority w:val="0"/>
    <w:rPr>
      <w:i/>
    </w:rPr>
  </w:style>
  <w:style w:type="character" w:styleId="29">
    <w:name w:val="annotation reference"/>
    <w:basedOn w:val="26"/>
    <w:qFormat/>
    <w:uiPriority w:val="0"/>
    <w:rPr>
      <w:sz w:val="21"/>
      <w:szCs w:val="21"/>
    </w:rPr>
  </w:style>
  <w:style w:type="paragraph" w:customStyle="1" w:styleId="30">
    <w:name w:val="样式 行距: 1.5 倍行距 首行缩进:  2 字符"/>
    <w:qFormat/>
    <w:uiPriority w:val="0"/>
    <w:pPr>
      <w:widowControl w:val="0"/>
      <w:adjustRightInd w:val="0"/>
      <w:snapToGrid w:val="0"/>
      <w:spacing w:line="460" w:lineRule="exact"/>
      <w:jc w:val="both"/>
    </w:pPr>
    <w:rPr>
      <w:rFonts w:ascii="Times New Roman" w:hAnsi="Times New Roman" w:eastAsia="宋体" w:cs="Times New Roman"/>
      <w:kern w:val="2"/>
      <w:sz w:val="24"/>
      <w:szCs w:val="24"/>
      <w:lang w:val="en-US" w:eastAsia="zh-CN" w:bidi="ar-SA"/>
    </w:rPr>
  </w:style>
  <w:style w:type="table" w:customStyle="1" w:styleId="31">
    <w:name w:val="Table Normal"/>
    <w:autoRedefine/>
    <w:semiHidden/>
    <w:unhideWhenUsed/>
    <w:qFormat/>
    <w:uiPriority w:val="0"/>
    <w:tblPr>
      <w:tblCellMar>
        <w:top w:w="0" w:type="dxa"/>
        <w:left w:w="0" w:type="dxa"/>
        <w:bottom w:w="0" w:type="dxa"/>
        <w:right w:w="0" w:type="dxa"/>
      </w:tblCellMar>
    </w:tblPr>
  </w:style>
  <w:style w:type="paragraph" w:customStyle="1" w:styleId="32">
    <w:name w:val="Table Text"/>
    <w:basedOn w:val="1"/>
    <w:autoRedefine/>
    <w:semiHidden/>
    <w:qFormat/>
    <w:uiPriority w:val="0"/>
    <w:rPr>
      <w:rFonts w:ascii="宋体" w:hAnsi="宋体" w:eastAsia="宋体" w:cs="宋体"/>
      <w:sz w:val="22"/>
      <w:szCs w:val="22"/>
    </w:rPr>
  </w:style>
  <w:style w:type="paragraph" w:customStyle="1" w:styleId="33">
    <w:name w:val="正文2"/>
    <w:autoRedefine/>
    <w:qFormat/>
    <w:uiPriority w:val="0"/>
    <w:pPr>
      <w:widowControl w:val="0"/>
      <w:adjustRightInd w:val="0"/>
      <w:spacing w:before="156" w:line="360" w:lineRule="auto"/>
      <w:ind w:firstLine="510" w:firstLineChars="200"/>
      <w:jc w:val="both"/>
    </w:pPr>
    <w:rPr>
      <w:rFonts w:ascii="Times New Roman" w:hAnsi="Times New Roman" w:eastAsia="宋体" w:cs="Times New Roman"/>
      <w:kern w:val="2"/>
      <w:sz w:val="24"/>
      <w:lang w:val="en-US" w:eastAsia="zh-CN" w:bidi="ar-SA"/>
    </w:rPr>
  </w:style>
  <w:style w:type="paragraph" w:customStyle="1" w:styleId="34">
    <w:name w:val="纯文本1"/>
    <w:basedOn w:val="1"/>
    <w:next w:val="1"/>
    <w:qFormat/>
    <w:uiPriority w:val="0"/>
    <w:rPr>
      <w:rFonts w:ascii="宋体" w:hAnsi="宋体" w:cs="Courier New"/>
      <w:sz w:val="20"/>
    </w:rPr>
  </w:style>
  <w:style w:type="table" w:customStyle="1" w:styleId="35">
    <w:name w:val="Table Normal_0"/>
    <w:autoRedefine/>
    <w:semiHidden/>
    <w:unhideWhenUsed/>
    <w:qFormat/>
    <w:uiPriority w:val="0"/>
    <w:tblPr>
      <w:tblCellMar>
        <w:top w:w="0" w:type="dxa"/>
        <w:left w:w="0" w:type="dxa"/>
        <w:bottom w:w="0" w:type="dxa"/>
        <w:right w:w="0" w:type="dxa"/>
      </w:tblCellMar>
    </w:tblPr>
  </w:style>
  <w:style w:type="paragraph" w:customStyle="1" w:styleId="36">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7">
    <w:name w:val="１正文模板"/>
    <w:basedOn w:val="1"/>
    <w:qFormat/>
    <w:uiPriority w:val="0"/>
    <w:pPr>
      <w:wordWrap w:val="0"/>
      <w:overflowPunct w:val="0"/>
      <w:spacing w:line="360" w:lineRule="auto"/>
      <w:ind w:firstLine="420" w:firstLineChars="200"/>
    </w:pPr>
    <w:rPr>
      <w:rFonts w:ascii="微软雅黑 Light" w:hAnsi="微软雅黑 Light" w:eastAsia="微软雅黑 Light" w:cs="Times New Roman"/>
    </w:rPr>
  </w:style>
  <w:style w:type="character" w:customStyle="1" w:styleId="38">
    <w:name w:val="NormalCharacter"/>
    <w:semiHidden/>
    <w:qFormat/>
    <w:uiPriority w:val="0"/>
  </w:style>
  <w:style w:type="character" w:customStyle="1" w:styleId="39">
    <w:name w:val="批注文字 字符"/>
    <w:basedOn w:val="26"/>
    <w:link w:val="8"/>
    <w:uiPriority w:val="0"/>
    <w:rPr>
      <w:snapToGrid w:val="0"/>
      <w:color w:val="000000"/>
      <w:kern w:val="2"/>
      <w:sz w:val="21"/>
      <w:szCs w:val="24"/>
    </w:rPr>
  </w:style>
  <w:style w:type="character" w:customStyle="1" w:styleId="40">
    <w:name w:val="批注主题 字符"/>
    <w:basedOn w:val="39"/>
    <w:link w:val="22"/>
    <w:uiPriority w:val="0"/>
    <w:rPr>
      <w:rFonts w:ascii="Arial" w:hAnsi="Arial" w:eastAsia="Arial" w:cs="Arial"/>
      <w:b/>
      <w:bCs/>
      <w:snapToGrid w:val="0"/>
      <w:color w:val="000000"/>
      <w:kern w:val="2"/>
      <w:sz w:val="21"/>
      <w:szCs w:val="21"/>
      <w:lang w:eastAsia="en-US"/>
    </w:rPr>
  </w:style>
  <w:style w:type="character" w:customStyle="1" w:styleId="41">
    <w:name w:val="批注框文本 字符"/>
    <w:basedOn w:val="26"/>
    <w:link w:val="15"/>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3773</Words>
  <Characters>4297</Characters>
  <Lines>430</Lines>
  <Paragraphs>121</Paragraphs>
  <TotalTime>15</TotalTime>
  <ScaleCrop>false</ScaleCrop>
  <LinksUpToDate>false</LinksUpToDate>
  <CharactersWithSpaces>4497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2026-02-02T11:34:00Z</dcterms:created>
  <dc:creator>lenovo</dc:creator>
  <cp:lastModifiedBy>123</cp:lastModifiedBy>
  <dcterms:modified xsi:type="dcterms:W3CDTF">2026-07-14T09:54:23Z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2026-02-01T11:34:56Z</vt:filetime>
  </property>
  <property fmtid="{D5CDD505-2E9C-101B-9397-08002B2CF9AE}" pid="4" name="UsrData">
    <vt:lpwstr>697ec9d3ac2b00001f4faabcwl</vt:lpwstr>
  </property>
  <property fmtid="{D5CDD505-2E9C-101B-9397-08002B2CF9AE}" pid="5" name="KSOTemplateDocerSaveRecord">
    <vt:lpwstr>eyJoZGlkIjoiMzEwNTM5NzYwMDRjMzkwZTVkZjY2ODkwMGIxNGU0OTUiLCJ1c2VySWQiOiIyODU5MjM2ODIifQ==</vt:lpwstr>
  </property>
  <property fmtid="{D5CDD505-2E9C-101B-9397-08002B2CF9AE}" pid="6" name="KSOProductBuildVer">
    <vt:lpwstr>2052-12.1.0.26895</vt:lpwstr>
  </property>
  <property fmtid="{D5CDD505-2E9C-101B-9397-08002B2CF9AE}" pid="7" name="ICV">
    <vt:lpwstr>21B7A9B59D184046A528B8B4CB344699_13</vt:lpwstr>
  </property>
</Properties>
</file>