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CF8EB">
      <w:pPr>
        <w:spacing w:line="600" w:lineRule="exact"/>
        <w:jc w:val="center"/>
        <w:rPr>
          <w:rFonts w:hint="eastAsia" w:ascii="仿宋" w:hAnsi="仿宋" w:eastAsia="仿宋" w:cs="仿宋"/>
          <w:spacing w:val="94"/>
          <w:sz w:val="20"/>
          <w:highlight w:val="none"/>
        </w:rPr>
      </w:pPr>
      <w:bookmarkStart w:id="0" w:name="_Toc10319"/>
      <w:bookmarkStart w:id="1" w:name="_Toc7014_WPSOffice_Level1"/>
    </w:p>
    <w:p w14:paraId="0EB8F580">
      <w:pPr>
        <w:spacing w:line="600" w:lineRule="exact"/>
        <w:jc w:val="center"/>
        <w:rPr>
          <w:rFonts w:ascii="仿宋" w:hAnsi="仿宋" w:eastAsia="仿宋" w:cs="仿宋"/>
          <w:b/>
          <w:bCs/>
          <w:sz w:val="52"/>
          <w:szCs w:val="52"/>
          <w:highlight w:val="none"/>
        </w:rPr>
      </w:pPr>
      <w:r>
        <w:rPr>
          <w:rFonts w:ascii="仿宋" w:hAnsi="仿宋" w:eastAsia="仿宋" w:cs="仿宋"/>
          <w:b/>
          <w:bCs/>
          <w:spacing w:val="94"/>
          <w:sz w:val="20"/>
          <w:highlight w:val="none"/>
        </w:rPr>
        <w:pict>
          <v:line id="_x0000_s1026" o:spid="_x0000_s1026" o:spt="20" style="position:absolute;left:0pt;margin-left:54.2pt;margin-top:35.95pt;height:0pt;width:405pt;z-index:251660288;mso-width-relative:page;mso-height-relative:page;" coordsize="21600,21600" o:gfxdata="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EDS&#10;btYAAAAJAQAADwAAAAAAAAABACAAAAAiAAAAZHJzL2Rvd25yZXYueG1sUEsBAhQAFAAAAAgAh07i&#10;QMBRwcnrAQAA2QMAAA4AAAAAAAAAAQAgAAAAJQEAAGRycy9lMm9Eb2MueG1sUEsFBgAAAAAGAAYA&#10;WQEAAIIFAAAAAA==&#10;">
            <v:path arrowok="t"/>
            <v:fill focussize="0,0"/>
            <v:stroke weight="1pt"/>
            <v:imagedata o:title=""/>
            <o:lock v:ext="edit"/>
          </v:line>
        </w:pict>
      </w:r>
      <w:r>
        <w:rPr>
          <w:rFonts w:hint="eastAsia" w:ascii="仿宋" w:hAnsi="仿宋" w:eastAsia="仿宋" w:cs="仿宋"/>
          <w:b/>
          <w:bCs/>
          <w:sz w:val="52"/>
          <w:highlight w:val="none"/>
          <w:lang w:eastAsia="zh-CN"/>
        </w:rPr>
        <w:t>广西鸿墨项目管理有限公司</w:t>
      </w:r>
      <w:r>
        <w:rPr>
          <w:rFonts w:hint="eastAsia" w:ascii="仿宋" w:hAnsi="仿宋" w:eastAsia="仿宋" w:cs="仿宋"/>
          <w:sz w:val="52"/>
          <w:highlight w:val="none"/>
        </w:rPr>
        <w:cr/>
      </w:r>
    </w:p>
    <w:p w14:paraId="73B34CF2">
      <w:pPr>
        <w:pStyle w:val="17"/>
        <w:rPr>
          <w:rFonts w:ascii="仿宋" w:hAnsi="仿宋" w:eastAsia="仿宋" w:cs="仿宋"/>
          <w:b/>
          <w:bCs/>
          <w:sz w:val="52"/>
          <w:szCs w:val="52"/>
          <w:highlight w:val="none"/>
        </w:rPr>
      </w:pPr>
    </w:p>
    <w:p w14:paraId="2ADB0F18">
      <w:pPr>
        <w:rPr>
          <w:rFonts w:ascii="仿宋" w:hAnsi="仿宋" w:eastAsia="仿宋" w:cs="仿宋"/>
          <w:b/>
          <w:bCs/>
          <w:sz w:val="52"/>
          <w:szCs w:val="52"/>
          <w:highlight w:val="none"/>
        </w:rPr>
      </w:pPr>
    </w:p>
    <w:p w14:paraId="28A620DC">
      <w:pPr>
        <w:pStyle w:val="10"/>
        <w:rPr>
          <w:highlight w:val="none"/>
        </w:rPr>
      </w:pPr>
    </w:p>
    <w:p w14:paraId="580354A7">
      <w:pPr>
        <w:pStyle w:val="17"/>
        <w:rPr>
          <w:rFonts w:ascii="仿宋" w:hAnsi="仿宋" w:eastAsia="仿宋" w:cs="仿宋"/>
          <w:b/>
          <w:bCs/>
          <w:sz w:val="52"/>
          <w:szCs w:val="52"/>
          <w:highlight w:val="none"/>
        </w:rPr>
      </w:pPr>
    </w:p>
    <w:p w14:paraId="1E9C4CB3">
      <w:pPr>
        <w:jc w:val="center"/>
        <w:rPr>
          <w:rFonts w:ascii="仿宋" w:hAnsi="仿宋" w:eastAsia="仿宋" w:cs="仿宋"/>
          <w:b/>
          <w:bCs/>
          <w:sz w:val="52"/>
          <w:szCs w:val="52"/>
          <w:highlight w:val="none"/>
        </w:rPr>
      </w:pPr>
      <w:r>
        <w:rPr>
          <w:rFonts w:hint="eastAsia" w:ascii="仿宋" w:hAnsi="仿宋" w:eastAsia="仿宋" w:cs="仿宋"/>
          <w:b/>
          <w:sz w:val="84"/>
          <w:szCs w:val="84"/>
          <w:highlight w:val="none"/>
        </w:rPr>
        <w:t>竞争性磋商文件</w:t>
      </w:r>
    </w:p>
    <w:p w14:paraId="6C07F1B9">
      <w:pPr>
        <w:jc w:val="center"/>
        <w:rPr>
          <w:rFonts w:hint="eastAsia" w:ascii="仿宋" w:hAnsi="仿宋" w:eastAsia="仿宋" w:cs="仿宋"/>
          <w:b/>
          <w:bCs/>
          <w:sz w:val="52"/>
          <w:szCs w:val="52"/>
          <w:highlight w:val="none"/>
        </w:rPr>
      </w:pPr>
    </w:p>
    <w:p w14:paraId="440FCD60">
      <w:pPr>
        <w:jc w:val="center"/>
        <w:rPr>
          <w:rFonts w:ascii="仿宋" w:hAnsi="仿宋" w:eastAsia="仿宋" w:cs="仿宋"/>
          <w:b/>
          <w:bCs/>
          <w:sz w:val="52"/>
          <w:szCs w:val="52"/>
          <w:highlight w:val="none"/>
        </w:rPr>
      </w:pPr>
    </w:p>
    <w:p w14:paraId="6191DE78">
      <w:pPr>
        <w:ind w:firstLine="2240" w:firstLineChars="700"/>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rPr>
        <w:t>项 目 名 称：</w:t>
      </w:r>
      <w:r>
        <w:rPr>
          <w:rFonts w:hint="eastAsia" w:ascii="仿宋" w:hAnsi="仿宋" w:eastAsia="仿宋" w:cs="仿宋"/>
          <w:b/>
          <w:bCs/>
          <w:sz w:val="32"/>
          <w:szCs w:val="32"/>
          <w:highlight w:val="none"/>
          <w:lang w:eastAsia="zh-CN"/>
        </w:rPr>
        <w:t>雁山区金雁餐厅货物采购配送服务</w:t>
      </w:r>
    </w:p>
    <w:p w14:paraId="0C98B395">
      <w:pPr>
        <w:ind w:firstLine="2240" w:firstLineChars="700"/>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rPr>
        <w:t>项 目 编 号：</w:t>
      </w:r>
      <w:r>
        <w:rPr>
          <w:rFonts w:hint="eastAsia" w:ascii="仿宋" w:hAnsi="仿宋" w:eastAsia="仿宋" w:cs="仿宋"/>
          <w:b/>
          <w:bCs/>
          <w:sz w:val="32"/>
          <w:szCs w:val="32"/>
          <w:highlight w:val="none"/>
          <w:lang w:eastAsia="zh-CN"/>
        </w:rPr>
        <w:t>GLZC2026-C3-990265-GXHM</w:t>
      </w:r>
    </w:p>
    <w:p w14:paraId="08B2D29D">
      <w:pPr>
        <w:ind w:firstLine="1600" w:firstLineChars="500"/>
        <w:rPr>
          <w:rFonts w:ascii="仿宋" w:hAnsi="仿宋" w:eastAsia="仿宋" w:cs="仿宋"/>
          <w:sz w:val="32"/>
          <w:szCs w:val="32"/>
          <w:highlight w:val="none"/>
        </w:rPr>
      </w:pPr>
    </w:p>
    <w:p w14:paraId="1955F97B">
      <w:pPr>
        <w:jc w:val="center"/>
        <w:rPr>
          <w:rFonts w:ascii="仿宋" w:hAnsi="仿宋" w:eastAsia="仿宋" w:cs="仿宋"/>
          <w:sz w:val="32"/>
          <w:szCs w:val="32"/>
          <w:highlight w:val="none"/>
        </w:rPr>
      </w:pPr>
    </w:p>
    <w:p w14:paraId="402C279F">
      <w:pPr>
        <w:jc w:val="center"/>
        <w:rPr>
          <w:rFonts w:ascii="仿宋" w:hAnsi="仿宋" w:eastAsia="仿宋" w:cs="仿宋"/>
          <w:sz w:val="32"/>
          <w:szCs w:val="32"/>
          <w:highlight w:val="none"/>
        </w:rPr>
      </w:pPr>
    </w:p>
    <w:p w14:paraId="3408F924">
      <w:pPr>
        <w:ind w:firstLine="2240" w:firstLineChars="700"/>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rPr>
        <w:t>采购代理机构：</w:t>
      </w:r>
      <w:r>
        <w:rPr>
          <w:rFonts w:hint="eastAsia" w:ascii="仿宋" w:hAnsi="仿宋" w:eastAsia="仿宋" w:cs="仿宋"/>
          <w:b/>
          <w:bCs/>
          <w:sz w:val="32"/>
          <w:szCs w:val="32"/>
          <w:highlight w:val="none"/>
          <w:lang w:eastAsia="zh-CN"/>
        </w:rPr>
        <w:t>广西鸿墨项目管理有限公司</w:t>
      </w:r>
    </w:p>
    <w:p w14:paraId="684A3970">
      <w:pPr>
        <w:pStyle w:val="10"/>
        <w:rPr>
          <w:rFonts w:ascii="仿宋" w:hAnsi="仿宋" w:eastAsia="仿宋" w:cs="仿宋"/>
          <w:b/>
          <w:bCs/>
          <w:highlight w:val="none"/>
        </w:rPr>
      </w:pPr>
    </w:p>
    <w:p w14:paraId="72571FF2">
      <w:pPr>
        <w:ind w:firstLine="4800" w:firstLineChars="1500"/>
        <w:rPr>
          <w:rFonts w:hint="eastAsia" w:ascii="仿宋" w:hAnsi="仿宋" w:eastAsia="仿宋" w:cs="仿宋"/>
          <w:sz w:val="48"/>
          <w:szCs w:val="48"/>
          <w:highlight w:val="none"/>
          <w:lang w:eastAsia="zh-CN"/>
        </w:rPr>
        <w:sectPr>
          <w:pgSz w:w="11906" w:h="16838"/>
          <w:pgMar w:top="1440" w:right="935" w:bottom="1440" w:left="777" w:header="851" w:footer="992" w:gutter="0"/>
          <w:pgNumType w:fmt="numberInDash" w:start="1"/>
          <w:cols w:space="720" w:num="1"/>
          <w:docGrid w:type="linesAndChars" w:linePitch="312" w:charSpace="0"/>
        </w:sectPr>
      </w:pPr>
      <w:r>
        <w:rPr>
          <w:rFonts w:hint="eastAsia" w:ascii="仿宋" w:hAnsi="仿宋" w:eastAsia="仿宋" w:cs="仿宋"/>
          <w:b/>
          <w:bCs/>
          <w:sz w:val="32"/>
          <w:szCs w:val="32"/>
          <w:highlight w:val="none"/>
          <w:lang w:eastAsia="zh-CN"/>
        </w:rPr>
        <w:t>2026年6月</w:t>
      </w:r>
    </w:p>
    <w:p w14:paraId="62A827F4">
      <w:pPr>
        <w:jc w:val="center"/>
        <w:rPr>
          <w:rFonts w:ascii="仿宋" w:hAnsi="仿宋" w:eastAsia="仿宋" w:cs="仿宋"/>
          <w:b/>
          <w:bCs/>
          <w:sz w:val="36"/>
          <w:szCs w:val="36"/>
          <w:highlight w:val="none"/>
        </w:rPr>
      </w:pPr>
      <w:r>
        <w:rPr>
          <w:rFonts w:hint="eastAsia" w:ascii="仿宋" w:hAnsi="仿宋" w:eastAsia="仿宋" w:cs="仿宋"/>
          <w:b/>
          <w:bCs/>
          <w:sz w:val="36"/>
          <w:szCs w:val="36"/>
          <w:highlight w:val="none"/>
          <w:lang w:val="zh-CN"/>
        </w:rPr>
        <w:t>目录</w:t>
      </w:r>
    </w:p>
    <w:p w14:paraId="2F1CDE5A">
      <w:pPr>
        <w:pStyle w:val="19"/>
        <w:tabs>
          <w:tab w:val="right" w:leader="dot" w:pos="10194"/>
        </w:tabs>
        <w:rPr>
          <w:rFonts w:ascii="仿宋" w:hAnsi="仿宋" w:eastAsia="仿宋" w:cs="仿宋"/>
          <w:sz w:val="32"/>
          <w:szCs w:val="32"/>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TOC \o "1-3" \h \z \u </w:instrText>
      </w:r>
      <w:r>
        <w:rPr>
          <w:rFonts w:hint="eastAsia" w:ascii="仿宋" w:hAnsi="仿宋" w:eastAsia="仿宋" w:cs="仿宋"/>
          <w:highlight w:val="none"/>
        </w:rPr>
        <w:fldChar w:fldCharType="separate"/>
      </w:r>
      <w:r>
        <w:rPr>
          <w:highlight w:val="none"/>
        </w:rPr>
        <w:fldChar w:fldCharType="begin"/>
      </w:r>
      <w:r>
        <w:rPr>
          <w:highlight w:val="none"/>
        </w:rPr>
        <w:instrText xml:space="preserve"> HYPERLINK \l "_Toc22806" </w:instrText>
      </w:r>
      <w:r>
        <w:rPr>
          <w:highlight w:val="none"/>
        </w:rPr>
        <w:fldChar w:fldCharType="separate"/>
      </w:r>
      <w:r>
        <w:rPr>
          <w:rFonts w:hint="eastAsia" w:ascii="仿宋" w:hAnsi="仿宋" w:eastAsia="仿宋" w:cs="仿宋"/>
          <w:sz w:val="32"/>
          <w:szCs w:val="32"/>
          <w:highlight w:val="none"/>
        </w:rPr>
        <w:t>第一章 竞争性磋商公告</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_Toc22806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2</w:t>
      </w:r>
      <w:r>
        <w:rPr>
          <w:rFonts w:hint="eastAsia" w:ascii="仿宋" w:hAnsi="仿宋" w:eastAsia="仿宋" w:cs="仿宋"/>
          <w:sz w:val="32"/>
          <w:szCs w:val="32"/>
          <w:highlight w:val="none"/>
        </w:rPr>
        <w:fldChar w:fldCharType="end"/>
      </w:r>
      <w:r>
        <w:rPr>
          <w:rFonts w:hint="eastAsia" w:ascii="仿宋" w:hAnsi="仿宋" w:eastAsia="仿宋" w:cs="仿宋"/>
          <w:sz w:val="32"/>
          <w:szCs w:val="32"/>
          <w:highlight w:val="none"/>
        </w:rPr>
        <w:fldChar w:fldCharType="end"/>
      </w:r>
    </w:p>
    <w:p w14:paraId="7A9455B2">
      <w:pPr>
        <w:pStyle w:val="19"/>
        <w:tabs>
          <w:tab w:val="right" w:leader="dot" w:pos="10194"/>
        </w:tabs>
        <w:rPr>
          <w:rFonts w:ascii="仿宋" w:hAnsi="仿宋" w:eastAsia="仿宋" w:cs="仿宋"/>
          <w:sz w:val="32"/>
          <w:szCs w:val="32"/>
          <w:highlight w:val="none"/>
        </w:rPr>
      </w:pPr>
      <w:r>
        <w:rPr>
          <w:highlight w:val="none"/>
        </w:rPr>
        <w:fldChar w:fldCharType="begin"/>
      </w:r>
      <w:r>
        <w:rPr>
          <w:highlight w:val="none"/>
        </w:rPr>
        <w:instrText xml:space="preserve"> HYPERLINK \l "_Toc1638" </w:instrText>
      </w:r>
      <w:r>
        <w:rPr>
          <w:highlight w:val="none"/>
        </w:rPr>
        <w:fldChar w:fldCharType="separate"/>
      </w:r>
      <w:r>
        <w:rPr>
          <w:rFonts w:hint="eastAsia" w:ascii="仿宋" w:hAnsi="仿宋" w:eastAsia="仿宋" w:cs="仿宋"/>
          <w:sz w:val="32"/>
          <w:szCs w:val="32"/>
          <w:highlight w:val="none"/>
        </w:rPr>
        <w:t>第二章 供应商须知</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_Toc1638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5</w:t>
      </w:r>
      <w:r>
        <w:rPr>
          <w:rFonts w:hint="eastAsia" w:ascii="仿宋" w:hAnsi="仿宋" w:eastAsia="仿宋" w:cs="仿宋"/>
          <w:sz w:val="32"/>
          <w:szCs w:val="32"/>
          <w:highlight w:val="none"/>
        </w:rPr>
        <w:fldChar w:fldCharType="end"/>
      </w:r>
      <w:r>
        <w:rPr>
          <w:rFonts w:hint="eastAsia" w:ascii="仿宋" w:hAnsi="仿宋" w:eastAsia="仿宋" w:cs="仿宋"/>
          <w:sz w:val="32"/>
          <w:szCs w:val="32"/>
          <w:highlight w:val="none"/>
        </w:rPr>
        <w:fldChar w:fldCharType="end"/>
      </w:r>
    </w:p>
    <w:p w14:paraId="5F793793">
      <w:pPr>
        <w:pStyle w:val="19"/>
        <w:tabs>
          <w:tab w:val="right" w:leader="dot" w:pos="10194"/>
        </w:tabs>
        <w:rPr>
          <w:rFonts w:ascii="仿宋" w:hAnsi="仿宋" w:eastAsia="仿宋" w:cs="仿宋"/>
          <w:sz w:val="32"/>
          <w:szCs w:val="32"/>
          <w:highlight w:val="none"/>
        </w:rPr>
      </w:pPr>
      <w:r>
        <w:rPr>
          <w:highlight w:val="none"/>
        </w:rPr>
        <w:fldChar w:fldCharType="begin"/>
      </w:r>
      <w:r>
        <w:rPr>
          <w:highlight w:val="none"/>
        </w:rPr>
        <w:instrText xml:space="preserve"> HYPERLINK \l "_Toc5459" </w:instrText>
      </w:r>
      <w:r>
        <w:rPr>
          <w:highlight w:val="none"/>
        </w:rPr>
        <w:fldChar w:fldCharType="separate"/>
      </w:r>
      <w:r>
        <w:rPr>
          <w:rFonts w:hint="eastAsia" w:ascii="仿宋" w:hAnsi="仿宋" w:eastAsia="仿宋" w:cs="仿宋"/>
          <w:sz w:val="32"/>
          <w:szCs w:val="32"/>
          <w:highlight w:val="none"/>
        </w:rPr>
        <w:t>第三章 采购需求</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_Toc5459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32</w:t>
      </w:r>
      <w:r>
        <w:rPr>
          <w:rFonts w:hint="eastAsia" w:ascii="仿宋" w:hAnsi="仿宋" w:eastAsia="仿宋" w:cs="仿宋"/>
          <w:sz w:val="32"/>
          <w:szCs w:val="32"/>
          <w:highlight w:val="none"/>
        </w:rPr>
        <w:fldChar w:fldCharType="end"/>
      </w:r>
      <w:r>
        <w:rPr>
          <w:rFonts w:hint="eastAsia" w:ascii="仿宋" w:hAnsi="仿宋" w:eastAsia="仿宋" w:cs="仿宋"/>
          <w:sz w:val="32"/>
          <w:szCs w:val="32"/>
          <w:highlight w:val="none"/>
        </w:rPr>
        <w:fldChar w:fldCharType="end"/>
      </w:r>
    </w:p>
    <w:p w14:paraId="04E9C0DE">
      <w:pPr>
        <w:pStyle w:val="19"/>
        <w:tabs>
          <w:tab w:val="right" w:leader="dot" w:pos="10194"/>
        </w:tabs>
        <w:rPr>
          <w:rFonts w:ascii="仿宋" w:hAnsi="仿宋" w:eastAsia="仿宋" w:cs="仿宋"/>
          <w:sz w:val="32"/>
          <w:szCs w:val="32"/>
          <w:highlight w:val="none"/>
        </w:rPr>
      </w:pPr>
      <w:r>
        <w:rPr>
          <w:highlight w:val="none"/>
        </w:rPr>
        <w:fldChar w:fldCharType="begin"/>
      </w:r>
      <w:r>
        <w:rPr>
          <w:highlight w:val="none"/>
        </w:rPr>
        <w:instrText xml:space="preserve"> HYPERLINK \l "_Toc25918" </w:instrText>
      </w:r>
      <w:r>
        <w:rPr>
          <w:highlight w:val="none"/>
        </w:rPr>
        <w:fldChar w:fldCharType="separate"/>
      </w:r>
      <w:r>
        <w:rPr>
          <w:rFonts w:hint="eastAsia" w:ascii="仿宋" w:hAnsi="仿宋" w:eastAsia="仿宋" w:cs="仿宋"/>
          <w:sz w:val="32"/>
          <w:szCs w:val="32"/>
          <w:highlight w:val="none"/>
        </w:rPr>
        <w:t>第四章 评审办法</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_Toc25918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37</w:t>
      </w:r>
      <w:r>
        <w:rPr>
          <w:rFonts w:hint="eastAsia" w:ascii="仿宋" w:hAnsi="仿宋" w:eastAsia="仿宋" w:cs="仿宋"/>
          <w:sz w:val="32"/>
          <w:szCs w:val="32"/>
          <w:highlight w:val="none"/>
        </w:rPr>
        <w:fldChar w:fldCharType="end"/>
      </w:r>
      <w:r>
        <w:rPr>
          <w:rFonts w:hint="eastAsia" w:ascii="仿宋" w:hAnsi="仿宋" w:eastAsia="仿宋" w:cs="仿宋"/>
          <w:sz w:val="32"/>
          <w:szCs w:val="32"/>
          <w:highlight w:val="none"/>
        </w:rPr>
        <w:fldChar w:fldCharType="end"/>
      </w:r>
    </w:p>
    <w:p w14:paraId="4F8B08AA">
      <w:pPr>
        <w:pStyle w:val="19"/>
        <w:tabs>
          <w:tab w:val="right" w:leader="dot" w:pos="10194"/>
        </w:tabs>
        <w:rPr>
          <w:rFonts w:ascii="仿宋" w:hAnsi="仿宋" w:eastAsia="仿宋" w:cs="仿宋"/>
          <w:sz w:val="32"/>
          <w:szCs w:val="32"/>
          <w:highlight w:val="none"/>
        </w:rPr>
      </w:pPr>
      <w:r>
        <w:rPr>
          <w:highlight w:val="none"/>
        </w:rPr>
        <w:fldChar w:fldCharType="begin"/>
      </w:r>
      <w:r>
        <w:rPr>
          <w:highlight w:val="none"/>
        </w:rPr>
        <w:instrText xml:space="preserve"> HYPERLINK \l "_Toc32362" </w:instrText>
      </w:r>
      <w:r>
        <w:rPr>
          <w:highlight w:val="none"/>
        </w:rPr>
        <w:fldChar w:fldCharType="separate"/>
      </w:r>
      <w:r>
        <w:rPr>
          <w:rFonts w:hint="eastAsia" w:ascii="仿宋" w:hAnsi="仿宋" w:eastAsia="仿宋" w:cs="仿宋"/>
          <w:sz w:val="32"/>
          <w:szCs w:val="32"/>
          <w:highlight w:val="none"/>
        </w:rPr>
        <w:t>第五章 采购合同（合同主要条款及格式）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_Toc32362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40</w:t>
      </w:r>
      <w:r>
        <w:rPr>
          <w:rFonts w:hint="eastAsia" w:ascii="仿宋" w:hAnsi="仿宋" w:eastAsia="仿宋" w:cs="仿宋"/>
          <w:sz w:val="32"/>
          <w:szCs w:val="32"/>
          <w:highlight w:val="none"/>
        </w:rPr>
        <w:fldChar w:fldCharType="end"/>
      </w:r>
      <w:r>
        <w:rPr>
          <w:rFonts w:hint="eastAsia" w:ascii="仿宋" w:hAnsi="仿宋" w:eastAsia="仿宋" w:cs="仿宋"/>
          <w:sz w:val="32"/>
          <w:szCs w:val="32"/>
          <w:highlight w:val="none"/>
        </w:rPr>
        <w:fldChar w:fldCharType="end"/>
      </w:r>
    </w:p>
    <w:p w14:paraId="7F5DA186">
      <w:pPr>
        <w:pStyle w:val="20"/>
        <w:tabs>
          <w:tab w:val="right" w:leader="dot" w:pos="10194"/>
        </w:tabs>
        <w:ind w:left="0" w:leftChars="0"/>
        <w:rPr>
          <w:rFonts w:ascii="仿宋" w:hAnsi="仿宋" w:eastAsia="仿宋" w:cs="仿宋"/>
          <w:highlight w:val="none"/>
        </w:rPr>
      </w:pPr>
      <w:r>
        <w:rPr>
          <w:highlight w:val="none"/>
        </w:rPr>
        <w:fldChar w:fldCharType="begin"/>
      </w:r>
      <w:r>
        <w:rPr>
          <w:highlight w:val="none"/>
        </w:rPr>
        <w:instrText xml:space="preserve"> HYPERLINK \l "_Toc31669" </w:instrText>
      </w:r>
      <w:r>
        <w:rPr>
          <w:highlight w:val="none"/>
        </w:rPr>
        <w:fldChar w:fldCharType="separate"/>
      </w:r>
      <w:r>
        <w:rPr>
          <w:rFonts w:hint="eastAsia" w:ascii="仿宋" w:hAnsi="仿宋" w:eastAsia="仿宋" w:cs="仿宋"/>
          <w:kern w:val="44"/>
          <w:sz w:val="32"/>
          <w:szCs w:val="32"/>
          <w:highlight w:val="none"/>
        </w:rPr>
        <w:t xml:space="preserve">第六章 </w:t>
      </w:r>
      <w:r>
        <w:rPr>
          <w:rFonts w:hint="eastAsia" w:ascii="仿宋" w:hAnsi="仿宋" w:eastAsia="仿宋" w:cs="仿宋"/>
          <w:sz w:val="32"/>
          <w:szCs w:val="32"/>
          <w:highlight w:val="none"/>
        </w:rPr>
        <w:t>响应文件（格式）</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_Toc31669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44</w:t>
      </w:r>
      <w:r>
        <w:rPr>
          <w:rFonts w:hint="eastAsia" w:ascii="仿宋" w:hAnsi="仿宋" w:eastAsia="仿宋" w:cs="仿宋"/>
          <w:sz w:val="32"/>
          <w:szCs w:val="32"/>
          <w:highlight w:val="none"/>
        </w:rPr>
        <w:fldChar w:fldCharType="end"/>
      </w:r>
      <w:r>
        <w:rPr>
          <w:rFonts w:hint="eastAsia" w:ascii="仿宋" w:hAnsi="仿宋" w:eastAsia="仿宋" w:cs="仿宋"/>
          <w:sz w:val="32"/>
          <w:szCs w:val="32"/>
          <w:highlight w:val="none"/>
        </w:rPr>
        <w:fldChar w:fldCharType="end"/>
      </w:r>
    </w:p>
    <w:p w14:paraId="2612A80A">
      <w:pPr>
        <w:jc w:val="center"/>
        <w:rPr>
          <w:rFonts w:ascii="仿宋" w:hAnsi="仿宋" w:eastAsia="仿宋" w:cs="仿宋"/>
          <w:b/>
          <w:bCs/>
          <w:sz w:val="32"/>
          <w:szCs w:val="32"/>
          <w:highlight w:val="none"/>
        </w:rPr>
      </w:pPr>
      <w:r>
        <w:rPr>
          <w:rFonts w:hint="eastAsia" w:ascii="仿宋" w:hAnsi="仿宋" w:eastAsia="仿宋" w:cs="仿宋"/>
          <w:bCs/>
          <w:highlight w:val="none"/>
          <w:lang w:val="zh-CN"/>
        </w:rPr>
        <w:fldChar w:fldCharType="end"/>
      </w:r>
    </w:p>
    <w:p w14:paraId="2BA678D1">
      <w:pPr>
        <w:rPr>
          <w:rFonts w:ascii="仿宋" w:hAnsi="仿宋" w:eastAsia="仿宋" w:cs="仿宋"/>
          <w:b/>
          <w:bCs/>
          <w:sz w:val="32"/>
          <w:szCs w:val="32"/>
          <w:highlight w:val="none"/>
        </w:rPr>
        <w:sectPr>
          <w:footerReference r:id="rId3" w:type="default"/>
          <w:pgSz w:w="11906" w:h="16838"/>
          <w:pgMar w:top="1440" w:right="935" w:bottom="1440" w:left="777" w:header="851" w:footer="992" w:gutter="0"/>
          <w:pgNumType w:fmt="numberInDash" w:start="1"/>
          <w:cols w:space="720" w:num="1"/>
          <w:docGrid w:type="linesAndChars" w:linePitch="312" w:charSpace="0"/>
        </w:sectPr>
      </w:pPr>
    </w:p>
    <w:p w14:paraId="3C60AB96">
      <w:pPr>
        <w:pStyle w:val="2"/>
        <w:numPr>
          <w:ilvl w:val="0"/>
          <w:numId w:val="1"/>
        </w:numPr>
        <w:tabs>
          <w:tab w:val="left" w:pos="0"/>
        </w:tabs>
        <w:autoSpaceDE w:val="0"/>
        <w:autoSpaceDN w:val="0"/>
        <w:adjustRightInd w:val="0"/>
        <w:spacing w:before="0" w:after="0" w:line="360" w:lineRule="auto"/>
        <w:ind w:firstLine="425"/>
        <w:jc w:val="center"/>
        <w:rPr>
          <w:rFonts w:hint="eastAsia" w:ascii="宋体" w:hAnsi="宋体" w:cs="宋体"/>
          <w:sz w:val="32"/>
          <w:szCs w:val="32"/>
          <w:highlight w:val="none"/>
        </w:rPr>
      </w:pPr>
      <w:bookmarkStart w:id="2" w:name="_Toc4102"/>
      <w:bookmarkStart w:id="3" w:name="_Toc12067"/>
      <w:bookmarkStart w:id="4" w:name="_Toc14981"/>
      <w:bookmarkStart w:id="5" w:name="_Toc1638"/>
      <w:r>
        <w:rPr>
          <w:rFonts w:hint="eastAsia" w:ascii="宋体" w:hAnsi="宋体" w:cs="宋体"/>
          <w:sz w:val="32"/>
          <w:szCs w:val="32"/>
          <w:highlight w:val="none"/>
        </w:rPr>
        <w:t>竞争性磋商公告</w:t>
      </w:r>
      <w:bookmarkEnd w:id="2"/>
      <w:bookmarkEnd w:id="3"/>
      <w:bookmarkEnd w:id="4"/>
    </w:p>
    <w:p w14:paraId="618A5BE4">
      <w:pPr>
        <w:spacing w:line="360" w:lineRule="exact"/>
        <w:rPr>
          <w:rFonts w:hint="eastAsia" w:ascii="宋体" w:hAnsi="宋体" w:cs="宋体"/>
          <w:highlight w:val="none"/>
        </w:rPr>
      </w:pPr>
    </w:p>
    <w:tbl>
      <w:tblPr>
        <w:tblStyle w:val="25"/>
        <w:tblpPr w:leftFromText="180" w:rightFromText="180" w:vertAnchor="text" w:tblpX="38" w:tblpY="134"/>
        <w:tblOverlap w:val="never"/>
        <w:tblW w:w="10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0"/>
      </w:tblGrid>
      <w:tr w14:paraId="0435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10220" w:type="dxa"/>
            <w:noWrap w:val="0"/>
            <w:vAlign w:val="top"/>
          </w:tcPr>
          <w:p w14:paraId="7252BDF2">
            <w:pPr>
              <w:spacing w:line="3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rPr>
              <w:t>项目概况</w:t>
            </w:r>
          </w:p>
          <w:p w14:paraId="79B0599C">
            <w:pPr>
              <w:spacing w:line="36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sz w:val="24"/>
                <w:szCs w:val="24"/>
                <w:highlight w:val="none"/>
                <w:lang w:eastAsia="zh-CN"/>
              </w:rPr>
              <w:t>广西鸿墨项目管理有限公司</w:t>
            </w:r>
            <w:r>
              <w:rPr>
                <w:rFonts w:hint="eastAsia" w:asciiTheme="minorEastAsia" w:hAnsiTheme="minorEastAsia" w:eastAsiaTheme="minorEastAsia" w:cstheme="minorEastAsia"/>
                <w:sz w:val="24"/>
                <w:szCs w:val="24"/>
                <w:highlight w:val="none"/>
              </w:rPr>
              <w:t>受</w:t>
            </w:r>
            <w:r>
              <w:rPr>
                <w:rFonts w:hint="eastAsia" w:asciiTheme="minorEastAsia" w:hAnsiTheme="minorEastAsia" w:eastAsiaTheme="minorEastAsia" w:cstheme="minorEastAsia"/>
                <w:sz w:val="24"/>
                <w:szCs w:val="24"/>
                <w:highlight w:val="none"/>
                <w:u w:val="single"/>
                <w:lang w:val="en-US" w:eastAsia="zh-CN"/>
              </w:rPr>
              <w:t xml:space="preserve">桂林市雁山区后勤服务中心 </w:t>
            </w:r>
            <w:r>
              <w:rPr>
                <w:rFonts w:hint="eastAsia" w:asciiTheme="minorEastAsia" w:hAnsiTheme="minorEastAsia" w:eastAsiaTheme="minorEastAsia" w:cstheme="minorEastAsia"/>
                <w:sz w:val="24"/>
                <w:szCs w:val="24"/>
                <w:highlight w:val="none"/>
              </w:rPr>
              <w:t>委托，根</w:t>
            </w:r>
            <w:r>
              <w:rPr>
                <w:rFonts w:hint="eastAsia" w:asciiTheme="minorEastAsia" w:hAnsiTheme="minorEastAsia" w:eastAsiaTheme="minorEastAsia" w:cstheme="minorEastAsia"/>
                <w:color w:val="000000"/>
                <w:sz w:val="24"/>
                <w:szCs w:val="24"/>
                <w:highlight w:val="none"/>
              </w:rPr>
              <w:t>据《中华人民共和国政府采购法》《中华人民共和国政府采购法实施条例》《政府采购竞争性磋商采购方式管理暂行办法》等规定，现就</w:t>
            </w:r>
            <w:r>
              <w:rPr>
                <w:rFonts w:hint="eastAsia" w:asciiTheme="minorEastAsia" w:hAnsiTheme="minorEastAsia" w:eastAsiaTheme="minorEastAsia" w:cstheme="minorEastAsia"/>
                <w:color w:val="000000"/>
                <w:sz w:val="24"/>
                <w:szCs w:val="24"/>
                <w:highlight w:val="none"/>
                <w:u w:val="single"/>
                <w:lang w:eastAsia="zh-CN"/>
              </w:rPr>
              <w:t>雁山区金雁餐厅货物采购配送服务</w:t>
            </w:r>
            <w:r>
              <w:rPr>
                <w:rFonts w:hint="eastAsia" w:asciiTheme="minorEastAsia" w:hAnsiTheme="minorEastAsia" w:eastAsiaTheme="minorEastAsia" w:cstheme="minorEastAsia"/>
                <w:color w:val="000000"/>
                <w:sz w:val="24"/>
                <w:szCs w:val="24"/>
                <w:highlight w:val="none"/>
              </w:rPr>
              <w:t>项目进行竞争性磋商采购，欢迎符合条件的供应商前来参加磋商活动，并</w:t>
            </w:r>
            <w:r>
              <w:rPr>
                <w:rFonts w:hint="eastAsia" w:asciiTheme="minorEastAsia" w:hAnsiTheme="minorEastAsia" w:eastAsiaTheme="minorEastAsia" w:cstheme="minorEastAsia"/>
                <w:sz w:val="24"/>
                <w:szCs w:val="24"/>
                <w:highlight w:val="none"/>
              </w:rPr>
              <w:t>于</w:t>
            </w:r>
            <w:r>
              <w:rPr>
                <w:rFonts w:hint="eastAsia" w:asciiTheme="minorEastAsia" w:hAnsiTheme="minorEastAsia" w:eastAsiaTheme="minorEastAsia" w:cstheme="minorEastAsia"/>
                <w:sz w:val="24"/>
                <w:szCs w:val="24"/>
                <w:highlight w:val="none"/>
                <w:lang w:eastAsia="zh-CN"/>
              </w:rPr>
              <w:t>2026年7月7日</w:t>
            </w:r>
            <w:r>
              <w:rPr>
                <w:rFonts w:hint="eastAsia" w:asciiTheme="minorEastAsia" w:hAnsiTheme="minorEastAsia" w:eastAsiaTheme="minorEastAsia" w:cstheme="minorEastAsia"/>
                <w:sz w:val="24"/>
                <w:szCs w:val="24"/>
                <w:highlight w:val="none"/>
              </w:rPr>
              <w:t>上午09时30分前递</w:t>
            </w:r>
            <w:r>
              <w:rPr>
                <w:rFonts w:hint="eastAsia" w:asciiTheme="minorEastAsia" w:hAnsiTheme="minorEastAsia" w:eastAsiaTheme="minorEastAsia" w:cstheme="minorEastAsia"/>
                <w:color w:val="000000"/>
                <w:sz w:val="24"/>
                <w:szCs w:val="24"/>
                <w:highlight w:val="none"/>
              </w:rPr>
              <w:t>交响应文件。现将本次竞争性磋商的有关事项公告如下：</w:t>
            </w:r>
          </w:p>
        </w:tc>
      </w:tr>
    </w:tbl>
    <w:p w14:paraId="7C704A3E">
      <w:pPr>
        <w:spacing w:line="360" w:lineRule="exact"/>
        <w:rPr>
          <w:rFonts w:hint="eastAsia" w:asciiTheme="minorEastAsia" w:hAnsiTheme="minorEastAsia" w:eastAsiaTheme="minorEastAsia" w:cstheme="minorEastAsia"/>
          <w:color w:val="000000"/>
          <w:sz w:val="24"/>
          <w:szCs w:val="24"/>
          <w:highlight w:val="none"/>
        </w:rPr>
      </w:pPr>
      <w:bookmarkStart w:id="6" w:name="_Toc35393798"/>
      <w:bookmarkStart w:id="7" w:name="_Toc35393629"/>
      <w:bookmarkStart w:id="8" w:name="_Toc28359012"/>
      <w:bookmarkStart w:id="9" w:name="_Toc28359089"/>
      <w:r>
        <w:rPr>
          <w:rFonts w:hint="eastAsia" w:asciiTheme="minorEastAsia" w:hAnsiTheme="minorEastAsia" w:eastAsiaTheme="minorEastAsia" w:cstheme="minorEastAsia"/>
          <w:color w:val="000000"/>
          <w:sz w:val="24"/>
          <w:szCs w:val="24"/>
          <w:highlight w:val="none"/>
        </w:rPr>
        <w:t>一、项目基本情况</w:t>
      </w:r>
      <w:bookmarkEnd w:id="6"/>
      <w:bookmarkEnd w:id="7"/>
      <w:bookmarkEnd w:id="8"/>
      <w:bookmarkEnd w:id="9"/>
    </w:p>
    <w:p w14:paraId="5FB27935">
      <w:pPr>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项目编号：</w:t>
      </w:r>
      <w:r>
        <w:rPr>
          <w:rFonts w:hint="eastAsia" w:asciiTheme="minorEastAsia" w:hAnsiTheme="minorEastAsia" w:eastAsiaTheme="minorEastAsia" w:cstheme="minorEastAsia"/>
          <w:sz w:val="24"/>
          <w:szCs w:val="24"/>
          <w:highlight w:val="none"/>
          <w:lang w:eastAsia="zh-CN"/>
        </w:rPr>
        <w:t>GLZC2026-C3-990265-GXHM</w:t>
      </w:r>
    </w:p>
    <w:p w14:paraId="36D6CAF4">
      <w:pPr>
        <w:ind w:firstLine="480" w:firstLineChars="200"/>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z w:val="24"/>
          <w:szCs w:val="24"/>
          <w:highlight w:val="none"/>
        </w:rPr>
        <w:t>项目名称：</w:t>
      </w:r>
      <w:r>
        <w:rPr>
          <w:rFonts w:hint="eastAsia" w:asciiTheme="minorEastAsia" w:hAnsiTheme="minorEastAsia" w:eastAsiaTheme="minorEastAsia" w:cstheme="minorEastAsia"/>
          <w:sz w:val="24"/>
          <w:szCs w:val="24"/>
          <w:highlight w:val="none"/>
          <w:lang w:eastAsia="zh-CN"/>
        </w:rPr>
        <w:t>雁山区金雁餐厅货物采购配送服务</w:t>
      </w:r>
    </w:p>
    <w:p w14:paraId="3C78DD7E">
      <w:pPr>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采购方式：竞争性磋商</w:t>
      </w:r>
    </w:p>
    <w:p w14:paraId="057BE654">
      <w:pPr>
        <w:pStyle w:val="24"/>
        <w:ind w:left="0" w:leftChars="0"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预算金额：</w:t>
      </w:r>
      <w:r>
        <w:rPr>
          <w:rFonts w:hint="eastAsia" w:asciiTheme="minorEastAsia" w:hAnsiTheme="minorEastAsia" w:eastAsiaTheme="minorEastAsia" w:cstheme="minorEastAsia"/>
          <w:sz w:val="24"/>
          <w:szCs w:val="24"/>
          <w:highlight w:val="none"/>
          <w:lang w:eastAsia="zh-CN"/>
        </w:rPr>
        <w:t>人民币贰佰捌拾万元整（¥：2800000.00元）</w:t>
      </w:r>
    </w:p>
    <w:p w14:paraId="66A37521">
      <w:pPr>
        <w:spacing w:line="360" w:lineRule="exact"/>
        <w:ind w:firstLine="482"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b/>
          <w:bCs/>
          <w:sz w:val="24"/>
          <w:szCs w:val="24"/>
          <w:highlight w:val="none"/>
        </w:rPr>
        <w:t>采购需求</w:t>
      </w:r>
      <w:r>
        <w:rPr>
          <w:rFonts w:hint="eastAsia" w:asciiTheme="minorEastAsia" w:hAnsiTheme="minorEastAsia" w:eastAsiaTheme="minorEastAsia" w:cstheme="minorEastAsia"/>
          <w:sz w:val="24"/>
          <w:szCs w:val="24"/>
          <w:highlight w:val="none"/>
        </w:rPr>
        <w:t>：</w:t>
      </w:r>
    </w:p>
    <w:tbl>
      <w:tblPr>
        <w:tblStyle w:val="25"/>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3885"/>
        <w:gridCol w:w="825"/>
        <w:gridCol w:w="1275"/>
        <w:gridCol w:w="2711"/>
      </w:tblGrid>
      <w:tr w14:paraId="58BD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46DA724E">
            <w:pPr>
              <w:spacing w:line="3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项号</w:t>
            </w:r>
          </w:p>
        </w:tc>
        <w:tc>
          <w:tcPr>
            <w:tcW w:w="3885" w:type="dxa"/>
            <w:tcBorders>
              <w:top w:val="single" w:color="auto" w:sz="4" w:space="0"/>
              <w:left w:val="nil"/>
              <w:bottom w:val="single" w:color="auto" w:sz="4" w:space="0"/>
              <w:right w:val="single" w:color="auto" w:sz="4" w:space="0"/>
            </w:tcBorders>
            <w:noWrap w:val="0"/>
            <w:vAlign w:val="center"/>
          </w:tcPr>
          <w:p w14:paraId="02B0C6DD">
            <w:pPr>
              <w:spacing w:line="3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服务名称</w:t>
            </w:r>
          </w:p>
        </w:tc>
        <w:tc>
          <w:tcPr>
            <w:tcW w:w="825" w:type="dxa"/>
            <w:tcBorders>
              <w:top w:val="single" w:color="auto" w:sz="4" w:space="0"/>
              <w:left w:val="nil"/>
              <w:bottom w:val="single" w:color="auto" w:sz="4" w:space="0"/>
              <w:right w:val="single" w:color="auto" w:sz="4" w:space="0"/>
            </w:tcBorders>
            <w:noWrap w:val="0"/>
            <w:vAlign w:val="center"/>
          </w:tcPr>
          <w:p w14:paraId="43E5749E">
            <w:pPr>
              <w:spacing w:line="3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数量</w:t>
            </w:r>
          </w:p>
        </w:tc>
        <w:tc>
          <w:tcPr>
            <w:tcW w:w="1275" w:type="dxa"/>
            <w:tcBorders>
              <w:top w:val="single" w:color="auto" w:sz="4" w:space="0"/>
              <w:left w:val="nil"/>
              <w:bottom w:val="single" w:color="auto" w:sz="4" w:space="0"/>
              <w:right w:val="single" w:color="auto" w:sz="4" w:space="0"/>
            </w:tcBorders>
            <w:noWrap w:val="0"/>
            <w:vAlign w:val="center"/>
          </w:tcPr>
          <w:p w14:paraId="731756E4">
            <w:pPr>
              <w:spacing w:line="360" w:lineRule="exact"/>
              <w:ind w:firstLine="240"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w:t>
            </w:r>
          </w:p>
        </w:tc>
        <w:tc>
          <w:tcPr>
            <w:tcW w:w="2711" w:type="dxa"/>
            <w:tcBorders>
              <w:top w:val="single" w:color="auto" w:sz="4" w:space="0"/>
              <w:left w:val="nil"/>
              <w:bottom w:val="single" w:color="auto" w:sz="4" w:space="0"/>
              <w:right w:val="single" w:color="auto" w:sz="4" w:space="0"/>
            </w:tcBorders>
            <w:noWrap w:val="0"/>
            <w:vAlign w:val="center"/>
          </w:tcPr>
          <w:p w14:paraId="6C8DE542">
            <w:pPr>
              <w:spacing w:line="3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项目要求及服务需求</w:t>
            </w:r>
          </w:p>
        </w:tc>
      </w:tr>
      <w:tr w14:paraId="4AB8A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6CE4D1FF">
            <w:pPr>
              <w:spacing w:line="3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3885" w:type="dxa"/>
            <w:tcBorders>
              <w:top w:val="single" w:color="auto" w:sz="4" w:space="0"/>
              <w:left w:val="nil"/>
              <w:bottom w:val="single" w:color="auto" w:sz="4" w:space="0"/>
              <w:right w:val="single" w:color="auto" w:sz="4" w:space="0"/>
            </w:tcBorders>
            <w:noWrap w:val="0"/>
            <w:vAlign w:val="center"/>
          </w:tcPr>
          <w:p w14:paraId="3B8F45C4">
            <w:pPr>
              <w:spacing w:line="360" w:lineRule="exact"/>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雁山区金雁餐厅货物采购配送服务</w:t>
            </w:r>
          </w:p>
        </w:tc>
        <w:tc>
          <w:tcPr>
            <w:tcW w:w="825" w:type="dxa"/>
            <w:tcBorders>
              <w:top w:val="single" w:color="auto" w:sz="4" w:space="0"/>
              <w:left w:val="nil"/>
              <w:bottom w:val="single" w:color="auto" w:sz="4" w:space="0"/>
              <w:right w:val="single" w:color="auto" w:sz="4" w:space="0"/>
            </w:tcBorders>
            <w:noWrap w:val="0"/>
            <w:vAlign w:val="center"/>
          </w:tcPr>
          <w:p w14:paraId="247575A2">
            <w:pPr>
              <w:spacing w:line="3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275" w:type="dxa"/>
            <w:tcBorders>
              <w:top w:val="single" w:color="auto" w:sz="4" w:space="0"/>
              <w:left w:val="nil"/>
              <w:bottom w:val="single" w:color="auto" w:sz="4" w:space="0"/>
              <w:right w:val="single" w:color="auto" w:sz="4" w:space="0"/>
            </w:tcBorders>
            <w:noWrap w:val="0"/>
            <w:vAlign w:val="center"/>
          </w:tcPr>
          <w:p w14:paraId="744BFA77">
            <w:pPr>
              <w:spacing w:line="3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w:t>
            </w:r>
          </w:p>
        </w:tc>
        <w:tc>
          <w:tcPr>
            <w:tcW w:w="2711" w:type="dxa"/>
            <w:tcBorders>
              <w:top w:val="single" w:color="auto" w:sz="4" w:space="0"/>
              <w:left w:val="nil"/>
              <w:bottom w:val="single" w:color="auto" w:sz="4" w:space="0"/>
              <w:right w:val="single" w:color="auto" w:sz="4" w:space="0"/>
            </w:tcBorders>
            <w:noWrap w:val="0"/>
            <w:vAlign w:val="center"/>
          </w:tcPr>
          <w:p w14:paraId="1723854A">
            <w:pPr>
              <w:spacing w:line="3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详见竞争性磋商文件   </w:t>
            </w:r>
          </w:p>
        </w:tc>
      </w:tr>
    </w:tbl>
    <w:p w14:paraId="4E6DB8DE">
      <w:pPr>
        <w:spacing w:line="3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采购需求的详细内容，详见竞争性磋商文件。</w:t>
      </w:r>
    </w:p>
    <w:p w14:paraId="7B39D016">
      <w:pPr>
        <w:spacing w:line="3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合同履行期限：</w:t>
      </w:r>
      <w:r>
        <w:rPr>
          <w:rFonts w:hint="eastAsia" w:asciiTheme="minorEastAsia" w:hAnsiTheme="minorEastAsia" w:eastAsiaTheme="minorEastAsia" w:cstheme="minorEastAsia"/>
          <w:sz w:val="24"/>
          <w:szCs w:val="24"/>
          <w:highlight w:val="none"/>
          <w:lang w:eastAsia="zh-CN"/>
        </w:rPr>
        <w:t>自合同签订之日起2年</w:t>
      </w:r>
      <w:r>
        <w:rPr>
          <w:rFonts w:hint="eastAsia" w:asciiTheme="minorEastAsia" w:hAnsiTheme="minorEastAsia" w:eastAsiaTheme="minorEastAsia" w:cstheme="minorEastAsia"/>
          <w:sz w:val="24"/>
          <w:szCs w:val="24"/>
          <w:highlight w:val="none"/>
        </w:rPr>
        <w:t>。</w:t>
      </w:r>
    </w:p>
    <w:p w14:paraId="3C66EB8D">
      <w:pPr>
        <w:spacing w:line="360" w:lineRule="exact"/>
        <w:ind w:firstLine="482"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本项目不接受联合体投标</w:t>
      </w:r>
      <w:r>
        <w:rPr>
          <w:rFonts w:hint="eastAsia" w:asciiTheme="minorEastAsia" w:hAnsiTheme="minorEastAsia" w:eastAsiaTheme="minorEastAsia" w:cstheme="minorEastAsia"/>
          <w:b/>
          <w:bCs/>
          <w:sz w:val="24"/>
          <w:szCs w:val="24"/>
          <w:highlight w:val="none"/>
        </w:rPr>
        <w:t>。</w:t>
      </w:r>
    </w:p>
    <w:p w14:paraId="1EB2014D">
      <w:pPr>
        <w:spacing w:line="340" w:lineRule="exact"/>
        <w:rPr>
          <w:rFonts w:hint="eastAsia" w:asciiTheme="minorEastAsia" w:hAnsiTheme="minorEastAsia" w:eastAsiaTheme="minorEastAsia" w:cstheme="minorEastAsia"/>
          <w:sz w:val="24"/>
          <w:szCs w:val="24"/>
          <w:highlight w:val="none"/>
        </w:rPr>
      </w:pPr>
      <w:bookmarkStart w:id="10" w:name="_Toc28359013"/>
      <w:bookmarkStart w:id="11" w:name="_Toc35393799"/>
      <w:bookmarkStart w:id="12" w:name="_Toc35393630"/>
      <w:bookmarkStart w:id="13" w:name="_Toc28359090"/>
      <w:r>
        <w:rPr>
          <w:rFonts w:hint="eastAsia" w:asciiTheme="minorEastAsia" w:hAnsiTheme="minorEastAsia" w:eastAsiaTheme="minorEastAsia" w:cstheme="minorEastAsia"/>
          <w:sz w:val="24"/>
          <w:szCs w:val="24"/>
          <w:highlight w:val="none"/>
        </w:rPr>
        <w:t>二、申请人的资格要求：</w:t>
      </w:r>
      <w:bookmarkEnd w:id="10"/>
      <w:bookmarkEnd w:id="11"/>
      <w:bookmarkEnd w:id="12"/>
      <w:bookmarkEnd w:id="13"/>
    </w:p>
    <w:p w14:paraId="43BA8865">
      <w:pPr>
        <w:spacing w:line="3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1.满足《中华人民共和国政府采购法》第二十二条规定；</w:t>
      </w:r>
    </w:p>
    <w:p w14:paraId="5D94C69A">
      <w:pPr>
        <w:spacing w:line="3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p>
    <w:p w14:paraId="7BD84385">
      <w:pPr>
        <w:spacing w:line="340" w:lineRule="exact"/>
        <w:ind w:firstLine="480" w:firstLineChars="200"/>
        <w:rPr>
          <w:rFonts w:hint="eastAsia" w:asciiTheme="minorEastAsia" w:hAnsiTheme="minorEastAsia" w:eastAsiaTheme="minorEastAsia" w:cstheme="minorEastAsia"/>
          <w:b/>
          <w:bCs/>
          <w:sz w:val="24"/>
          <w:szCs w:val="24"/>
          <w:highlight w:val="none"/>
        </w:rPr>
      </w:pPr>
      <w:bookmarkStart w:id="14" w:name="_Toc28359091"/>
      <w:bookmarkStart w:id="15" w:name="_Toc28359014"/>
      <w:r>
        <w:rPr>
          <w:rFonts w:hint="eastAsia" w:asciiTheme="minorEastAsia" w:hAnsiTheme="minorEastAsia" w:eastAsiaTheme="minorEastAsia" w:cstheme="minorEastAsia"/>
          <w:sz w:val="24"/>
          <w:szCs w:val="24"/>
          <w:highlight w:val="none"/>
        </w:rPr>
        <w:t>3.落实政府采购政策需满足的资格要求：</w:t>
      </w:r>
      <w:r>
        <w:rPr>
          <w:rFonts w:hint="eastAsia" w:asciiTheme="minorEastAsia" w:hAnsiTheme="minorEastAsia" w:eastAsiaTheme="minorEastAsia" w:cstheme="minorEastAsia"/>
          <w:color w:val="000000"/>
          <w:sz w:val="24"/>
          <w:szCs w:val="24"/>
          <w:highlight w:val="none"/>
          <w:lang w:val="en-US" w:eastAsia="zh-CN"/>
        </w:rPr>
        <w:t>本项目专门面向中小企业采购</w:t>
      </w:r>
      <w:r>
        <w:rPr>
          <w:rFonts w:hint="eastAsia" w:asciiTheme="minorEastAsia" w:hAnsiTheme="minorEastAsia" w:eastAsiaTheme="minorEastAsia" w:cstheme="minorEastAsia"/>
          <w:color w:val="000000"/>
          <w:sz w:val="24"/>
          <w:szCs w:val="24"/>
          <w:highlight w:val="none"/>
        </w:rPr>
        <w:t>。</w:t>
      </w:r>
    </w:p>
    <w:p w14:paraId="6BDF8FD6">
      <w:pPr>
        <w:spacing w:line="340" w:lineRule="exact"/>
        <w:ind w:firstLine="480"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4.本项目的特定资格要求：</w:t>
      </w:r>
      <w:bookmarkStart w:id="16" w:name="_Toc35393800"/>
      <w:bookmarkStart w:id="17" w:name="_Toc35393631"/>
      <w:r>
        <w:rPr>
          <w:rFonts w:hint="eastAsia" w:asciiTheme="minorEastAsia" w:hAnsiTheme="minorEastAsia" w:eastAsiaTheme="minorEastAsia" w:cstheme="minorEastAsia"/>
          <w:sz w:val="24"/>
          <w:szCs w:val="24"/>
          <w:highlight w:val="none"/>
          <w:lang w:val="en-US" w:eastAsia="zh-CN"/>
        </w:rPr>
        <w:t>无</w:t>
      </w:r>
      <w:r>
        <w:rPr>
          <w:rFonts w:hint="eastAsia" w:asciiTheme="minorEastAsia" w:hAnsiTheme="minorEastAsia" w:eastAsiaTheme="minorEastAsia" w:cstheme="minorEastAsia"/>
          <w:sz w:val="24"/>
          <w:szCs w:val="24"/>
          <w:highlight w:val="none"/>
        </w:rPr>
        <w:t>。</w:t>
      </w:r>
    </w:p>
    <w:bookmarkEnd w:id="14"/>
    <w:bookmarkEnd w:id="15"/>
    <w:bookmarkEnd w:id="16"/>
    <w:bookmarkEnd w:id="17"/>
    <w:p w14:paraId="168A216B">
      <w:pPr>
        <w:spacing w:line="340" w:lineRule="exact"/>
        <w:rPr>
          <w:rFonts w:hint="eastAsia" w:asciiTheme="minorEastAsia" w:hAnsiTheme="minorEastAsia" w:eastAsiaTheme="minorEastAsia" w:cstheme="minorEastAsia"/>
          <w:sz w:val="24"/>
          <w:szCs w:val="24"/>
          <w:highlight w:val="none"/>
        </w:rPr>
      </w:pPr>
      <w:bookmarkStart w:id="18" w:name="_Toc35393792"/>
      <w:bookmarkStart w:id="19" w:name="_Toc35393623"/>
      <w:bookmarkStart w:id="20" w:name="_Toc35393805"/>
      <w:bookmarkStart w:id="21" w:name="_Toc28359018"/>
      <w:bookmarkStart w:id="22" w:name="_Toc35393636"/>
      <w:bookmarkStart w:id="23" w:name="_Toc28359095"/>
      <w:r>
        <w:rPr>
          <w:rFonts w:hint="eastAsia" w:asciiTheme="minorEastAsia" w:hAnsiTheme="minorEastAsia" w:eastAsiaTheme="minorEastAsia" w:cstheme="minorEastAsia"/>
          <w:sz w:val="24"/>
          <w:szCs w:val="24"/>
          <w:highlight w:val="none"/>
        </w:rPr>
        <w:t>三、获取采购文件</w:t>
      </w:r>
      <w:bookmarkEnd w:id="18"/>
      <w:bookmarkEnd w:id="19"/>
    </w:p>
    <w:p w14:paraId="5D7DE2E5">
      <w:pPr>
        <w:spacing w:line="3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1.采购文件获取时间：</w:t>
      </w:r>
      <w:r>
        <w:rPr>
          <w:rFonts w:hint="eastAsia" w:asciiTheme="minorEastAsia" w:hAnsiTheme="minorEastAsia" w:eastAsiaTheme="minorEastAsia" w:cstheme="minorEastAsia"/>
          <w:sz w:val="24"/>
          <w:szCs w:val="24"/>
          <w:highlight w:val="none"/>
          <w:lang w:eastAsia="zh-CN"/>
        </w:rPr>
        <w:t>2026年6月25日</w:t>
      </w:r>
      <w:r>
        <w:rPr>
          <w:rFonts w:hint="eastAsia" w:asciiTheme="minorEastAsia" w:hAnsiTheme="minorEastAsia" w:eastAsiaTheme="minorEastAsia" w:cstheme="minorEastAsia"/>
          <w:sz w:val="24"/>
          <w:szCs w:val="24"/>
          <w:highlight w:val="none"/>
        </w:rPr>
        <w:t>至</w:t>
      </w:r>
      <w:r>
        <w:rPr>
          <w:rFonts w:hint="eastAsia" w:asciiTheme="minorEastAsia" w:hAnsiTheme="minorEastAsia" w:eastAsiaTheme="minorEastAsia" w:cstheme="minorEastAsia"/>
          <w:sz w:val="24"/>
          <w:szCs w:val="24"/>
          <w:highlight w:val="none"/>
          <w:lang w:eastAsia="zh-CN"/>
        </w:rPr>
        <w:t>2026年7月7日</w:t>
      </w:r>
      <w:r>
        <w:rPr>
          <w:rFonts w:hint="eastAsia" w:asciiTheme="minorEastAsia" w:hAnsiTheme="minorEastAsia" w:eastAsiaTheme="minorEastAsia" w:cstheme="minorEastAsia"/>
          <w:sz w:val="24"/>
          <w:szCs w:val="24"/>
          <w:highlight w:val="none"/>
        </w:rPr>
        <w:t>上午09时30分。</w:t>
      </w:r>
    </w:p>
    <w:p w14:paraId="581B5D0F">
      <w:pPr>
        <w:pStyle w:val="31"/>
        <w:spacing w:line="3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2.地点及方式：潜在供应商请登录广西政府采购云平台获取该项目采购文件。</w:t>
      </w:r>
    </w:p>
    <w:p w14:paraId="6B7AB7CC">
      <w:pPr>
        <w:pStyle w:val="31"/>
        <w:spacing w:line="3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3.采购文件售价：本项目采购文件不收取费用。</w:t>
      </w:r>
    </w:p>
    <w:p w14:paraId="1A53446B">
      <w:pPr>
        <w:spacing w:line="340" w:lineRule="exact"/>
        <w:rPr>
          <w:rFonts w:hint="eastAsia" w:asciiTheme="minorEastAsia" w:hAnsiTheme="minorEastAsia" w:eastAsiaTheme="minorEastAsia" w:cstheme="minorEastAsia"/>
          <w:sz w:val="24"/>
          <w:szCs w:val="24"/>
          <w:highlight w:val="none"/>
        </w:rPr>
      </w:pPr>
      <w:bookmarkStart w:id="24" w:name="_Toc28359082"/>
      <w:bookmarkStart w:id="25" w:name="_Toc28359005"/>
      <w:bookmarkStart w:id="26" w:name="_Toc35393624"/>
      <w:bookmarkStart w:id="27" w:name="_Toc35393793"/>
      <w:r>
        <w:rPr>
          <w:rFonts w:hint="eastAsia" w:asciiTheme="minorEastAsia" w:hAnsiTheme="minorEastAsia" w:eastAsiaTheme="minorEastAsia" w:cstheme="minorEastAsia"/>
          <w:sz w:val="24"/>
          <w:szCs w:val="24"/>
          <w:highlight w:val="none"/>
        </w:rPr>
        <w:t>四、响应文件</w:t>
      </w:r>
      <w:bookmarkEnd w:id="24"/>
      <w:bookmarkEnd w:id="25"/>
      <w:r>
        <w:rPr>
          <w:rFonts w:hint="eastAsia" w:asciiTheme="minorEastAsia" w:hAnsiTheme="minorEastAsia" w:eastAsiaTheme="minorEastAsia" w:cstheme="minorEastAsia"/>
          <w:sz w:val="24"/>
          <w:szCs w:val="24"/>
          <w:highlight w:val="none"/>
        </w:rPr>
        <w:t>提交时间和地点</w:t>
      </w:r>
      <w:bookmarkEnd w:id="26"/>
      <w:bookmarkEnd w:id="27"/>
    </w:p>
    <w:p w14:paraId="1114F83E">
      <w:pPr>
        <w:spacing w:line="340" w:lineRule="exact"/>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截止时间：</w:t>
      </w:r>
      <w:r>
        <w:rPr>
          <w:rFonts w:hint="eastAsia" w:asciiTheme="minorEastAsia" w:hAnsiTheme="minorEastAsia" w:eastAsiaTheme="minorEastAsia" w:cstheme="minorEastAsia"/>
          <w:sz w:val="24"/>
          <w:szCs w:val="24"/>
          <w:highlight w:val="none"/>
          <w:lang w:eastAsia="zh-CN"/>
        </w:rPr>
        <w:t>2026年7月7日</w:t>
      </w:r>
      <w:r>
        <w:rPr>
          <w:rFonts w:hint="eastAsia" w:asciiTheme="minorEastAsia" w:hAnsiTheme="minorEastAsia" w:eastAsiaTheme="minorEastAsia" w:cstheme="minorEastAsia"/>
          <w:sz w:val="24"/>
          <w:szCs w:val="24"/>
          <w:highlight w:val="none"/>
        </w:rPr>
        <w:t>上午09时30分(</w:t>
      </w:r>
      <w:r>
        <w:rPr>
          <w:rFonts w:hint="eastAsia" w:asciiTheme="minorEastAsia" w:hAnsiTheme="minorEastAsia" w:eastAsiaTheme="minorEastAsia" w:cstheme="minorEastAsia"/>
          <w:bCs/>
          <w:sz w:val="24"/>
          <w:szCs w:val="24"/>
          <w:highlight w:val="none"/>
        </w:rPr>
        <w:t>北京时间）。</w:t>
      </w:r>
    </w:p>
    <w:p w14:paraId="518CD68F">
      <w:pPr>
        <w:spacing w:line="3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    点：通过广西政府采购云平台实行在线响应。</w:t>
      </w:r>
    </w:p>
    <w:p w14:paraId="695862E7">
      <w:pPr>
        <w:spacing w:line="3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五、开启</w:t>
      </w:r>
    </w:p>
    <w:p w14:paraId="6DC72219">
      <w:pPr>
        <w:spacing w:line="3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时间：</w:t>
      </w:r>
      <w:r>
        <w:rPr>
          <w:rFonts w:hint="eastAsia" w:asciiTheme="minorEastAsia" w:hAnsiTheme="minorEastAsia" w:eastAsiaTheme="minorEastAsia" w:cstheme="minorEastAsia"/>
          <w:sz w:val="24"/>
          <w:szCs w:val="24"/>
          <w:highlight w:val="none"/>
          <w:lang w:eastAsia="zh-CN"/>
        </w:rPr>
        <w:t>2026年7月7日</w:t>
      </w:r>
      <w:r>
        <w:rPr>
          <w:rFonts w:hint="eastAsia" w:asciiTheme="minorEastAsia" w:hAnsiTheme="minorEastAsia" w:eastAsiaTheme="minorEastAsia" w:cstheme="minorEastAsia"/>
          <w:sz w:val="24"/>
          <w:szCs w:val="24"/>
          <w:highlight w:val="none"/>
        </w:rPr>
        <w:t>上午09时30分(北京时间）截标后。</w:t>
      </w:r>
    </w:p>
    <w:p w14:paraId="27F39AE7">
      <w:pPr>
        <w:spacing w:line="34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sz w:val="24"/>
          <w:szCs w:val="24"/>
          <w:highlight w:val="none"/>
        </w:rPr>
        <w:t>地点：</w:t>
      </w:r>
      <w:r>
        <w:rPr>
          <w:rFonts w:hint="eastAsia" w:asciiTheme="minorEastAsia" w:hAnsiTheme="minorEastAsia" w:eastAsiaTheme="minorEastAsia" w:cstheme="minorEastAsia"/>
          <w:color w:val="000000"/>
          <w:sz w:val="24"/>
          <w:szCs w:val="24"/>
          <w:highlight w:val="none"/>
        </w:rPr>
        <w:t>广西政府采购云平台实行在线解密开启。</w:t>
      </w:r>
    </w:p>
    <w:p w14:paraId="336E16ED">
      <w:pPr>
        <w:spacing w:line="340" w:lineRule="exact"/>
        <w:rPr>
          <w:rFonts w:hint="eastAsia" w:asciiTheme="minorEastAsia" w:hAnsiTheme="minorEastAsia" w:eastAsiaTheme="minorEastAsia" w:cstheme="minorEastAsia"/>
          <w:color w:val="000000"/>
          <w:sz w:val="24"/>
          <w:szCs w:val="24"/>
          <w:highlight w:val="none"/>
        </w:rPr>
      </w:pPr>
      <w:bookmarkStart w:id="28" w:name="_Toc28359084"/>
      <w:bookmarkStart w:id="29" w:name="_Toc28359007"/>
      <w:bookmarkStart w:id="30" w:name="_Toc35393625"/>
      <w:bookmarkStart w:id="31" w:name="_Toc35393794"/>
      <w:r>
        <w:rPr>
          <w:rFonts w:hint="eastAsia" w:asciiTheme="minorEastAsia" w:hAnsiTheme="minorEastAsia" w:eastAsiaTheme="minorEastAsia" w:cstheme="minorEastAsia"/>
          <w:color w:val="000000"/>
          <w:sz w:val="24"/>
          <w:szCs w:val="24"/>
          <w:highlight w:val="none"/>
        </w:rPr>
        <w:t>六、公告期限</w:t>
      </w:r>
      <w:bookmarkEnd w:id="28"/>
      <w:bookmarkEnd w:id="29"/>
      <w:bookmarkEnd w:id="30"/>
      <w:bookmarkEnd w:id="31"/>
    </w:p>
    <w:p w14:paraId="63A25E21">
      <w:pPr>
        <w:spacing w:line="340" w:lineRule="exact"/>
        <w:ind w:firstLine="480" w:firstLineChars="20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自本公告发布之日起5个工作日。</w:t>
      </w:r>
    </w:p>
    <w:p w14:paraId="05FF8083">
      <w:pPr>
        <w:spacing w:line="340" w:lineRule="exact"/>
        <w:rPr>
          <w:rFonts w:hint="eastAsia" w:asciiTheme="minorEastAsia" w:hAnsiTheme="minorEastAsia" w:eastAsiaTheme="minorEastAsia" w:cstheme="minorEastAsia"/>
          <w:color w:val="000000"/>
          <w:sz w:val="24"/>
          <w:szCs w:val="24"/>
          <w:highlight w:val="none"/>
        </w:rPr>
      </w:pPr>
      <w:bookmarkStart w:id="32" w:name="_Toc35393626"/>
      <w:bookmarkStart w:id="33" w:name="_Toc35393795"/>
      <w:r>
        <w:rPr>
          <w:rFonts w:hint="eastAsia" w:asciiTheme="minorEastAsia" w:hAnsiTheme="minorEastAsia" w:eastAsiaTheme="minorEastAsia" w:cstheme="minorEastAsia"/>
          <w:color w:val="000000"/>
          <w:sz w:val="24"/>
          <w:szCs w:val="24"/>
          <w:highlight w:val="none"/>
        </w:rPr>
        <w:t>七、其他补充事宜</w:t>
      </w:r>
      <w:bookmarkEnd w:id="32"/>
      <w:bookmarkEnd w:id="33"/>
    </w:p>
    <w:p w14:paraId="3204A212">
      <w:pPr>
        <w:spacing w:line="340" w:lineRule="exact"/>
        <w:ind w:firstLine="482"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1.本项目无需缴纳磋商保证金。</w:t>
      </w:r>
    </w:p>
    <w:p w14:paraId="619345B3">
      <w:pPr>
        <w:spacing w:line="34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2.本项目信息发布媒体：</w:t>
      </w:r>
    </w:p>
    <w:p w14:paraId="696A28C1">
      <w:pPr>
        <w:spacing w:line="3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桂林市政府采购网（zfcg.czj.guilin.gov.cn）</w:t>
      </w:r>
    </w:p>
    <w:p w14:paraId="6C26C153">
      <w:pPr>
        <w:spacing w:line="3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广西壮族自治区政府采购网（www.ccgp-guangxi.gov.cn）</w:t>
      </w:r>
    </w:p>
    <w:p w14:paraId="19D55281">
      <w:pPr>
        <w:spacing w:line="3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中国政府采购网（www.ccgp.gov.cn）</w:t>
      </w:r>
    </w:p>
    <w:p w14:paraId="27B36F29">
      <w:pPr>
        <w:spacing w:line="34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w:t>
      </w:r>
      <w:r>
        <w:rPr>
          <w:rFonts w:hint="eastAsia" w:asciiTheme="minorEastAsia" w:hAnsiTheme="minorEastAsia" w:eastAsiaTheme="minorEastAsia" w:cstheme="minorEastAsia"/>
          <w:sz w:val="24"/>
          <w:szCs w:val="24"/>
          <w:highlight w:val="none"/>
        </w:rPr>
        <w:t>磋商响应文件解密时间：截标时间后30分钟内（</w:t>
      </w:r>
      <w:r>
        <w:rPr>
          <w:rFonts w:hint="eastAsia" w:asciiTheme="minorEastAsia" w:hAnsiTheme="minorEastAsia" w:eastAsiaTheme="minorEastAsia" w:cstheme="minorEastAsia"/>
          <w:sz w:val="24"/>
          <w:szCs w:val="24"/>
          <w:highlight w:val="none"/>
          <w:lang w:eastAsia="zh-CN"/>
        </w:rPr>
        <w:t>2026年7月7日</w:t>
      </w:r>
      <w:r>
        <w:rPr>
          <w:rFonts w:hint="eastAsia" w:asciiTheme="minorEastAsia" w:hAnsiTheme="minorEastAsia" w:eastAsiaTheme="minorEastAsia" w:cstheme="minorEastAsia"/>
          <w:sz w:val="24"/>
          <w:szCs w:val="24"/>
          <w:highlight w:val="none"/>
        </w:rPr>
        <w:t>上午09时30分至10时00分)磋商供应商可以登录广西政府采购云平台，用“项目采购-开标评标”功能进行解密电子磋商响应文件。</w:t>
      </w:r>
      <w:r>
        <w:rPr>
          <w:rFonts w:hint="eastAsia" w:asciiTheme="minorEastAsia" w:hAnsiTheme="minorEastAsia" w:eastAsiaTheme="minorEastAsia" w:cstheme="minorEastAsia"/>
          <w:color w:val="000000"/>
          <w:sz w:val="24"/>
          <w:szCs w:val="24"/>
          <w:highlight w:val="none"/>
        </w:rPr>
        <w:t xml:space="preserve">    </w:t>
      </w:r>
    </w:p>
    <w:p w14:paraId="1656BB3E">
      <w:pPr>
        <w:spacing w:line="340" w:lineRule="exact"/>
        <w:ind w:firstLine="482" w:firstLineChars="200"/>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注：响应文件网上递交截止时间后，各</w:t>
      </w:r>
      <w:r>
        <w:rPr>
          <w:rFonts w:hint="eastAsia" w:asciiTheme="minorEastAsia" w:hAnsiTheme="minorEastAsia" w:eastAsiaTheme="minorEastAsia" w:cstheme="minorEastAsia"/>
          <w:b/>
          <w:bCs/>
          <w:color w:val="000000"/>
          <w:sz w:val="24"/>
          <w:szCs w:val="24"/>
          <w:highlight w:val="none"/>
          <w:lang w:eastAsia="zh-CN"/>
        </w:rPr>
        <w:t>供应商</w:t>
      </w:r>
      <w:r>
        <w:rPr>
          <w:rFonts w:hint="eastAsia" w:asciiTheme="minorEastAsia" w:hAnsiTheme="minorEastAsia" w:eastAsiaTheme="minorEastAsia" w:cstheme="minorEastAsia"/>
          <w:b/>
          <w:bCs/>
          <w:color w:val="000000"/>
          <w:sz w:val="24"/>
          <w:szCs w:val="24"/>
          <w:highlight w:val="none"/>
        </w:rPr>
        <w:t>须在解密时限内对上传政采云的响应文件进行解密，所有</w:t>
      </w:r>
      <w:r>
        <w:rPr>
          <w:rFonts w:hint="eastAsia" w:asciiTheme="minorEastAsia" w:hAnsiTheme="minorEastAsia" w:eastAsiaTheme="minorEastAsia" w:cstheme="minorEastAsia"/>
          <w:b/>
          <w:bCs/>
          <w:color w:val="000000"/>
          <w:sz w:val="24"/>
          <w:szCs w:val="24"/>
          <w:highlight w:val="none"/>
          <w:lang w:eastAsia="zh-CN"/>
        </w:rPr>
        <w:t>供应商</w:t>
      </w:r>
      <w:r>
        <w:rPr>
          <w:rFonts w:hint="eastAsia" w:asciiTheme="minorEastAsia" w:hAnsiTheme="minorEastAsia" w:eastAsiaTheme="minorEastAsia" w:cstheme="minorEastAsia"/>
          <w:b/>
          <w:bCs/>
          <w:color w:val="000000"/>
          <w:sz w:val="24"/>
          <w:szCs w:val="24"/>
          <w:highlight w:val="none"/>
        </w:rPr>
        <w:t>在规定的解密时限内解密完成或解密时限结束后，我中心开启已解密的响应文件。</w:t>
      </w:r>
      <w:r>
        <w:rPr>
          <w:rFonts w:hint="eastAsia" w:asciiTheme="minorEastAsia" w:hAnsiTheme="minorEastAsia" w:eastAsiaTheme="minorEastAsia" w:cstheme="minorEastAsia"/>
          <w:b/>
          <w:bCs/>
          <w:color w:val="000000"/>
          <w:sz w:val="24"/>
          <w:szCs w:val="24"/>
          <w:highlight w:val="none"/>
          <w:lang w:eastAsia="zh-CN"/>
        </w:rPr>
        <w:t>供应商</w:t>
      </w:r>
      <w:r>
        <w:rPr>
          <w:rFonts w:hint="eastAsia" w:asciiTheme="minorEastAsia" w:hAnsiTheme="minorEastAsia" w:eastAsiaTheme="minorEastAsia" w:cstheme="minorEastAsia"/>
          <w:b/>
          <w:bCs/>
          <w:color w:val="000000"/>
          <w:sz w:val="24"/>
          <w:szCs w:val="24"/>
          <w:highlight w:val="none"/>
        </w:rPr>
        <w:t>超过解密时限未解密的，系统默认自动放弃，造成投标无效的后果由</w:t>
      </w:r>
      <w:r>
        <w:rPr>
          <w:rFonts w:hint="eastAsia" w:asciiTheme="minorEastAsia" w:hAnsiTheme="minorEastAsia" w:eastAsiaTheme="minorEastAsia" w:cstheme="minorEastAsia"/>
          <w:b/>
          <w:bCs/>
          <w:color w:val="000000"/>
          <w:sz w:val="24"/>
          <w:szCs w:val="24"/>
          <w:highlight w:val="none"/>
          <w:lang w:eastAsia="zh-CN"/>
        </w:rPr>
        <w:t>供应商</w:t>
      </w:r>
      <w:r>
        <w:rPr>
          <w:rFonts w:hint="eastAsia" w:asciiTheme="minorEastAsia" w:hAnsiTheme="minorEastAsia" w:eastAsiaTheme="minorEastAsia" w:cstheme="minorEastAsia"/>
          <w:b/>
          <w:bCs/>
          <w:color w:val="000000"/>
          <w:sz w:val="24"/>
          <w:szCs w:val="24"/>
          <w:highlight w:val="none"/>
        </w:rPr>
        <w:t>自行承担，解密响应文件后，30分钟内在线签字确认，超过时间没有在线签字确认的系统将自动视为供应商认可。</w:t>
      </w:r>
    </w:p>
    <w:p w14:paraId="134B0BDA">
      <w:pPr>
        <w:spacing w:line="340" w:lineRule="exac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八、在线投标响应（电子投标）说明</w:t>
      </w:r>
    </w:p>
    <w:p w14:paraId="00932B7F">
      <w:pPr>
        <w:spacing w:line="34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本项目通过广西政府采购云平台实行在线投标响应（电子投标），供应商需要先安装“政采云电子交易客户端”，并按照本磋商文件和广西政府采购云平台的要求，通过“政采云电子交易客户端”编制并加密响应文件。供应商未按规定编制并加密的响应文件，广西政府采购云平台将予以拒收。</w:t>
      </w:r>
    </w:p>
    <w:p w14:paraId="28C79635">
      <w:pPr>
        <w:pStyle w:val="31"/>
        <w:spacing w:line="3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政采云电子交易客户端”请自行前往广西政府采购网下载并安装；电子投标具体操作流程参考《政府采购项目电子交易管理操作指南-供应商》；在使用政采云投标客户端时，建议使用WIN7及以上操作系统,通过广西政府采购云平台参与在线投标时如遇平台技术问题详询95763。</w:t>
      </w:r>
    </w:p>
    <w:p w14:paraId="14972B55">
      <w:pPr>
        <w:spacing w:line="340" w:lineRule="exact"/>
        <w:ind w:firstLine="480" w:firstLineChars="200"/>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color w:val="000000"/>
          <w:sz w:val="24"/>
          <w:szCs w:val="24"/>
          <w:highlight w:val="none"/>
        </w:rPr>
        <w:t>2.为确保网上操作合法、有效和安全，磋商供应商应当在磋商截止时间前完成在“广西政府采购云平台”的身份认证，确保在电子投标过程中能够对相关数据电文进行加密和使用电子签章。使用“政采云电子交易客户端”需要提前申领CA数字证书，申领流程请自行前往广西政府采购云平台网站进行查阅；</w:t>
      </w:r>
      <w:r>
        <w:rPr>
          <w:rFonts w:hint="eastAsia" w:asciiTheme="minorEastAsia" w:hAnsiTheme="minorEastAsia" w:eastAsiaTheme="minorEastAsia" w:cstheme="minorEastAsia"/>
          <w:b/>
          <w:bCs/>
          <w:color w:val="000000"/>
          <w:sz w:val="24"/>
          <w:szCs w:val="24"/>
          <w:highlight w:val="none"/>
        </w:rPr>
        <w:t>（完成CA数字证书办理预计一周左右，建议供应商获取磋商文件后立即办理。）</w:t>
      </w:r>
    </w:p>
    <w:p w14:paraId="465B6C37">
      <w:pPr>
        <w:spacing w:line="34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磋商供应商应当在磋商截止时间前，将生成的“电子磋商响应文件”上传递交至广西政府采购云平台。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122E8E6C">
      <w:pPr>
        <w:pStyle w:val="31"/>
        <w:spacing w:line="340" w:lineRule="exact"/>
        <w:ind w:firstLine="482" w:firstLineChars="200"/>
        <w:rPr>
          <w:rFonts w:hint="eastAsia" w:asciiTheme="minorEastAsia" w:hAnsiTheme="minorEastAsia" w:eastAsiaTheme="minorEastAsia" w:cstheme="minorEastAsia"/>
          <w:b/>
          <w:bCs/>
          <w:sz w:val="24"/>
          <w:szCs w:val="24"/>
          <w:highlight w:val="none"/>
          <w:u w:val="single"/>
        </w:rPr>
      </w:pPr>
      <w:r>
        <w:rPr>
          <w:rFonts w:hint="eastAsia" w:asciiTheme="minorEastAsia" w:hAnsiTheme="minorEastAsia" w:eastAsiaTheme="minorEastAsia" w:cstheme="minorEastAsia"/>
          <w:b/>
          <w:bCs/>
          <w:sz w:val="24"/>
          <w:szCs w:val="24"/>
          <w:highlight w:val="none"/>
          <w:u w:val="single"/>
        </w:rPr>
        <w:t>4.本项目需要磋商供应商代表在截标当天截标后，按磋商小组要求及时登陆广西政府采购云平台等候在线磋商及提交最后报价。</w:t>
      </w:r>
    </w:p>
    <w:p w14:paraId="3923D0BB">
      <w:pPr>
        <w:pStyle w:val="31"/>
        <w:spacing w:line="340" w:lineRule="exact"/>
        <w:ind w:firstLine="48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u w:val="single"/>
        </w:rPr>
        <w:t>5.本采购项目为政采云全流程电子化操作，参与磋商的供应商需自备计算机和网络设备（设备需可视频通话和读取政采云CA数字证书），确保磋商过程顺利进行；因供应商自身设备或网络原因造成的一切后果，由供应商自行承担。</w:t>
      </w:r>
    </w:p>
    <w:p w14:paraId="7B6D277E">
      <w:pPr>
        <w:spacing w:line="340" w:lineRule="exac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九、凡对本次采购提出询问，请按以下方式联系。</w:t>
      </w:r>
      <w:bookmarkEnd w:id="20"/>
      <w:bookmarkEnd w:id="21"/>
      <w:bookmarkEnd w:id="22"/>
      <w:bookmarkEnd w:id="23"/>
    </w:p>
    <w:p w14:paraId="58339A0F">
      <w:pPr>
        <w:spacing w:line="340" w:lineRule="exact"/>
        <w:ind w:firstLine="480" w:firstLineChars="200"/>
        <w:rPr>
          <w:rFonts w:hint="eastAsia" w:asciiTheme="minorEastAsia" w:hAnsiTheme="minorEastAsia" w:eastAsiaTheme="minorEastAsia" w:cstheme="minorEastAsia"/>
          <w:color w:val="000000"/>
          <w:sz w:val="24"/>
          <w:szCs w:val="24"/>
          <w:highlight w:val="none"/>
        </w:rPr>
      </w:pPr>
      <w:bookmarkStart w:id="34" w:name="_Toc28359019"/>
      <w:bookmarkStart w:id="35" w:name="_Toc35393637"/>
      <w:bookmarkStart w:id="36" w:name="_Toc28359096"/>
      <w:bookmarkStart w:id="37" w:name="_Toc35393806"/>
      <w:r>
        <w:rPr>
          <w:rFonts w:hint="eastAsia" w:asciiTheme="minorEastAsia" w:hAnsiTheme="minorEastAsia" w:eastAsiaTheme="minorEastAsia" w:cstheme="minorEastAsia"/>
          <w:color w:val="000000"/>
          <w:sz w:val="24"/>
          <w:szCs w:val="24"/>
          <w:highlight w:val="none"/>
        </w:rPr>
        <w:t>1.采购人信息</w:t>
      </w:r>
      <w:bookmarkEnd w:id="34"/>
      <w:bookmarkEnd w:id="35"/>
      <w:bookmarkEnd w:id="36"/>
      <w:bookmarkEnd w:id="37"/>
    </w:p>
    <w:p w14:paraId="18A1E732">
      <w:pPr>
        <w:spacing w:line="340" w:lineRule="exact"/>
        <w:ind w:firstLine="480" w:firstLineChars="200"/>
        <w:rPr>
          <w:rFonts w:hint="eastAsia" w:asciiTheme="minorEastAsia" w:hAnsiTheme="minorEastAsia" w:eastAsiaTheme="minorEastAsia" w:cstheme="minorEastAsia"/>
          <w:color w:val="000000"/>
          <w:sz w:val="24"/>
          <w:szCs w:val="24"/>
          <w:highlight w:val="none"/>
        </w:rPr>
      </w:pPr>
      <w:bookmarkStart w:id="38" w:name="_Toc35393638"/>
      <w:bookmarkStart w:id="39" w:name="_Toc28359020"/>
      <w:bookmarkStart w:id="40" w:name="_Toc35393807"/>
      <w:bookmarkStart w:id="41" w:name="_Toc28359097"/>
      <w:r>
        <w:rPr>
          <w:rFonts w:hint="eastAsia" w:asciiTheme="minorEastAsia" w:hAnsiTheme="minorEastAsia" w:eastAsiaTheme="minorEastAsia" w:cstheme="minorEastAsia"/>
          <w:color w:val="000000"/>
          <w:sz w:val="24"/>
          <w:szCs w:val="24"/>
          <w:highlight w:val="none"/>
        </w:rPr>
        <w:t xml:space="preserve">名称：桂林市雁山区后勤服务中心  </w:t>
      </w:r>
    </w:p>
    <w:p w14:paraId="1DB657EB">
      <w:pPr>
        <w:spacing w:line="34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地址：桂林市雁山区雁山镇雁中路18号</w:t>
      </w:r>
    </w:p>
    <w:p w14:paraId="37C2EA48">
      <w:pPr>
        <w:spacing w:line="34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联系人：张工  联系电话：0773-3550198</w:t>
      </w:r>
    </w:p>
    <w:p w14:paraId="7125F84D">
      <w:pPr>
        <w:spacing w:line="34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2.采购代理机构信息</w:t>
      </w:r>
      <w:bookmarkEnd w:id="38"/>
      <w:bookmarkEnd w:id="39"/>
      <w:bookmarkEnd w:id="40"/>
      <w:bookmarkEnd w:id="41"/>
    </w:p>
    <w:p w14:paraId="4D083D8A">
      <w:pPr>
        <w:spacing w:line="340" w:lineRule="exact"/>
        <w:ind w:firstLine="480" w:firstLineChars="20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名    称：</w:t>
      </w:r>
      <w:r>
        <w:rPr>
          <w:rFonts w:hint="eastAsia" w:asciiTheme="minorEastAsia" w:hAnsiTheme="minorEastAsia" w:eastAsiaTheme="minorEastAsia" w:cstheme="minorEastAsia"/>
          <w:color w:val="000000"/>
          <w:sz w:val="24"/>
          <w:szCs w:val="24"/>
          <w:highlight w:val="none"/>
          <w:u w:val="single"/>
          <w:lang w:eastAsia="zh-CN"/>
        </w:rPr>
        <w:t>广西鸿墨项目管理有限公司</w:t>
      </w:r>
      <w:r>
        <w:rPr>
          <w:rFonts w:hint="eastAsia" w:asciiTheme="minorEastAsia" w:hAnsiTheme="minorEastAsia" w:eastAsiaTheme="minorEastAsia" w:cstheme="minorEastAsia"/>
          <w:color w:val="000000"/>
          <w:sz w:val="24"/>
          <w:szCs w:val="24"/>
          <w:highlight w:val="none"/>
          <w:u w:val="single"/>
        </w:rPr>
        <w:t>　</w:t>
      </w:r>
    </w:p>
    <w:p w14:paraId="02444DA5">
      <w:pPr>
        <w:spacing w:line="340" w:lineRule="exact"/>
        <w:ind w:firstLine="480" w:firstLineChars="200"/>
        <w:rPr>
          <w:rFonts w:hint="eastAsia" w:asciiTheme="minorEastAsia" w:hAnsiTheme="minorEastAsia" w:eastAsiaTheme="minorEastAsia" w:cstheme="minorEastAsia"/>
          <w:color w:val="000000"/>
          <w:sz w:val="24"/>
          <w:szCs w:val="24"/>
          <w:highlight w:val="none"/>
          <w:u w:val="single"/>
        </w:rPr>
      </w:pPr>
      <w:r>
        <w:rPr>
          <w:rFonts w:hint="eastAsia" w:asciiTheme="minorEastAsia" w:hAnsiTheme="minorEastAsia" w:eastAsiaTheme="minorEastAsia" w:cstheme="minorEastAsia"/>
          <w:color w:val="000000"/>
          <w:sz w:val="24"/>
          <w:szCs w:val="24"/>
          <w:highlight w:val="none"/>
        </w:rPr>
        <w:t>地　　址：</w:t>
      </w:r>
      <w:r>
        <w:rPr>
          <w:rFonts w:hint="eastAsia" w:asciiTheme="minorEastAsia" w:hAnsiTheme="minorEastAsia" w:eastAsiaTheme="minorEastAsia" w:cstheme="minorEastAsia"/>
          <w:color w:val="000000"/>
          <w:sz w:val="24"/>
          <w:szCs w:val="24"/>
          <w:highlight w:val="none"/>
          <w:u w:val="single"/>
          <w:lang w:eastAsia="zh-CN"/>
        </w:rPr>
        <w:t>桂林市秀峰区翠竹路23号翡翠山庄3-1号(原5#)别墅</w:t>
      </w:r>
      <w:r>
        <w:rPr>
          <w:rFonts w:hint="eastAsia" w:asciiTheme="minorEastAsia" w:hAnsiTheme="minorEastAsia" w:eastAsiaTheme="minorEastAsia" w:cstheme="minorEastAsia"/>
          <w:color w:val="000000"/>
          <w:sz w:val="24"/>
          <w:szCs w:val="24"/>
          <w:highlight w:val="none"/>
          <w:u w:val="single"/>
        </w:rPr>
        <w:t>　</w:t>
      </w:r>
    </w:p>
    <w:p w14:paraId="36C9554A">
      <w:pPr>
        <w:spacing w:line="340" w:lineRule="exact"/>
        <w:ind w:firstLine="480" w:firstLineChars="200"/>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z w:val="24"/>
          <w:szCs w:val="24"/>
          <w:highlight w:val="none"/>
        </w:rPr>
        <w:t>联系方式：</w:t>
      </w:r>
      <w:r>
        <w:rPr>
          <w:rFonts w:hint="eastAsia" w:asciiTheme="minorEastAsia" w:hAnsiTheme="minorEastAsia" w:eastAsiaTheme="minorEastAsia" w:cstheme="minorEastAsia"/>
          <w:sz w:val="24"/>
          <w:szCs w:val="24"/>
          <w:highlight w:val="none"/>
          <w:u w:val="single"/>
          <w:lang w:eastAsia="zh-CN"/>
        </w:rPr>
        <w:t>0773-3812252</w:t>
      </w:r>
    </w:p>
    <w:p w14:paraId="1E308BBC">
      <w:pPr>
        <w:spacing w:line="340" w:lineRule="exact"/>
        <w:ind w:firstLine="480" w:firstLineChars="200"/>
        <w:rPr>
          <w:rFonts w:hint="eastAsia" w:asciiTheme="minorEastAsia" w:hAnsiTheme="minorEastAsia" w:eastAsiaTheme="minorEastAsia" w:cstheme="minorEastAsia"/>
          <w:sz w:val="24"/>
          <w:szCs w:val="24"/>
          <w:highlight w:val="none"/>
        </w:rPr>
      </w:pPr>
      <w:bookmarkStart w:id="42" w:name="_Toc35393808"/>
      <w:bookmarkStart w:id="43" w:name="_Toc35393639"/>
      <w:bookmarkStart w:id="44" w:name="_Toc28359021"/>
      <w:bookmarkStart w:id="45" w:name="_Toc28359098"/>
      <w:r>
        <w:rPr>
          <w:rFonts w:hint="eastAsia" w:asciiTheme="minorEastAsia" w:hAnsiTheme="minorEastAsia" w:eastAsiaTheme="minorEastAsia" w:cstheme="minorEastAsia"/>
          <w:sz w:val="24"/>
          <w:szCs w:val="24"/>
          <w:highlight w:val="none"/>
        </w:rPr>
        <w:t>3.项目联系方式</w:t>
      </w:r>
      <w:bookmarkEnd w:id="42"/>
      <w:bookmarkEnd w:id="43"/>
      <w:bookmarkEnd w:id="44"/>
      <w:bookmarkEnd w:id="45"/>
    </w:p>
    <w:p w14:paraId="165C17D2">
      <w:pPr>
        <w:pStyle w:val="15"/>
        <w:spacing w:line="34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项目联系人：</w:t>
      </w:r>
      <w:r>
        <w:rPr>
          <w:rFonts w:hint="eastAsia" w:asciiTheme="minorEastAsia" w:hAnsiTheme="minorEastAsia" w:eastAsiaTheme="minorEastAsia" w:cstheme="minorEastAsia"/>
          <w:sz w:val="24"/>
          <w:szCs w:val="24"/>
          <w:highlight w:val="none"/>
          <w:u w:val="single"/>
          <w:lang w:val="en-US" w:eastAsia="zh-CN"/>
        </w:rPr>
        <w:t>张工</w:t>
      </w:r>
    </w:p>
    <w:p w14:paraId="75238DA6">
      <w:pPr>
        <w:spacing w:line="340" w:lineRule="exact"/>
        <w:ind w:firstLine="480" w:firstLineChars="200"/>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z w:val="24"/>
          <w:szCs w:val="24"/>
          <w:highlight w:val="none"/>
        </w:rPr>
        <w:t>电　　话：</w:t>
      </w:r>
      <w:r>
        <w:rPr>
          <w:rFonts w:hint="eastAsia" w:asciiTheme="minorEastAsia" w:hAnsiTheme="minorEastAsia" w:eastAsiaTheme="minorEastAsia" w:cstheme="minorEastAsia"/>
          <w:sz w:val="24"/>
          <w:szCs w:val="24"/>
          <w:highlight w:val="none"/>
          <w:lang w:eastAsia="zh-CN"/>
        </w:rPr>
        <w:t>0773-3812252</w:t>
      </w:r>
    </w:p>
    <w:p w14:paraId="5E8AE3C8">
      <w:pPr>
        <w:spacing w:line="3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4.政府采购监督管理机构</w:t>
      </w:r>
    </w:p>
    <w:p w14:paraId="401EE9B2">
      <w:pPr>
        <w:spacing w:line="340" w:lineRule="exact"/>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名 称：</w:t>
      </w:r>
      <w:r>
        <w:rPr>
          <w:rFonts w:hint="eastAsia" w:asciiTheme="minorEastAsia" w:hAnsiTheme="minorEastAsia" w:eastAsiaTheme="minorEastAsia" w:cstheme="minorEastAsia"/>
          <w:sz w:val="24"/>
          <w:szCs w:val="24"/>
          <w:highlight w:val="none"/>
          <w:u w:val="single"/>
          <w:lang w:eastAsia="zh-CN"/>
        </w:rPr>
        <w:t>桂林市雁山区政府采购管理办公室</w:t>
      </w:r>
    </w:p>
    <w:p w14:paraId="4C6C765E">
      <w:pPr>
        <w:spacing w:line="340" w:lineRule="exact"/>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联系方式：</w:t>
      </w:r>
      <w:r>
        <w:rPr>
          <w:rFonts w:hint="eastAsia" w:asciiTheme="minorEastAsia" w:hAnsiTheme="minorEastAsia" w:eastAsiaTheme="minorEastAsia" w:cstheme="minorEastAsia"/>
          <w:sz w:val="24"/>
          <w:szCs w:val="24"/>
          <w:highlight w:val="none"/>
          <w:u w:val="single"/>
          <w:lang w:eastAsia="zh-CN"/>
        </w:rPr>
        <w:t>0773-3551859</w:t>
      </w:r>
    </w:p>
    <w:p w14:paraId="10B8E1E6">
      <w:pPr>
        <w:pStyle w:val="10"/>
        <w:rPr>
          <w:rFonts w:hint="eastAsia" w:ascii="宋体" w:hAnsi="宋体" w:cs="宋体"/>
          <w:highlight w:val="none"/>
        </w:rPr>
      </w:pPr>
    </w:p>
    <w:p w14:paraId="3AF4D82F">
      <w:pPr>
        <w:pStyle w:val="2"/>
        <w:spacing w:line="240" w:lineRule="auto"/>
        <w:jc w:val="center"/>
        <w:rPr>
          <w:rFonts w:hint="eastAsia" w:ascii="仿宋" w:hAnsi="仿宋" w:eastAsia="仿宋" w:cs="仿宋"/>
          <w:color w:val="000000"/>
          <w:sz w:val="32"/>
          <w:szCs w:val="32"/>
          <w:highlight w:val="none"/>
        </w:rPr>
      </w:pPr>
    </w:p>
    <w:p w14:paraId="208F5C24">
      <w:pPr>
        <w:pStyle w:val="2"/>
        <w:spacing w:line="240" w:lineRule="auto"/>
        <w:jc w:val="center"/>
        <w:rPr>
          <w:rFonts w:hint="eastAsia" w:ascii="仿宋" w:hAnsi="仿宋" w:eastAsia="仿宋" w:cs="仿宋"/>
          <w:color w:val="000000"/>
          <w:sz w:val="32"/>
          <w:szCs w:val="32"/>
          <w:highlight w:val="none"/>
        </w:rPr>
      </w:pPr>
    </w:p>
    <w:p w14:paraId="62101756">
      <w:pPr>
        <w:pStyle w:val="2"/>
        <w:spacing w:line="240" w:lineRule="auto"/>
        <w:jc w:val="center"/>
        <w:rPr>
          <w:rFonts w:hint="eastAsia" w:ascii="仿宋" w:hAnsi="仿宋" w:eastAsia="仿宋" w:cs="仿宋"/>
          <w:color w:val="000000"/>
          <w:sz w:val="32"/>
          <w:szCs w:val="32"/>
          <w:highlight w:val="none"/>
        </w:rPr>
      </w:pPr>
    </w:p>
    <w:p w14:paraId="125BA500">
      <w:pPr>
        <w:pStyle w:val="2"/>
        <w:spacing w:line="240" w:lineRule="auto"/>
        <w:jc w:val="center"/>
        <w:rPr>
          <w:rFonts w:hint="eastAsia" w:ascii="仿宋" w:hAnsi="仿宋" w:eastAsia="仿宋" w:cs="仿宋"/>
          <w:color w:val="000000"/>
          <w:sz w:val="32"/>
          <w:szCs w:val="32"/>
          <w:highlight w:val="none"/>
        </w:rPr>
      </w:pPr>
    </w:p>
    <w:p w14:paraId="17571997">
      <w:pPr>
        <w:rPr>
          <w:rFonts w:hint="eastAsia" w:ascii="仿宋" w:hAnsi="仿宋" w:eastAsia="仿宋" w:cs="仿宋"/>
          <w:color w:val="000000"/>
          <w:sz w:val="32"/>
          <w:szCs w:val="32"/>
          <w:highlight w:val="none"/>
        </w:rPr>
      </w:pPr>
    </w:p>
    <w:p w14:paraId="33E0FC1E">
      <w:pPr>
        <w:pStyle w:val="22"/>
        <w:rPr>
          <w:rFonts w:hint="eastAsia"/>
          <w:highlight w:val="none"/>
        </w:rPr>
      </w:pPr>
    </w:p>
    <w:p w14:paraId="2E4BF934">
      <w:pPr>
        <w:pStyle w:val="2"/>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仿宋" w:hAnsi="仿宋" w:eastAsia="仿宋" w:cs="仿宋"/>
          <w:color w:val="000000"/>
          <w:sz w:val="32"/>
          <w:szCs w:val="32"/>
          <w:highlight w:val="none"/>
        </w:rPr>
      </w:pPr>
    </w:p>
    <w:p w14:paraId="54B4B570">
      <w:pPr>
        <w:pStyle w:val="2"/>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仿宋" w:hAnsi="仿宋" w:eastAsia="仿宋" w:cs="仿宋"/>
          <w:color w:val="000000"/>
          <w:sz w:val="32"/>
          <w:szCs w:val="32"/>
          <w:highlight w:val="none"/>
        </w:rPr>
      </w:pPr>
    </w:p>
    <w:p w14:paraId="44CCA5AC">
      <w:pPr>
        <w:pStyle w:val="2"/>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仿宋" w:hAnsi="仿宋" w:eastAsia="仿宋" w:cs="仿宋"/>
          <w:color w:val="000000"/>
          <w:sz w:val="32"/>
          <w:szCs w:val="32"/>
          <w:highlight w:val="none"/>
        </w:rPr>
      </w:pPr>
    </w:p>
    <w:p w14:paraId="047E6256">
      <w:pPr>
        <w:pStyle w:val="2"/>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仿宋" w:hAnsi="仿宋" w:eastAsia="仿宋" w:cs="仿宋"/>
          <w:color w:val="000000"/>
          <w:sz w:val="32"/>
          <w:szCs w:val="32"/>
          <w:highlight w:val="none"/>
        </w:rPr>
      </w:pPr>
    </w:p>
    <w:p w14:paraId="78D116DB">
      <w:pPr>
        <w:rPr>
          <w:rFonts w:hint="eastAsia" w:ascii="仿宋" w:hAnsi="仿宋" w:eastAsia="仿宋" w:cs="仿宋"/>
          <w:color w:val="000000"/>
          <w:sz w:val="32"/>
          <w:szCs w:val="32"/>
          <w:highlight w:val="none"/>
        </w:rPr>
      </w:pPr>
    </w:p>
    <w:p w14:paraId="4133B7D9">
      <w:pPr>
        <w:pStyle w:val="22"/>
        <w:rPr>
          <w:rFonts w:hint="eastAsia"/>
          <w:highlight w:val="none"/>
        </w:rPr>
      </w:pPr>
    </w:p>
    <w:p w14:paraId="3BD1D3BE">
      <w:pPr>
        <w:pStyle w:val="2"/>
        <w:spacing w:before="0" w:after="0" w:line="240" w:lineRule="auto"/>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第二章 供应商须知</w:t>
      </w:r>
      <w:bookmarkEnd w:id="0"/>
      <w:bookmarkEnd w:id="1"/>
      <w:bookmarkEnd w:id="5"/>
    </w:p>
    <w:p w14:paraId="07D91D85">
      <w:pPr>
        <w:pStyle w:val="3"/>
        <w:jc w:val="center"/>
        <w:rPr>
          <w:rFonts w:hint="eastAsia" w:ascii="仿宋" w:hAnsi="仿宋" w:eastAsia="仿宋" w:cs="仿宋"/>
          <w:b/>
          <w:bCs w:val="0"/>
          <w:szCs w:val="28"/>
          <w:highlight w:val="none"/>
        </w:rPr>
      </w:pPr>
      <w:bookmarkStart w:id="46" w:name="_Toc8282"/>
      <w:bookmarkStart w:id="47" w:name="_Toc25063"/>
      <w:bookmarkStart w:id="48" w:name="_Toc9508"/>
      <w:bookmarkStart w:id="49" w:name="_Toc13547"/>
      <w:r>
        <w:rPr>
          <w:rFonts w:hint="eastAsia" w:ascii="仿宋" w:hAnsi="仿宋" w:eastAsia="仿宋" w:cs="仿宋"/>
          <w:b/>
          <w:bCs w:val="0"/>
          <w:szCs w:val="28"/>
          <w:highlight w:val="none"/>
        </w:rPr>
        <w:t>供 应 商 须 知 前 附 表</w:t>
      </w:r>
      <w:bookmarkEnd w:id="46"/>
      <w:bookmarkEnd w:id="47"/>
      <w:bookmarkEnd w:id="48"/>
      <w:bookmarkEnd w:id="49"/>
    </w:p>
    <w:tbl>
      <w:tblPr>
        <w:tblStyle w:val="25"/>
        <w:tblW w:w="10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6912"/>
      </w:tblGrid>
      <w:tr w14:paraId="40FFD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62" w:type="dxa"/>
            <w:vAlign w:val="center"/>
          </w:tcPr>
          <w:p w14:paraId="087039C4">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942" w:type="dxa"/>
            <w:vAlign w:val="center"/>
          </w:tcPr>
          <w:p w14:paraId="4E354945">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条款号</w:t>
            </w:r>
          </w:p>
        </w:tc>
        <w:tc>
          <w:tcPr>
            <w:tcW w:w="1775" w:type="dxa"/>
            <w:vAlign w:val="center"/>
          </w:tcPr>
          <w:p w14:paraId="7B7EA751">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条款名称</w:t>
            </w:r>
          </w:p>
        </w:tc>
        <w:tc>
          <w:tcPr>
            <w:tcW w:w="6912" w:type="dxa"/>
            <w:vAlign w:val="center"/>
          </w:tcPr>
          <w:p w14:paraId="50ED4956">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内容、要求</w:t>
            </w:r>
          </w:p>
        </w:tc>
      </w:tr>
      <w:tr w14:paraId="1968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2" w:type="dxa"/>
            <w:vAlign w:val="center"/>
          </w:tcPr>
          <w:p w14:paraId="0CF8454E">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942" w:type="dxa"/>
            <w:vAlign w:val="center"/>
          </w:tcPr>
          <w:p w14:paraId="7470F52D">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1.1</w:t>
            </w:r>
          </w:p>
        </w:tc>
        <w:tc>
          <w:tcPr>
            <w:tcW w:w="1775" w:type="dxa"/>
            <w:vAlign w:val="center"/>
          </w:tcPr>
          <w:p w14:paraId="5C69BB37">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项目名称及项目编号</w:t>
            </w:r>
          </w:p>
        </w:tc>
        <w:tc>
          <w:tcPr>
            <w:tcW w:w="6912" w:type="dxa"/>
            <w:vAlign w:val="center"/>
          </w:tcPr>
          <w:p w14:paraId="323DD024">
            <w:pPr>
              <w:spacing w:line="440" w:lineRule="exac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项目名称：</w:t>
            </w:r>
            <w:r>
              <w:rPr>
                <w:rFonts w:hint="eastAsia" w:ascii="仿宋" w:hAnsi="仿宋" w:eastAsia="仿宋" w:cs="仿宋"/>
                <w:color w:val="000000"/>
                <w:sz w:val="24"/>
                <w:highlight w:val="none"/>
                <w:lang w:eastAsia="zh-CN"/>
              </w:rPr>
              <w:t>雁山区金雁餐厅货物采购配送服务</w:t>
            </w:r>
          </w:p>
          <w:p w14:paraId="2D35CE65">
            <w:pPr>
              <w:spacing w:line="440" w:lineRule="exac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项目编号：</w:t>
            </w:r>
            <w:r>
              <w:rPr>
                <w:rFonts w:hint="eastAsia" w:ascii="仿宋" w:hAnsi="仿宋" w:eastAsia="仿宋" w:cs="仿宋"/>
                <w:color w:val="000000"/>
                <w:sz w:val="24"/>
                <w:highlight w:val="none"/>
                <w:lang w:eastAsia="zh-CN"/>
              </w:rPr>
              <w:t>GLZC2026-C3-990265-GXHM</w:t>
            </w:r>
          </w:p>
        </w:tc>
      </w:tr>
      <w:tr w14:paraId="0D36B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43283819">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2</w:t>
            </w:r>
          </w:p>
        </w:tc>
        <w:tc>
          <w:tcPr>
            <w:tcW w:w="942" w:type="dxa"/>
            <w:vAlign w:val="center"/>
          </w:tcPr>
          <w:p w14:paraId="0E8EAFAE">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3</w:t>
            </w:r>
          </w:p>
        </w:tc>
        <w:tc>
          <w:tcPr>
            <w:tcW w:w="1775" w:type="dxa"/>
            <w:vAlign w:val="center"/>
          </w:tcPr>
          <w:p w14:paraId="45F583C2">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供应商资格</w:t>
            </w:r>
          </w:p>
        </w:tc>
        <w:tc>
          <w:tcPr>
            <w:tcW w:w="6912" w:type="dxa"/>
            <w:vAlign w:val="center"/>
          </w:tcPr>
          <w:p w14:paraId="102DA221">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3.1满足《中华人民共和国政府采购法》第二十二条规定；</w:t>
            </w:r>
          </w:p>
          <w:p w14:paraId="415DB51A">
            <w:pPr>
              <w:spacing w:line="360" w:lineRule="exact"/>
              <w:rPr>
                <w:rFonts w:ascii="仿宋" w:hAnsi="仿宋" w:eastAsia="仿宋" w:cs="仿宋"/>
                <w:color w:val="000000"/>
                <w:sz w:val="24"/>
                <w:highlight w:val="none"/>
              </w:rPr>
            </w:pPr>
            <w:r>
              <w:rPr>
                <w:rFonts w:hint="eastAsia" w:ascii="仿宋" w:hAnsi="仿宋" w:eastAsia="仿宋" w:cs="仿宋"/>
                <w:color w:val="000000"/>
                <w:sz w:val="24"/>
                <w:highlight w:val="none"/>
              </w:rPr>
              <w:t>3.2落实政府采购政策需满足的资格要求：</w:t>
            </w:r>
            <w:r>
              <w:rPr>
                <w:rFonts w:hint="eastAsia" w:ascii="仿宋" w:hAnsi="仿宋" w:eastAsia="仿宋" w:cs="仿宋"/>
                <w:color w:val="000000"/>
                <w:sz w:val="24"/>
                <w:highlight w:val="none"/>
                <w:lang w:eastAsia="zh-CN"/>
              </w:rPr>
              <w:t>本项目专门面向中小企业采购</w:t>
            </w:r>
            <w:r>
              <w:rPr>
                <w:rFonts w:hint="eastAsia" w:ascii="仿宋" w:hAnsi="仿宋" w:eastAsia="仿宋" w:cs="仿宋"/>
                <w:color w:val="000000"/>
                <w:sz w:val="24"/>
                <w:highlight w:val="none"/>
              </w:rPr>
              <w:t>；</w:t>
            </w:r>
          </w:p>
          <w:p w14:paraId="103D2DCF">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3.3本项目的特定资格要求：无。</w:t>
            </w:r>
          </w:p>
        </w:tc>
      </w:tr>
      <w:tr w14:paraId="1A8E2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5B3695E8">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3</w:t>
            </w:r>
          </w:p>
        </w:tc>
        <w:tc>
          <w:tcPr>
            <w:tcW w:w="942" w:type="dxa"/>
            <w:vAlign w:val="center"/>
          </w:tcPr>
          <w:p w14:paraId="152EC1D5">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4</w:t>
            </w:r>
          </w:p>
        </w:tc>
        <w:tc>
          <w:tcPr>
            <w:tcW w:w="1775" w:type="dxa"/>
            <w:vAlign w:val="center"/>
          </w:tcPr>
          <w:p w14:paraId="2CF65A60">
            <w:pPr>
              <w:spacing w:line="440" w:lineRule="exact"/>
              <w:jc w:val="center"/>
              <w:rPr>
                <w:rFonts w:ascii="仿宋" w:hAnsi="仿宋" w:eastAsia="仿宋" w:cs="仿宋"/>
                <w:color w:val="000000"/>
                <w:sz w:val="24"/>
                <w:highlight w:val="none"/>
              </w:rPr>
            </w:pPr>
            <w:r>
              <w:rPr>
                <w:rFonts w:hint="eastAsia" w:ascii="仿宋" w:hAnsi="仿宋" w:eastAsia="仿宋" w:cs="仿宋"/>
                <w:sz w:val="24"/>
                <w:highlight w:val="none"/>
              </w:rPr>
              <w:t>参与电子磋商的准备工作</w:t>
            </w:r>
          </w:p>
        </w:tc>
        <w:tc>
          <w:tcPr>
            <w:tcW w:w="6912" w:type="dxa"/>
            <w:vAlign w:val="center"/>
          </w:tcPr>
          <w:p w14:paraId="5EDD9769">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4.1本项目实行全流程电子化采购，磋商供应商通过“广西政府采购云平台”平台参与电子磋商，并应做好以下相关准备工作：①在“广西政府采购云平台”平台注册成为正式供应商（操作方法详见广西壮族自治区政府采购网—办事服务—办事指南）；②完成CA认证证书申领和绑定（费用由磋商供应商自行承担，办理流程详见广西壮族自治区政府采购网—办事服务—下载专区，完成CA认证证书办理预计一周左右，建议供应商尽快办理）；③下载“广西壮族自治区全流程电子招投标项目管理系统--供应商客户端”（操作方法详见广西壮族自治区政府采购网—办事服务—下载专区，以下称“广西政府采购云平台电子投标客户端”）并安装成功，磋商供应商应当在响应文件提交截止时间前在“广西政府采购云平台”平台完成的身份认证，确保能够对相关数据电文进行加密和使用电子签章；④自备计算机和网络设备并确保能接入互联网（费用由磋商供应商自行承担，设备确保可进行视频通话和读取广西政府采购云平台CA认证证书）。因磋商供应商未做好相关准备工作等自身原因导致无法参加本项目电子磋商或磋商失败的，造成的一切后果，由磋商供应商自行承担。</w:t>
            </w:r>
          </w:p>
          <w:p w14:paraId="611398D2">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4.2电子磋商具体操作流程参考《政府采购项目电子交易管理操作指南-供应商》（详见桂林市政府采购网—采购资讯—重要通知）；如遇平台技术问题详询95763。</w:t>
            </w:r>
          </w:p>
          <w:p w14:paraId="5AFF3D5D">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4.3不论磋商结果如何，磋商供应商均应自行承担所有与磋商有关的全部费用。</w:t>
            </w:r>
          </w:p>
        </w:tc>
      </w:tr>
      <w:tr w14:paraId="002B7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62" w:type="dxa"/>
            <w:vAlign w:val="center"/>
          </w:tcPr>
          <w:p w14:paraId="10579984">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3</w:t>
            </w:r>
          </w:p>
        </w:tc>
        <w:tc>
          <w:tcPr>
            <w:tcW w:w="942" w:type="dxa"/>
            <w:vAlign w:val="center"/>
          </w:tcPr>
          <w:p w14:paraId="0D99AB66">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5</w:t>
            </w:r>
          </w:p>
        </w:tc>
        <w:tc>
          <w:tcPr>
            <w:tcW w:w="1775" w:type="dxa"/>
            <w:vAlign w:val="center"/>
          </w:tcPr>
          <w:p w14:paraId="79D103B5">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磋商费用</w:t>
            </w:r>
          </w:p>
        </w:tc>
        <w:tc>
          <w:tcPr>
            <w:tcW w:w="6912" w:type="dxa"/>
            <w:vAlign w:val="center"/>
          </w:tcPr>
          <w:p w14:paraId="5CF9EDF2">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不论磋商结果如何，供应商均应自行承担所有与磋商有关的全部费用。 </w:t>
            </w:r>
          </w:p>
        </w:tc>
      </w:tr>
      <w:tr w14:paraId="22F1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7871B16C">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4</w:t>
            </w:r>
          </w:p>
        </w:tc>
        <w:tc>
          <w:tcPr>
            <w:tcW w:w="942" w:type="dxa"/>
            <w:vAlign w:val="center"/>
          </w:tcPr>
          <w:p w14:paraId="5B415766">
            <w:pPr>
              <w:spacing w:line="440" w:lineRule="exact"/>
              <w:jc w:val="center"/>
              <w:rPr>
                <w:rFonts w:ascii="仿宋" w:hAnsi="仿宋" w:eastAsia="仿宋" w:cs="仿宋"/>
                <w:color w:val="000000"/>
                <w:position w:val="-2"/>
                <w:sz w:val="24"/>
                <w:highlight w:val="none"/>
              </w:rPr>
            </w:pPr>
            <w:r>
              <w:rPr>
                <w:rFonts w:hint="eastAsia" w:ascii="仿宋" w:hAnsi="仿宋" w:eastAsia="仿宋" w:cs="仿宋"/>
                <w:color w:val="000000"/>
                <w:position w:val="-2"/>
                <w:sz w:val="24"/>
                <w:highlight w:val="none"/>
              </w:rPr>
              <w:t>14</w:t>
            </w:r>
          </w:p>
        </w:tc>
        <w:tc>
          <w:tcPr>
            <w:tcW w:w="1775" w:type="dxa"/>
            <w:vAlign w:val="center"/>
          </w:tcPr>
          <w:p w14:paraId="70005518">
            <w:pPr>
              <w:spacing w:line="440" w:lineRule="exact"/>
              <w:jc w:val="center"/>
              <w:rPr>
                <w:rFonts w:ascii="仿宋" w:hAnsi="仿宋" w:eastAsia="仿宋" w:cs="仿宋"/>
                <w:color w:val="000000"/>
                <w:position w:val="-2"/>
                <w:sz w:val="24"/>
                <w:highlight w:val="none"/>
              </w:rPr>
            </w:pPr>
            <w:r>
              <w:rPr>
                <w:rFonts w:hint="eastAsia" w:ascii="仿宋" w:hAnsi="仿宋" w:eastAsia="仿宋" w:cs="仿宋"/>
                <w:color w:val="000000"/>
                <w:sz w:val="24"/>
                <w:highlight w:val="none"/>
              </w:rPr>
              <w:t>磋商报价（%）及采购预算金额</w:t>
            </w:r>
          </w:p>
        </w:tc>
        <w:tc>
          <w:tcPr>
            <w:tcW w:w="6912" w:type="dxa"/>
            <w:vAlign w:val="center"/>
          </w:tcPr>
          <w:p w14:paraId="48E28F26">
            <w:pPr>
              <w:spacing w:line="440" w:lineRule="exact"/>
              <w:rPr>
                <w:rFonts w:ascii="仿宋" w:hAnsi="仿宋" w:eastAsia="仿宋" w:cs="仿宋"/>
                <w:b/>
                <w:bCs/>
                <w:color w:val="000000"/>
                <w:sz w:val="24"/>
                <w:highlight w:val="none"/>
              </w:rPr>
            </w:pPr>
            <w:r>
              <w:rPr>
                <w:rFonts w:hint="eastAsia" w:ascii="仿宋" w:hAnsi="仿宋" w:eastAsia="仿宋" w:cs="仿宋"/>
                <w:color w:val="000000"/>
                <w:sz w:val="24"/>
                <w:highlight w:val="none"/>
              </w:rPr>
              <w:t>14.1 磋商报价应按磋商文件中相关附表格式填写，</w:t>
            </w:r>
            <w:r>
              <w:rPr>
                <w:rFonts w:hint="eastAsia" w:ascii="仿宋" w:hAnsi="仿宋" w:eastAsia="仿宋" w:cs="仿宋"/>
                <w:b/>
                <w:bCs/>
                <w:color w:val="000000"/>
                <w:sz w:val="24"/>
                <w:highlight w:val="none"/>
              </w:rPr>
              <w:t>本项目采用折扣率（%）报价，本项目的控制价为：≤</w:t>
            </w:r>
            <w:r>
              <w:rPr>
                <w:rFonts w:hint="eastAsia" w:ascii="仿宋" w:hAnsi="仿宋" w:eastAsia="仿宋" w:cs="仿宋"/>
                <w:b/>
                <w:bCs/>
                <w:color w:val="000000"/>
                <w:sz w:val="24"/>
                <w:highlight w:val="none"/>
                <w:lang w:eastAsia="zh-CN"/>
              </w:rPr>
              <w:t>95%</w:t>
            </w:r>
            <w:r>
              <w:rPr>
                <w:rFonts w:hint="eastAsia" w:ascii="仿宋" w:hAnsi="仿宋" w:eastAsia="仿宋" w:cs="仿宋"/>
                <w:b/>
                <w:bCs/>
                <w:color w:val="000000"/>
                <w:sz w:val="24"/>
                <w:highlight w:val="none"/>
              </w:rPr>
              <w:t>。各投标单位的投标报价不得高于本次的控制价，否则投标无效。</w:t>
            </w:r>
          </w:p>
          <w:p w14:paraId="3B483754">
            <w:pPr>
              <w:snapToGrid w:val="0"/>
              <w:spacing w:line="440" w:lineRule="exact"/>
              <w:jc w:val="left"/>
              <w:rPr>
                <w:rFonts w:ascii="仿宋" w:hAnsi="仿宋" w:eastAsia="仿宋" w:cs="仿宋"/>
                <w:color w:val="000000"/>
                <w:sz w:val="24"/>
                <w:highlight w:val="none"/>
              </w:rPr>
            </w:pPr>
            <w:r>
              <w:rPr>
                <w:rFonts w:hint="eastAsia" w:ascii="仿宋" w:hAnsi="仿宋" w:eastAsia="仿宋" w:cs="仿宋"/>
                <w:color w:val="000000"/>
                <w:sz w:val="24"/>
                <w:highlight w:val="none"/>
              </w:rPr>
              <w:t>14.2供应商必须就“采购需求”中所有内容作完整唯一报价，否则，其响应文件无效；响应文件只允许有一个报价，有选择的或有条件的报价将不予接受。</w:t>
            </w:r>
          </w:p>
          <w:p w14:paraId="5BE572AF">
            <w:pPr>
              <w:snapToGrid w:val="0"/>
              <w:spacing w:line="440" w:lineRule="exact"/>
              <w:jc w:val="left"/>
              <w:rPr>
                <w:rFonts w:ascii="仿宋" w:hAnsi="仿宋" w:eastAsia="仿宋" w:cs="仿宋"/>
                <w:color w:val="000000"/>
                <w:sz w:val="24"/>
                <w:highlight w:val="none"/>
              </w:rPr>
            </w:pPr>
            <w:r>
              <w:rPr>
                <w:rFonts w:hint="eastAsia" w:ascii="仿宋" w:hAnsi="仿宋" w:eastAsia="仿宋" w:cs="仿宋"/>
                <w:color w:val="000000"/>
                <w:sz w:val="24"/>
                <w:highlight w:val="none"/>
              </w:rPr>
              <w:t>14.4</w:t>
            </w:r>
            <w:r>
              <w:rPr>
                <w:rFonts w:hint="eastAsia" w:ascii="仿宋" w:hAnsi="仿宋" w:eastAsia="仿宋" w:cs="仿宋"/>
                <w:color w:val="000000"/>
                <w:kern w:val="0"/>
                <w:sz w:val="24"/>
                <w:highlight w:val="none"/>
              </w:rPr>
              <w:t>供应商应在规定时间内在广西政府采购云平台系统上提交最后报价，超出磋商小组设定的最后报价时限或其最后报价超出控制价导致已通过评审的响应文件无效的，按供应商在提交响应文件截止时间后撤回响应文件处理。</w:t>
            </w:r>
          </w:p>
        </w:tc>
      </w:tr>
      <w:tr w14:paraId="1C206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45A5924C">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5</w:t>
            </w:r>
          </w:p>
        </w:tc>
        <w:tc>
          <w:tcPr>
            <w:tcW w:w="942" w:type="dxa"/>
            <w:vAlign w:val="center"/>
          </w:tcPr>
          <w:p w14:paraId="44775C9A">
            <w:pPr>
              <w:spacing w:line="440" w:lineRule="exact"/>
              <w:jc w:val="center"/>
              <w:rPr>
                <w:rFonts w:ascii="仿宋" w:hAnsi="仿宋" w:eastAsia="仿宋" w:cs="仿宋"/>
                <w:color w:val="000000"/>
                <w:position w:val="-2"/>
                <w:sz w:val="24"/>
                <w:highlight w:val="none"/>
              </w:rPr>
            </w:pPr>
            <w:r>
              <w:rPr>
                <w:rFonts w:hint="eastAsia" w:ascii="仿宋" w:hAnsi="仿宋" w:eastAsia="仿宋" w:cs="仿宋"/>
                <w:color w:val="000000"/>
                <w:position w:val="-2"/>
                <w:sz w:val="24"/>
                <w:highlight w:val="none"/>
              </w:rPr>
              <w:t>15.1</w:t>
            </w:r>
          </w:p>
        </w:tc>
        <w:tc>
          <w:tcPr>
            <w:tcW w:w="1775" w:type="dxa"/>
            <w:vAlign w:val="center"/>
          </w:tcPr>
          <w:p w14:paraId="38B0A55D">
            <w:pPr>
              <w:spacing w:line="440" w:lineRule="exact"/>
              <w:jc w:val="center"/>
              <w:rPr>
                <w:rFonts w:ascii="仿宋" w:hAnsi="仿宋" w:eastAsia="仿宋" w:cs="仿宋"/>
                <w:color w:val="000000"/>
                <w:position w:val="-2"/>
                <w:sz w:val="24"/>
                <w:highlight w:val="none"/>
              </w:rPr>
            </w:pPr>
            <w:r>
              <w:rPr>
                <w:rFonts w:hint="eastAsia" w:ascii="仿宋" w:hAnsi="仿宋" w:eastAsia="仿宋" w:cs="仿宋"/>
                <w:color w:val="000000"/>
                <w:position w:val="-2"/>
                <w:sz w:val="24"/>
                <w:highlight w:val="none"/>
              </w:rPr>
              <w:t>响应文件有效期</w:t>
            </w:r>
          </w:p>
        </w:tc>
        <w:tc>
          <w:tcPr>
            <w:tcW w:w="6912" w:type="dxa"/>
          </w:tcPr>
          <w:p w14:paraId="3D8DD4F7">
            <w:pPr>
              <w:tabs>
                <w:tab w:val="left" w:pos="1305"/>
              </w:tabs>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响应文件递交截止时间之日起90天，有效期不足的响应文件将被拒绝。</w:t>
            </w:r>
          </w:p>
        </w:tc>
      </w:tr>
      <w:tr w14:paraId="680B2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04142932">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6</w:t>
            </w:r>
          </w:p>
        </w:tc>
        <w:tc>
          <w:tcPr>
            <w:tcW w:w="942" w:type="dxa"/>
            <w:vAlign w:val="center"/>
          </w:tcPr>
          <w:p w14:paraId="4A325A37">
            <w:pPr>
              <w:spacing w:line="440" w:lineRule="exact"/>
              <w:jc w:val="center"/>
              <w:rPr>
                <w:rFonts w:ascii="仿宋" w:hAnsi="仿宋" w:eastAsia="仿宋" w:cs="仿宋"/>
                <w:color w:val="000000"/>
                <w:position w:val="-2"/>
                <w:sz w:val="24"/>
                <w:highlight w:val="none"/>
              </w:rPr>
            </w:pPr>
            <w:r>
              <w:rPr>
                <w:rFonts w:hint="eastAsia" w:ascii="仿宋" w:hAnsi="仿宋" w:eastAsia="仿宋" w:cs="仿宋"/>
                <w:color w:val="000000"/>
                <w:position w:val="-2"/>
                <w:sz w:val="24"/>
                <w:highlight w:val="none"/>
              </w:rPr>
              <w:t>16</w:t>
            </w:r>
          </w:p>
        </w:tc>
        <w:tc>
          <w:tcPr>
            <w:tcW w:w="1775" w:type="dxa"/>
            <w:vAlign w:val="center"/>
          </w:tcPr>
          <w:p w14:paraId="4A15F4C0">
            <w:pPr>
              <w:spacing w:line="440" w:lineRule="exact"/>
              <w:jc w:val="center"/>
              <w:rPr>
                <w:rFonts w:ascii="仿宋" w:hAnsi="仿宋" w:eastAsia="仿宋" w:cs="仿宋"/>
                <w:color w:val="000000"/>
                <w:position w:val="-2"/>
                <w:sz w:val="24"/>
                <w:highlight w:val="none"/>
              </w:rPr>
            </w:pPr>
            <w:r>
              <w:rPr>
                <w:rFonts w:hint="eastAsia" w:ascii="仿宋" w:hAnsi="仿宋" w:eastAsia="仿宋" w:cs="仿宋"/>
                <w:color w:val="000000"/>
                <w:position w:val="-2"/>
                <w:sz w:val="24"/>
                <w:highlight w:val="none"/>
              </w:rPr>
              <w:t>保证金</w:t>
            </w:r>
          </w:p>
        </w:tc>
        <w:tc>
          <w:tcPr>
            <w:tcW w:w="6912" w:type="dxa"/>
          </w:tcPr>
          <w:p w14:paraId="4BAE3E2A">
            <w:pPr>
              <w:tabs>
                <w:tab w:val="left" w:pos="1305"/>
              </w:tabs>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本项目无需缴纳磋商保证金</w:t>
            </w:r>
          </w:p>
        </w:tc>
      </w:tr>
      <w:tr w14:paraId="24AAA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339669A8">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7</w:t>
            </w:r>
          </w:p>
        </w:tc>
        <w:tc>
          <w:tcPr>
            <w:tcW w:w="942" w:type="dxa"/>
            <w:vAlign w:val="center"/>
          </w:tcPr>
          <w:p w14:paraId="0A99390D">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17</w:t>
            </w:r>
          </w:p>
        </w:tc>
        <w:tc>
          <w:tcPr>
            <w:tcW w:w="1775" w:type="dxa"/>
            <w:vAlign w:val="center"/>
          </w:tcPr>
          <w:p w14:paraId="2645BD9F">
            <w:pPr>
              <w:pStyle w:val="4"/>
              <w:spacing w:before="0" w:after="0" w:line="440" w:lineRule="exact"/>
              <w:jc w:val="center"/>
              <w:rPr>
                <w:rFonts w:ascii="仿宋" w:hAnsi="仿宋" w:eastAsia="仿宋" w:cs="仿宋"/>
                <w:b w:val="0"/>
                <w:bCs/>
                <w:color w:val="000000"/>
                <w:sz w:val="24"/>
                <w:highlight w:val="none"/>
              </w:rPr>
            </w:pPr>
            <w:r>
              <w:rPr>
                <w:rFonts w:hint="eastAsia" w:ascii="仿宋" w:hAnsi="仿宋" w:eastAsia="仿宋" w:cs="仿宋"/>
                <w:b w:val="0"/>
                <w:bCs/>
                <w:color w:val="000000"/>
                <w:sz w:val="24"/>
                <w:highlight w:val="none"/>
              </w:rPr>
              <w:t>电子响应文件的制作、加密要求</w:t>
            </w:r>
          </w:p>
          <w:p w14:paraId="0DE21ECE">
            <w:pPr>
              <w:spacing w:line="440" w:lineRule="exact"/>
              <w:jc w:val="center"/>
              <w:rPr>
                <w:rFonts w:ascii="仿宋" w:hAnsi="仿宋" w:eastAsia="仿宋" w:cs="仿宋"/>
                <w:color w:val="000000"/>
                <w:sz w:val="24"/>
                <w:highlight w:val="none"/>
              </w:rPr>
            </w:pPr>
          </w:p>
        </w:tc>
        <w:tc>
          <w:tcPr>
            <w:tcW w:w="6912" w:type="dxa"/>
            <w:vAlign w:val="center"/>
          </w:tcPr>
          <w:p w14:paraId="51F26777">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17.1 电子磋商响应文件中须加盖供应商公章部分均采用 CA 签章，并根据“政府采购项目电子交易管理操作指南-供应商”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漏读，或者在按采购文件规定的部位查找不到相关内容的，由供应商自行承担。</w:t>
            </w:r>
          </w:p>
          <w:p w14:paraId="495AE416">
            <w:pPr>
              <w:spacing w:line="440" w:lineRule="exact"/>
              <w:rPr>
                <w:rFonts w:ascii="仿宋" w:hAnsi="仿宋" w:eastAsia="仿宋" w:cs="仿宋"/>
                <w:sz w:val="24"/>
                <w:highlight w:val="none"/>
              </w:rPr>
            </w:pPr>
            <w:r>
              <w:rPr>
                <w:rFonts w:hint="eastAsia" w:ascii="仿宋" w:hAnsi="仿宋" w:eastAsia="仿宋" w:cs="仿宋"/>
                <w:sz w:val="24"/>
                <w:highlight w:val="none"/>
              </w:rPr>
              <w:t>17.2供应商法人（负责人）或授权代表持有广西政府采购云平台个人CA签章的，应在响应文件中涉及到签字的位置使用个人CA签章，没有办理广西政府采购云平台个人CA签章的可在响应文件中涉及到签字的位置手写签字后扫描或者拍照做成 PDF 的格式上传即可。</w:t>
            </w:r>
          </w:p>
          <w:p w14:paraId="7DA94E73">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17.3 磋商响应文件不得涂改，若有修改错漏处，须法定代表人（负责人）或授权委托人签字</w:t>
            </w:r>
            <w:r>
              <w:rPr>
                <w:rFonts w:hint="eastAsia" w:ascii="仿宋" w:hAnsi="仿宋" w:eastAsia="仿宋" w:cs="仿宋"/>
                <w:sz w:val="24"/>
                <w:highlight w:val="none"/>
              </w:rPr>
              <w:t>（或个人CA签章）</w:t>
            </w:r>
            <w:r>
              <w:rPr>
                <w:rFonts w:hint="eastAsia" w:ascii="仿宋" w:hAnsi="仿宋" w:eastAsia="仿宋" w:cs="仿宋"/>
                <w:color w:val="000000"/>
                <w:sz w:val="24"/>
                <w:highlight w:val="none"/>
              </w:rPr>
              <w:t>。磋商响应文件因字迹潦草或表达不清所引起的后果由供应商负责。</w:t>
            </w:r>
          </w:p>
          <w:p w14:paraId="4F99FB3F">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17.4磋商前准备 </w:t>
            </w:r>
          </w:p>
          <w:p w14:paraId="0B37052F">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17.4.1本项目实行在线磋商，采用电子磋商响应文件。若供应商参与磋商，自行承担磋商一切费用。 </w:t>
            </w:r>
          </w:p>
          <w:p w14:paraId="34617120">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17.4.2各供应商应在截标前应确保成为广西政府采购云平台正式注册入库供应商，并完成 CA 数字证书申领。因未注册入库、未办理 CA 数字证书等原因造成无法磋商或磋商失败等后果由供应商自行承担。 </w:t>
            </w:r>
          </w:p>
          <w:p w14:paraId="1B9CAF66">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17.4.3供应商将广西政府采购云平台电子交易客户端下载、安装完成后，可通过账号密码或 CA 登录客户端进行响应文件制作。客户端请至网站下载专区查看，如有问题可拨打广西政府采购云平台客户服务热线 95763进行咨询。</w:t>
            </w:r>
          </w:p>
        </w:tc>
      </w:tr>
      <w:tr w14:paraId="0F0E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62" w:type="dxa"/>
            <w:vAlign w:val="center"/>
          </w:tcPr>
          <w:p w14:paraId="665678BC">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8</w:t>
            </w:r>
          </w:p>
        </w:tc>
        <w:tc>
          <w:tcPr>
            <w:tcW w:w="942" w:type="dxa"/>
            <w:vAlign w:val="center"/>
          </w:tcPr>
          <w:p w14:paraId="20AB02AF">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19.1</w:t>
            </w:r>
          </w:p>
        </w:tc>
        <w:tc>
          <w:tcPr>
            <w:tcW w:w="1775" w:type="dxa"/>
            <w:vAlign w:val="center"/>
          </w:tcPr>
          <w:p w14:paraId="501B6A6B">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响应文件递交截止时间</w:t>
            </w:r>
          </w:p>
        </w:tc>
        <w:tc>
          <w:tcPr>
            <w:tcW w:w="6912" w:type="dxa"/>
            <w:vAlign w:val="center"/>
          </w:tcPr>
          <w:p w14:paraId="19AAFBA5">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u w:val="single"/>
              </w:rPr>
              <w:t>于</w:t>
            </w:r>
            <w:r>
              <w:rPr>
                <w:rFonts w:hint="eastAsia" w:ascii="仿宋" w:hAnsi="仿宋" w:eastAsia="仿宋" w:cs="仿宋"/>
                <w:color w:val="000000"/>
                <w:sz w:val="24"/>
                <w:highlight w:val="none"/>
                <w:u w:val="single"/>
                <w:lang w:eastAsia="zh-CN"/>
              </w:rPr>
              <w:t>2026年7月7日09时30分</w:t>
            </w:r>
            <w:r>
              <w:rPr>
                <w:rFonts w:hint="eastAsia" w:ascii="仿宋" w:hAnsi="仿宋" w:eastAsia="仿宋" w:cs="仿宋"/>
                <w:color w:val="000000"/>
                <w:sz w:val="24"/>
                <w:highlight w:val="none"/>
              </w:rPr>
              <w:t>之前将电子磋商响应文件上传到广西政府采购云平台。应按照本项目磋商文件和广西政府采购云平台的要求编制、加密传输磋商响应文件。供应商在使用系统进行响应的过程中遇到涉及平台使用的任何问题，可致电广西政府采购云平台技术支持热线咨询，联系方式：</w:t>
            </w:r>
            <w:r>
              <w:rPr>
                <w:rFonts w:hint="eastAsia" w:ascii="仿宋" w:hAnsi="仿宋" w:eastAsia="仿宋" w:cs="仿宋"/>
                <w:sz w:val="24"/>
                <w:highlight w:val="none"/>
              </w:rPr>
              <w:t>95763</w:t>
            </w:r>
            <w:r>
              <w:rPr>
                <w:rFonts w:hint="eastAsia" w:ascii="仿宋" w:hAnsi="仿宋" w:eastAsia="仿宋" w:cs="仿宋"/>
                <w:color w:val="000000"/>
                <w:sz w:val="24"/>
                <w:highlight w:val="none"/>
              </w:rPr>
              <w:t>。</w:t>
            </w:r>
          </w:p>
        </w:tc>
      </w:tr>
      <w:tr w14:paraId="19F55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2" w:type="dxa"/>
            <w:vAlign w:val="center"/>
          </w:tcPr>
          <w:p w14:paraId="777D0DF5">
            <w:pPr>
              <w:spacing w:line="440" w:lineRule="exact"/>
              <w:jc w:val="center"/>
              <w:rPr>
                <w:rFonts w:ascii="仿宋" w:hAnsi="仿宋" w:eastAsia="仿宋" w:cs="仿宋"/>
                <w:color w:val="000000"/>
                <w:position w:val="-2"/>
                <w:sz w:val="24"/>
                <w:highlight w:val="none"/>
              </w:rPr>
            </w:pPr>
            <w:r>
              <w:rPr>
                <w:rFonts w:hint="eastAsia" w:ascii="仿宋" w:hAnsi="仿宋" w:eastAsia="仿宋" w:cs="仿宋"/>
                <w:color w:val="000000"/>
                <w:position w:val="-2"/>
                <w:sz w:val="24"/>
                <w:highlight w:val="none"/>
              </w:rPr>
              <w:t>9</w:t>
            </w:r>
          </w:p>
        </w:tc>
        <w:tc>
          <w:tcPr>
            <w:tcW w:w="942" w:type="dxa"/>
            <w:vAlign w:val="center"/>
          </w:tcPr>
          <w:p w14:paraId="62BB5448">
            <w:pPr>
              <w:spacing w:line="440" w:lineRule="exact"/>
              <w:jc w:val="center"/>
              <w:rPr>
                <w:rFonts w:ascii="仿宋" w:hAnsi="仿宋" w:eastAsia="仿宋" w:cs="仿宋"/>
                <w:color w:val="000000"/>
                <w:position w:val="-2"/>
                <w:sz w:val="24"/>
                <w:highlight w:val="none"/>
              </w:rPr>
            </w:pPr>
            <w:r>
              <w:rPr>
                <w:rFonts w:hint="eastAsia" w:ascii="仿宋" w:hAnsi="仿宋" w:eastAsia="仿宋" w:cs="仿宋"/>
                <w:color w:val="000000"/>
                <w:position w:val="-2"/>
                <w:sz w:val="24"/>
                <w:highlight w:val="none"/>
              </w:rPr>
              <w:t>19.2</w:t>
            </w:r>
          </w:p>
        </w:tc>
        <w:tc>
          <w:tcPr>
            <w:tcW w:w="1775" w:type="dxa"/>
            <w:vAlign w:val="center"/>
          </w:tcPr>
          <w:p w14:paraId="67BE9FE0">
            <w:pPr>
              <w:spacing w:line="440" w:lineRule="exact"/>
              <w:jc w:val="center"/>
              <w:rPr>
                <w:rFonts w:ascii="仿宋" w:hAnsi="仿宋" w:eastAsia="仿宋" w:cs="仿宋"/>
                <w:color w:val="000000"/>
                <w:position w:val="-2"/>
                <w:sz w:val="24"/>
                <w:highlight w:val="none"/>
              </w:rPr>
            </w:pPr>
            <w:r>
              <w:rPr>
                <w:rFonts w:hint="eastAsia" w:ascii="仿宋" w:hAnsi="仿宋" w:eastAsia="仿宋" w:cs="仿宋"/>
                <w:color w:val="000000"/>
                <w:sz w:val="24"/>
                <w:highlight w:val="none"/>
              </w:rPr>
              <w:t>磋商响应文件解密时间</w:t>
            </w:r>
          </w:p>
        </w:tc>
        <w:tc>
          <w:tcPr>
            <w:tcW w:w="6912" w:type="dxa"/>
            <w:vAlign w:val="center"/>
          </w:tcPr>
          <w:p w14:paraId="0441C14F">
            <w:pPr>
              <w:pStyle w:val="9"/>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磋商响应文件解密时间：截标时间后</w:t>
            </w:r>
            <w:r>
              <w:rPr>
                <w:rFonts w:hint="eastAsia" w:ascii="仿宋" w:hAnsi="仿宋" w:eastAsia="仿宋" w:cs="仿宋"/>
                <w:color w:val="000000"/>
                <w:sz w:val="24"/>
                <w:highlight w:val="none"/>
                <w:u w:val="single"/>
              </w:rPr>
              <w:t>30</w:t>
            </w:r>
            <w:r>
              <w:rPr>
                <w:rFonts w:hint="eastAsia" w:ascii="仿宋" w:hAnsi="仿宋" w:eastAsia="仿宋" w:cs="仿宋"/>
                <w:color w:val="000000"/>
                <w:sz w:val="24"/>
                <w:highlight w:val="none"/>
              </w:rPr>
              <w:t>分钟内（</w:t>
            </w:r>
            <w:r>
              <w:rPr>
                <w:rFonts w:hint="eastAsia" w:ascii="仿宋" w:hAnsi="仿宋" w:eastAsia="仿宋" w:cs="仿宋"/>
                <w:color w:val="000000"/>
                <w:sz w:val="24"/>
                <w:highlight w:val="none"/>
                <w:u w:val="single"/>
                <w:lang w:eastAsia="zh-CN"/>
              </w:rPr>
              <w:t>2026年7月7日09时30分</w:t>
            </w:r>
            <w:r>
              <w:rPr>
                <w:rFonts w:hint="eastAsia" w:ascii="仿宋" w:hAnsi="仿宋" w:eastAsia="仿宋" w:cs="仿宋"/>
                <w:color w:val="000000"/>
                <w:sz w:val="24"/>
                <w:highlight w:val="none"/>
                <w:u w:val="single"/>
              </w:rPr>
              <w:t>至</w:t>
            </w:r>
            <w:r>
              <w:rPr>
                <w:rFonts w:hint="eastAsia" w:ascii="仿宋" w:hAnsi="仿宋" w:eastAsia="仿宋" w:cs="仿宋"/>
                <w:color w:val="000000"/>
                <w:sz w:val="24"/>
                <w:highlight w:val="none"/>
                <w:u w:val="single"/>
                <w:lang w:val="en-US" w:eastAsia="zh-CN"/>
              </w:rPr>
              <w:t>10</w:t>
            </w:r>
            <w:r>
              <w:rPr>
                <w:rFonts w:hint="eastAsia" w:ascii="仿宋" w:hAnsi="仿宋" w:eastAsia="仿宋" w:cs="仿宋"/>
                <w:color w:val="000000"/>
                <w:sz w:val="24"/>
                <w:highlight w:val="none"/>
                <w:u w:val="single"/>
              </w:rPr>
              <w:t>时00分</w:t>
            </w:r>
            <w:r>
              <w:rPr>
                <w:rFonts w:hint="eastAsia" w:ascii="仿宋" w:hAnsi="仿宋" w:eastAsia="仿宋" w:cs="仿宋"/>
                <w:color w:val="000000"/>
                <w:sz w:val="24"/>
                <w:highlight w:val="none"/>
              </w:rPr>
              <w:t>)磋商供应商可以登录广西政府采购云平台，用“项目采购-开标评标”功能进行解密</w:t>
            </w:r>
            <w:r>
              <w:rPr>
                <w:rFonts w:hint="eastAsia" w:ascii="仿宋" w:hAnsi="仿宋" w:eastAsia="仿宋" w:cs="仿宋"/>
                <w:sz w:val="24"/>
                <w:highlight w:val="none"/>
              </w:rPr>
              <w:t>磋商响应文件</w:t>
            </w:r>
            <w:r>
              <w:rPr>
                <w:rFonts w:hint="eastAsia" w:ascii="仿宋" w:hAnsi="仿宋" w:eastAsia="仿宋" w:cs="仿宋"/>
                <w:color w:val="000000"/>
                <w:sz w:val="24"/>
                <w:highlight w:val="none"/>
              </w:rPr>
              <w:t>。若</w:t>
            </w:r>
            <w:r>
              <w:rPr>
                <w:rFonts w:hint="eastAsia" w:ascii="仿宋" w:hAnsi="仿宋" w:eastAsia="仿宋" w:cs="仿宋"/>
                <w:sz w:val="24"/>
                <w:highlight w:val="none"/>
              </w:rPr>
              <w:t>磋商供应商</w:t>
            </w:r>
            <w:r>
              <w:rPr>
                <w:rFonts w:hint="eastAsia" w:ascii="仿宋" w:hAnsi="仿宋" w:eastAsia="仿宋" w:cs="仿宋"/>
                <w:color w:val="000000"/>
                <w:sz w:val="24"/>
                <w:highlight w:val="none"/>
              </w:rPr>
              <w:t>在规定时间内无法解密或解密失败，可以以电子备份</w:t>
            </w:r>
            <w:r>
              <w:rPr>
                <w:rFonts w:hint="eastAsia" w:ascii="仿宋" w:hAnsi="仿宋" w:eastAsia="仿宋" w:cs="仿宋"/>
                <w:sz w:val="24"/>
                <w:highlight w:val="none"/>
              </w:rPr>
              <w:t>磋商响应文件</w:t>
            </w:r>
            <w:r>
              <w:rPr>
                <w:rFonts w:hint="eastAsia" w:ascii="仿宋" w:hAnsi="仿宋" w:eastAsia="仿宋" w:cs="仿宋"/>
                <w:color w:val="000000"/>
                <w:sz w:val="24"/>
                <w:highlight w:val="none"/>
              </w:rPr>
              <w:t>作为依据</w:t>
            </w:r>
            <w:r>
              <w:rPr>
                <w:rFonts w:hint="eastAsia" w:ascii="仿宋" w:hAnsi="仿宋" w:eastAsia="仿宋" w:cs="仿宋"/>
                <w:b/>
                <w:bCs/>
                <w:color w:val="000000"/>
                <w:sz w:val="24"/>
                <w:highlight w:val="none"/>
              </w:rPr>
              <w:t>【在接到无法解密或解密失败的通知后，</w:t>
            </w:r>
            <w:r>
              <w:rPr>
                <w:rFonts w:hint="eastAsia" w:ascii="仿宋" w:hAnsi="仿宋" w:eastAsia="仿宋" w:cs="仿宋"/>
                <w:b/>
                <w:bCs/>
                <w:sz w:val="24"/>
                <w:highlight w:val="none"/>
              </w:rPr>
              <w:t>磋商供应商</w:t>
            </w:r>
            <w:r>
              <w:rPr>
                <w:rFonts w:hint="eastAsia" w:ascii="仿宋" w:hAnsi="仿宋" w:eastAsia="仿宋" w:cs="仿宋"/>
                <w:b/>
                <w:bCs/>
                <w:color w:val="000000"/>
                <w:sz w:val="24"/>
                <w:highlight w:val="none"/>
              </w:rPr>
              <w:t>可根据自身实际情况按通知时要求的时间到桂林市公共资源交易中心</w:t>
            </w:r>
            <w:r>
              <w:rPr>
                <w:rFonts w:hint="eastAsia" w:ascii="仿宋" w:hAnsi="仿宋" w:eastAsia="仿宋" w:cs="仿宋"/>
                <w:b/>
                <w:bCs/>
                <w:color w:val="000000"/>
                <w:sz w:val="24"/>
                <w:highlight w:val="none"/>
                <w:lang w:val="en-US" w:eastAsia="zh-CN"/>
              </w:rPr>
              <w:t>6号开标仓</w:t>
            </w:r>
            <w:r>
              <w:rPr>
                <w:rFonts w:hint="eastAsia" w:ascii="仿宋" w:hAnsi="仿宋" w:eastAsia="仿宋" w:cs="仿宋"/>
                <w:b/>
                <w:bCs/>
                <w:color w:val="000000"/>
                <w:sz w:val="24"/>
                <w:highlight w:val="none"/>
              </w:rPr>
              <w:t>现场提交或以电子邮件的形式（以通知时所告知的电子邮箱地址为准）提交电子备份</w:t>
            </w:r>
            <w:r>
              <w:rPr>
                <w:rFonts w:hint="eastAsia" w:ascii="仿宋" w:hAnsi="仿宋" w:eastAsia="仿宋" w:cs="仿宋"/>
                <w:b/>
                <w:bCs/>
                <w:sz w:val="24"/>
                <w:highlight w:val="none"/>
              </w:rPr>
              <w:t>磋商响应文件</w:t>
            </w:r>
            <w:r>
              <w:rPr>
                <w:rFonts w:hint="eastAsia" w:ascii="仿宋" w:hAnsi="仿宋" w:eastAsia="仿宋" w:cs="仿宋"/>
                <w:b/>
                <w:bCs/>
                <w:color w:val="000000"/>
                <w:sz w:val="24"/>
                <w:highlight w:val="none"/>
              </w:rPr>
              <w:t>】</w:t>
            </w:r>
            <w:r>
              <w:rPr>
                <w:rFonts w:hint="eastAsia" w:ascii="仿宋" w:hAnsi="仿宋" w:eastAsia="仿宋" w:cs="仿宋"/>
                <w:color w:val="000000"/>
                <w:sz w:val="24"/>
                <w:highlight w:val="none"/>
              </w:rPr>
              <w:t>，若磋商供应商在规定时间内无法解密或解密失败且未提供电子备份磋商响应文件的(包含提供的电子备份文件无效或无法解密的情况)，视为响应文件撤回。</w:t>
            </w:r>
          </w:p>
        </w:tc>
      </w:tr>
      <w:tr w14:paraId="2AB75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62" w:type="dxa"/>
            <w:vAlign w:val="center"/>
          </w:tcPr>
          <w:p w14:paraId="39D2DC9F">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10</w:t>
            </w:r>
          </w:p>
        </w:tc>
        <w:tc>
          <w:tcPr>
            <w:tcW w:w="942" w:type="dxa"/>
            <w:vAlign w:val="center"/>
          </w:tcPr>
          <w:p w14:paraId="70894472">
            <w:pPr>
              <w:spacing w:line="440" w:lineRule="exact"/>
              <w:ind w:firstLine="120" w:firstLineChars="50"/>
              <w:jc w:val="center"/>
              <w:rPr>
                <w:rFonts w:ascii="仿宋" w:hAnsi="仿宋" w:eastAsia="仿宋" w:cs="仿宋"/>
                <w:color w:val="000000"/>
                <w:position w:val="-2"/>
                <w:sz w:val="24"/>
                <w:highlight w:val="none"/>
              </w:rPr>
            </w:pPr>
            <w:r>
              <w:rPr>
                <w:rFonts w:hint="eastAsia" w:ascii="仿宋" w:hAnsi="仿宋" w:eastAsia="仿宋" w:cs="仿宋"/>
                <w:color w:val="000000"/>
                <w:position w:val="-2"/>
                <w:sz w:val="24"/>
                <w:highlight w:val="none"/>
              </w:rPr>
              <w:t>20.1</w:t>
            </w:r>
          </w:p>
        </w:tc>
        <w:tc>
          <w:tcPr>
            <w:tcW w:w="1775" w:type="dxa"/>
            <w:vAlign w:val="center"/>
          </w:tcPr>
          <w:p w14:paraId="2C1F65C4">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磋商小组组成</w:t>
            </w:r>
          </w:p>
        </w:tc>
        <w:tc>
          <w:tcPr>
            <w:tcW w:w="6912" w:type="dxa"/>
            <w:vAlign w:val="center"/>
          </w:tcPr>
          <w:p w14:paraId="3D768BBB">
            <w:pPr>
              <w:spacing w:line="440" w:lineRule="exact"/>
              <w:ind w:left="17" w:hanging="16" w:hangingChars="7"/>
              <w:rPr>
                <w:rFonts w:ascii="仿宋" w:hAnsi="仿宋" w:eastAsia="仿宋" w:cs="仿宋"/>
                <w:color w:val="000000"/>
                <w:sz w:val="24"/>
                <w:highlight w:val="none"/>
              </w:rPr>
            </w:pPr>
            <w:r>
              <w:rPr>
                <w:rFonts w:hint="eastAsia" w:ascii="仿宋" w:hAnsi="仿宋" w:eastAsia="仿宋" w:cs="仿宋"/>
                <w:color w:val="000000"/>
                <w:sz w:val="24"/>
                <w:highlight w:val="none"/>
              </w:rPr>
              <w:t>磋商及评审工作由采购代理机构负责组织，具体磋商、评审工作由依法组建的磋商小组负责，磋商小组由采购人代表和有关方面的专家组成。磋商小组的构成：</w:t>
            </w:r>
            <w:r>
              <w:rPr>
                <w:rFonts w:hint="eastAsia" w:ascii="仿宋" w:hAnsi="仿宋" w:eastAsia="仿宋" w:cs="仿宋"/>
                <w:color w:val="000000"/>
                <w:sz w:val="24"/>
                <w:highlight w:val="none"/>
                <w:u w:val="single"/>
              </w:rPr>
              <w:t xml:space="preserve">3 </w:t>
            </w:r>
            <w:r>
              <w:rPr>
                <w:rFonts w:hint="eastAsia" w:ascii="仿宋" w:hAnsi="仿宋" w:eastAsia="仿宋" w:cs="仿宋"/>
                <w:color w:val="000000"/>
                <w:sz w:val="24"/>
                <w:highlight w:val="none"/>
              </w:rPr>
              <w:t>人，其中采购人代表</w:t>
            </w:r>
            <w:r>
              <w:rPr>
                <w:rFonts w:hint="eastAsia" w:ascii="仿宋" w:hAnsi="仿宋" w:eastAsia="仿宋" w:cs="仿宋"/>
                <w:color w:val="000000"/>
                <w:sz w:val="24"/>
                <w:highlight w:val="none"/>
                <w:u w:val="single"/>
              </w:rPr>
              <w:t xml:space="preserve"> 1 </w:t>
            </w:r>
            <w:r>
              <w:rPr>
                <w:rFonts w:hint="eastAsia" w:ascii="仿宋" w:hAnsi="仿宋" w:eastAsia="仿宋" w:cs="仿宋"/>
                <w:color w:val="000000"/>
                <w:sz w:val="24"/>
                <w:highlight w:val="none"/>
              </w:rPr>
              <w:t>人，专家</w:t>
            </w:r>
            <w:r>
              <w:rPr>
                <w:rFonts w:hint="eastAsia" w:ascii="仿宋" w:hAnsi="仿宋" w:eastAsia="仿宋" w:cs="仿宋"/>
                <w:color w:val="000000"/>
                <w:sz w:val="24"/>
                <w:highlight w:val="none"/>
                <w:u w:val="single"/>
              </w:rPr>
              <w:t xml:space="preserve"> 2 </w:t>
            </w:r>
            <w:r>
              <w:rPr>
                <w:rFonts w:hint="eastAsia" w:ascii="仿宋" w:hAnsi="仿宋" w:eastAsia="仿宋" w:cs="仿宋"/>
                <w:color w:val="000000"/>
                <w:sz w:val="24"/>
                <w:highlight w:val="none"/>
              </w:rPr>
              <w:t>人。</w:t>
            </w:r>
          </w:p>
        </w:tc>
      </w:tr>
      <w:tr w14:paraId="68DEB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62" w:type="dxa"/>
            <w:vAlign w:val="center"/>
          </w:tcPr>
          <w:p w14:paraId="553F0A38">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11</w:t>
            </w:r>
          </w:p>
        </w:tc>
        <w:tc>
          <w:tcPr>
            <w:tcW w:w="942" w:type="dxa"/>
            <w:vAlign w:val="center"/>
          </w:tcPr>
          <w:p w14:paraId="32E79EA5">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20.2</w:t>
            </w:r>
          </w:p>
        </w:tc>
        <w:tc>
          <w:tcPr>
            <w:tcW w:w="1775" w:type="dxa"/>
            <w:vAlign w:val="center"/>
          </w:tcPr>
          <w:p w14:paraId="6E2D7DAF">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磋商时间、地点、人员</w:t>
            </w:r>
          </w:p>
        </w:tc>
        <w:tc>
          <w:tcPr>
            <w:tcW w:w="6912" w:type="dxa"/>
          </w:tcPr>
          <w:p w14:paraId="12D2DEF2">
            <w:pPr>
              <w:spacing w:line="440" w:lineRule="exact"/>
              <w:ind w:left="360" w:hanging="360" w:hangingChars="150"/>
              <w:jc w:val="left"/>
              <w:rPr>
                <w:rFonts w:ascii="仿宋" w:hAnsi="仿宋" w:eastAsia="仿宋" w:cs="仿宋"/>
                <w:color w:val="000000"/>
                <w:sz w:val="24"/>
                <w:highlight w:val="none"/>
              </w:rPr>
            </w:pPr>
            <w:r>
              <w:rPr>
                <w:rFonts w:hint="eastAsia" w:ascii="仿宋" w:hAnsi="仿宋" w:eastAsia="仿宋" w:cs="仿宋"/>
                <w:color w:val="000000"/>
                <w:sz w:val="24"/>
                <w:highlight w:val="none"/>
              </w:rPr>
              <w:t>20.2.1磋商时间：响应文件递交截止时间后。</w:t>
            </w:r>
          </w:p>
          <w:p w14:paraId="788A0B84">
            <w:pPr>
              <w:spacing w:line="440" w:lineRule="exact"/>
              <w:jc w:val="left"/>
              <w:rPr>
                <w:rFonts w:ascii="仿宋" w:hAnsi="仿宋" w:eastAsia="仿宋" w:cs="仿宋"/>
                <w:color w:val="000000"/>
                <w:sz w:val="24"/>
                <w:highlight w:val="none"/>
              </w:rPr>
            </w:pPr>
            <w:r>
              <w:rPr>
                <w:rFonts w:hint="eastAsia" w:ascii="仿宋" w:hAnsi="仿宋" w:eastAsia="仿宋" w:cs="仿宋"/>
                <w:color w:val="000000"/>
                <w:sz w:val="24"/>
                <w:highlight w:val="none"/>
              </w:rPr>
              <w:t>20.2.2磋商地点：本项目需要磋商供应商代表在截标当天截标后，按磋商小组要求及时登陆广西政府采购云平台等候在线磋商。</w:t>
            </w:r>
          </w:p>
          <w:p w14:paraId="360BB65C">
            <w:pPr>
              <w:spacing w:line="440" w:lineRule="exact"/>
              <w:ind w:left="17" w:hanging="16" w:hangingChars="7"/>
              <w:jc w:val="left"/>
              <w:rPr>
                <w:rFonts w:ascii="仿宋" w:hAnsi="仿宋" w:eastAsia="仿宋" w:cs="仿宋"/>
                <w:color w:val="000000"/>
                <w:sz w:val="24"/>
                <w:highlight w:val="none"/>
              </w:rPr>
            </w:pPr>
            <w:r>
              <w:rPr>
                <w:rFonts w:hint="eastAsia" w:ascii="仿宋" w:hAnsi="仿宋" w:eastAsia="仿宋" w:cs="仿宋"/>
                <w:color w:val="000000"/>
                <w:sz w:val="24"/>
                <w:highlight w:val="none"/>
              </w:rPr>
              <w:t>20.2.3磋商参加人员：供应商法定代表人、负责人、自然人或相应的委托代理人持有效身份证原件和供应商广西政府采购云平台CA数字证书参加磋商。请供应商按时到达指定地点等候磋商。</w:t>
            </w:r>
          </w:p>
          <w:p w14:paraId="77C92B63">
            <w:pPr>
              <w:tabs>
                <w:tab w:val="left" w:pos="1140"/>
              </w:tabs>
              <w:spacing w:line="440" w:lineRule="exact"/>
              <w:jc w:val="left"/>
              <w:rPr>
                <w:rFonts w:ascii="仿宋" w:hAnsi="仿宋" w:eastAsia="仿宋" w:cs="仿宋"/>
                <w:color w:val="000000"/>
                <w:sz w:val="24"/>
                <w:highlight w:val="none"/>
              </w:rPr>
            </w:pPr>
            <w:r>
              <w:rPr>
                <w:rFonts w:hint="eastAsia" w:ascii="仿宋" w:hAnsi="仿宋" w:eastAsia="仿宋" w:cs="仿宋"/>
                <w:color w:val="000000"/>
                <w:sz w:val="24"/>
                <w:highlight w:val="none"/>
              </w:rPr>
              <w:t>20.2.4响应文件递交截止时间后，由磋商小组在评标室内线上开启响应文件。</w:t>
            </w:r>
          </w:p>
        </w:tc>
      </w:tr>
      <w:tr w14:paraId="669F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14:paraId="6E7D7BEF">
            <w:pPr>
              <w:spacing w:line="440" w:lineRule="exact"/>
              <w:jc w:val="center"/>
              <w:rPr>
                <w:rFonts w:ascii="仿宋" w:hAnsi="仿宋" w:eastAsia="仿宋" w:cs="仿宋"/>
                <w:color w:val="000000"/>
                <w:sz w:val="24"/>
                <w:highlight w:val="none"/>
              </w:rPr>
            </w:pPr>
            <w:r>
              <w:rPr>
                <w:rFonts w:hint="eastAsia" w:ascii="仿宋" w:hAnsi="仿宋" w:eastAsia="仿宋" w:cs="仿宋"/>
                <w:color w:val="000000"/>
                <w:kern w:val="0"/>
                <w:sz w:val="24"/>
                <w:highlight w:val="none"/>
              </w:rPr>
              <w:t>12</w:t>
            </w:r>
          </w:p>
        </w:tc>
        <w:tc>
          <w:tcPr>
            <w:tcW w:w="942" w:type="dxa"/>
            <w:vAlign w:val="center"/>
          </w:tcPr>
          <w:p w14:paraId="7716570F">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21.2</w:t>
            </w:r>
          </w:p>
        </w:tc>
        <w:tc>
          <w:tcPr>
            <w:tcW w:w="1775" w:type="dxa"/>
            <w:vAlign w:val="center"/>
          </w:tcPr>
          <w:p w14:paraId="78720F84">
            <w:pPr>
              <w:pStyle w:val="15"/>
              <w:spacing w:line="440" w:lineRule="exact"/>
              <w:jc w:val="center"/>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评审办法</w:t>
            </w:r>
          </w:p>
        </w:tc>
        <w:tc>
          <w:tcPr>
            <w:tcW w:w="6912" w:type="dxa"/>
            <w:vAlign w:val="center"/>
          </w:tcPr>
          <w:p w14:paraId="4B163F54">
            <w:pPr>
              <w:tabs>
                <w:tab w:val="left" w:pos="1140"/>
              </w:tabs>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具体详见第四章评审办法。</w:t>
            </w:r>
          </w:p>
        </w:tc>
      </w:tr>
      <w:tr w14:paraId="3A7E5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14:paraId="65DFBF13">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13</w:t>
            </w:r>
          </w:p>
        </w:tc>
        <w:tc>
          <w:tcPr>
            <w:tcW w:w="942" w:type="dxa"/>
            <w:vAlign w:val="center"/>
          </w:tcPr>
          <w:p w14:paraId="3AC5A4DA">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27</w:t>
            </w:r>
          </w:p>
        </w:tc>
        <w:tc>
          <w:tcPr>
            <w:tcW w:w="1775" w:type="dxa"/>
            <w:vAlign w:val="center"/>
          </w:tcPr>
          <w:p w14:paraId="65A223E4">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信用查询</w:t>
            </w:r>
          </w:p>
        </w:tc>
        <w:tc>
          <w:tcPr>
            <w:tcW w:w="6912" w:type="dxa"/>
            <w:vAlign w:val="center"/>
          </w:tcPr>
          <w:p w14:paraId="2D1DEDDF">
            <w:pPr>
              <w:spacing w:line="440" w:lineRule="exact"/>
              <w:ind w:left="17" w:hanging="16" w:hangingChars="7"/>
              <w:rPr>
                <w:rFonts w:ascii="仿宋" w:hAnsi="仿宋" w:eastAsia="仿宋" w:cs="仿宋"/>
                <w:color w:val="000000"/>
                <w:sz w:val="24"/>
                <w:highlight w:val="none"/>
              </w:rPr>
            </w:pPr>
            <w:r>
              <w:rPr>
                <w:rFonts w:hint="eastAsia" w:ascii="仿宋" w:hAnsi="仿宋" w:eastAsia="仿宋" w:cs="仿宋"/>
                <w:color w:val="000000"/>
                <w:sz w:val="24"/>
                <w:highlight w:val="none"/>
              </w:rPr>
              <w:t>根据《关于做好政府采购有关信用主体标识码登记及在政府采购活动中查询使用信用记录有关问题的通知》（桂财采〔2016〕37），由采购代理机构对第一成交候选人进行信用查询：</w:t>
            </w:r>
          </w:p>
          <w:p w14:paraId="31FAC0F2">
            <w:pPr>
              <w:spacing w:line="440" w:lineRule="exact"/>
              <w:ind w:left="17" w:hanging="16" w:hangingChars="7"/>
              <w:rPr>
                <w:rFonts w:ascii="仿宋" w:hAnsi="仿宋" w:eastAsia="仿宋" w:cs="仿宋"/>
                <w:color w:val="000000"/>
                <w:sz w:val="24"/>
                <w:highlight w:val="none"/>
              </w:rPr>
            </w:pPr>
            <w:r>
              <w:rPr>
                <w:rFonts w:hint="eastAsia" w:ascii="仿宋" w:hAnsi="仿宋" w:eastAsia="仿宋" w:cs="仿宋"/>
                <w:color w:val="000000"/>
                <w:sz w:val="24"/>
                <w:highlight w:val="none"/>
              </w:rPr>
              <w:t>⑴查询渠道：“信用中国”网站(www.creditchina.gov.cn)、中国政府采购网(www.ccgp.gov.cn)等；</w:t>
            </w:r>
          </w:p>
          <w:p w14:paraId="06D4D50C">
            <w:pPr>
              <w:spacing w:line="440" w:lineRule="exact"/>
              <w:ind w:left="360" w:hanging="360" w:hangingChars="150"/>
              <w:rPr>
                <w:rFonts w:ascii="仿宋" w:hAnsi="仿宋" w:eastAsia="仿宋" w:cs="仿宋"/>
                <w:color w:val="000000"/>
                <w:sz w:val="24"/>
                <w:highlight w:val="none"/>
              </w:rPr>
            </w:pPr>
            <w:r>
              <w:rPr>
                <w:rFonts w:hint="eastAsia" w:ascii="仿宋" w:hAnsi="仿宋" w:eastAsia="仿宋" w:cs="仿宋"/>
                <w:color w:val="000000"/>
                <w:sz w:val="24"/>
                <w:highlight w:val="none"/>
              </w:rPr>
              <w:t>⑵查询时间：成交通知书发出前；</w:t>
            </w:r>
          </w:p>
          <w:p w14:paraId="189EBC04">
            <w:pPr>
              <w:spacing w:line="440" w:lineRule="exact"/>
              <w:ind w:left="17" w:hanging="16" w:hangingChars="7"/>
              <w:rPr>
                <w:rFonts w:ascii="仿宋" w:hAnsi="仿宋" w:eastAsia="仿宋" w:cs="仿宋"/>
                <w:color w:val="000000"/>
                <w:sz w:val="24"/>
                <w:highlight w:val="none"/>
              </w:rPr>
            </w:pPr>
            <w:r>
              <w:rPr>
                <w:rFonts w:hint="eastAsia" w:ascii="仿宋" w:hAnsi="仿宋" w:eastAsia="仿宋" w:cs="仿宋"/>
                <w:color w:val="000000"/>
                <w:sz w:val="24"/>
                <w:highlight w:val="none"/>
              </w:rPr>
              <w:t>⑶信用信息查询记录和证据留存方式：在查询网站中直接打印查询记录，打印材料作为采购活动资料保存；</w:t>
            </w:r>
          </w:p>
          <w:p w14:paraId="65F0B99F">
            <w:pPr>
              <w:spacing w:line="440" w:lineRule="exact"/>
              <w:ind w:left="17" w:hanging="16" w:hangingChars="7"/>
              <w:rPr>
                <w:rFonts w:ascii="仿宋" w:hAnsi="仿宋" w:eastAsia="仿宋" w:cs="仿宋"/>
                <w:color w:val="000000"/>
                <w:sz w:val="24"/>
                <w:highlight w:val="none"/>
              </w:rPr>
            </w:pPr>
            <w:r>
              <w:rPr>
                <w:rFonts w:hint="eastAsia" w:ascii="仿宋" w:hAnsi="仿宋" w:eastAsia="仿宋" w:cs="仿宋"/>
                <w:color w:val="000000"/>
                <w:sz w:val="24"/>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tc>
      </w:tr>
      <w:tr w14:paraId="1F266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5DD68DC0">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14</w:t>
            </w:r>
          </w:p>
        </w:tc>
        <w:tc>
          <w:tcPr>
            <w:tcW w:w="942" w:type="dxa"/>
            <w:vAlign w:val="center"/>
          </w:tcPr>
          <w:p w14:paraId="6B1C15DD">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28</w:t>
            </w:r>
          </w:p>
        </w:tc>
        <w:tc>
          <w:tcPr>
            <w:tcW w:w="1775" w:type="dxa"/>
            <w:vAlign w:val="center"/>
          </w:tcPr>
          <w:p w14:paraId="75E1313C">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成交结果公告</w:t>
            </w:r>
          </w:p>
          <w:p w14:paraId="484A30C9">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及成交通知书</w:t>
            </w:r>
          </w:p>
        </w:tc>
        <w:tc>
          <w:tcPr>
            <w:tcW w:w="6912" w:type="dxa"/>
          </w:tcPr>
          <w:p w14:paraId="07BEDCED">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28.1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784FB016">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28.2在发布成交公告的同时，采购代理机构向成交供应商发出成交通知书。成交供应商自接到通知之日起七个工作日内，办理成交通知书领取手续。</w:t>
            </w:r>
          </w:p>
        </w:tc>
      </w:tr>
      <w:tr w14:paraId="2DACF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62" w:type="dxa"/>
            <w:vAlign w:val="center"/>
          </w:tcPr>
          <w:p w14:paraId="25A3FE79">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15</w:t>
            </w:r>
          </w:p>
        </w:tc>
        <w:tc>
          <w:tcPr>
            <w:tcW w:w="942" w:type="dxa"/>
            <w:vAlign w:val="center"/>
          </w:tcPr>
          <w:p w14:paraId="34D901C8">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29</w:t>
            </w:r>
          </w:p>
        </w:tc>
        <w:tc>
          <w:tcPr>
            <w:tcW w:w="1775" w:type="dxa"/>
            <w:vAlign w:val="center"/>
          </w:tcPr>
          <w:p w14:paraId="2B4D2DED">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履约保证金</w:t>
            </w:r>
          </w:p>
        </w:tc>
        <w:tc>
          <w:tcPr>
            <w:tcW w:w="6912" w:type="dxa"/>
            <w:vAlign w:val="center"/>
          </w:tcPr>
          <w:p w14:paraId="003C25F6">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本项目免收履约保证金。</w:t>
            </w:r>
          </w:p>
        </w:tc>
      </w:tr>
      <w:tr w14:paraId="31D05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14:paraId="15CF715E">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16</w:t>
            </w:r>
          </w:p>
        </w:tc>
        <w:tc>
          <w:tcPr>
            <w:tcW w:w="942" w:type="dxa"/>
            <w:vAlign w:val="center"/>
          </w:tcPr>
          <w:p w14:paraId="4CC1BBF3">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30.1</w:t>
            </w:r>
          </w:p>
        </w:tc>
        <w:tc>
          <w:tcPr>
            <w:tcW w:w="1775" w:type="dxa"/>
            <w:vAlign w:val="center"/>
          </w:tcPr>
          <w:p w14:paraId="0FA011C0">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签订合同时间</w:t>
            </w:r>
          </w:p>
        </w:tc>
        <w:tc>
          <w:tcPr>
            <w:tcW w:w="6912" w:type="dxa"/>
          </w:tcPr>
          <w:p w14:paraId="3D9F29D5">
            <w:pPr>
              <w:spacing w:line="440" w:lineRule="exact"/>
              <w:rPr>
                <w:rFonts w:ascii="仿宋" w:hAnsi="仿宋" w:eastAsia="仿宋" w:cs="仿宋"/>
                <w:color w:val="000000"/>
                <w:sz w:val="24"/>
                <w:highlight w:val="none"/>
              </w:rPr>
            </w:pPr>
            <w:r>
              <w:rPr>
                <w:rFonts w:hint="eastAsia" w:ascii="仿宋" w:hAnsi="仿宋" w:eastAsia="仿宋" w:cs="仿宋"/>
                <w:bCs/>
                <w:color w:val="000000"/>
                <w:kern w:val="0"/>
                <w:sz w:val="24"/>
                <w:highlight w:val="none"/>
              </w:rPr>
              <w:t>成交通知书发出之日起八个工作日内签订合同</w:t>
            </w:r>
            <w:r>
              <w:rPr>
                <w:rFonts w:hint="eastAsia" w:ascii="仿宋" w:hAnsi="仿宋" w:eastAsia="仿宋" w:cs="仿宋"/>
                <w:color w:val="000000"/>
                <w:sz w:val="24"/>
                <w:highlight w:val="none"/>
              </w:rPr>
              <w:t>。成交供应商领取成交通知书后，应按规定与采购人签订合同。</w:t>
            </w:r>
          </w:p>
        </w:tc>
      </w:tr>
      <w:tr w14:paraId="6921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14:paraId="7688928A">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17</w:t>
            </w:r>
          </w:p>
        </w:tc>
        <w:tc>
          <w:tcPr>
            <w:tcW w:w="942" w:type="dxa"/>
            <w:vAlign w:val="center"/>
          </w:tcPr>
          <w:p w14:paraId="23F4A405">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30.3</w:t>
            </w:r>
          </w:p>
        </w:tc>
        <w:tc>
          <w:tcPr>
            <w:tcW w:w="1775" w:type="dxa"/>
            <w:vAlign w:val="center"/>
          </w:tcPr>
          <w:p w14:paraId="21AF6CBF">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合同备案存档</w:t>
            </w:r>
          </w:p>
        </w:tc>
        <w:tc>
          <w:tcPr>
            <w:tcW w:w="6912" w:type="dxa"/>
            <w:vAlign w:val="center"/>
          </w:tcPr>
          <w:p w14:paraId="54730963">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政府采购合同双方自签订之日起一个工作日内将合同原件一份交采购代理机构，采购代理机构将政府采购合同在省级以上人民政府财政部门指定媒体上公告。采购人于合同签订之日起七个工作日内将一份合同原件送本级财政部门备案，一份由</w:t>
            </w:r>
            <w:r>
              <w:rPr>
                <w:rFonts w:hint="eastAsia" w:ascii="仿宋" w:hAnsi="仿宋" w:eastAsia="仿宋" w:cs="仿宋"/>
                <w:color w:val="000000"/>
                <w:sz w:val="24"/>
                <w:highlight w:val="none"/>
                <w:lang w:eastAsia="zh-CN"/>
              </w:rPr>
              <w:t>广西鸿墨项目管理有限公司</w:t>
            </w:r>
            <w:r>
              <w:rPr>
                <w:rFonts w:hint="eastAsia" w:ascii="仿宋" w:hAnsi="仿宋" w:eastAsia="仿宋" w:cs="仿宋"/>
                <w:color w:val="000000"/>
                <w:sz w:val="24"/>
                <w:highlight w:val="none"/>
              </w:rPr>
              <w:t>存档。</w:t>
            </w:r>
          </w:p>
        </w:tc>
      </w:tr>
      <w:tr w14:paraId="38CC2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14:paraId="7E67D5A8">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18</w:t>
            </w:r>
          </w:p>
        </w:tc>
        <w:tc>
          <w:tcPr>
            <w:tcW w:w="942" w:type="dxa"/>
            <w:vAlign w:val="center"/>
          </w:tcPr>
          <w:p w14:paraId="56654B8C">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31</w:t>
            </w:r>
          </w:p>
        </w:tc>
        <w:tc>
          <w:tcPr>
            <w:tcW w:w="1775" w:type="dxa"/>
            <w:vAlign w:val="center"/>
          </w:tcPr>
          <w:p w14:paraId="61D16733">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采购代理服务费</w:t>
            </w:r>
          </w:p>
        </w:tc>
        <w:tc>
          <w:tcPr>
            <w:tcW w:w="6912" w:type="dxa"/>
          </w:tcPr>
          <w:p w14:paraId="689091A5">
            <w:pPr>
              <w:spacing w:line="440" w:lineRule="exact"/>
              <w:rPr>
                <w:rFonts w:ascii="仿宋" w:hAnsi="仿宋" w:eastAsia="仿宋" w:cs="仿宋"/>
                <w:color w:val="000000"/>
                <w:sz w:val="24"/>
                <w:highlight w:val="none"/>
              </w:rPr>
            </w:pPr>
            <w:r>
              <w:rPr>
                <w:rFonts w:hint="eastAsia" w:ascii="仿宋" w:hAnsi="仿宋" w:eastAsia="仿宋" w:cs="仿宋"/>
                <w:sz w:val="24"/>
                <w:highlight w:val="none"/>
              </w:rPr>
              <w:t>本项目采购代理服务收费标准参照计价格[2002]1980号《招标代理服务收费管理暂行办法》服务类收费标准，由成交人领取成交通知书前，向采购代理机构一次性付清。</w:t>
            </w:r>
          </w:p>
        </w:tc>
      </w:tr>
      <w:tr w14:paraId="495C8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14:paraId="3551273D">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19</w:t>
            </w:r>
          </w:p>
        </w:tc>
        <w:tc>
          <w:tcPr>
            <w:tcW w:w="942" w:type="dxa"/>
            <w:vAlign w:val="center"/>
          </w:tcPr>
          <w:p w14:paraId="44F29DC8">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32</w:t>
            </w:r>
          </w:p>
        </w:tc>
        <w:tc>
          <w:tcPr>
            <w:tcW w:w="1775" w:type="dxa"/>
            <w:vAlign w:val="center"/>
          </w:tcPr>
          <w:p w14:paraId="25F6D4F1">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解释权</w:t>
            </w:r>
          </w:p>
        </w:tc>
        <w:tc>
          <w:tcPr>
            <w:tcW w:w="6912" w:type="dxa"/>
          </w:tcPr>
          <w:p w14:paraId="33D0E846">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2A53A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62" w:type="dxa"/>
            <w:vAlign w:val="center"/>
          </w:tcPr>
          <w:p w14:paraId="29074917">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20</w:t>
            </w:r>
          </w:p>
        </w:tc>
        <w:tc>
          <w:tcPr>
            <w:tcW w:w="942" w:type="dxa"/>
            <w:vAlign w:val="center"/>
          </w:tcPr>
          <w:p w14:paraId="5E4E6DB3">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33</w:t>
            </w:r>
          </w:p>
        </w:tc>
        <w:tc>
          <w:tcPr>
            <w:tcW w:w="1775" w:type="dxa"/>
            <w:vAlign w:val="center"/>
          </w:tcPr>
          <w:p w14:paraId="18D37085">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监督管理机构</w:t>
            </w:r>
          </w:p>
        </w:tc>
        <w:tc>
          <w:tcPr>
            <w:tcW w:w="6912" w:type="dxa"/>
            <w:vAlign w:val="center"/>
          </w:tcPr>
          <w:p w14:paraId="072536EA">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桂林市雁山区政府采购管理办公室      电话：0773-3551859</w:t>
            </w:r>
          </w:p>
        </w:tc>
      </w:tr>
    </w:tbl>
    <w:p w14:paraId="7EC22CE6">
      <w:pPr>
        <w:pStyle w:val="24"/>
        <w:ind w:firstLine="0" w:firstLineChars="0"/>
        <w:rPr>
          <w:rFonts w:ascii="仿宋" w:hAnsi="仿宋" w:eastAsia="仿宋" w:cs="仿宋"/>
          <w:b/>
          <w:color w:val="000000"/>
          <w:sz w:val="28"/>
          <w:szCs w:val="28"/>
          <w:highlight w:val="none"/>
        </w:rPr>
      </w:pPr>
    </w:p>
    <w:p w14:paraId="48172044">
      <w:pPr>
        <w:pStyle w:val="3"/>
        <w:ind w:left="0" w:firstLine="0"/>
        <w:rPr>
          <w:rFonts w:ascii="仿宋" w:hAnsi="仿宋" w:eastAsia="仿宋" w:cs="仿宋"/>
          <w:b/>
          <w:bCs w:val="0"/>
          <w:szCs w:val="28"/>
          <w:highlight w:val="none"/>
        </w:rPr>
      </w:pPr>
    </w:p>
    <w:p w14:paraId="1C36E8E0">
      <w:pPr>
        <w:rPr>
          <w:rFonts w:ascii="仿宋" w:hAnsi="仿宋" w:eastAsia="仿宋" w:cs="仿宋"/>
          <w:b/>
          <w:color w:val="000000"/>
          <w:szCs w:val="28"/>
          <w:highlight w:val="none"/>
        </w:rPr>
      </w:pPr>
    </w:p>
    <w:p w14:paraId="5C91CCDB">
      <w:pPr>
        <w:pStyle w:val="3"/>
        <w:rPr>
          <w:rFonts w:ascii="仿宋" w:hAnsi="仿宋" w:eastAsia="仿宋" w:cs="仿宋"/>
          <w:b/>
          <w:bCs w:val="0"/>
          <w:szCs w:val="28"/>
          <w:highlight w:val="none"/>
        </w:rPr>
      </w:pPr>
    </w:p>
    <w:p w14:paraId="71887755">
      <w:pPr>
        <w:rPr>
          <w:rFonts w:ascii="仿宋" w:hAnsi="仿宋" w:eastAsia="仿宋" w:cs="仿宋"/>
          <w:b/>
          <w:color w:val="000000"/>
          <w:szCs w:val="28"/>
          <w:highlight w:val="none"/>
        </w:rPr>
      </w:pPr>
    </w:p>
    <w:p w14:paraId="1AC57644">
      <w:pPr>
        <w:rPr>
          <w:rFonts w:ascii="仿宋" w:hAnsi="仿宋" w:eastAsia="仿宋" w:cs="仿宋"/>
          <w:b/>
          <w:color w:val="000000"/>
          <w:szCs w:val="28"/>
          <w:highlight w:val="none"/>
        </w:rPr>
      </w:pPr>
    </w:p>
    <w:p w14:paraId="79187766">
      <w:pPr>
        <w:rPr>
          <w:rFonts w:ascii="仿宋" w:hAnsi="仿宋" w:eastAsia="仿宋" w:cs="仿宋"/>
          <w:b/>
          <w:color w:val="000000"/>
          <w:szCs w:val="28"/>
          <w:highlight w:val="none"/>
        </w:rPr>
      </w:pPr>
    </w:p>
    <w:p w14:paraId="403EAC08">
      <w:pPr>
        <w:pStyle w:val="3"/>
        <w:spacing w:line="440" w:lineRule="exact"/>
        <w:jc w:val="center"/>
        <w:rPr>
          <w:rFonts w:ascii="仿宋" w:hAnsi="仿宋" w:eastAsia="仿宋" w:cs="仿宋"/>
          <w:b/>
          <w:bCs w:val="0"/>
          <w:szCs w:val="28"/>
          <w:highlight w:val="none"/>
        </w:rPr>
      </w:pPr>
      <w:bookmarkStart w:id="50" w:name="_Toc22792"/>
      <w:bookmarkStart w:id="51" w:name="_Toc22246"/>
      <w:r>
        <w:rPr>
          <w:rFonts w:hint="eastAsia" w:ascii="仿宋" w:hAnsi="仿宋" w:eastAsia="仿宋" w:cs="仿宋"/>
          <w:b/>
          <w:bCs w:val="0"/>
          <w:szCs w:val="28"/>
          <w:highlight w:val="none"/>
        </w:rPr>
        <w:t>一、总则</w:t>
      </w:r>
      <w:bookmarkEnd w:id="50"/>
      <w:bookmarkEnd w:id="51"/>
    </w:p>
    <w:p w14:paraId="52201775">
      <w:pPr>
        <w:pStyle w:val="4"/>
        <w:spacing w:before="0" w:after="0" w:line="440" w:lineRule="exact"/>
        <w:ind w:firstLine="482" w:firstLineChars="200"/>
        <w:rPr>
          <w:rFonts w:ascii="仿宋" w:hAnsi="仿宋" w:eastAsia="仿宋" w:cs="仿宋"/>
          <w:color w:val="000000"/>
          <w:sz w:val="24"/>
          <w:highlight w:val="none"/>
        </w:rPr>
      </w:pPr>
      <w:bookmarkStart w:id="52" w:name="_Toc17238"/>
      <w:bookmarkStart w:id="53" w:name="_Toc6626"/>
      <w:r>
        <w:rPr>
          <w:rFonts w:hint="eastAsia" w:ascii="仿宋" w:hAnsi="仿宋" w:eastAsia="仿宋" w:cs="仿宋"/>
          <w:color w:val="000000"/>
          <w:sz w:val="24"/>
          <w:highlight w:val="none"/>
        </w:rPr>
        <w:t>1. 适应范围</w:t>
      </w:r>
      <w:bookmarkEnd w:id="52"/>
      <w:bookmarkEnd w:id="53"/>
    </w:p>
    <w:p w14:paraId="67C05018">
      <w:pPr>
        <w:spacing w:line="440" w:lineRule="exact"/>
        <w:ind w:firstLine="435"/>
        <w:rPr>
          <w:rFonts w:ascii="仿宋" w:hAnsi="仿宋" w:eastAsia="仿宋" w:cs="仿宋"/>
          <w:color w:val="000000"/>
          <w:sz w:val="24"/>
          <w:highlight w:val="none"/>
        </w:rPr>
      </w:pPr>
      <w:r>
        <w:rPr>
          <w:rFonts w:hint="eastAsia" w:ascii="仿宋" w:hAnsi="仿宋" w:eastAsia="仿宋" w:cs="仿宋"/>
          <w:color w:val="000000"/>
          <w:sz w:val="24"/>
          <w:highlight w:val="none"/>
        </w:rPr>
        <w:t>1.1  项目名称及项目编号：</w:t>
      </w:r>
    </w:p>
    <w:p w14:paraId="506AAA04">
      <w:pPr>
        <w:spacing w:line="440" w:lineRule="exact"/>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项目名称：</w:t>
      </w:r>
      <w:r>
        <w:rPr>
          <w:rFonts w:hint="eastAsia" w:ascii="仿宋" w:hAnsi="仿宋" w:eastAsia="仿宋" w:cs="仿宋"/>
          <w:color w:val="000000"/>
          <w:sz w:val="24"/>
          <w:highlight w:val="none"/>
          <w:lang w:eastAsia="zh-CN"/>
        </w:rPr>
        <w:t>雁山区金雁餐厅货物采购配送服务</w:t>
      </w:r>
    </w:p>
    <w:p w14:paraId="07055129">
      <w:pPr>
        <w:spacing w:line="440" w:lineRule="exact"/>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项目编号：</w:t>
      </w:r>
      <w:r>
        <w:rPr>
          <w:rFonts w:hint="eastAsia" w:ascii="仿宋" w:hAnsi="仿宋" w:eastAsia="仿宋" w:cs="仿宋"/>
          <w:color w:val="000000"/>
          <w:sz w:val="24"/>
          <w:highlight w:val="none"/>
          <w:lang w:eastAsia="zh-CN"/>
        </w:rPr>
        <w:t>GLZC2026-C3-990265-GXHM</w:t>
      </w:r>
    </w:p>
    <w:p w14:paraId="31BE0B20">
      <w:pPr>
        <w:spacing w:line="440" w:lineRule="exact"/>
        <w:ind w:firstLine="470" w:firstLineChars="196"/>
        <w:rPr>
          <w:rFonts w:ascii="仿宋" w:hAnsi="仿宋" w:eastAsia="仿宋" w:cs="仿宋"/>
          <w:color w:val="000000"/>
          <w:sz w:val="24"/>
          <w:highlight w:val="none"/>
        </w:rPr>
      </w:pPr>
      <w:r>
        <w:rPr>
          <w:rFonts w:hint="eastAsia" w:ascii="仿宋" w:hAnsi="仿宋" w:eastAsia="仿宋" w:cs="仿宋"/>
          <w:color w:val="000000"/>
          <w:sz w:val="24"/>
          <w:highlight w:val="none"/>
        </w:rPr>
        <w:t>1.2本竞争性磋商文件（以下简称磋商文件）适用于本磋商项目的磋商、评审、合同履约、验收、付款等行为（法律、法规另有规定的，从其规定）。</w:t>
      </w:r>
    </w:p>
    <w:p w14:paraId="72AE29EE">
      <w:pPr>
        <w:pStyle w:val="4"/>
        <w:spacing w:before="0" w:after="0" w:line="440" w:lineRule="exact"/>
        <w:ind w:firstLine="482" w:firstLineChars="200"/>
        <w:rPr>
          <w:rFonts w:ascii="仿宋" w:hAnsi="仿宋" w:eastAsia="仿宋" w:cs="仿宋"/>
          <w:color w:val="000000"/>
          <w:sz w:val="24"/>
          <w:highlight w:val="none"/>
        </w:rPr>
      </w:pPr>
      <w:bookmarkStart w:id="54" w:name="_Toc28336"/>
      <w:bookmarkStart w:id="55" w:name="_Toc29360"/>
      <w:r>
        <w:rPr>
          <w:rFonts w:hint="eastAsia" w:ascii="仿宋" w:hAnsi="仿宋" w:eastAsia="仿宋" w:cs="仿宋"/>
          <w:color w:val="000000"/>
          <w:sz w:val="24"/>
          <w:highlight w:val="none"/>
        </w:rPr>
        <w:t>2. 定义</w:t>
      </w:r>
      <w:bookmarkEnd w:id="54"/>
      <w:bookmarkEnd w:id="55"/>
    </w:p>
    <w:p w14:paraId="4CB55F6B">
      <w:pPr>
        <w:spacing w:line="440" w:lineRule="exact"/>
        <w:ind w:firstLine="435"/>
        <w:rPr>
          <w:rFonts w:ascii="仿宋" w:hAnsi="仿宋" w:eastAsia="仿宋" w:cs="仿宋"/>
          <w:color w:val="000000"/>
          <w:sz w:val="24"/>
          <w:highlight w:val="none"/>
        </w:rPr>
      </w:pPr>
      <w:r>
        <w:rPr>
          <w:rFonts w:hint="eastAsia" w:ascii="仿宋" w:hAnsi="仿宋" w:eastAsia="仿宋" w:cs="仿宋"/>
          <w:color w:val="000000"/>
          <w:sz w:val="24"/>
          <w:highlight w:val="none"/>
        </w:rPr>
        <w:t>2.1“供应商”是指符合本次采购项目的供应商资格并提交响应文件、参加磋商的供应商。如果该供应商在本次磋商中成交，即成为“成交供应商”。</w:t>
      </w:r>
    </w:p>
    <w:p w14:paraId="334C5AD3">
      <w:pPr>
        <w:spacing w:line="440" w:lineRule="exact"/>
        <w:ind w:firstLine="435"/>
        <w:rPr>
          <w:rFonts w:ascii="仿宋" w:hAnsi="仿宋" w:eastAsia="仿宋" w:cs="仿宋"/>
          <w:color w:val="000000"/>
          <w:sz w:val="24"/>
          <w:highlight w:val="none"/>
        </w:rPr>
      </w:pPr>
      <w:r>
        <w:rPr>
          <w:rFonts w:hint="eastAsia" w:ascii="仿宋" w:hAnsi="仿宋" w:eastAsia="仿宋" w:cs="仿宋"/>
          <w:color w:val="000000"/>
          <w:sz w:val="24"/>
          <w:highlight w:val="none"/>
        </w:rPr>
        <w:t>2.2“货物”系指按磋商文件规定，供应商须向采购人提供的一切设备、保险、税金、备品备件、工具、手册及其它有关技术资料和材料。</w:t>
      </w:r>
    </w:p>
    <w:p w14:paraId="54447249">
      <w:pPr>
        <w:spacing w:line="440" w:lineRule="exact"/>
        <w:ind w:firstLine="435"/>
        <w:rPr>
          <w:rFonts w:ascii="仿宋" w:hAnsi="仿宋" w:eastAsia="仿宋" w:cs="仿宋"/>
          <w:color w:val="000000"/>
          <w:sz w:val="24"/>
          <w:highlight w:val="none"/>
        </w:rPr>
      </w:pPr>
      <w:r>
        <w:rPr>
          <w:rFonts w:hint="eastAsia" w:ascii="仿宋" w:hAnsi="仿宋" w:eastAsia="仿宋" w:cs="仿宋"/>
          <w:color w:val="000000"/>
          <w:sz w:val="24"/>
          <w:highlight w:val="none"/>
        </w:rPr>
        <w:t>2.3“服务”系指按磋商文件规定，供应商须承担的安装、调试、技术协助、校准、培训、技术指导以及其他类似的义务。</w:t>
      </w:r>
    </w:p>
    <w:p w14:paraId="17BA36F4">
      <w:pPr>
        <w:spacing w:line="440" w:lineRule="exact"/>
        <w:ind w:firstLine="435"/>
        <w:rPr>
          <w:rFonts w:ascii="仿宋" w:hAnsi="仿宋" w:eastAsia="仿宋" w:cs="仿宋"/>
          <w:color w:val="000000"/>
          <w:sz w:val="24"/>
          <w:highlight w:val="none"/>
        </w:rPr>
      </w:pPr>
      <w:r>
        <w:rPr>
          <w:rFonts w:hint="eastAsia" w:ascii="仿宋" w:hAnsi="仿宋" w:eastAsia="仿宋" w:cs="仿宋"/>
          <w:color w:val="000000"/>
          <w:sz w:val="24"/>
          <w:highlight w:val="none"/>
        </w:rPr>
        <w:t>2.4“项目”系指供应商按磋商文件规定向采购人提供的货物和服务。</w:t>
      </w:r>
    </w:p>
    <w:p w14:paraId="2AD78E40">
      <w:pPr>
        <w:spacing w:line="440" w:lineRule="exact"/>
        <w:ind w:firstLine="435"/>
        <w:rPr>
          <w:rFonts w:ascii="仿宋" w:hAnsi="仿宋" w:eastAsia="仿宋" w:cs="仿宋"/>
          <w:color w:val="000000"/>
          <w:sz w:val="24"/>
          <w:highlight w:val="none"/>
        </w:rPr>
      </w:pPr>
      <w:r>
        <w:rPr>
          <w:rFonts w:hint="eastAsia" w:ascii="仿宋" w:hAnsi="仿宋" w:eastAsia="仿宋" w:cs="仿宋"/>
          <w:color w:val="000000"/>
          <w:sz w:val="24"/>
          <w:highlight w:val="none"/>
        </w:rPr>
        <w:t>2.5“书面形式”包括信函、传真、电报等。</w:t>
      </w:r>
    </w:p>
    <w:p w14:paraId="081E88EA">
      <w:pPr>
        <w:spacing w:line="440" w:lineRule="exact"/>
        <w:ind w:firstLine="435"/>
        <w:rPr>
          <w:b/>
          <w:bCs/>
          <w:highlight w:val="none"/>
        </w:rPr>
      </w:pPr>
      <w:r>
        <w:rPr>
          <w:rFonts w:hint="eastAsia" w:ascii="仿宋" w:hAnsi="仿宋" w:eastAsia="仿宋" w:cs="仿宋"/>
          <w:b/>
          <w:bCs/>
          <w:color w:val="000000"/>
          <w:sz w:val="24"/>
          <w:highlight w:val="none"/>
        </w:rPr>
        <w:t>2.6“响应文件”：本项目实行全流程电子化招标，磋商供应商通过“广西政府采购云平台”平台参与电子磋商。响应文件特指磋商供应商按本采购文件规定提交的电子响应文件（包括因特殊情况无法解密或解密失败提交的电子备份响应文件）。</w:t>
      </w:r>
    </w:p>
    <w:p w14:paraId="534B00E4">
      <w:pPr>
        <w:spacing w:line="440" w:lineRule="exact"/>
        <w:ind w:firstLine="435"/>
        <w:rPr>
          <w:rFonts w:ascii="仿宋" w:hAnsi="仿宋" w:eastAsia="仿宋" w:cs="仿宋"/>
          <w:b/>
          <w:color w:val="000000"/>
          <w:sz w:val="24"/>
          <w:highlight w:val="none"/>
        </w:rPr>
      </w:pPr>
      <w:r>
        <w:rPr>
          <w:rFonts w:hint="eastAsia" w:ascii="仿宋" w:hAnsi="仿宋" w:eastAsia="仿宋" w:cs="仿宋"/>
          <w:b/>
          <w:color w:val="000000"/>
          <w:sz w:val="24"/>
          <w:highlight w:val="none"/>
          <w:u w:val="single"/>
        </w:rPr>
        <w:t>2.7实质性要求：“采购需求”中所有的内容均为实质性要求，不允许负偏离，否则投标无效。</w:t>
      </w:r>
    </w:p>
    <w:p w14:paraId="55CDAD79">
      <w:pPr>
        <w:pStyle w:val="4"/>
        <w:spacing w:before="0" w:after="0" w:line="440" w:lineRule="exact"/>
        <w:ind w:firstLine="482" w:firstLineChars="200"/>
        <w:rPr>
          <w:rFonts w:ascii="仿宋" w:hAnsi="仿宋" w:eastAsia="仿宋" w:cs="仿宋"/>
          <w:color w:val="000000"/>
          <w:sz w:val="24"/>
          <w:highlight w:val="none"/>
        </w:rPr>
      </w:pPr>
      <w:bookmarkStart w:id="56" w:name="_Toc6608"/>
      <w:bookmarkStart w:id="57" w:name="_Toc25441"/>
      <w:r>
        <w:rPr>
          <w:rFonts w:hint="eastAsia" w:ascii="仿宋" w:hAnsi="仿宋" w:eastAsia="仿宋" w:cs="仿宋"/>
          <w:color w:val="000000"/>
          <w:sz w:val="24"/>
          <w:highlight w:val="none"/>
        </w:rPr>
        <w:t>3. 供应商资格</w:t>
      </w:r>
      <w:bookmarkEnd w:id="56"/>
      <w:bookmarkEnd w:id="57"/>
    </w:p>
    <w:p w14:paraId="2C0557FB">
      <w:pPr>
        <w:spacing w:line="440" w:lineRule="exact"/>
        <w:ind w:firstLine="435"/>
        <w:rPr>
          <w:rFonts w:ascii="仿宋" w:hAnsi="仿宋" w:eastAsia="仿宋" w:cs="仿宋"/>
          <w:bCs/>
          <w:color w:val="000000"/>
          <w:sz w:val="24"/>
          <w:highlight w:val="none"/>
        </w:rPr>
      </w:pPr>
      <w:r>
        <w:rPr>
          <w:rFonts w:hint="eastAsia" w:ascii="仿宋" w:hAnsi="仿宋" w:eastAsia="仿宋" w:cs="仿宋"/>
          <w:bCs/>
          <w:color w:val="000000"/>
          <w:sz w:val="24"/>
          <w:highlight w:val="none"/>
        </w:rPr>
        <w:t>3.1符合《中华人民共和国政府采购法》第二十二条和《政府采购法实施条例》第十八条规定，具备合法资格的供应商；</w:t>
      </w:r>
    </w:p>
    <w:p w14:paraId="15663504">
      <w:pPr>
        <w:spacing w:line="440" w:lineRule="exact"/>
        <w:ind w:firstLine="480" w:firstLineChars="200"/>
        <w:rPr>
          <w:rFonts w:ascii="仿宋" w:hAnsi="仿宋" w:eastAsia="仿宋" w:cs="仿宋"/>
          <w:b/>
          <w:bCs/>
          <w:color w:val="000000"/>
          <w:sz w:val="24"/>
          <w:highlight w:val="none"/>
        </w:rPr>
      </w:pPr>
      <w:bookmarkStart w:id="58" w:name="_Toc16496"/>
      <w:r>
        <w:rPr>
          <w:rFonts w:hint="eastAsia" w:ascii="仿宋" w:hAnsi="仿宋" w:eastAsia="仿宋" w:cs="仿宋"/>
          <w:color w:val="000000"/>
          <w:sz w:val="24"/>
          <w:highlight w:val="none"/>
        </w:rPr>
        <w:t>3.2落实政府采购政策需满足的资格要求：</w:t>
      </w:r>
      <w:r>
        <w:rPr>
          <w:rFonts w:hint="eastAsia" w:ascii="仿宋" w:hAnsi="仿宋" w:eastAsia="仿宋" w:cs="仿宋"/>
          <w:color w:val="000000"/>
          <w:sz w:val="24"/>
          <w:highlight w:val="none"/>
          <w:lang w:eastAsia="zh-CN"/>
        </w:rPr>
        <w:t>本项目专门面向中小企业采购</w:t>
      </w:r>
      <w:r>
        <w:rPr>
          <w:rFonts w:hint="eastAsia" w:ascii="仿宋" w:hAnsi="仿宋" w:eastAsia="仿宋" w:cs="仿宋"/>
          <w:color w:val="000000"/>
          <w:sz w:val="24"/>
          <w:highlight w:val="none"/>
        </w:rPr>
        <w:t>。</w:t>
      </w:r>
    </w:p>
    <w:p w14:paraId="19F8793D">
      <w:pPr>
        <w:pStyle w:val="4"/>
        <w:spacing w:before="0" w:after="0" w:line="440" w:lineRule="exact"/>
        <w:ind w:firstLine="480" w:firstLineChars="200"/>
        <w:rPr>
          <w:rFonts w:ascii="仿宋" w:hAnsi="仿宋" w:eastAsia="仿宋" w:cs="仿宋"/>
          <w:b w:val="0"/>
          <w:color w:val="000000"/>
          <w:sz w:val="24"/>
          <w:highlight w:val="none"/>
        </w:rPr>
      </w:pPr>
      <w:bookmarkStart w:id="59" w:name="_Toc4527"/>
      <w:bookmarkStart w:id="60" w:name="_Toc5736"/>
      <w:bookmarkStart w:id="61" w:name="_Toc2900"/>
      <w:r>
        <w:rPr>
          <w:rFonts w:hint="eastAsia" w:ascii="仿宋" w:hAnsi="仿宋" w:eastAsia="仿宋" w:cs="仿宋"/>
          <w:b w:val="0"/>
          <w:color w:val="000000"/>
          <w:sz w:val="24"/>
          <w:highlight w:val="none"/>
        </w:rPr>
        <w:t>3.3本项目的特定资格要求：无。</w:t>
      </w:r>
      <w:bookmarkEnd w:id="59"/>
      <w:bookmarkEnd w:id="60"/>
      <w:bookmarkEnd w:id="61"/>
    </w:p>
    <w:p w14:paraId="1BD67BE9">
      <w:pPr>
        <w:pStyle w:val="4"/>
        <w:spacing w:before="0" w:after="0" w:line="440" w:lineRule="exact"/>
        <w:ind w:firstLine="482"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4.参与电子磋商的准备工作</w:t>
      </w:r>
    </w:p>
    <w:p w14:paraId="1C6484CB">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4.1本项目实行全流程电子化采购，磋商供应商通过“广西政府采购云平台”平台参与电子磋商，并应做好以下相关准备工作：①在“广西政府采购云平台”平台注册成为正式供应商（操作方法详见广西壮族自治区政府采购网—办事服务—办事指南）；②完成CA认证证书申领和绑定（费用由磋商供应商自行承担，办理流程详见广西壮族自治区政府采购网—办事服务—下载专区，完成CA认证证书办理预计一周左右，建议供应商尽快办理）；③下载“广西壮族自治区全流程电子招投标项目管理系统--供应商客户端”（操作方法详见广西壮族自治区政府采购网—办事服务—下载专区，以下称“广西政府采购云平台电子投标客户端”）并安装成功，磋商供应商应当在响应文件提交截止时间前在“广西政府采购云平台”平台完成的身份认证，确保能够对相关数据电文进行加密和使用电子签章；④自备计算机和网络设备并确保能接入互联网（费用由磋商供应商自行承担，设备确保可进行视频通话和读取广西政府采购云平台CA认证证书）。因磋商供应商未做好相关准备工作等自身原因导致无法参加本项目电子磋商或磋商失败的，造成的一切后果，由磋商供应商自行承担。</w:t>
      </w:r>
    </w:p>
    <w:p w14:paraId="47020EDC">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4.2电子磋商具体操作流程参考《政府采购项目电子交易管理操作指南-供应商》（详见桂林市政府采购网—采购资讯—重要通知）；如遇平台技术问题详询95763。</w:t>
      </w:r>
    </w:p>
    <w:p w14:paraId="2A8C7371">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4.3不论磋商结果如何，磋商供应商均应自行承担所有与磋商有关的全部费用。</w:t>
      </w:r>
    </w:p>
    <w:p w14:paraId="2910085B">
      <w:pPr>
        <w:pStyle w:val="4"/>
        <w:spacing w:before="0" w:after="0" w:line="440" w:lineRule="exact"/>
        <w:ind w:firstLine="482" w:firstLineChars="200"/>
        <w:rPr>
          <w:rFonts w:ascii="仿宋" w:hAnsi="仿宋" w:eastAsia="仿宋" w:cs="仿宋"/>
          <w:color w:val="000000"/>
          <w:sz w:val="24"/>
          <w:highlight w:val="none"/>
        </w:rPr>
      </w:pPr>
      <w:bookmarkStart w:id="62" w:name="_Toc11981"/>
      <w:r>
        <w:rPr>
          <w:rFonts w:hint="eastAsia" w:ascii="仿宋" w:hAnsi="仿宋" w:eastAsia="仿宋" w:cs="仿宋"/>
          <w:color w:val="000000"/>
          <w:sz w:val="24"/>
          <w:highlight w:val="none"/>
        </w:rPr>
        <w:t>5. 磋商费用</w:t>
      </w:r>
      <w:bookmarkEnd w:id="58"/>
      <w:bookmarkEnd w:id="62"/>
    </w:p>
    <w:p w14:paraId="5484C5DC">
      <w:pPr>
        <w:tabs>
          <w:tab w:val="left" w:pos="1635"/>
        </w:tabs>
        <w:spacing w:line="440" w:lineRule="exact"/>
        <w:ind w:firstLine="435"/>
        <w:rPr>
          <w:rFonts w:ascii="仿宋" w:hAnsi="仿宋" w:eastAsia="仿宋" w:cs="仿宋"/>
          <w:color w:val="000000"/>
          <w:sz w:val="24"/>
          <w:highlight w:val="none"/>
        </w:rPr>
      </w:pPr>
      <w:r>
        <w:rPr>
          <w:rFonts w:hint="eastAsia" w:ascii="仿宋" w:hAnsi="仿宋" w:eastAsia="仿宋" w:cs="仿宋"/>
          <w:color w:val="000000"/>
          <w:sz w:val="24"/>
          <w:highlight w:val="none"/>
        </w:rPr>
        <w:t>不论磋商结果如何，供应商均应自行承担所有与磋商有关的全部费用。</w:t>
      </w:r>
      <w:bookmarkStart w:id="63" w:name="_Toc31376"/>
      <w:bookmarkStart w:id="64" w:name="_Toc5698"/>
    </w:p>
    <w:p w14:paraId="227F1317">
      <w:pPr>
        <w:pStyle w:val="4"/>
        <w:numPr>
          <w:ilvl w:val="0"/>
          <w:numId w:val="2"/>
        </w:numPr>
        <w:spacing w:before="0" w:after="0" w:line="440" w:lineRule="exact"/>
        <w:ind w:firstLine="482"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联合体要求</w:t>
      </w:r>
      <w:bookmarkEnd w:id="63"/>
      <w:bookmarkEnd w:id="64"/>
    </w:p>
    <w:p w14:paraId="527501F9">
      <w:pPr>
        <w:spacing w:line="440" w:lineRule="exact"/>
        <w:ind w:firstLine="480" w:firstLineChars="200"/>
        <w:rPr>
          <w:rFonts w:ascii="仿宋" w:hAnsi="仿宋" w:eastAsia="仿宋" w:cs="仿宋"/>
          <w:bCs/>
          <w:color w:val="000000"/>
          <w:sz w:val="24"/>
          <w:highlight w:val="none"/>
        </w:rPr>
      </w:pPr>
      <w:r>
        <w:rPr>
          <w:rFonts w:hint="eastAsia" w:ascii="仿宋" w:hAnsi="仿宋" w:eastAsia="仿宋" w:cs="仿宋"/>
          <w:bCs/>
          <w:color w:val="000000"/>
          <w:sz w:val="24"/>
          <w:highlight w:val="none"/>
        </w:rPr>
        <w:t>本项目不接受联合体参与磋商</w:t>
      </w:r>
    </w:p>
    <w:p w14:paraId="28A5133E">
      <w:pPr>
        <w:pStyle w:val="4"/>
        <w:spacing w:before="0" w:after="0" w:line="440" w:lineRule="exact"/>
        <w:ind w:firstLine="482" w:firstLineChars="200"/>
        <w:rPr>
          <w:rFonts w:ascii="仿宋" w:hAnsi="仿宋" w:eastAsia="仿宋" w:cs="仿宋"/>
          <w:color w:val="000000"/>
          <w:sz w:val="24"/>
          <w:highlight w:val="none"/>
        </w:rPr>
      </w:pPr>
      <w:bookmarkStart w:id="65" w:name="_Toc31862"/>
      <w:bookmarkStart w:id="66" w:name="_Toc4152"/>
      <w:r>
        <w:rPr>
          <w:rFonts w:hint="eastAsia" w:ascii="仿宋" w:hAnsi="仿宋" w:eastAsia="仿宋" w:cs="仿宋"/>
          <w:color w:val="000000"/>
          <w:sz w:val="24"/>
          <w:highlight w:val="none"/>
        </w:rPr>
        <w:t>7. 质疑和投诉</w:t>
      </w:r>
      <w:bookmarkEnd w:id="65"/>
      <w:bookmarkEnd w:id="66"/>
      <w:r>
        <w:rPr>
          <w:rFonts w:hint="eastAsia" w:ascii="仿宋" w:hAnsi="仿宋" w:eastAsia="仿宋" w:cs="仿宋"/>
          <w:color w:val="000000"/>
          <w:sz w:val="24"/>
          <w:highlight w:val="none"/>
        </w:rPr>
        <w:tab/>
      </w:r>
    </w:p>
    <w:p w14:paraId="761CBAAB">
      <w:pPr>
        <w:tabs>
          <w:tab w:val="left" w:pos="2190"/>
        </w:tabs>
        <w:spacing w:line="440" w:lineRule="exact"/>
        <w:ind w:firstLine="435"/>
        <w:rPr>
          <w:rFonts w:ascii="仿宋" w:hAnsi="仿宋" w:eastAsia="仿宋" w:cs="仿宋"/>
          <w:color w:val="000000"/>
          <w:sz w:val="24"/>
          <w:highlight w:val="none"/>
        </w:rPr>
      </w:pPr>
      <w:bookmarkStart w:id="67" w:name="_Toc8195"/>
      <w:bookmarkStart w:id="68" w:name="_Toc26087"/>
      <w:r>
        <w:rPr>
          <w:rFonts w:hint="eastAsia" w:ascii="仿宋" w:hAnsi="仿宋" w:eastAsia="仿宋" w:cs="仿宋"/>
          <w:color w:val="000000"/>
          <w:sz w:val="24"/>
          <w:highlight w:val="none"/>
        </w:rPr>
        <w:t>7.1供应对政府采购活动事项有疑问的，可以向采购人提出询问。</w:t>
      </w:r>
    </w:p>
    <w:p w14:paraId="459023E5">
      <w:pPr>
        <w:tabs>
          <w:tab w:val="left" w:pos="2190"/>
        </w:tabs>
        <w:spacing w:line="440" w:lineRule="exact"/>
        <w:ind w:firstLine="435"/>
        <w:rPr>
          <w:rFonts w:ascii="仿宋" w:hAnsi="仿宋" w:eastAsia="仿宋" w:cs="仿宋"/>
          <w:color w:val="000000"/>
          <w:sz w:val="24"/>
          <w:highlight w:val="none"/>
        </w:rPr>
      </w:pPr>
      <w:r>
        <w:rPr>
          <w:rFonts w:hint="eastAsia" w:ascii="仿宋" w:hAnsi="仿宋" w:eastAsia="仿宋" w:cs="仿宋"/>
          <w:color w:val="000000"/>
          <w:sz w:val="24"/>
          <w:highlight w:val="none"/>
        </w:rPr>
        <w:t>7.2供应商认为磋商文件使自己的合法权益受到损害的，应当在竞争性磋商公告期限届满之日起七个工作日内，以书面形式向采购代理机构（</w:t>
      </w:r>
      <w:r>
        <w:rPr>
          <w:rFonts w:hint="eastAsia" w:ascii="仿宋" w:hAnsi="仿宋" w:eastAsia="仿宋" w:cs="仿宋"/>
          <w:color w:val="000000"/>
          <w:sz w:val="24"/>
          <w:highlight w:val="none"/>
          <w:lang w:eastAsia="zh-CN"/>
        </w:rPr>
        <w:t>广西鸿墨项目管理有限公司</w:t>
      </w:r>
      <w:r>
        <w:rPr>
          <w:rFonts w:hint="eastAsia" w:ascii="仿宋" w:hAnsi="仿宋" w:eastAsia="仿宋" w:cs="仿宋"/>
          <w:color w:val="000000"/>
          <w:sz w:val="24"/>
          <w:highlight w:val="none"/>
        </w:rPr>
        <w:t>）提出质疑</w:t>
      </w:r>
      <w:r>
        <w:rPr>
          <w:rFonts w:hint="eastAsia" w:ascii="仿宋" w:hAnsi="仿宋" w:eastAsia="仿宋" w:cs="仿宋"/>
          <w:b/>
          <w:sz w:val="24"/>
          <w:highlight w:val="none"/>
        </w:rPr>
        <w:t>（“质疑函”格式见附表1）</w:t>
      </w:r>
      <w:r>
        <w:rPr>
          <w:rFonts w:hint="eastAsia" w:ascii="仿宋" w:hAnsi="仿宋" w:eastAsia="仿宋" w:cs="仿宋"/>
          <w:color w:val="000000"/>
          <w:sz w:val="24"/>
          <w:highlight w:val="none"/>
        </w:rPr>
        <w:t>。供应商认为采购过程或成交结果使自己的合法权益受到损害的，应当在各采购程序环节结束之日起七个工作日内，以书面形式向采购代理机构（</w:t>
      </w:r>
      <w:r>
        <w:rPr>
          <w:rFonts w:hint="eastAsia" w:ascii="仿宋" w:hAnsi="仿宋" w:eastAsia="仿宋" w:cs="仿宋"/>
          <w:color w:val="000000"/>
          <w:sz w:val="24"/>
          <w:highlight w:val="none"/>
          <w:lang w:eastAsia="zh-CN"/>
        </w:rPr>
        <w:t>广西鸿墨项目管理有限公司</w:t>
      </w:r>
      <w:r>
        <w:rPr>
          <w:rFonts w:hint="eastAsia" w:ascii="仿宋" w:hAnsi="仿宋" w:eastAsia="仿宋" w:cs="仿宋"/>
          <w:color w:val="000000"/>
          <w:sz w:val="24"/>
          <w:highlight w:val="none"/>
        </w:rPr>
        <w:t>）提出质疑。采购代理机构应认真做好质疑处理工作。</w:t>
      </w:r>
    </w:p>
    <w:p w14:paraId="6A4749BD">
      <w:pPr>
        <w:tabs>
          <w:tab w:val="left" w:pos="2190"/>
        </w:tabs>
        <w:spacing w:line="440" w:lineRule="exact"/>
        <w:ind w:firstLine="435"/>
        <w:rPr>
          <w:rFonts w:ascii="仿宋" w:hAnsi="仿宋" w:eastAsia="仿宋" w:cs="仿宋"/>
          <w:color w:val="000000"/>
          <w:sz w:val="24"/>
          <w:highlight w:val="none"/>
        </w:rPr>
      </w:pPr>
      <w:r>
        <w:rPr>
          <w:rFonts w:hint="eastAsia" w:ascii="仿宋" w:hAnsi="仿宋" w:eastAsia="仿宋" w:cs="仿宋"/>
          <w:color w:val="000000"/>
          <w:sz w:val="24"/>
          <w:highlight w:val="none"/>
        </w:rPr>
        <w:t>7.3供应商对采购代理机构的质疑答复不满意或者采购代理机构未在规定的时间内作出答复的，可以在答复期满后十五个工作日内向本级财政部门投诉</w:t>
      </w:r>
      <w:r>
        <w:rPr>
          <w:rFonts w:hint="eastAsia" w:ascii="仿宋" w:hAnsi="仿宋" w:eastAsia="仿宋" w:cs="仿宋"/>
          <w:b/>
          <w:sz w:val="24"/>
          <w:highlight w:val="none"/>
        </w:rPr>
        <w:t>（“投诉书”格式见附表2）</w:t>
      </w:r>
      <w:r>
        <w:rPr>
          <w:rFonts w:hint="eastAsia" w:ascii="仿宋" w:hAnsi="仿宋" w:eastAsia="仿宋" w:cs="仿宋"/>
          <w:color w:val="000000"/>
          <w:sz w:val="24"/>
          <w:highlight w:val="none"/>
        </w:rPr>
        <w:t>。</w:t>
      </w:r>
    </w:p>
    <w:p w14:paraId="1F460F7C">
      <w:pPr>
        <w:tabs>
          <w:tab w:val="left" w:pos="2190"/>
        </w:tabs>
        <w:spacing w:line="440" w:lineRule="exact"/>
        <w:ind w:firstLine="435"/>
        <w:rPr>
          <w:rFonts w:ascii="仿宋" w:hAnsi="仿宋" w:eastAsia="仿宋" w:cs="仿宋"/>
          <w:color w:val="000000"/>
          <w:sz w:val="24"/>
          <w:highlight w:val="none"/>
        </w:rPr>
      </w:pPr>
      <w:r>
        <w:rPr>
          <w:rFonts w:hint="eastAsia" w:ascii="仿宋" w:hAnsi="仿宋" w:eastAsia="仿宋" w:cs="仿宋"/>
          <w:color w:val="000000"/>
          <w:sz w:val="24"/>
          <w:highlight w:val="none"/>
        </w:rPr>
        <w:t>7.4质疑、投诉应当采用书面形式，质疑书、投诉书实行实名制，均应明确阐述磋商文件、采购过程或成交结果中使自己合法权益受到损害的实质性内容，提供相关事实、明确的请求，并提供必要的证明材料。质疑函格式详见附件。</w:t>
      </w:r>
    </w:p>
    <w:p w14:paraId="743E4EC7">
      <w:pPr>
        <w:tabs>
          <w:tab w:val="left" w:pos="2190"/>
        </w:tabs>
        <w:spacing w:line="440" w:lineRule="exact"/>
        <w:ind w:firstLine="435"/>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7.5质疑联系部门：</w:t>
      </w:r>
      <w:r>
        <w:rPr>
          <w:rFonts w:hint="eastAsia" w:ascii="仿宋" w:hAnsi="仿宋" w:eastAsia="仿宋" w:cs="仿宋"/>
          <w:color w:val="000000"/>
          <w:sz w:val="24"/>
          <w:highlight w:val="none"/>
          <w:lang w:eastAsia="zh-CN"/>
        </w:rPr>
        <w:t>广西鸿墨项目管理有限公司</w:t>
      </w:r>
      <w:r>
        <w:rPr>
          <w:rFonts w:hint="eastAsia" w:ascii="仿宋" w:hAnsi="仿宋" w:eastAsia="仿宋" w:cs="仿宋"/>
          <w:color w:val="000000"/>
          <w:sz w:val="24"/>
          <w:highlight w:val="none"/>
        </w:rPr>
        <w:t>；联系电话：0773-</w:t>
      </w:r>
      <w:r>
        <w:rPr>
          <w:rFonts w:hint="eastAsia" w:ascii="仿宋" w:hAnsi="仿宋" w:eastAsia="仿宋" w:cs="仿宋"/>
          <w:color w:val="000000"/>
          <w:sz w:val="24"/>
          <w:highlight w:val="none"/>
          <w:lang w:eastAsia="zh-CN"/>
        </w:rPr>
        <w:t>3812252</w:t>
      </w:r>
    </w:p>
    <w:p w14:paraId="53A10717">
      <w:pPr>
        <w:tabs>
          <w:tab w:val="left" w:pos="2190"/>
        </w:tabs>
        <w:spacing w:line="440" w:lineRule="exact"/>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通讯地址：</w:t>
      </w:r>
      <w:r>
        <w:rPr>
          <w:rFonts w:hint="eastAsia" w:ascii="仿宋" w:hAnsi="仿宋" w:eastAsia="仿宋" w:cs="仿宋"/>
          <w:kern w:val="0"/>
          <w:sz w:val="24"/>
          <w:highlight w:val="none"/>
          <w:shd w:val="clear" w:color="auto" w:fill="FFFFFF"/>
          <w:lang w:eastAsia="zh-CN"/>
        </w:rPr>
        <w:t>桂林市秀峰区翠竹路23号翡翠山庄3-1号(原5#)别墅</w:t>
      </w:r>
    </w:p>
    <w:p w14:paraId="3B3F1C4D">
      <w:pPr>
        <w:tabs>
          <w:tab w:val="left" w:pos="2190"/>
        </w:tabs>
        <w:spacing w:line="440" w:lineRule="exact"/>
        <w:ind w:firstLine="435"/>
        <w:rPr>
          <w:rFonts w:ascii="仿宋" w:hAnsi="仿宋" w:eastAsia="仿宋" w:cs="仿宋"/>
          <w:color w:val="000000"/>
          <w:sz w:val="24"/>
          <w:highlight w:val="none"/>
        </w:rPr>
      </w:pPr>
      <w:r>
        <w:rPr>
          <w:rFonts w:hint="eastAsia" w:ascii="仿宋" w:hAnsi="仿宋" w:eastAsia="仿宋" w:cs="仿宋"/>
          <w:color w:val="000000"/>
          <w:sz w:val="24"/>
          <w:highlight w:val="none"/>
        </w:rPr>
        <w:t>7.6 投诉联系部门：桂林市雁山区政府采购管理办公室；联系电话：</w:t>
      </w:r>
      <w:bookmarkEnd w:id="67"/>
      <w:bookmarkEnd w:id="68"/>
      <w:r>
        <w:rPr>
          <w:rFonts w:hint="eastAsia" w:ascii="仿宋" w:hAnsi="仿宋" w:eastAsia="仿宋" w:cs="仿宋"/>
          <w:color w:val="000000"/>
          <w:sz w:val="24"/>
          <w:highlight w:val="none"/>
        </w:rPr>
        <w:t>0773-3551859；</w:t>
      </w:r>
    </w:p>
    <w:p w14:paraId="0792F4C5">
      <w:pPr>
        <w:pStyle w:val="4"/>
        <w:spacing w:before="0" w:after="0" w:line="440" w:lineRule="exact"/>
        <w:ind w:firstLine="482" w:firstLineChars="200"/>
        <w:rPr>
          <w:rFonts w:ascii="仿宋" w:hAnsi="仿宋" w:eastAsia="仿宋" w:cs="仿宋"/>
          <w:color w:val="000000"/>
          <w:sz w:val="24"/>
          <w:highlight w:val="none"/>
        </w:rPr>
      </w:pPr>
      <w:bookmarkStart w:id="69" w:name="_Toc6998"/>
      <w:bookmarkStart w:id="70" w:name="_Toc32145"/>
      <w:r>
        <w:rPr>
          <w:rFonts w:hint="eastAsia" w:ascii="仿宋" w:hAnsi="仿宋" w:eastAsia="仿宋" w:cs="仿宋"/>
          <w:color w:val="000000"/>
          <w:sz w:val="24"/>
          <w:highlight w:val="none"/>
        </w:rPr>
        <w:t>8. 转包与分包</w:t>
      </w:r>
      <w:bookmarkEnd w:id="69"/>
      <w:bookmarkEnd w:id="70"/>
    </w:p>
    <w:p w14:paraId="2FB2C8C6">
      <w:pPr>
        <w:tabs>
          <w:tab w:val="left" w:pos="2190"/>
        </w:tabs>
        <w:spacing w:line="440" w:lineRule="exact"/>
        <w:ind w:firstLine="435"/>
        <w:rPr>
          <w:rFonts w:ascii="仿宋" w:hAnsi="仿宋" w:eastAsia="仿宋" w:cs="仿宋"/>
          <w:color w:val="000000"/>
          <w:sz w:val="24"/>
          <w:highlight w:val="none"/>
        </w:rPr>
      </w:pPr>
      <w:r>
        <w:rPr>
          <w:rFonts w:hint="eastAsia" w:ascii="仿宋" w:hAnsi="仿宋" w:eastAsia="仿宋" w:cs="仿宋"/>
          <w:color w:val="000000"/>
          <w:sz w:val="24"/>
          <w:highlight w:val="none"/>
        </w:rPr>
        <w:t>8.1 本项目不允许转包。</w:t>
      </w:r>
    </w:p>
    <w:p w14:paraId="7FD17B18">
      <w:pPr>
        <w:tabs>
          <w:tab w:val="left" w:pos="2190"/>
        </w:tabs>
        <w:spacing w:line="440" w:lineRule="exact"/>
        <w:ind w:firstLine="435"/>
        <w:rPr>
          <w:rFonts w:ascii="仿宋" w:hAnsi="仿宋" w:eastAsia="仿宋" w:cs="仿宋"/>
          <w:color w:val="000000"/>
          <w:sz w:val="24"/>
          <w:highlight w:val="none"/>
        </w:rPr>
      </w:pPr>
      <w:r>
        <w:rPr>
          <w:rFonts w:hint="eastAsia" w:ascii="仿宋" w:hAnsi="仿宋" w:eastAsia="仿宋" w:cs="仿宋"/>
          <w:color w:val="000000"/>
          <w:sz w:val="24"/>
          <w:highlight w:val="none"/>
        </w:rPr>
        <w:t>8.2 本项目不可以分包。</w:t>
      </w:r>
    </w:p>
    <w:p w14:paraId="6184CAF4">
      <w:pPr>
        <w:pStyle w:val="4"/>
        <w:spacing w:before="0" w:after="0" w:line="440" w:lineRule="exact"/>
        <w:ind w:firstLine="482" w:firstLineChars="200"/>
        <w:rPr>
          <w:rFonts w:ascii="仿宋" w:hAnsi="仿宋" w:eastAsia="仿宋" w:cs="仿宋"/>
          <w:color w:val="000000"/>
          <w:sz w:val="24"/>
          <w:highlight w:val="none"/>
        </w:rPr>
      </w:pPr>
      <w:bookmarkStart w:id="71" w:name="_Toc3368"/>
      <w:bookmarkStart w:id="72" w:name="_Toc719"/>
      <w:r>
        <w:rPr>
          <w:rFonts w:hint="eastAsia" w:ascii="仿宋" w:hAnsi="仿宋" w:eastAsia="仿宋" w:cs="仿宋"/>
          <w:color w:val="000000"/>
          <w:sz w:val="24"/>
          <w:highlight w:val="none"/>
        </w:rPr>
        <w:t>9. 特别说明</w:t>
      </w:r>
      <w:bookmarkEnd w:id="71"/>
      <w:bookmarkEnd w:id="72"/>
    </w:p>
    <w:p w14:paraId="1B55437F">
      <w:pPr>
        <w:tabs>
          <w:tab w:val="left" w:pos="1635"/>
        </w:tabs>
        <w:spacing w:line="440" w:lineRule="exact"/>
        <w:ind w:firstLine="482" w:firstLineChars="200"/>
        <w:rPr>
          <w:rFonts w:ascii="仿宋" w:hAnsi="仿宋" w:eastAsia="仿宋" w:cs="仿宋"/>
          <w:b/>
          <w:color w:val="000000"/>
          <w:sz w:val="24"/>
          <w:highlight w:val="none"/>
        </w:rPr>
      </w:pPr>
      <w:r>
        <w:rPr>
          <w:rFonts w:hint="eastAsia" w:ascii="仿宋" w:hAnsi="仿宋" w:eastAsia="仿宋" w:cs="仿宋"/>
          <w:b/>
          <w:color w:val="000000"/>
          <w:sz w:val="24"/>
          <w:highlight w:val="none"/>
        </w:rPr>
        <w:t>9.1关联供应商不得参加同一合同项下政府采购活动，否则响应文件将被视为无效：</w:t>
      </w:r>
    </w:p>
    <w:p w14:paraId="200038A9">
      <w:pPr>
        <w:tabs>
          <w:tab w:val="left" w:pos="1635"/>
        </w:tabs>
        <w:spacing w:line="400" w:lineRule="exact"/>
        <w:ind w:firstLine="435"/>
        <w:rPr>
          <w:rFonts w:ascii="仿宋" w:hAnsi="仿宋" w:eastAsia="仿宋" w:cs="仿宋"/>
          <w:sz w:val="24"/>
          <w:highlight w:val="none"/>
        </w:rPr>
      </w:pPr>
      <w:r>
        <w:rPr>
          <w:rFonts w:hint="eastAsia" w:ascii="仿宋" w:hAnsi="仿宋" w:eastAsia="仿宋" w:cs="仿宋"/>
          <w:sz w:val="24"/>
          <w:highlight w:val="none"/>
        </w:rPr>
        <w:t>9.1关联供应商不得参加同一合同项下政府采购活动，否则响应文件将被视为无效：</w:t>
      </w:r>
    </w:p>
    <w:p w14:paraId="4815C50C">
      <w:pPr>
        <w:tabs>
          <w:tab w:val="left" w:pos="1635"/>
        </w:tabs>
        <w:spacing w:line="4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（1）单位负责人为同一人或者存在直接控股、管理关系的不同供应商，不得参加同一合同项下的政府采购活动。</w:t>
      </w:r>
    </w:p>
    <w:p w14:paraId="3A3F34BD">
      <w:pPr>
        <w:tabs>
          <w:tab w:val="left" w:pos="1635"/>
        </w:tabs>
        <w:spacing w:line="400" w:lineRule="exact"/>
        <w:ind w:firstLine="435"/>
        <w:rPr>
          <w:rFonts w:ascii="仿宋" w:hAnsi="仿宋" w:eastAsia="仿宋" w:cs="仿宋"/>
          <w:sz w:val="24"/>
          <w:highlight w:val="none"/>
        </w:rPr>
      </w:pPr>
      <w:r>
        <w:rPr>
          <w:rFonts w:hint="eastAsia" w:ascii="仿宋" w:hAnsi="仿宋" w:eastAsia="仿宋" w:cs="仿宋"/>
          <w:sz w:val="24"/>
          <w:highlight w:val="none"/>
        </w:rPr>
        <w:t>（2）为本采购项目提供整体设计、规范编制或者项目管理、监理、检测等服务的供应商，不得再参加本次采购活动。</w:t>
      </w:r>
    </w:p>
    <w:p w14:paraId="68864EAF">
      <w:pPr>
        <w:tabs>
          <w:tab w:val="left" w:pos="1635"/>
        </w:tabs>
        <w:spacing w:line="400" w:lineRule="exact"/>
        <w:ind w:firstLine="435"/>
        <w:rPr>
          <w:rFonts w:ascii="仿宋" w:hAnsi="仿宋" w:eastAsia="仿宋" w:cs="仿宋"/>
          <w:sz w:val="24"/>
          <w:highlight w:val="none"/>
        </w:rPr>
      </w:pPr>
      <w:r>
        <w:rPr>
          <w:rFonts w:hint="eastAsia" w:ascii="仿宋" w:hAnsi="仿宋" w:eastAsia="仿宋" w:cs="仿宋"/>
          <w:sz w:val="24"/>
          <w:highlight w:val="none"/>
        </w:rPr>
        <w:t>9.2磋商供应商必须仔细阅读采购文件的所有内容，按照采购文件的要求提交响应文件，并对所提供的全部资料的真实性承担法律责任。</w:t>
      </w:r>
    </w:p>
    <w:p w14:paraId="34BDFF76">
      <w:pPr>
        <w:tabs>
          <w:tab w:val="left" w:pos="1635"/>
        </w:tabs>
        <w:spacing w:line="400" w:lineRule="exact"/>
        <w:ind w:firstLine="435"/>
        <w:rPr>
          <w:rFonts w:ascii="仿宋" w:hAnsi="仿宋" w:eastAsia="仿宋" w:cs="仿宋"/>
          <w:b/>
          <w:sz w:val="24"/>
          <w:highlight w:val="none"/>
        </w:rPr>
      </w:pPr>
      <w:r>
        <w:rPr>
          <w:rFonts w:hint="eastAsia" w:ascii="仿宋" w:hAnsi="仿宋" w:eastAsia="仿宋" w:cs="仿宋"/>
          <w:sz w:val="24"/>
          <w:highlight w:val="none"/>
        </w:rPr>
        <w:t>9.3磋商供应商在采购活动中提供任何虚假材料，其响应无效，并报监管部门查处；成交后发现的，成交须依照《中华人民共和国消费者权益保护法》规定赔偿采购人，且民事赔偿并不免除违法磋商供应商的行政与刑事责任。</w:t>
      </w:r>
    </w:p>
    <w:p w14:paraId="4CD409DB">
      <w:pPr>
        <w:tabs>
          <w:tab w:val="left" w:pos="1635"/>
        </w:tabs>
        <w:spacing w:line="440" w:lineRule="exact"/>
        <w:ind w:firstLine="480" w:firstLineChars="200"/>
        <w:rPr>
          <w:rFonts w:ascii="仿宋" w:hAnsi="仿宋" w:eastAsia="仿宋" w:cs="仿宋"/>
          <w:color w:val="000000"/>
          <w:sz w:val="24"/>
          <w:highlight w:val="none"/>
        </w:rPr>
      </w:pPr>
    </w:p>
    <w:p w14:paraId="50D35EAD">
      <w:pPr>
        <w:pStyle w:val="10"/>
        <w:spacing w:line="440" w:lineRule="exact"/>
        <w:rPr>
          <w:rFonts w:ascii="仿宋" w:hAnsi="仿宋" w:eastAsia="仿宋" w:cs="仿宋"/>
          <w:color w:val="000000"/>
          <w:highlight w:val="none"/>
        </w:rPr>
      </w:pPr>
    </w:p>
    <w:p w14:paraId="638C1D66">
      <w:pPr>
        <w:pStyle w:val="3"/>
        <w:spacing w:line="440" w:lineRule="exact"/>
        <w:jc w:val="center"/>
        <w:rPr>
          <w:rFonts w:ascii="仿宋" w:hAnsi="仿宋" w:eastAsia="仿宋" w:cs="仿宋"/>
          <w:b/>
          <w:bCs w:val="0"/>
          <w:szCs w:val="28"/>
          <w:highlight w:val="none"/>
        </w:rPr>
      </w:pPr>
      <w:bookmarkStart w:id="73" w:name="_Toc11860"/>
      <w:bookmarkStart w:id="74" w:name="_Toc22498"/>
      <w:r>
        <w:rPr>
          <w:rFonts w:hint="eastAsia" w:ascii="仿宋" w:hAnsi="仿宋" w:eastAsia="仿宋" w:cs="仿宋"/>
          <w:b/>
          <w:bCs w:val="0"/>
          <w:szCs w:val="28"/>
          <w:highlight w:val="none"/>
        </w:rPr>
        <w:t>二、磋商文件</w:t>
      </w:r>
      <w:bookmarkEnd w:id="73"/>
      <w:bookmarkEnd w:id="74"/>
    </w:p>
    <w:p w14:paraId="4B3EDE12">
      <w:pPr>
        <w:pStyle w:val="4"/>
        <w:spacing w:before="0" w:after="0" w:line="440" w:lineRule="exact"/>
        <w:ind w:firstLine="482" w:firstLineChars="200"/>
        <w:rPr>
          <w:rFonts w:ascii="仿宋" w:hAnsi="仿宋" w:eastAsia="仿宋" w:cs="仿宋"/>
          <w:color w:val="000000"/>
          <w:sz w:val="24"/>
          <w:highlight w:val="none"/>
          <w:lang w:val="pt-BR"/>
        </w:rPr>
      </w:pPr>
      <w:bookmarkStart w:id="75" w:name="_Toc15161"/>
      <w:bookmarkStart w:id="76" w:name="_Toc18964"/>
      <w:r>
        <w:rPr>
          <w:rFonts w:hint="eastAsia" w:ascii="仿宋" w:hAnsi="仿宋" w:eastAsia="仿宋" w:cs="仿宋"/>
          <w:color w:val="000000"/>
          <w:sz w:val="24"/>
          <w:highlight w:val="none"/>
        </w:rPr>
        <w:t>10</w:t>
      </w:r>
      <w:r>
        <w:rPr>
          <w:rFonts w:hint="eastAsia" w:ascii="仿宋" w:hAnsi="仿宋" w:eastAsia="仿宋" w:cs="仿宋"/>
          <w:color w:val="000000"/>
          <w:sz w:val="24"/>
          <w:highlight w:val="none"/>
          <w:lang w:val="pt-BR"/>
        </w:rPr>
        <w:t xml:space="preserve">. </w:t>
      </w:r>
      <w:r>
        <w:rPr>
          <w:rFonts w:hint="eastAsia" w:ascii="仿宋" w:hAnsi="仿宋" w:eastAsia="仿宋" w:cs="仿宋"/>
          <w:color w:val="000000"/>
          <w:sz w:val="24"/>
          <w:highlight w:val="none"/>
        </w:rPr>
        <w:t>磋商文件的构成</w:t>
      </w:r>
      <w:bookmarkEnd w:id="75"/>
      <w:bookmarkEnd w:id="76"/>
    </w:p>
    <w:p w14:paraId="7D85F423">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（1）竞争性磋商公告；</w:t>
      </w:r>
    </w:p>
    <w:p w14:paraId="5F78FEDB">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（2）供应商须知；</w:t>
      </w:r>
    </w:p>
    <w:p w14:paraId="1EAFAA9A">
      <w:pPr>
        <w:spacing w:line="440" w:lineRule="exact"/>
        <w:ind w:firstLine="480" w:firstLineChars="200"/>
        <w:rPr>
          <w:rFonts w:ascii="仿宋" w:hAnsi="仿宋" w:eastAsia="仿宋" w:cs="仿宋"/>
          <w:b/>
          <w:color w:val="000000"/>
          <w:sz w:val="24"/>
          <w:highlight w:val="none"/>
        </w:rPr>
      </w:pPr>
      <w:r>
        <w:rPr>
          <w:rFonts w:hint="eastAsia" w:ascii="仿宋" w:hAnsi="仿宋" w:eastAsia="仿宋" w:cs="仿宋"/>
          <w:color w:val="000000"/>
          <w:sz w:val="24"/>
          <w:highlight w:val="none"/>
        </w:rPr>
        <w:t>（3）采购需求</w:t>
      </w:r>
      <w:r>
        <w:rPr>
          <w:rFonts w:hint="eastAsia" w:ascii="仿宋" w:hAnsi="仿宋" w:eastAsia="仿宋" w:cs="仿宋"/>
          <w:bCs/>
          <w:color w:val="000000"/>
          <w:sz w:val="24"/>
          <w:highlight w:val="none"/>
        </w:rPr>
        <w:t>；</w:t>
      </w:r>
    </w:p>
    <w:p w14:paraId="302F9ED9">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（4）评审办法；</w:t>
      </w:r>
    </w:p>
    <w:p w14:paraId="42731342">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（5）采购合同（合同主要条款及格式）；</w:t>
      </w:r>
    </w:p>
    <w:p w14:paraId="268C57EE">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（6）响应文件（格式）。</w:t>
      </w:r>
    </w:p>
    <w:p w14:paraId="42E84687">
      <w:pPr>
        <w:pStyle w:val="4"/>
        <w:spacing w:before="0" w:after="0" w:line="440" w:lineRule="exact"/>
        <w:ind w:firstLine="482" w:firstLineChars="200"/>
        <w:rPr>
          <w:rFonts w:ascii="仿宋" w:hAnsi="仿宋" w:eastAsia="仿宋" w:cs="仿宋"/>
          <w:color w:val="000000"/>
          <w:sz w:val="24"/>
          <w:highlight w:val="none"/>
        </w:rPr>
      </w:pPr>
      <w:bookmarkStart w:id="77" w:name="_Toc9103"/>
      <w:bookmarkStart w:id="78" w:name="_Toc25246"/>
      <w:r>
        <w:rPr>
          <w:rFonts w:hint="eastAsia" w:ascii="仿宋" w:hAnsi="仿宋" w:eastAsia="仿宋" w:cs="仿宋"/>
          <w:color w:val="000000"/>
          <w:sz w:val="24"/>
          <w:highlight w:val="none"/>
        </w:rPr>
        <w:t>11. 磋商文件的澄清与修改</w:t>
      </w:r>
      <w:bookmarkEnd w:id="77"/>
      <w:bookmarkEnd w:id="78"/>
    </w:p>
    <w:p w14:paraId="37909A12">
      <w:pPr>
        <w:tabs>
          <w:tab w:val="left" w:pos="1635"/>
        </w:tabs>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11.1 提交首次响应文件截止之日前，采购代理机构可以对已发出的磋商文件进行必要澄清、答复、修改或补充，澄清或者修改的内容可能影响响应文件编制的，澄清或者修改的内容作为磋商文件的组成部分。采购代理机构应当在提交首次响应文件递交截止时间五日前在本项目竞争性磋商公告发布的同一媒体上发布更正公告，不足五日的，应当顺延首次响应文件递交截止时间。</w:t>
      </w:r>
    </w:p>
    <w:p w14:paraId="5274E567">
      <w:pPr>
        <w:tabs>
          <w:tab w:val="left" w:pos="1635"/>
        </w:tabs>
        <w:spacing w:line="440" w:lineRule="exact"/>
        <w:ind w:firstLine="482" w:firstLineChars="200"/>
        <w:rPr>
          <w:rFonts w:ascii="仿宋" w:hAnsi="仿宋" w:eastAsia="仿宋" w:cs="仿宋"/>
          <w:b/>
          <w:bCs/>
          <w:color w:val="000000"/>
          <w:sz w:val="24"/>
          <w:highlight w:val="none"/>
        </w:rPr>
      </w:pPr>
      <w:r>
        <w:rPr>
          <w:rFonts w:hint="eastAsia" w:ascii="仿宋" w:hAnsi="仿宋" w:eastAsia="仿宋" w:cs="仿宋"/>
          <w:b/>
          <w:bCs/>
          <w:color w:val="000000"/>
          <w:sz w:val="24"/>
          <w:highlight w:val="none"/>
        </w:rPr>
        <w:t>11.2供应商应实时关注本项目信息公告发布媒体相关网站了解澄清、修改等与项目有关的内容，如因供应商未及时登录相关网站了解澄清、修改等与项目有关的内容，从而导致响应文件无效的，由供应商自行承担责任。</w:t>
      </w:r>
    </w:p>
    <w:p w14:paraId="28DE0E16">
      <w:pPr>
        <w:tabs>
          <w:tab w:val="left" w:pos="1635"/>
        </w:tabs>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11.3澄清或者修改的内容为磋商文件的组成部分。当澄清或者修改通知就同一内容的表述不一致时，以最后发出的文件为准。</w:t>
      </w:r>
    </w:p>
    <w:p w14:paraId="6FEB4DB8">
      <w:pPr>
        <w:tabs>
          <w:tab w:val="left" w:pos="1635"/>
        </w:tabs>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11.4 磋商文件的澄清或者修改都应该通过本项目采购代理机构以法定形式发布，采购人非通过本机构，不得擅自澄清或者修改磋商文件。</w:t>
      </w:r>
    </w:p>
    <w:p w14:paraId="2BC89F12">
      <w:pPr>
        <w:tabs>
          <w:tab w:val="left" w:pos="1635"/>
        </w:tabs>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11.5采购单位可以视采购具体情况，延长响应文件截止时间和磋商时间，在本项目竞争性磋商公告发布的同一媒体上发布变更公告。</w:t>
      </w:r>
    </w:p>
    <w:p w14:paraId="233F4D58">
      <w:pPr>
        <w:pStyle w:val="13"/>
        <w:ind w:firstLine="480"/>
        <w:rPr>
          <w:highlight w:val="none"/>
        </w:rPr>
      </w:pPr>
    </w:p>
    <w:p w14:paraId="1DFD0966">
      <w:pPr>
        <w:pStyle w:val="3"/>
        <w:spacing w:line="440" w:lineRule="exact"/>
        <w:jc w:val="center"/>
        <w:rPr>
          <w:rFonts w:ascii="仿宋" w:hAnsi="仿宋" w:eastAsia="仿宋" w:cs="仿宋"/>
          <w:b/>
          <w:bCs w:val="0"/>
          <w:szCs w:val="28"/>
          <w:highlight w:val="none"/>
        </w:rPr>
      </w:pPr>
      <w:bookmarkStart w:id="79" w:name="_Toc20830"/>
      <w:bookmarkStart w:id="80" w:name="_Toc19686"/>
      <w:r>
        <w:rPr>
          <w:rFonts w:hint="eastAsia" w:ascii="仿宋" w:hAnsi="仿宋" w:eastAsia="仿宋" w:cs="仿宋"/>
          <w:b/>
          <w:bCs w:val="0"/>
          <w:szCs w:val="28"/>
          <w:highlight w:val="none"/>
        </w:rPr>
        <w:t>三、竞争性磋商响应文件的编制</w:t>
      </w:r>
      <w:bookmarkEnd w:id="79"/>
      <w:bookmarkEnd w:id="80"/>
    </w:p>
    <w:p w14:paraId="66AB778C">
      <w:pPr>
        <w:pStyle w:val="4"/>
        <w:spacing w:before="0" w:after="0" w:line="440" w:lineRule="exact"/>
        <w:ind w:firstLine="482" w:firstLineChars="200"/>
        <w:rPr>
          <w:rFonts w:ascii="仿宋" w:hAnsi="仿宋" w:eastAsia="仿宋" w:cs="仿宋"/>
          <w:color w:val="000000"/>
          <w:sz w:val="24"/>
          <w:highlight w:val="none"/>
        </w:rPr>
      </w:pPr>
      <w:bookmarkStart w:id="81" w:name="_Toc19607"/>
      <w:r>
        <w:rPr>
          <w:rFonts w:hint="eastAsia" w:ascii="仿宋" w:hAnsi="仿宋" w:eastAsia="仿宋" w:cs="仿宋"/>
          <w:color w:val="000000"/>
          <w:sz w:val="24"/>
          <w:highlight w:val="none"/>
        </w:rPr>
        <w:t>12.竞争性磋商响应文件编制基本要求</w:t>
      </w:r>
      <w:bookmarkEnd w:id="81"/>
    </w:p>
    <w:p w14:paraId="469282F7">
      <w:pPr>
        <w:spacing w:line="440" w:lineRule="exact"/>
        <w:ind w:firstLine="482" w:firstLineChars="200"/>
        <w:rPr>
          <w:rFonts w:ascii="仿宋" w:hAnsi="仿宋" w:eastAsia="仿宋" w:cs="仿宋"/>
          <w:b/>
          <w:bCs/>
          <w:color w:val="000000"/>
          <w:sz w:val="24"/>
          <w:highlight w:val="none"/>
        </w:rPr>
      </w:pPr>
      <w:r>
        <w:rPr>
          <w:rFonts w:hint="eastAsia" w:ascii="仿宋" w:hAnsi="仿宋" w:eastAsia="仿宋" w:cs="仿宋"/>
          <w:b/>
          <w:bCs/>
          <w:color w:val="000000"/>
          <w:sz w:val="24"/>
          <w:highlight w:val="none"/>
        </w:rPr>
        <w:t>12.1 本项目实行电子响应，供应商应准备电子磋商响应文件：</w:t>
      </w:r>
    </w:p>
    <w:p w14:paraId="3B1DCBED">
      <w:pPr>
        <w:spacing w:line="440" w:lineRule="exact"/>
        <w:ind w:firstLine="482" w:firstLineChars="200"/>
        <w:rPr>
          <w:rFonts w:ascii="仿宋" w:hAnsi="仿宋" w:eastAsia="仿宋" w:cs="仿宋"/>
          <w:b/>
          <w:bCs/>
          <w:color w:val="000000"/>
          <w:sz w:val="24"/>
          <w:highlight w:val="none"/>
        </w:rPr>
      </w:pPr>
      <w:r>
        <w:rPr>
          <w:rFonts w:hint="eastAsia" w:ascii="仿宋" w:hAnsi="仿宋" w:eastAsia="仿宋" w:cs="仿宋"/>
          <w:b/>
          <w:bCs/>
          <w:color w:val="000000"/>
          <w:sz w:val="24"/>
          <w:highlight w:val="none"/>
        </w:rPr>
        <w:t xml:space="preserve">12.1.1 电子响应文件按广西政府采购云平台要求及本磋商文件要求制作、加密并递交。具体操作流程可参考《政府采购项目电子交易管理操作指南-供应商》，指南可在 “http://www.ccgp-guangxi.gov.cn/PurchaseAdvisory/ImportantNotice/2866753.html”下载。 </w:t>
      </w:r>
    </w:p>
    <w:p w14:paraId="253C85CF">
      <w:pPr>
        <w:spacing w:line="440" w:lineRule="exact"/>
        <w:ind w:firstLine="482" w:firstLineChars="200"/>
        <w:rPr>
          <w:rFonts w:ascii="仿宋" w:hAnsi="仿宋" w:eastAsia="仿宋" w:cs="仿宋"/>
          <w:b/>
          <w:bCs/>
          <w:color w:val="000000"/>
          <w:sz w:val="24"/>
          <w:highlight w:val="none"/>
        </w:rPr>
      </w:pPr>
      <w:r>
        <w:rPr>
          <w:rFonts w:hint="eastAsia" w:ascii="仿宋" w:hAnsi="仿宋" w:eastAsia="仿宋" w:cs="仿宋"/>
          <w:b/>
          <w:bCs/>
          <w:color w:val="000000"/>
          <w:sz w:val="24"/>
          <w:highlight w:val="none"/>
        </w:rPr>
        <w:t>12.2竞争性磋商响应文件（以下简称响应文件）的组成及要求</w:t>
      </w:r>
    </w:p>
    <w:p w14:paraId="72C1C14A">
      <w:pPr>
        <w:spacing w:line="440" w:lineRule="exact"/>
        <w:ind w:firstLine="482" w:firstLineChars="200"/>
        <w:rPr>
          <w:rFonts w:ascii="仿宋" w:hAnsi="仿宋" w:eastAsia="仿宋" w:cs="仿宋"/>
          <w:b/>
          <w:bCs/>
          <w:color w:val="000000"/>
          <w:sz w:val="24"/>
          <w:highlight w:val="none"/>
        </w:rPr>
      </w:pPr>
      <w:r>
        <w:rPr>
          <w:rFonts w:hint="eastAsia" w:ascii="仿宋" w:hAnsi="仿宋" w:eastAsia="仿宋" w:cs="仿宋"/>
          <w:b/>
          <w:bCs/>
          <w:color w:val="000000"/>
          <w:sz w:val="24"/>
          <w:highlight w:val="none"/>
        </w:rPr>
        <w:t>12.2.1响应文件组成【格式见第六章“响应文件（格式）”】</w:t>
      </w:r>
    </w:p>
    <w:p w14:paraId="585CFF6B">
      <w:pPr>
        <w:spacing w:line="440" w:lineRule="exact"/>
        <w:ind w:firstLine="482" w:firstLineChars="200"/>
        <w:rPr>
          <w:rFonts w:ascii="仿宋" w:hAnsi="仿宋" w:eastAsia="仿宋" w:cs="仿宋"/>
          <w:color w:val="000000"/>
          <w:sz w:val="24"/>
          <w:highlight w:val="none"/>
        </w:rPr>
      </w:pPr>
      <w:r>
        <w:rPr>
          <w:rFonts w:hint="eastAsia" w:ascii="仿宋" w:hAnsi="仿宋" w:eastAsia="仿宋" w:cs="仿宋"/>
          <w:b/>
          <w:bCs/>
          <w:color w:val="000000"/>
          <w:sz w:val="24"/>
          <w:highlight w:val="none"/>
        </w:rPr>
        <w:t>12.2.1.1资格性响应证明材料：</w:t>
      </w:r>
    </w:p>
    <w:p w14:paraId="240A9CFE">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（1）供应商相应的法定代表人、负责人、自然人身份证正反两面复印件</w:t>
      </w:r>
      <w:r>
        <w:rPr>
          <w:rFonts w:hint="eastAsia" w:ascii="仿宋" w:hAnsi="仿宋" w:eastAsia="仿宋" w:cs="仿宋"/>
          <w:b/>
          <w:bCs/>
          <w:color w:val="000000"/>
          <w:sz w:val="24"/>
          <w:highlight w:val="none"/>
        </w:rPr>
        <w:t>（必须提供）</w:t>
      </w:r>
      <w:r>
        <w:rPr>
          <w:rFonts w:hint="eastAsia" w:ascii="仿宋" w:hAnsi="仿宋" w:eastAsia="仿宋" w:cs="仿宋"/>
          <w:color w:val="000000"/>
          <w:sz w:val="24"/>
          <w:highlight w:val="none"/>
        </w:rPr>
        <w:t>；</w:t>
      </w:r>
    </w:p>
    <w:p w14:paraId="4F85DFC5">
      <w:pPr>
        <w:spacing w:line="440" w:lineRule="exact"/>
        <w:ind w:firstLine="480" w:firstLineChars="200"/>
        <w:rPr>
          <w:rFonts w:ascii="仿宋" w:hAnsi="仿宋" w:eastAsia="仿宋" w:cs="仿宋"/>
          <w:b/>
          <w:bCs/>
          <w:color w:val="000000"/>
          <w:sz w:val="24"/>
          <w:highlight w:val="none"/>
        </w:rPr>
      </w:pPr>
      <w:r>
        <w:rPr>
          <w:rFonts w:hint="eastAsia" w:ascii="仿宋" w:hAnsi="仿宋" w:eastAsia="仿宋" w:cs="仿宋"/>
          <w:color w:val="000000"/>
          <w:sz w:val="24"/>
          <w:highlight w:val="none"/>
        </w:rPr>
        <w:t>（2）供应商的授权委托书原件、委托代理人身份证正反面复印件</w:t>
      </w:r>
      <w:r>
        <w:rPr>
          <w:rFonts w:hint="eastAsia" w:ascii="仿宋" w:hAnsi="仿宋" w:eastAsia="仿宋" w:cs="仿宋"/>
          <w:b/>
          <w:bCs/>
          <w:color w:val="000000"/>
          <w:sz w:val="24"/>
          <w:highlight w:val="none"/>
        </w:rPr>
        <w:t>（委托代理时必须提供）</w:t>
      </w:r>
    </w:p>
    <w:p w14:paraId="06EFD3D6">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（3）供应商参加政府采购活动前3年内在经营活动中没有重大违法记录及有关信用信息的书面声明</w:t>
      </w:r>
      <w:r>
        <w:rPr>
          <w:rFonts w:hint="eastAsia" w:ascii="仿宋" w:hAnsi="仿宋" w:eastAsia="仿宋" w:cs="仿宋"/>
          <w:b/>
          <w:bCs/>
          <w:color w:val="000000"/>
          <w:sz w:val="24"/>
          <w:highlight w:val="none"/>
        </w:rPr>
        <w:t>（必须提供）；</w:t>
      </w:r>
    </w:p>
    <w:p w14:paraId="6B0F4A7F">
      <w:pPr>
        <w:numPr>
          <w:ilvl w:val="0"/>
          <w:numId w:val="3"/>
        </w:num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供应商的法人或者其他组织营业执照等证明文件复印件</w:t>
      </w:r>
      <w:r>
        <w:rPr>
          <w:rFonts w:hint="eastAsia" w:ascii="仿宋" w:hAnsi="仿宋" w:eastAsia="仿宋" w:cs="仿宋"/>
          <w:b/>
          <w:bCs/>
          <w:color w:val="000000"/>
          <w:sz w:val="24"/>
          <w:highlight w:val="none"/>
        </w:rPr>
        <w:t>（必须提供，自然人除外）；</w:t>
      </w:r>
    </w:p>
    <w:p w14:paraId="31C3496D">
      <w:pPr>
        <w:spacing w:line="440" w:lineRule="exact"/>
        <w:ind w:firstLine="482" w:firstLineChars="200"/>
        <w:rPr>
          <w:rFonts w:ascii="仿宋" w:hAnsi="仿宋" w:eastAsia="仿宋" w:cs="仿宋"/>
          <w:b/>
          <w:bCs/>
          <w:color w:val="000000"/>
          <w:sz w:val="24"/>
          <w:highlight w:val="none"/>
        </w:rPr>
      </w:pPr>
      <w:r>
        <w:rPr>
          <w:rFonts w:hint="eastAsia" w:ascii="仿宋" w:hAnsi="仿宋" w:eastAsia="仿宋" w:cs="仿宋"/>
          <w:b/>
          <w:bCs/>
          <w:color w:val="000000"/>
          <w:sz w:val="24"/>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4665DA39">
      <w:pPr>
        <w:pStyle w:val="24"/>
        <w:spacing w:line="440" w:lineRule="exact"/>
        <w:ind w:firstLine="482"/>
        <w:rPr>
          <w:rFonts w:ascii="仿宋" w:hAnsi="仿宋" w:eastAsia="仿宋" w:cs="仿宋"/>
          <w:color w:val="000000"/>
          <w:sz w:val="24"/>
          <w:highlight w:val="none"/>
        </w:rPr>
      </w:pPr>
      <w:r>
        <w:rPr>
          <w:rFonts w:hint="eastAsia" w:ascii="仿宋" w:hAnsi="仿宋" w:eastAsia="仿宋" w:cs="仿宋"/>
          <w:b/>
          <w:bCs/>
          <w:color w:val="000000"/>
          <w:sz w:val="24"/>
          <w:highlight w:val="none"/>
        </w:rPr>
        <w:t>12.2.1.2符合性响应证明材料：</w:t>
      </w:r>
    </w:p>
    <w:p w14:paraId="17413E7F">
      <w:pPr>
        <w:spacing w:line="440" w:lineRule="exact"/>
        <w:ind w:firstLine="480" w:firstLineChars="200"/>
        <w:rPr>
          <w:rFonts w:ascii="仿宋" w:hAnsi="仿宋" w:eastAsia="仿宋" w:cs="仿宋"/>
          <w:sz w:val="24"/>
          <w:highlight w:val="none"/>
        </w:rPr>
      </w:pPr>
      <w:bookmarkStart w:id="82" w:name="_Toc16312"/>
      <w:bookmarkStart w:id="83" w:name="_Toc28932"/>
      <w:bookmarkStart w:id="84" w:name="_Toc2809"/>
      <w:bookmarkStart w:id="85" w:name="_Toc12823"/>
      <w:r>
        <w:rPr>
          <w:rFonts w:hint="eastAsia" w:ascii="仿宋" w:hAnsi="仿宋" w:eastAsia="仿宋" w:cs="仿宋"/>
          <w:sz w:val="24"/>
          <w:highlight w:val="none"/>
        </w:rPr>
        <w:t>（1）响应函（格式见附件）</w:t>
      </w:r>
      <w:r>
        <w:rPr>
          <w:rFonts w:hint="eastAsia" w:ascii="仿宋" w:hAnsi="仿宋" w:eastAsia="仿宋" w:cs="仿宋"/>
          <w:b/>
          <w:sz w:val="24"/>
          <w:highlight w:val="none"/>
        </w:rPr>
        <w:t>（必须提供）</w:t>
      </w:r>
      <w:bookmarkEnd w:id="82"/>
      <w:r>
        <w:rPr>
          <w:rFonts w:hint="eastAsia" w:ascii="仿宋" w:hAnsi="仿宋" w:eastAsia="仿宋" w:cs="仿宋"/>
          <w:b/>
          <w:sz w:val="24"/>
          <w:highlight w:val="none"/>
        </w:rPr>
        <w:t>；</w:t>
      </w:r>
      <w:bookmarkEnd w:id="83"/>
      <w:bookmarkEnd w:id="84"/>
      <w:bookmarkEnd w:id="85"/>
    </w:p>
    <w:p w14:paraId="0763CE3A">
      <w:pPr>
        <w:spacing w:line="440" w:lineRule="exact"/>
        <w:ind w:firstLine="480" w:firstLineChars="200"/>
        <w:rPr>
          <w:rFonts w:ascii="仿宋" w:hAnsi="仿宋" w:eastAsia="仿宋" w:cs="仿宋"/>
          <w:b/>
          <w:bCs/>
          <w:color w:val="000000"/>
          <w:sz w:val="24"/>
          <w:highlight w:val="none"/>
        </w:rPr>
      </w:pPr>
      <w:r>
        <w:rPr>
          <w:rFonts w:hint="eastAsia" w:ascii="仿宋" w:hAnsi="仿宋" w:eastAsia="仿宋" w:cs="仿宋"/>
          <w:color w:val="000000"/>
          <w:sz w:val="24"/>
          <w:highlight w:val="none"/>
        </w:rPr>
        <w:t>（2）磋商报价表（格式见附件）</w:t>
      </w:r>
      <w:r>
        <w:rPr>
          <w:rFonts w:hint="eastAsia" w:ascii="仿宋" w:hAnsi="仿宋" w:eastAsia="仿宋" w:cs="仿宋"/>
          <w:b/>
          <w:bCs/>
          <w:color w:val="000000"/>
          <w:sz w:val="24"/>
          <w:highlight w:val="none"/>
        </w:rPr>
        <w:t>（必须提供）；</w:t>
      </w:r>
    </w:p>
    <w:p w14:paraId="67D11B75">
      <w:pPr>
        <w:spacing w:line="440" w:lineRule="exact"/>
        <w:ind w:firstLine="480" w:firstLineChars="200"/>
        <w:rPr>
          <w:rFonts w:ascii="仿宋" w:hAnsi="仿宋" w:eastAsia="仿宋" w:cs="仿宋"/>
          <w:b/>
          <w:bCs/>
          <w:color w:val="000000"/>
          <w:sz w:val="24"/>
          <w:highlight w:val="none"/>
        </w:rPr>
      </w:pPr>
      <w:r>
        <w:rPr>
          <w:rFonts w:hint="eastAsia" w:ascii="仿宋" w:hAnsi="仿宋" w:eastAsia="仿宋" w:cs="仿宋"/>
          <w:color w:val="000000"/>
          <w:sz w:val="24"/>
          <w:highlight w:val="none"/>
        </w:rPr>
        <w:t>（3）</w:t>
      </w:r>
      <w:r>
        <w:rPr>
          <w:rFonts w:hint="eastAsia" w:ascii="仿宋" w:hAnsi="仿宋" w:eastAsia="仿宋" w:cs="仿宋"/>
          <w:color w:val="000000"/>
          <w:sz w:val="24"/>
          <w:highlight w:val="none"/>
          <w:lang w:eastAsia="zh-CN"/>
        </w:rPr>
        <w:t>服务需求响应表</w:t>
      </w:r>
      <w:r>
        <w:rPr>
          <w:rFonts w:hint="eastAsia" w:ascii="仿宋" w:hAnsi="仿宋" w:eastAsia="仿宋" w:cs="仿宋"/>
          <w:color w:val="000000"/>
          <w:sz w:val="24"/>
          <w:highlight w:val="none"/>
        </w:rPr>
        <w:t>（格式见附件）</w:t>
      </w:r>
      <w:r>
        <w:rPr>
          <w:rFonts w:hint="eastAsia" w:ascii="仿宋" w:hAnsi="仿宋" w:eastAsia="仿宋" w:cs="仿宋"/>
          <w:b/>
          <w:bCs/>
          <w:color w:val="000000"/>
          <w:sz w:val="24"/>
          <w:highlight w:val="none"/>
        </w:rPr>
        <w:t>(必须提供)；</w:t>
      </w:r>
    </w:p>
    <w:p w14:paraId="646E2CE0">
      <w:pPr>
        <w:spacing w:line="440" w:lineRule="exact"/>
        <w:ind w:firstLine="480" w:firstLineChars="200"/>
        <w:rPr>
          <w:rFonts w:eastAsia="仿宋"/>
          <w:highlight w:val="none"/>
        </w:rPr>
      </w:pPr>
      <w:r>
        <w:rPr>
          <w:rFonts w:hint="eastAsia" w:ascii="仿宋" w:hAnsi="仿宋" w:eastAsia="仿宋" w:cs="仿宋"/>
          <w:sz w:val="24"/>
          <w:highlight w:val="none"/>
        </w:rPr>
        <w:t>（4）投标人针对本项目的服务方案（格式见附件）</w:t>
      </w:r>
      <w:r>
        <w:rPr>
          <w:rFonts w:hint="eastAsia" w:ascii="仿宋" w:hAnsi="仿宋" w:eastAsia="仿宋" w:cs="仿宋"/>
          <w:b/>
          <w:bCs/>
          <w:sz w:val="24"/>
          <w:highlight w:val="none"/>
        </w:rPr>
        <w:t>（如有，请提供）；</w:t>
      </w:r>
    </w:p>
    <w:p w14:paraId="0AF9B41C">
      <w:pPr>
        <w:spacing w:line="440" w:lineRule="exact"/>
        <w:ind w:firstLine="480" w:firstLineChars="200"/>
        <w:rPr>
          <w:rFonts w:ascii="仿宋" w:hAnsi="仿宋" w:eastAsia="仿宋" w:cs="仿宋"/>
          <w:b/>
          <w:bCs/>
          <w:color w:val="000000"/>
          <w:sz w:val="24"/>
          <w:highlight w:val="none"/>
        </w:rPr>
      </w:pPr>
      <w:r>
        <w:rPr>
          <w:rFonts w:hint="eastAsia" w:ascii="仿宋" w:hAnsi="仿宋" w:eastAsia="仿宋" w:cs="仿宋"/>
          <w:color w:val="000000"/>
          <w:sz w:val="24"/>
          <w:highlight w:val="none"/>
        </w:rPr>
        <w:t>（5）服务承诺方案（由供应商根据本项目服务采购需求、特点及供应商自身的处理能力自行编写）（格式见附件）</w:t>
      </w:r>
      <w:r>
        <w:rPr>
          <w:rFonts w:hint="eastAsia" w:ascii="仿宋" w:hAnsi="仿宋" w:eastAsia="仿宋" w:cs="仿宋"/>
          <w:b/>
          <w:bCs/>
          <w:sz w:val="24"/>
          <w:highlight w:val="none"/>
        </w:rPr>
        <w:t>（如有，请提供）</w:t>
      </w:r>
      <w:r>
        <w:rPr>
          <w:rFonts w:hint="eastAsia" w:ascii="仿宋" w:hAnsi="仿宋" w:eastAsia="仿宋" w:cs="仿宋"/>
          <w:b/>
          <w:bCs/>
          <w:color w:val="000000"/>
          <w:sz w:val="24"/>
          <w:highlight w:val="none"/>
        </w:rPr>
        <w:t>。</w:t>
      </w:r>
    </w:p>
    <w:p w14:paraId="24259416">
      <w:pPr>
        <w:pStyle w:val="24"/>
        <w:spacing w:line="440" w:lineRule="exact"/>
        <w:ind w:firstLine="482"/>
        <w:rPr>
          <w:rFonts w:ascii="仿宋" w:hAnsi="仿宋" w:eastAsia="仿宋" w:cs="仿宋"/>
          <w:b/>
          <w:bCs/>
          <w:color w:val="000000"/>
          <w:sz w:val="24"/>
          <w:highlight w:val="none"/>
        </w:rPr>
      </w:pPr>
      <w:r>
        <w:rPr>
          <w:rFonts w:hint="eastAsia" w:ascii="仿宋" w:hAnsi="仿宋" w:eastAsia="仿宋" w:cs="仿宋"/>
          <w:b/>
          <w:bCs/>
          <w:color w:val="000000"/>
          <w:sz w:val="24"/>
          <w:highlight w:val="none"/>
        </w:rPr>
        <w:t>12.2.1.3其他有效证明材料</w:t>
      </w:r>
    </w:p>
    <w:p w14:paraId="004A7B28">
      <w:pPr>
        <w:spacing w:line="440" w:lineRule="exact"/>
        <w:ind w:firstLine="480" w:firstLineChars="200"/>
        <w:rPr>
          <w:rFonts w:ascii="仿宋" w:hAnsi="仿宋" w:eastAsia="仿宋" w:cs="仿宋"/>
          <w:b/>
          <w:bCs/>
          <w:sz w:val="24"/>
          <w:highlight w:val="none"/>
        </w:rPr>
      </w:pPr>
      <w:r>
        <w:rPr>
          <w:rFonts w:hint="eastAsia" w:ascii="仿宋" w:hAnsi="仿宋" w:eastAsia="仿宋" w:cs="仿宋"/>
          <w:sz w:val="24"/>
          <w:highlight w:val="none"/>
        </w:rPr>
        <w:t>（1）项目实施人员一览表（格式自拟）</w:t>
      </w:r>
      <w:r>
        <w:rPr>
          <w:rFonts w:hint="eastAsia" w:ascii="仿宋" w:hAnsi="仿宋" w:eastAsia="仿宋" w:cs="仿宋"/>
          <w:b/>
          <w:bCs/>
          <w:sz w:val="24"/>
          <w:highlight w:val="none"/>
        </w:rPr>
        <w:t>（如有，请提供）</w:t>
      </w:r>
    </w:p>
    <w:p w14:paraId="03E10984">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（2）“采购需求”需提供的有效证明文件</w:t>
      </w:r>
      <w:r>
        <w:rPr>
          <w:rFonts w:hint="eastAsia" w:ascii="仿宋" w:hAnsi="仿宋" w:eastAsia="仿宋" w:cs="仿宋"/>
          <w:b/>
          <w:bCs/>
          <w:sz w:val="24"/>
          <w:highlight w:val="none"/>
        </w:rPr>
        <w:t>（按其要求提供）；</w:t>
      </w:r>
    </w:p>
    <w:p w14:paraId="31DA9453">
      <w:pPr>
        <w:spacing w:line="440" w:lineRule="exact"/>
        <w:ind w:firstLine="480" w:firstLineChars="200"/>
        <w:rPr>
          <w:rFonts w:ascii="仿宋" w:hAnsi="仿宋" w:eastAsia="仿宋" w:cs="仿宋"/>
          <w:b/>
          <w:bCs/>
          <w:sz w:val="24"/>
          <w:highlight w:val="none"/>
        </w:rPr>
      </w:pPr>
      <w:r>
        <w:rPr>
          <w:rFonts w:hint="eastAsia" w:ascii="仿宋" w:hAnsi="仿宋" w:eastAsia="仿宋" w:cs="仿宋"/>
          <w:sz w:val="24"/>
          <w:highlight w:val="none"/>
        </w:rPr>
        <w:t>（3）投标人</w:t>
      </w:r>
      <w:r>
        <w:rPr>
          <w:rFonts w:hint="eastAsia" w:ascii="仿宋" w:hAnsi="仿宋" w:eastAsia="仿宋" w:cs="仿宋"/>
          <w:sz w:val="24"/>
          <w:highlight w:val="none"/>
          <w:lang w:eastAsia="zh-CN"/>
        </w:rPr>
        <w:t>2022 年1月1日</w:t>
      </w:r>
      <w:r>
        <w:rPr>
          <w:rFonts w:hint="eastAsia" w:ascii="仿宋" w:hAnsi="仿宋" w:eastAsia="仿宋" w:cs="仿宋"/>
          <w:sz w:val="24"/>
          <w:highlight w:val="none"/>
        </w:rPr>
        <w:t>以来类似项目业绩[无不良记录，以中标（成交）通知书或签订的项目合同为准，并能清晰反映项目的名称、种类、金额，否则将不予评审，同一个编号的项目有两个或两个以上的分标中标的只算一次]（如有，请提供）</w:t>
      </w:r>
      <w:r>
        <w:rPr>
          <w:rFonts w:hint="eastAsia" w:ascii="仿宋" w:hAnsi="仿宋" w:eastAsia="仿宋" w:cs="仿宋"/>
          <w:b/>
          <w:bCs/>
          <w:sz w:val="24"/>
          <w:highlight w:val="none"/>
        </w:rPr>
        <w:t>；</w:t>
      </w:r>
    </w:p>
    <w:p w14:paraId="382C7AEB">
      <w:pPr>
        <w:tabs>
          <w:tab w:val="left" w:pos="1305"/>
        </w:tabs>
        <w:spacing w:line="440" w:lineRule="exact"/>
        <w:ind w:firstLine="480" w:firstLineChars="200"/>
        <w:rPr>
          <w:rFonts w:ascii="仿宋" w:hAnsi="仿宋" w:eastAsia="仿宋" w:cs="仿宋"/>
          <w:color w:val="000000"/>
          <w:sz w:val="24"/>
          <w:highlight w:val="none"/>
        </w:rPr>
      </w:pPr>
      <w:r>
        <w:rPr>
          <w:rFonts w:hint="eastAsia" w:ascii="仿宋" w:hAnsi="仿宋" w:eastAsia="仿宋" w:cs="仿宋"/>
          <w:sz w:val="24"/>
          <w:highlight w:val="none"/>
        </w:rPr>
        <w:t>（4）</w:t>
      </w:r>
      <w:r>
        <w:rPr>
          <w:rFonts w:hint="eastAsia" w:ascii="仿宋" w:hAnsi="仿宋" w:eastAsia="仿宋" w:cs="仿宋"/>
          <w:color w:val="000000"/>
          <w:sz w:val="24"/>
          <w:highlight w:val="none"/>
        </w:rPr>
        <w:t>如所提供服务企业属于小型、微型企业【中小微型企业划分标准按照《国家统计局关于印发《统计上大中小微型企业划分办法〔2017〕》的通知》（国统字〔2017〕213号）执行，具体划分标准见第四章评标办法中附表《统计上大中小微型企业划分标准》】，以提供的《中小企业声明函》（见附件）为准</w:t>
      </w:r>
      <w:r>
        <w:rPr>
          <w:rFonts w:hint="eastAsia" w:ascii="仿宋" w:hAnsi="仿宋" w:eastAsia="仿宋" w:cs="仿宋"/>
          <w:b/>
          <w:bCs/>
          <w:color w:val="000000"/>
          <w:sz w:val="24"/>
          <w:highlight w:val="none"/>
        </w:rPr>
        <w:t>（</w:t>
      </w:r>
      <w:r>
        <w:rPr>
          <w:rFonts w:hint="eastAsia" w:ascii="仿宋" w:hAnsi="仿宋" w:eastAsia="仿宋" w:cs="仿宋"/>
          <w:b/>
          <w:bCs/>
          <w:color w:val="000000"/>
          <w:sz w:val="24"/>
          <w:highlight w:val="none"/>
          <w:lang w:val="en-US" w:eastAsia="zh-CN"/>
        </w:rPr>
        <w:t>必须</w:t>
      </w:r>
      <w:r>
        <w:rPr>
          <w:rFonts w:hint="eastAsia" w:ascii="仿宋" w:hAnsi="仿宋" w:eastAsia="仿宋" w:cs="仿宋"/>
          <w:b/>
          <w:bCs/>
          <w:color w:val="000000"/>
          <w:sz w:val="24"/>
          <w:highlight w:val="none"/>
        </w:rPr>
        <w:t>提供）</w:t>
      </w:r>
      <w:r>
        <w:rPr>
          <w:rFonts w:hint="eastAsia" w:ascii="仿宋" w:hAnsi="仿宋" w:eastAsia="仿宋" w:cs="仿宋"/>
          <w:color w:val="000000"/>
          <w:sz w:val="24"/>
          <w:highlight w:val="none"/>
        </w:rPr>
        <w:t>；</w:t>
      </w:r>
    </w:p>
    <w:p w14:paraId="05C667C5">
      <w:pPr>
        <w:tabs>
          <w:tab w:val="left" w:pos="1305"/>
        </w:tabs>
        <w:spacing w:line="440" w:lineRule="exact"/>
        <w:ind w:firstLine="480" w:firstLineChars="200"/>
        <w:rPr>
          <w:rFonts w:ascii="仿宋" w:hAnsi="仿宋" w:eastAsia="仿宋" w:cs="仿宋"/>
          <w:color w:val="000000"/>
          <w:sz w:val="24"/>
          <w:highlight w:val="none"/>
        </w:rPr>
      </w:pPr>
      <w:r>
        <w:rPr>
          <w:rFonts w:hint="eastAsia" w:ascii="仿宋" w:hAnsi="仿宋" w:eastAsia="仿宋" w:cs="仿宋"/>
          <w:sz w:val="24"/>
          <w:highlight w:val="none"/>
        </w:rPr>
        <w:t>（5）</w:t>
      </w:r>
      <w:r>
        <w:rPr>
          <w:rFonts w:hint="eastAsia" w:ascii="仿宋" w:hAnsi="仿宋" w:eastAsia="仿宋" w:cs="仿宋"/>
          <w:color w:val="000000"/>
          <w:sz w:val="24"/>
          <w:highlight w:val="none"/>
        </w:rPr>
        <w:t>如提供服务的供应商属于监狱企业的，应当提供由省级以上监狱管理局、戒毒管理局等（含新疆生产建设兵团）出具的属于监狱企业的证明文件</w:t>
      </w:r>
      <w:r>
        <w:rPr>
          <w:rFonts w:hint="eastAsia" w:ascii="仿宋" w:hAnsi="仿宋" w:eastAsia="仿宋" w:cs="仿宋"/>
          <w:color w:val="000000"/>
          <w:kern w:val="0"/>
          <w:sz w:val="24"/>
          <w:highlight w:val="none"/>
        </w:rPr>
        <w:t>（</w:t>
      </w:r>
      <w:r>
        <w:rPr>
          <w:rFonts w:hint="eastAsia" w:ascii="仿宋" w:hAnsi="仿宋" w:eastAsia="仿宋" w:cs="仿宋"/>
          <w:b/>
          <w:color w:val="000000"/>
          <w:sz w:val="24"/>
          <w:highlight w:val="none"/>
        </w:rPr>
        <w:t>如有，请提供</w:t>
      </w:r>
      <w:r>
        <w:rPr>
          <w:rFonts w:hint="eastAsia" w:ascii="仿宋" w:hAnsi="仿宋" w:eastAsia="仿宋" w:cs="仿宋"/>
          <w:color w:val="000000"/>
          <w:kern w:val="0"/>
          <w:sz w:val="24"/>
          <w:highlight w:val="none"/>
        </w:rPr>
        <w:t>）；</w:t>
      </w:r>
    </w:p>
    <w:p w14:paraId="1B4C94D3">
      <w:pPr>
        <w:pStyle w:val="31"/>
        <w:spacing w:line="44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（6）</w:t>
      </w:r>
      <w:r>
        <w:rPr>
          <w:rFonts w:hint="eastAsia" w:ascii="仿宋" w:hAnsi="仿宋" w:eastAsia="仿宋" w:cs="仿宋"/>
          <w:kern w:val="2"/>
          <w:highlight w:val="none"/>
        </w:rPr>
        <w:t>符合条件的残疾人福利性单位在参加政府采购活动时，应当提供《残疾人福利性单位声明函》，并对声明的真实性负责（见附件）</w:t>
      </w:r>
      <w:r>
        <w:rPr>
          <w:rFonts w:hint="eastAsia" w:ascii="仿宋" w:hAnsi="仿宋" w:eastAsia="仿宋" w:cs="仿宋"/>
          <w:b/>
          <w:bCs/>
          <w:kern w:val="2"/>
          <w:highlight w:val="none"/>
        </w:rPr>
        <w:t>（如有，请提供）；</w:t>
      </w:r>
    </w:p>
    <w:p w14:paraId="64A610F1">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（7）供应商可结合本项目的评审办法视自身情况自行提交其它相关证明材料</w:t>
      </w:r>
      <w:r>
        <w:rPr>
          <w:rFonts w:hint="eastAsia" w:ascii="仿宋" w:hAnsi="仿宋" w:eastAsia="仿宋" w:cs="仿宋"/>
          <w:b/>
          <w:bCs/>
          <w:sz w:val="24"/>
          <w:highlight w:val="none"/>
        </w:rPr>
        <w:t>（如有，请提供）</w:t>
      </w:r>
      <w:r>
        <w:rPr>
          <w:rFonts w:hint="eastAsia" w:ascii="仿宋" w:hAnsi="仿宋" w:eastAsia="仿宋" w:cs="仿宋"/>
          <w:sz w:val="24"/>
          <w:highlight w:val="none"/>
        </w:rPr>
        <w:t>。</w:t>
      </w:r>
    </w:p>
    <w:p w14:paraId="17B4A572">
      <w:pPr>
        <w:spacing w:line="440" w:lineRule="exact"/>
        <w:ind w:firstLine="420"/>
        <w:rPr>
          <w:rFonts w:ascii="仿宋" w:hAnsi="仿宋" w:eastAsia="仿宋" w:cs="仿宋"/>
          <w:color w:val="000000"/>
          <w:sz w:val="24"/>
          <w:highlight w:val="none"/>
        </w:rPr>
      </w:pPr>
      <w:r>
        <w:rPr>
          <w:rFonts w:hint="eastAsia" w:ascii="仿宋" w:hAnsi="仿宋" w:eastAsia="仿宋" w:cs="仿宋"/>
          <w:b/>
          <w:bCs/>
          <w:sz w:val="24"/>
          <w:highlight w:val="none"/>
        </w:rPr>
        <w:t>供应商</w:t>
      </w:r>
      <w:r>
        <w:rPr>
          <w:rFonts w:hint="eastAsia" w:ascii="仿宋" w:hAnsi="仿宋" w:eastAsia="仿宋" w:cs="仿宋"/>
          <w:b/>
          <w:bCs/>
          <w:color w:val="000000"/>
          <w:sz w:val="24"/>
          <w:highlight w:val="none"/>
        </w:rPr>
        <w:t>提供的以上相关证明材料属于“必须提供”的文件应加盖磋商供应商公章（CA签章）/自然人签字或个人CA签章，否则响应无效。</w:t>
      </w:r>
    </w:p>
    <w:p w14:paraId="66A9C3E6">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12.3 供应商应按竞争性磋商文件第六章“响应文件（格式）”编制响应文件。</w:t>
      </w:r>
    </w:p>
    <w:p w14:paraId="19BDEE8C">
      <w:pPr>
        <w:spacing w:line="440" w:lineRule="exact"/>
        <w:ind w:firstLine="482" w:firstLineChars="200"/>
        <w:rPr>
          <w:rFonts w:ascii="仿宋" w:hAnsi="仿宋" w:eastAsia="仿宋" w:cs="仿宋"/>
          <w:b/>
          <w:bCs/>
          <w:color w:val="000000"/>
          <w:sz w:val="24"/>
          <w:highlight w:val="none"/>
        </w:rPr>
      </w:pPr>
      <w:r>
        <w:rPr>
          <w:rFonts w:hint="eastAsia" w:ascii="仿宋" w:hAnsi="仿宋" w:eastAsia="仿宋" w:cs="仿宋"/>
          <w:b/>
          <w:bCs/>
          <w:color w:val="000000"/>
          <w:sz w:val="24"/>
          <w:highlight w:val="none"/>
        </w:rPr>
        <w:t>特别说明：</w:t>
      </w:r>
    </w:p>
    <w:p w14:paraId="50D645B7">
      <w:pPr>
        <w:spacing w:line="440" w:lineRule="exact"/>
        <w:ind w:firstLine="482" w:firstLineChars="200"/>
        <w:rPr>
          <w:rFonts w:ascii="仿宋" w:hAnsi="仿宋" w:eastAsia="仿宋" w:cs="仿宋"/>
          <w:b/>
          <w:color w:val="000000"/>
          <w:sz w:val="24"/>
          <w:highlight w:val="none"/>
        </w:rPr>
      </w:pPr>
      <w:r>
        <w:rPr>
          <w:rFonts w:hint="eastAsia" w:ascii="仿宋" w:hAnsi="仿宋" w:eastAsia="仿宋" w:cs="仿宋"/>
          <w:b/>
          <w:bCs/>
          <w:color w:val="000000"/>
          <w:sz w:val="24"/>
          <w:highlight w:val="none"/>
        </w:rPr>
        <w:t>（1）响</w:t>
      </w:r>
      <w:r>
        <w:rPr>
          <w:rFonts w:hint="eastAsia" w:ascii="仿宋" w:hAnsi="仿宋" w:eastAsia="仿宋" w:cs="仿宋"/>
          <w:b/>
          <w:color w:val="000000"/>
          <w:sz w:val="24"/>
          <w:highlight w:val="none"/>
        </w:rPr>
        <w:t>应文件（电子响应文件），其中电子响应文件中所须加盖公章部分均采用CA签章。若磋商文件中有专门标注的某关联点，并要求供应商在电子响应系统中作出磋商响应的，如供应商未对关联点进行响应或者在响应文件其它内容进行描述，造成电子评审不能查询的责任由供应商自行承担。</w:t>
      </w:r>
    </w:p>
    <w:p w14:paraId="2C37EDEC">
      <w:pPr>
        <w:numPr>
          <w:ilvl w:val="0"/>
          <w:numId w:val="4"/>
        </w:numPr>
        <w:spacing w:line="440" w:lineRule="exact"/>
        <w:ind w:firstLine="482" w:firstLineChars="200"/>
        <w:rPr>
          <w:rFonts w:ascii="仿宋" w:hAnsi="仿宋" w:eastAsia="仿宋" w:cs="仿宋"/>
          <w:b/>
          <w:color w:val="000000"/>
          <w:sz w:val="24"/>
          <w:highlight w:val="none"/>
        </w:rPr>
      </w:pPr>
      <w:r>
        <w:rPr>
          <w:rFonts w:hint="eastAsia" w:ascii="仿宋" w:hAnsi="仿宋" w:eastAsia="仿宋" w:cs="仿宋"/>
          <w:b/>
          <w:bCs/>
          <w:sz w:val="24"/>
          <w:highlight w:val="none"/>
        </w:rPr>
        <w:t>磋商文件要求法定代表人（负责人）或委托代理人签字的部分必须签字然后扫描或者拍照做成 pdf 格式上传（或加盖个人CA签章），无签字的视为响应无效。</w:t>
      </w:r>
    </w:p>
    <w:p w14:paraId="70F32FEC">
      <w:pPr>
        <w:pStyle w:val="4"/>
        <w:spacing w:before="0" w:after="0" w:line="440" w:lineRule="exact"/>
        <w:ind w:firstLine="482" w:firstLineChars="200"/>
        <w:rPr>
          <w:rFonts w:ascii="仿宋" w:hAnsi="仿宋" w:eastAsia="仿宋" w:cs="仿宋"/>
          <w:color w:val="000000"/>
          <w:sz w:val="24"/>
          <w:highlight w:val="none"/>
        </w:rPr>
      </w:pPr>
      <w:bookmarkStart w:id="86" w:name="_Toc2180"/>
      <w:bookmarkStart w:id="87" w:name="_Toc13139"/>
      <w:r>
        <w:rPr>
          <w:rFonts w:hint="eastAsia" w:ascii="仿宋" w:hAnsi="仿宋" w:eastAsia="仿宋" w:cs="仿宋"/>
          <w:color w:val="000000"/>
          <w:sz w:val="24"/>
          <w:highlight w:val="none"/>
        </w:rPr>
        <w:t>13. 响应文件的语言及计量</w:t>
      </w:r>
      <w:bookmarkEnd w:id="86"/>
      <w:bookmarkEnd w:id="87"/>
    </w:p>
    <w:p w14:paraId="572E7D36">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13.1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040B6D20">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13.2 磋商计量单位，磋商文件已有明确规定的，使用磋商文件规定的计量单位；磋商文件没有规定的，应采用中华人民共和国法定计量单位（货币单位：人民币元），否则视同未响应。</w:t>
      </w:r>
    </w:p>
    <w:p w14:paraId="5B030BDC">
      <w:pPr>
        <w:pStyle w:val="4"/>
        <w:spacing w:before="0" w:after="0" w:line="440" w:lineRule="exact"/>
        <w:ind w:firstLine="482" w:firstLineChars="200"/>
        <w:rPr>
          <w:rFonts w:ascii="仿宋" w:hAnsi="仿宋" w:eastAsia="仿宋" w:cs="仿宋"/>
          <w:color w:val="000000"/>
          <w:sz w:val="24"/>
          <w:highlight w:val="none"/>
        </w:rPr>
      </w:pPr>
      <w:bookmarkStart w:id="88" w:name="_Toc15384"/>
      <w:bookmarkStart w:id="89" w:name="_Toc10838"/>
      <w:r>
        <w:rPr>
          <w:rFonts w:hint="eastAsia" w:ascii="仿宋" w:hAnsi="仿宋" w:eastAsia="仿宋" w:cs="仿宋"/>
          <w:color w:val="000000"/>
          <w:sz w:val="24"/>
          <w:highlight w:val="none"/>
        </w:rPr>
        <w:t>14. 磋商报价及采购预算金额</w:t>
      </w:r>
      <w:bookmarkEnd w:id="88"/>
      <w:bookmarkEnd w:id="89"/>
    </w:p>
    <w:p w14:paraId="09CF052F">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14.1  磋商报价应按磋商文件中相关附表格式填写，本项目采用折扣率（%）报价，本项目的控制价为：≤</w:t>
      </w:r>
      <w:r>
        <w:rPr>
          <w:rFonts w:hint="eastAsia" w:ascii="仿宋" w:hAnsi="仿宋" w:eastAsia="仿宋" w:cs="仿宋"/>
          <w:color w:val="000000"/>
          <w:sz w:val="24"/>
          <w:highlight w:val="none"/>
          <w:lang w:eastAsia="zh-CN"/>
        </w:rPr>
        <w:t>95%</w:t>
      </w:r>
      <w:r>
        <w:rPr>
          <w:rFonts w:hint="eastAsia" w:ascii="仿宋" w:hAnsi="仿宋" w:eastAsia="仿宋" w:cs="仿宋"/>
          <w:color w:val="000000"/>
          <w:sz w:val="24"/>
          <w:highlight w:val="none"/>
        </w:rPr>
        <w:t>。各投标单位的投标报价不得高于本次的控制价，否则投标无效。</w:t>
      </w:r>
    </w:p>
    <w:p w14:paraId="10FB4590">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14.2供应商必须就“采购需求”中所竞所有内容作完整唯一报价，否则，其响应文件无效。响应文件只允许有一个报价，有选择的或有条件的报价将不予接受。</w:t>
      </w:r>
    </w:p>
    <w:p w14:paraId="0FF4B4BB">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14.3 </w:t>
      </w:r>
      <w:r>
        <w:rPr>
          <w:rFonts w:hint="eastAsia" w:ascii="仿宋" w:hAnsi="仿宋" w:eastAsia="仿宋" w:cs="仿宋"/>
          <w:kern w:val="0"/>
          <w:sz w:val="24"/>
          <w:highlight w:val="none"/>
        </w:rPr>
        <w:t>磋商供应商的磋商报价应包括完成本次服务采购需求范围内所需的劳务费、技术服务费、策划设计、制作、现场执行、版权或知识产权、管理费、利润、验收、税金和风险等一切相关的全部费用。该价格不因磋商供应商在计算报价中的失误、漏项、多项而作任何调整；磋商供应商的报价在合同实施期间应保持不变。</w:t>
      </w:r>
      <w:r>
        <w:rPr>
          <w:rFonts w:hint="eastAsia" w:ascii="仿宋" w:hAnsi="仿宋" w:eastAsia="仿宋" w:cs="仿宋"/>
          <w:color w:val="000000"/>
          <w:sz w:val="24"/>
          <w:highlight w:val="none"/>
        </w:rPr>
        <w:t>除此之外，采购人不再另行支付任何费用</w:t>
      </w:r>
    </w:p>
    <w:p w14:paraId="282C1C8B">
      <w:pPr>
        <w:spacing w:line="440" w:lineRule="exact"/>
        <w:ind w:firstLine="480" w:firstLineChars="200"/>
        <w:rPr>
          <w:rFonts w:ascii="仿宋" w:hAnsi="仿宋" w:eastAsia="仿宋" w:cs="仿宋"/>
          <w:b/>
          <w:bCs/>
          <w:color w:val="000000"/>
          <w:sz w:val="24"/>
          <w:highlight w:val="none"/>
        </w:rPr>
      </w:pPr>
      <w:r>
        <w:rPr>
          <w:rFonts w:hint="eastAsia" w:ascii="仿宋" w:hAnsi="仿宋" w:eastAsia="仿宋" w:cs="仿宋"/>
          <w:color w:val="000000"/>
          <w:sz w:val="24"/>
          <w:highlight w:val="none"/>
        </w:rPr>
        <w:t>14.4供应商应在规定时间内在广西政府采购云平台系统上提交最后报价，超出磋商小组设定的最后报价时限或其最后报价超出控制价导致已通过评审的响应文件无效的，按供应商在提交响应文件截止时间后撤回响应文件处理。</w:t>
      </w:r>
    </w:p>
    <w:p w14:paraId="09811E64">
      <w:pPr>
        <w:pStyle w:val="4"/>
        <w:spacing w:before="0" w:after="0" w:line="440" w:lineRule="exact"/>
        <w:ind w:firstLine="482" w:firstLineChars="200"/>
        <w:rPr>
          <w:rFonts w:ascii="仿宋" w:hAnsi="仿宋" w:eastAsia="仿宋" w:cs="仿宋"/>
          <w:color w:val="000000"/>
          <w:sz w:val="24"/>
          <w:highlight w:val="none"/>
        </w:rPr>
      </w:pPr>
      <w:bookmarkStart w:id="90" w:name="_Toc22348"/>
      <w:bookmarkStart w:id="91" w:name="_Toc26881"/>
      <w:r>
        <w:rPr>
          <w:rFonts w:hint="eastAsia" w:ascii="仿宋" w:hAnsi="仿宋" w:eastAsia="仿宋" w:cs="仿宋"/>
          <w:color w:val="000000"/>
          <w:sz w:val="24"/>
          <w:highlight w:val="none"/>
        </w:rPr>
        <w:t>15. 响应文件有效期</w:t>
      </w:r>
      <w:bookmarkEnd w:id="90"/>
      <w:bookmarkEnd w:id="91"/>
    </w:p>
    <w:p w14:paraId="4C551EF3">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15.1 响应文件有效期：响应文件递交截止时间之日起90天，有效期不足的响应文件将被拒绝。</w:t>
      </w:r>
    </w:p>
    <w:p w14:paraId="7BB44DD9">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15.2 出现特殊情况下，需要延长响应文件有效期的，采购代理机构书面通知供应商延长响应文件有效期。供应商同意延长的，但不能修改响应文件。供应商拒绝延长的，其响应文件无效。</w:t>
      </w:r>
    </w:p>
    <w:p w14:paraId="0DB6C870">
      <w:pPr>
        <w:pStyle w:val="4"/>
        <w:spacing w:before="0" w:after="0" w:line="440" w:lineRule="exact"/>
        <w:ind w:firstLine="482" w:firstLineChars="200"/>
        <w:rPr>
          <w:rFonts w:ascii="仿宋" w:hAnsi="仿宋" w:eastAsia="仿宋" w:cs="仿宋"/>
          <w:color w:val="000000"/>
          <w:sz w:val="24"/>
          <w:highlight w:val="none"/>
        </w:rPr>
      </w:pPr>
      <w:bookmarkStart w:id="92" w:name="_Toc5208"/>
      <w:bookmarkStart w:id="93" w:name="_Toc22602"/>
      <w:r>
        <w:rPr>
          <w:rFonts w:hint="eastAsia" w:ascii="仿宋" w:hAnsi="仿宋" w:eastAsia="仿宋" w:cs="仿宋"/>
          <w:color w:val="000000"/>
          <w:sz w:val="24"/>
          <w:highlight w:val="none"/>
        </w:rPr>
        <w:t>16. 保证金</w:t>
      </w:r>
      <w:bookmarkEnd w:id="92"/>
      <w:bookmarkEnd w:id="93"/>
    </w:p>
    <w:p w14:paraId="24B579BA">
      <w:pPr>
        <w:spacing w:line="440" w:lineRule="exact"/>
        <w:ind w:firstLine="480" w:firstLineChars="200"/>
        <w:rPr>
          <w:rFonts w:ascii="仿宋" w:hAnsi="仿宋" w:eastAsia="仿宋" w:cs="仿宋"/>
          <w:b/>
          <w:bCs/>
          <w:color w:val="000000"/>
          <w:sz w:val="24"/>
          <w:highlight w:val="none"/>
        </w:rPr>
      </w:pPr>
      <w:r>
        <w:rPr>
          <w:rFonts w:hint="eastAsia" w:ascii="仿宋" w:hAnsi="仿宋" w:eastAsia="仿宋" w:cs="仿宋"/>
          <w:color w:val="000000"/>
          <w:sz w:val="24"/>
          <w:highlight w:val="none"/>
        </w:rPr>
        <w:t>本项目无需缴纳磋商保证金。</w:t>
      </w:r>
    </w:p>
    <w:p w14:paraId="48C820DC">
      <w:pPr>
        <w:pStyle w:val="4"/>
        <w:spacing w:before="0" w:after="0" w:line="440" w:lineRule="exact"/>
        <w:ind w:firstLine="482" w:firstLineChars="200"/>
        <w:rPr>
          <w:rFonts w:ascii="仿宋" w:hAnsi="仿宋" w:eastAsia="仿宋" w:cs="仿宋"/>
          <w:color w:val="000000"/>
          <w:sz w:val="24"/>
          <w:highlight w:val="none"/>
        </w:rPr>
      </w:pPr>
      <w:bookmarkStart w:id="94" w:name="_Toc387"/>
      <w:bookmarkStart w:id="95" w:name="_Toc25510"/>
      <w:r>
        <w:rPr>
          <w:rFonts w:hint="eastAsia" w:ascii="仿宋" w:hAnsi="仿宋" w:eastAsia="仿宋" w:cs="仿宋"/>
          <w:color w:val="000000"/>
          <w:sz w:val="24"/>
          <w:highlight w:val="none"/>
        </w:rPr>
        <w:t xml:space="preserve">17. </w:t>
      </w:r>
      <w:bookmarkEnd w:id="94"/>
      <w:bookmarkEnd w:id="95"/>
      <w:r>
        <w:rPr>
          <w:rFonts w:hint="eastAsia" w:ascii="仿宋" w:hAnsi="仿宋" w:eastAsia="仿宋" w:cs="仿宋"/>
          <w:color w:val="000000"/>
          <w:sz w:val="24"/>
          <w:highlight w:val="none"/>
        </w:rPr>
        <w:t>电子响应文件的制作、加密要求</w:t>
      </w:r>
    </w:p>
    <w:p w14:paraId="3B2F738F">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17.1 电子磋商响应文件中须加盖供应商公章部分均采用 CA 签章，并根据“政府采购项目电子交易管理操作指南-供应商”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漏读，或者在按采购文件规定的部位查找不到相关内容的，由供应商自行承担。</w:t>
      </w:r>
    </w:p>
    <w:p w14:paraId="417F2886">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17.2供应商法人（负责人）或授权代表持有广西政府采购云平台个人CA签章的，应在响应文件中涉及到签字的位置使用个人CA签章，没有办理广西政府采购云平台个人CA签章的可在响应文件中涉及到签字的位置手写签字后扫描或者拍照做成 PDF 的格式上传即可。</w:t>
      </w:r>
    </w:p>
    <w:p w14:paraId="3F61DE8D">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17.3 磋商响应文件不得涂改，若有修改错漏处，须法定代表人（负责人）或授权委托人签字</w:t>
      </w:r>
      <w:r>
        <w:rPr>
          <w:rFonts w:hint="eastAsia" w:ascii="仿宋" w:hAnsi="仿宋" w:eastAsia="仿宋" w:cs="仿宋"/>
          <w:sz w:val="24"/>
          <w:highlight w:val="none"/>
        </w:rPr>
        <w:t>（或个人CA签章）</w:t>
      </w:r>
      <w:r>
        <w:rPr>
          <w:rFonts w:hint="eastAsia" w:ascii="仿宋" w:hAnsi="仿宋" w:eastAsia="仿宋" w:cs="仿宋"/>
          <w:color w:val="000000"/>
          <w:sz w:val="24"/>
          <w:highlight w:val="none"/>
        </w:rPr>
        <w:t>。磋商响应文件因字迹潦草或表达不清所引起的后果由供应商负责。</w:t>
      </w:r>
    </w:p>
    <w:p w14:paraId="388686B0">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17.4磋商前准备 </w:t>
      </w:r>
    </w:p>
    <w:p w14:paraId="39A4C803">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17.4.1本项目实行在线磋商，采用电子磋商响应文件。若供应商参与磋商，自行承担磋商一切费用。 </w:t>
      </w:r>
    </w:p>
    <w:p w14:paraId="73ED5140">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17.4.2各供应商应在截标前应确保成为广西政府采购云平台正式注册入库供应商，并完成 CA 数字证书申领。因未注册入库、未办理 CA 数字证书等原因造成无法磋商或磋商失败等后果由供应商自行承担。 </w:t>
      </w:r>
    </w:p>
    <w:p w14:paraId="1B981951">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17.4.3供应商将广西政府采购云平台电子交易客户端下载、安装完成后，可通过账号密码或 CA 登录客户端进行响应文件制作。客户端请至网站下载专区查看，如有问题可拨打广西政府采购云平台客户服务热线 95763 进行咨询。</w:t>
      </w:r>
    </w:p>
    <w:p w14:paraId="139483D3">
      <w:pPr>
        <w:pStyle w:val="4"/>
        <w:spacing w:before="0" w:after="0" w:line="440" w:lineRule="exact"/>
        <w:ind w:firstLine="482" w:firstLineChars="200"/>
        <w:rPr>
          <w:rFonts w:ascii="仿宋" w:hAnsi="仿宋" w:eastAsia="仿宋" w:cs="仿宋"/>
          <w:color w:val="000000"/>
          <w:sz w:val="24"/>
          <w:highlight w:val="none"/>
        </w:rPr>
      </w:pPr>
      <w:bookmarkStart w:id="96" w:name="_Toc2838"/>
      <w:r>
        <w:rPr>
          <w:rFonts w:hint="eastAsia" w:ascii="仿宋" w:hAnsi="仿宋" w:eastAsia="仿宋" w:cs="仿宋"/>
          <w:color w:val="000000"/>
          <w:sz w:val="24"/>
          <w:highlight w:val="none"/>
        </w:rPr>
        <w:t>18. 响应文件的修改和撤回</w:t>
      </w:r>
      <w:bookmarkEnd w:id="96"/>
    </w:p>
    <w:p w14:paraId="2E376619">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18.1 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6EF758E3">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18.2 在响应文件递交截止时间后的响应文件有效期内，供应商不得撤回其响应文件。</w:t>
      </w:r>
    </w:p>
    <w:p w14:paraId="458F98C1">
      <w:pPr>
        <w:pStyle w:val="4"/>
        <w:spacing w:before="0" w:after="0" w:line="440" w:lineRule="exact"/>
        <w:ind w:firstLine="482" w:firstLineChars="200"/>
        <w:rPr>
          <w:rFonts w:ascii="仿宋" w:hAnsi="仿宋" w:eastAsia="仿宋" w:cs="仿宋"/>
          <w:color w:val="000000"/>
          <w:sz w:val="24"/>
          <w:highlight w:val="none"/>
        </w:rPr>
      </w:pPr>
      <w:bookmarkStart w:id="97" w:name="_Toc30156"/>
      <w:bookmarkStart w:id="98" w:name="_Toc6828"/>
      <w:r>
        <w:rPr>
          <w:rFonts w:hint="eastAsia" w:ascii="仿宋" w:hAnsi="仿宋" w:eastAsia="仿宋" w:cs="仿宋"/>
          <w:color w:val="000000"/>
          <w:sz w:val="24"/>
          <w:highlight w:val="none"/>
        </w:rPr>
        <w:t>19. 响应文件的递交和解密</w:t>
      </w:r>
      <w:bookmarkEnd w:id="97"/>
      <w:bookmarkEnd w:id="98"/>
    </w:p>
    <w:p w14:paraId="3D30C032">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19.1响应文件递交截止时间：于</w:t>
      </w:r>
      <w:r>
        <w:rPr>
          <w:rFonts w:hint="eastAsia" w:ascii="仿宋" w:hAnsi="仿宋" w:eastAsia="仿宋" w:cs="仿宋"/>
          <w:color w:val="000000"/>
          <w:sz w:val="24"/>
          <w:highlight w:val="none"/>
          <w:u w:val="single"/>
          <w:lang w:eastAsia="zh-CN"/>
        </w:rPr>
        <w:t>2026年7月7日09时30分</w:t>
      </w:r>
      <w:r>
        <w:rPr>
          <w:rFonts w:hint="eastAsia" w:ascii="仿宋" w:hAnsi="仿宋" w:eastAsia="仿宋" w:cs="仿宋"/>
          <w:color w:val="000000"/>
          <w:sz w:val="24"/>
          <w:highlight w:val="none"/>
        </w:rPr>
        <w:t>之前将电子磋商响应文件上传到广西政府采购云平台。应按照本项目磋商文件和广西政府采购云平台的要求编制、加密传输磋商响应文件。供应商在使用系统进行响应的过程中遇到涉及平台使用的任何问题，可致电广西政府采购云平台技术支持热线咨询，联系方式：95763。</w:t>
      </w:r>
    </w:p>
    <w:p w14:paraId="68096A3F">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19.2磋商响应文件解密时间：截标时间后</w:t>
      </w:r>
      <w:r>
        <w:rPr>
          <w:rFonts w:hint="eastAsia" w:ascii="仿宋" w:hAnsi="仿宋" w:eastAsia="仿宋" w:cs="仿宋"/>
          <w:color w:val="000000"/>
          <w:sz w:val="24"/>
          <w:highlight w:val="none"/>
          <w:u w:val="single"/>
        </w:rPr>
        <w:t>30</w:t>
      </w:r>
      <w:r>
        <w:rPr>
          <w:rFonts w:hint="eastAsia" w:ascii="仿宋" w:hAnsi="仿宋" w:eastAsia="仿宋" w:cs="仿宋"/>
          <w:color w:val="000000"/>
          <w:sz w:val="24"/>
          <w:highlight w:val="none"/>
        </w:rPr>
        <w:t>分钟内（</w:t>
      </w:r>
      <w:r>
        <w:rPr>
          <w:rFonts w:hint="eastAsia" w:ascii="仿宋" w:hAnsi="仿宋" w:eastAsia="仿宋" w:cs="仿宋"/>
          <w:color w:val="000000"/>
          <w:sz w:val="24"/>
          <w:highlight w:val="none"/>
          <w:u w:val="single"/>
          <w:lang w:eastAsia="zh-CN"/>
        </w:rPr>
        <w:t>2026年7月7日09时</w:t>
      </w:r>
      <w:r>
        <w:rPr>
          <w:rFonts w:hint="eastAsia" w:ascii="仿宋" w:hAnsi="仿宋" w:eastAsia="仿宋" w:cs="仿宋"/>
          <w:color w:val="000000"/>
          <w:sz w:val="24"/>
          <w:highlight w:val="none"/>
          <w:u w:val="single"/>
          <w:lang w:val="en-US" w:eastAsia="zh-CN"/>
        </w:rPr>
        <w:t>30</w:t>
      </w:r>
      <w:r>
        <w:rPr>
          <w:rFonts w:hint="eastAsia" w:ascii="仿宋" w:hAnsi="仿宋" w:eastAsia="仿宋" w:cs="仿宋"/>
          <w:color w:val="000000"/>
          <w:sz w:val="24"/>
          <w:highlight w:val="none"/>
          <w:u w:val="single"/>
          <w:lang w:eastAsia="zh-CN"/>
        </w:rPr>
        <w:t>分</w:t>
      </w:r>
      <w:r>
        <w:rPr>
          <w:rFonts w:hint="eastAsia" w:ascii="仿宋" w:hAnsi="仿宋" w:eastAsia="仿宋" w:cs="仿宋"/>
          <w:color w:val="000000"/>
          <w:sz w:val="24"/>
          <w:highlight w:val="none"/>
          <w:u w:val="single"/>
        </w:rPr>
        <w:t>至</w:t>
      </w:r>
      <w:r>
        <w:rPr>
          <w:rFonts w:hint="eastAsia" w:ascii="仿宋" w:hAnsi="仿宋" w:eastAsia="仿宋" w:cs="仿宋"/>
          <w:color w:val="000000"/>
          <w:sz w:val="24"/>
          <w:highlight w:val="none"/>
          <w:u w:val="single"/>
          <w:lang w:val="en-US" w:eastAsia="zh-CN"/>
        </w:rPr>
        <w:t>10</w:t>
      </w:r>
      <w:r>
        <w:rPr>
          <w:rFonts w:hint="eastAsia" w:ascii="仿宋" w:hAnsi="仿宋" w:eastAsia="仿宋" w:cs="仿宋"/>
          <w:color w:val="000000"/>
          <w:sz w:val="24"/>
          <w:highlight w:val="none"/>
          <w:u w:val="single"/>
        </w:rPr>
        <w:t>时00分</w:t>
      </w:r>
      <w:r>
        <w:rPr>
          <w:rFonts w:hint="eastAsia" w:ascii="仿宋" w:hAnsi="仿宋" w:eastAsia="仿宋" w:cs="仿宋"/>
          <w:color w:val="000000"/>
          <w:sz w:val="24"/>
          <w:highlight w:val="none"/>
        </w:rPr>
        <w:t>)磋商供应商可以登录广西政府采购云平台，用“项目采购-开标评标”功能进行解密磋商文件。若磋商供应商在规定时间内无法解密或解密失败，可以以电子备份磋商响应文件作为依据</w:t>
      </w:r>
      <w:r>
        <w:rPr>
          <w:rFonts w:hint="eastAsia" w:ascii="仿宋" w:hAnsi="仿宋" w:eastAsia="仿宋" w:cs="仿宋"/>
          <w:b/>
          <w:bCs/>
          <w:color w:val="000000"/>
          <w:sz w:val="24"/>
          <w:highlight w:val="none"/>
        </w:rPr>
        <w:t>【在接到无法解密或解密失败的通知后，磋商供应商可根据自身实际情况按通知时要求的时间到桂林市公共资源交易中心</w:t>
      </w:r>
      <w:r>
        <w:rPr>
          <w:rFonts w:hint="eastAsia" w:ascii="仿宋" w:hAnsi="仿宋" w:eastAsia="仿宋" w:cs="仿宋"/>
          <w:b/>
          <w:bCs/>
          <w:color w:val="000000"/>
          <w:sz w:val="24"/>
          <w:highlight w:val="none"/>
          <w:lang w:val="en-US" w:eastAsia="zh-CN"/>
        </w:rPr>
        <w:t>10号</w:t>
      </w:r>
      <w:r>
        <w:rPr>
          <w:rFonts w:hint="eastAsia" w:ascii="仿宋" w:hAnsi="仿宋" w:eastAsia="仿宋" w:cs="仿宋"/>
          <w:b/>
          <w:bCs/>
          <w:color w:val="000000"/>
          <w:sz w:val="24"/>
          <w:highlight w:val="none"/>
        </w:rPr>
        <w:t>开标室现场提交或以电子邮件的形式（以通知时所告知的电子邮箱地址为准）提交电子备份磋商响应文件】</w:t>
      </w:r>
      <w:r>
        <w:rPr>
          <w:rFonts w:hint="eastAsia" w:ascii="仿宋" w:hAnsi="仿宋" w:eastAsia="仿宋" w:cs="仿宋"/>
          <w:color w:val="000000"/>
          <w:sz w:val="24"/>
          <w:highlight w:val="none"/>
        </w:rPr>
        <w:t>，若磋商供应商在规定时间内无法解密或解密失败且未提供电子备份磋商响应文件的(包含提供的电子备份文件无效或无法解密的情况)，视为响应文件撤回。</w:t>
      </w:r>
    </w:p>
    <w:p w14:paraId="400467D6">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19.3 除竞争性磋商文件另有规定外，供应商所递交的响应文件不予退还。</w:t>
      </w:r>
    </w:p>
    <w:p w14:paraId="56F59D0F">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19.4 电子响应文件的相关说明</w:t>
      </w:r>
    </w:p>
    <w:p w14:paraId="1A7834A0">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1）供应商进行电子响应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补充、修改后重新传输递交。磋商截止时间前未完成传输的，视为撤回磋商响应文件。磋商截止时间后递交的磋商响应文件，电子交易平台将拒收。 </w:t>
      </w:r>
    </w:p>
    <w:p w14:paraId="075757DD">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（2）如有特殊情况，采购代理机构延长截止时间和开标时间，采购代理机构和供应商的权利和义务将受到新的截止时间和开标时间的约束。</w:t>
      </w:r>
    </w:p>
    <w:p w14:paraId="55BD63DA">
      <w:pPr>
        <w:pStyle w:val="3"/>
        <w:spacing w:line="440" w:lineRule="exact"/>
        <w:jc w:val="center"/>
        <w:rPr>
          <w:rFonts w:ascii="仿宋" w:hAnsi="仿宋" w:eastAsia="仿宋" w:cs="仿宋"/>
          <w:b/>
          <w:bCs w:val="0"/>
          <w:szCs w:val="28"/>
          <w:highlight w:val="none"/>
        </w:rPr>
      </w:pPr>
      <w:bookmarkStart w:id="99" w:name="_Toc2433"/>
    </w:p>
    <w:p w14:paraId="55133D4B">
      <w:pPr>
        <w:pStyle w:val="3"/>
        <w:spacing w:line="440" w:lineRule="exact"/>
        <w:jc w:val="center"/>
        <w:rPr>
          <w:rFonts w:ascii="仿宋" w:hAnsi="仿宋" w:eastAsia="仿宋" w:cs="仿宋"/>
          <w:b/>
          <w:bCs w:val="0"/>
          <w:szCs w:val="28"/>
          <w:highlight w:val="none"/>
        </w:rPr>
      </w:pPr>
      <w:bookmarkStart w:id="100" w:name="_Toc18536"/>
      <w:r>
        <w:rPr>
          <w:rFonts w:hint="eastAsia" w:ascii="仿宋" w:hAnsi="仿宋" w:eastAsia="仿宋" w:cs="仿宋"/>
          <w:b/>
          <w:bCs w:val="0"/>
          <w:szCs w:val="28"/>
          <w:highlight w:val="none"/>
        </w:rPr>
        <w:t>四、竞争性磋商（简称磋商）与评审</w:t>
      </w:r>
      <w:bookmarkEnd w:id="99"/>
      <w:bookmarkEnd w:id="100"/>
    </w:p>
    <w:p w14:paraId="401C9363">
      <w:pPr>
        <w:pStyle w:val="4"/>
        <w:spacing w:before="0" w:after="0" w:line="440" w:lineRule="exact"/>
        <w:ind w:firstLine="482" w:firstLineChars="200"/>
        <w:rPr>
          <w:rFonts w:ascii="仿宋" w:hAnsi="仿宋" w:eastAsia="仿宋" w:cs="仿宋"/>
          <w:color w:val="000000"/>
          <w:sz w:val="24"/>
          <w:highlight w:val="none"/>
        </w:rPr>
      </w:pPr>
      <w:bookmarkStart w:id="101" w:name="_Toc31588"/>
      <w:bookmarkStart w:id="102" w:name="_Toc7978"/>
      <w:r>
        <w:rPr>
          <w:rFonts w:hint="eastAsia" w:ascii="仿宋" w:hAnsi="仿宋" w:eastAsia="仿宋" w:cs="仿宋"/>
          <w:color w:val="000000"/>
          <w:sz w:val="24"/>
          <w:highlight w:val="none"/>
        </w:rPr>
        <w:t>20. 磋商小组组成及磋商时间、地点、人员</w:t>
      </w:r>
      <w:bookmarkEnd w:id="101"/>
      <w:bookmarkEnd w:id="102"/>
    </w:p>
    <w:p w14:paraId="7259512B">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20.1 磋商小组组成：</w:t>
      </w:r>
    </w:p>
    <w:p w14:paraId="20AA965D">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磋商及评审工作由采购代理机构负责组织，具体磋商、评审工作由依法组建的磋商小组负责，磋商小组由采购人代表和有关方面的专家组成。磋商小组的构成：</w:t>
      </w:r>
      <w:r>
        <w:rPr>
          <w:rFonts w:hint="eastAsia" w:ascii="仿宋" w:hAnsi="仿宋" w:eastAsia="仿宋" w:cs="仿宋"/>
          <w:color w:val="000000"/>
          <w:sz w:val="24"/>
          <w:highlight w:val="none"/>
          <w:u w:val="single"/>
        </w:rPr>
        <w:t xml:space="preserve"> 3 </w:t>
      </w:r>
      <w:r>
        <w:rPr>
          <w:rFonts w:hint="eastAsia" w:ascii="仿宋" w:hAnsi="仿宋" w:eastAsia="仿宋" w:cs="仿宋"/>
          <w:color w:val="000000"/>
          <w:sz w:val="24"/>
          <w:highlight w:val="none"/>
        </w:rPr>
        <w:t>人，其中采购人代表</w:t>
      </w:r>
      <w:r>
        <w:rPr>
          <w:rFonts w:hint="eastAsia" w:ascii="仿宋" w:hAnsi="仿宋" w:eastAsia="仿宋" w:cs="仿宋"/>
          <w:color w:val="000000"/>
          <w:sz w:val="24"/>
          <w:highlight w:val="none"/>
          <w:u w:val="single"/>
        </w:rPr>
        <w:t xml:space="preserve"> 1 </w:t>
      </w:r>
      <w:r>
        <w:rPr>
          <w:rFonts w:hint="eastAsia" w:ascii="仿宋" w:hAnsi="仿宋" w:eastAsia="仿宋" w:cs="仿宋"/>
          <w:color w:val="000000"/>
          <w:sz w:val="24"/>
          <w:highlight w:val="none"/>
        </w:rPr>
        <w:t>人， 专家</w:t>
      </w:r>
      <w:r>
        <w:rPr>
          <w:rFonts w:hint="eastAsia" w:ascii="仿宋" w:hAnsi="仿宋" w:eastAsia="仿宋" w:cs="仿宋"/>
          <w:color w:val="000000"/>
          <w:sz w:val="24"/>
          <w:highlight w:val="none"/>
          <w:u w:val="single"/>
        </w:rPr>
        <w:t xml:space="preserve"> 2 </w:t>
      </w:r>
      <w:r>
        <w:rPr>
          <w:rFonts w:hint="eastAsia" w:ascii="仿宋" w:hAnsi="仿宋" w:eastAsia="仿宋" w:cs="仿宋"/>
          <w:color w:val="000000"/>
          <w:sz w:val="24"/>
          <w:highlight w:val="none"/>
        </w:rPr>
        <w:t>人。</w:t>
      </w:r>
    </w:p>
    <w:p w14:paraId="3F9F05C5">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20.2 磋商时间、地点、人员：</w:t>
      </w:r>
    </w:p>
    <w:p w14:paraId="33CBCA38">
      <w:pPr>
        <w:spacing w:line="440" w:lineRule="exact"/>
        <w:ind w:firstLine="480" w:firstLineChars="200"/>
        <w:rPr>
          <w:rFonts w:ascii="仿宋" w:hAnsi="仿宋" w:eastAsia="仿宋" w:cs="仿宋"/>
          <w:color w:val="000000"/>
          <w:sz w:val="24"/>
          <w:highlight w:val="none"/>
        </w:rPr>
      </w:pPr>
      <w:bookmarkStart w:id="103" w:name="_Toc9878"/>
      <w:r>
        <w:rPr>
          <w:rFonts w:hint="eastAsia" w:ascii="仿宋" w:hAnsi="仿宋" w:eastAsia="仿宋" w:cs="仿宋"/>
          <w:color w:val="000000"/>
          <w:sz w:val="24"/>
          <w:highlight w:val="none"/>
        </w:rPr>
        <w:t>20.2.1磋商时间：响应文件递交截止时间后。</w:t>
      </w:r>
      <w:bookmarkEnd w:id="103"/>
    </w:p>
    <w:p w14:paraId="6CFA825E">
      <w:pPr>
        <w:spacing w:line="440" w:lineRule="exact"/>
        <w:ind w:firstLine="480" w:firstLineChars="200"/>
        <w:rPr>
          <w:rFonts w:ascii="仿宋" w:hAnsi="仿宋" w:eastAsia="仿宋" w:cs="仿宋"/>
          <w:color w:val="000000"/>
          <w:sz w:val="24"/>
          <w:highlight w:val="none"/>
        </w:rPr>
      </w:pPr>
      <w:bookmarkStart w:id="104" w:name="_Toc29268"/>
      <w:r>
        <w:rPr>
          <w:rFonts w:hint="eastAsia" w:ascii="仿宋" w:hAnsi="仿宋" w:eastAsia="仿宋" w:cs="仿宋"/>
          <w:color w:val="000000"/>
          <w:sz w:val="24"/>
          <w:highlight w:val="none"/>
        </w:rPr>
        <w:t>20.2.2磋商地点：</w:t>
      </w:r>
      <w:bookmarkEnd w:id="104"/>
      <w:r>
        <w:rPr>
          <w:rFonts w:hint="eastAsia" w:ascii="仿宋" w:hAnsi="仿宋" w:eastAsia="仿宋" w:cs="仿宋"/>
          <w:color w:val="000000"/>
          <w:sz w:val="24"/>
          <w:highlight w:val="none"/>
        </w:rPr>
        <w:t>本项目需要磋商供应商代表在截标当天截标后，按磋商小组要求及时登陆广西政府采购云平台等候在线磋商。</w:t>
      </w:r>
    </w:p>
    <w:p w14:paraId="0322E01E">
      <w:pPr>
        <w:spacing w:line="440" w:lineRule="exact"/>
        <w:ind w:firstLine="480" w:firstLineChars="200"/>
        <w:rPr>
          <w:rFonts w:ascii="仿宋" w:hAnsi="仿宋" w:eastAsia="仿宋" w:cs="仿宋"/>
          <w:bCs/>
          <w:color w:val="000000"/>
          <w:sz w:val="24"/>
          <w:highlight w:val="none"/>
        </w:rPr>
      </w:pPr>
      <w:bookmarkStart w:id="105" w:name="_Toc21307"/>
      <w:r>
        <w:rPr>
          <w:rFonts w:hint="eastAsia" w:ascii="仿宋" w:hAnsi="仿宋" w:eastAsia="仿宋" w:cs="仿宋"/>
          <w:color w:val="000000"/>
          <w:sz w:val="24"/>
          <w:highlight w:val="none"/>
        </w:rPr>
        <w:t>20</w:t>
      </w:r>
      <w:r>
        <w:rPr>
          <w:rFonts w:hint="eastAsia" w:ascii="仿宋" w:hAnsi="仿宋" w:eastAsia="仿宋" w:cs="仿宋"/>
          <w:bCs/>
          <w:color w:val="000000"/>
          <w:sz w:val="24"/>
          <w:highlight w:val="none"/>
        </w:rPr>
        <w:t>.2.3磋商参加人员：供应商法定代表人、负责人、自然人或相应的委托代理人持</w:t>
      </w:r>
      <w:r>
        <w:rPr>
          <w:rFonts w:hint="eastAsia" w:ascii="仿宋" w:hAnsi="仿宋" w:eastAsia="仿宋" w:cs="仿宋"/>
          <w:bCs/>
          <w:color w:val="000000"/>
          <w:sz w:val="24"/>
          <w:highlight w:val="none"/>
          <w:u w:val="single"/>
        </w:rPr>
        <w:t>有效身份证原件</w:t>
      </w:r>
      <w:r>
        <w:rPr>
          <w:rFonts w:hint="eastAsia" w:ascii="仿宋" w:hAnsi="仿宋" w:eastAsia="仿宋" w:cs="仿宋"/>
          <w:bCs/>
          <w:color w:val="000000"/>
          <w:sz w:val="24"/>
          <w:highlight w:val="none"/>
        </w:rPr>
        <w:t>和供应商</w:t>
      </w:r>
      <w:r>
        <w:rPr>
          <w:rFonts w:hint="eastAsia" w:ascii="仿宋" w:hAnsi="仿宋" w:eastAsia="仿宋" w:cs="仿宋"/>
          <w:bCs/>
          <w:color w:val="000000"/>
          <w:sz w:val="24"/>
          <w:highlight w:val="none"/>
          <w:u w:val="single"/>
        </w:rPr>
        <w:t>广西政府采购云平台CA数字证书</w:t>
      </w:r>
      <w:r>
        <w:rPr>
          <w:rFonts w:hint="eastAsia" w:ascii="仿宋" w:hAnsi="仿宋" w:eastAsia="仿宋" w:cs="仿宋"/>
          <w:bCs/>
          <w:color w:val="000000"/>
          <w:sz w:val="24"/>
          <w:highlight w:val="none"/>
        </w:rPr>
        <w:t>参加磋商。请供应商按时到达指定地点等候磋商。</w:t>
      </w:r>
      <w:bookmarkEnd w:id="105"/>
    </w:p>
    <w:p w14:paraId="22B99788">
      <w:pPr>
        <w:spacing w:line="440" w:lineRule="exact"/>
        <w:ind w:firstLine="480" w:firstLineChars="200"/>
        <w:rPr>
          <w:rFonts w:ascii="仿宋" w:hAnsi="仿宋" w:eastAsia="仿宋" w:cs="仿宋"/>
          <w:bCs/>
          <w:color w:val="000000"/>
          <w:sz w:val="24"/>
          <w:highlight w:val="none"/>
        </w:rPr>
      </w:pPr>
      <w:bookmarkStart w:id="106" w:name="_Toc6288"/>
      <w:r>
        <w:rPr>
          <w:rFonts w:hint="eastAsia" w:ascii="仿宋" w:hAnsi="仿宋" w:eastAsia="仿宋" w:cs="仿宋"/>
          <w:bCs/>
          <w:color w:val="000000"/>
          <w:sz w:val="24"/>
          <w:highlight w:val="none"/>
        </w:rPr>
        <w:t>20.2.4响应文件递交截止时间后，由磋商小组在评标室内线上开启响应文件。</w:t>
      </w:r>
      <w:bookmarkEnd w:id="106"/>
    </w:p>
    <w:p w14:paraId="2F18F47E">
      <w:pPr>
        <w:pStyle w:val="4"/>
        <w:spacing w:before="0" w:after="0" w:line="440" w:lineRule="exact"/>
        <w:ind w:firstLine="482" w:firstLineChars="200"/>
        <w:rPr>
          <w:rFonts w:ascii="仿宋" w:hAnsi="仿宋" w:eastAsia="仿宋" w:cs="仿宋"/>
          <w:color w:val="000000"/>
          <w:sz w:val="24"/>
          <w:highlight w:val="none"/>
        </w:rPr>
      </w:pPr>
      <w:bookmarkStart w:id="107" w:name="_Toc25258"/>
      <w:bookmarkStart w:id="108" w:name="_Toc23222"/>
      <w:r>
        <w:rPr>
          <w:rFonts w:hint="eastAsia" w:ascii="仿宋" w:hAnsi="仿宋" w:eastAsia="仿宋" w:cs="仿宋"/>
          <w:color w:val="000000"/>
          <w:sz w:val="24"/>
          <w:highlight w:val="none"/>
        </w:rPr>
        <w:t>21. 评审原则</w:t>
      </w:r>
      <w:bookmarkEnd w:id="107"/>
      <w:bookmarkEnd w:id="108"/>
    </w:p>
    <w:p w14:paraId="19F5F234">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21.1 磋商小组必须坚持公平、公正、科学和择优的原则。</w:t>
      </w:r>
    </w:p>
    <w:p w14:paraId="5BE92829">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21.2 评审办法：综合评分法，具体详见第四章评审办法。</w:t>
      </w:r>
    </w:p>
    <w:p w14:paraId="6EE45AAE">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21.3 磋商小组应按磋商文件进行评审，不得擅自更改评审办法。</w:t>
      </w:r>
    </w:p>
    <w:p w14:paraId="2A95BE61">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21.4 在评审过程中，磋商小组任何人不得对某个供应商发表任何倾向性意见，不得向其他磋商小组成员明示或者暗示自己的评审意见。</w:t>
      </w:r>
    </w:p>
    <w:p w14:paraId="23B00E9C">
      <w:pPr>
        <w:spacing w:line="440" w:lineRule="exact"/>
        <w:ind w:firstLine="480" w:firstLineChars="200"/>
        <w:jc w:val="left"/>
        <w:rPr>
          <w:rFonts w:ascii="仿宋" w:hAnsi="仿宋" w:eastAsia="仿宋" w:cs="仿宋"/>
          <w:color w:val="000000"/>
          <w:sz w:val="24"/>
          <w:highlight w:val="none"/>
        </w:rPr>
      </w:pPr>
      <w:r>
        <w:rPr>
          <w:rFonts w:hint="eastAsia" w:ascii="仿宋" w:hAnsi="仿宋" w:eastAsia="仿宋" w:cs="仿宋"/>
          <w:color w:val="000000"/>
          <w:sz w:val="24"/>
          <w:highlight w:val="none"/>
        </w:rPr>
        <w:t>21.5 磋商小组成员对需要共同认定的事项存在争议的，按照少数服从多数的原则作出结论。持不同意见的磋商小组成员应当在评审报告上签署不同意见并说明理由，否则视为同意。</w:t>
      </w:r>
    </w:p>
    <w:p w14:paraId="0A059E17">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21.6 响应文件最后报价出现前后不一致的，除竞争性磋商文件另有规定外，按照下列规定修正：</w:t>
      </w:r>
    </w:p>
    <w:p w14:paraId="04F3DEE3">
      <w:pPr>
        <w:spacing w:line="440" w:lineRule="exact"/>
        <w:ind w:firstLine="480" w:firstLineChars="200"/>
        <w:jc w:val="left"/>
        <w:rPr>
          <w:rFonts w:ascii="仿宋" w:hAnsi="仿宋" w:eastAsia="仿宋" w:cs="仿宋"/>
          <w:color w:val="000000"/>
          <w:sz w:val="24"/>
          <w:highlight w:val="none"/>
        </w:rPr>
      </w:pPr>
      <w:r>
        <w:rPr>
          <w:rFonts w:hint="eastAsia" w:ascii="仿宋" w:hAnsi="仿宋" w:eastAsia="仿宋" w:cs="仿宋"/>
          <w:color w:val="000000"/>
          <w:sz w:val="24"/>
          <w:highlight w:val="none"/>
        </w:rPr>
        <w:t>（1）响应文件中磋商报价表内容与响应文件中相应内容不一致的，以最后磋商报价表为准；</w:t>
      </w:r>
    </w:p>
    <w:p w14:paraId="6225600B">
      <w:pPr>
        <w:spacing w:line="440" w:lineRule="exact"/>
        <w:ind w:firstLine="480" w:firstLineChars="200"/>
        <w:jc w:val="left"/>
        <w:rPr>
          <w:rFonts w:ascii="仿宋" w:hAnsi="仿宋" w:eastAsia="仿宋" w:cs="仿宋"/>
          <w:color w:val="000000"/>
          <w:sz w:val="24"/>
          <w:highlight w:val="none"/>
        </w:rPr>
      </w:pPr>
      <w:r>
        <w:rPr>
          <w:rFonts w:hint="eastAsia" w:ascii="仿宋" w:hAnsi="仿宋" w:eastAsia="仿宋" w:cs="仿宋"/>
          <w:color w:val="000000"/>
          <w:sz w:val="24"/>
          <w:highlight w:val="none"/>
        </w:rPr>
        <w:t>（2）大写金额和小写金额不一致的，以大写金额为准；</w:t>
      </w:r>
    </w:p>
    <w:p w14:paraId="057548FE">
      <w:pPr>
        <w:spacing w:line="440" w:lineRule="exact"/>
        <w:ind w:firstLine="480" w:firstLineChars="200"/>
        <w:jc w:val="left"/>
        <w:rPr>
          <w:rFonts w:ascii="仿宋" w:hAnsi="仿宋" w:eastAsia="仿宋" w:cs="仿宋"/>
          <w:color w:val="000000"/>
          <w:sz w:val="24"/>
          <w:highlight w:val="none"/>
        </w:rPr>
      </w:pPr>
      <w:r>
        <w:rPr>
          <w:rFonts w:hint="eastAsia" w:ascii="仿宋" w:hAnsi="仿宋" w:eastAsia="仿宋" w:cs="仿宋"/>
          <w:color w:val="000000"/>
          <w:sz w:val="24"/>
          <w:highlight w:val="none"/>
        </w:rPr>
        <w:t>（3）单价金额小数点或者百分比有明显错位的，以报价表的总价为准，并修改单价；</w:t>
      </w:r>
    </w:p>
    <w:p w14:paraId="46FAD7D5">
      <w:pPr>
        <w:spacing w:line="440" w:lineRule="exact"/>
        <w:ind w:firstLine="480" w:firstLineChars="200"/>
        <w:jc w:val="left"/>
        <w:rPr>
          <w:rFonts w:ascii="仿宋" w:hAnsi="仿宋" w:eastAsia="仿宋" w:cs="仿宋"/>
          <w:color w:val="000000"/>
          <w:sz w:val="24"/>
          <w:highlight w:val="none"/>
        </w:rPr>
      </w:pPr>
      <w:r>
        <w:rPr>
          <w:rFonts w:hint="eastAsia" w:ascii="仿宋" w:hAnsi="仿宋" w:eastAsia="仿宋" w:cs="仿宋"/>
          <w:color w:val="000000"/>
          <w:sz w:val="24"/>
          <w:highlight w:val="none"/>
        </w:rPr>
        <w:t>（4）总价金额与按单价汇总金额不一致的，以单价金额计算结果为准。</w:t>
      </w:r>
    </w:p>
    <w:p w14:paraId="6F7EA1E4">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7D57451D">
      <w:pPr>
        <w:pStyle w:val="4"/>
        <w:spacing w:before="0" w:after="0" w:line="440" w:lineRule="exact"/>
        <w:ind w:firstLine="482" w:firstLineChars="200"/>
        <w:rPr>
          <w:rFonts w:ascii="仿宋" w:hAnsi="仿宋" w:eastAsia="仿宋" w:cs="仿宋"/>
          <w:color w:val="000000"/>
          <w:sz w:val="24"/>
          <w:highlight w:val="none"/>
        </w:rPr>
      </w:pPr>
      <w:bookmarkStart w:id="109" w:name="_Toc2440"/>
      <w:bookmarkStart w:id="110" w:name="_Toc27193"/>
      <w:r>
        <w:rPr>
          <w:rFonts w:hint="eastAsia" w:ascii="仿宋" w:hAnsi="仿宋" w:eastAsia="仿宋" w:cs="仿宋"/>
          <w:color w:val="000000"/>
          <w:sz w:val="24"/>
          <w:highlight w:val="none"/>
        </w:rPr>
        <w:t>22. 评审程序及磋商要求</w:t>
      </w:r>
      <w:bookmarkEnd w:id="109"/>
      <w:bookmarkEnd w:id="110"/>
    </w:p>
    <w:p w14:paraId="7E38748A">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22.1磋商小组成员的通讯工具或相关电子设备交由桂林市公共资源交易中心统一保管后到达评标室，采购代理机构核实磋商小组成员身份，告知回避要求，宣布评审工作纪律和程序，推选磋商小组组长。</w:t>
      </w:r>
    </w:p>
    <w:p w14:paraId="11D176F8">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22.2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1393DFBF">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22.3 磋商小组依据竞争性磋商文件的规定，首先对响应文件进行资格性审查，以确定供应商是否具备本项 目供应商资格；再对通过资格性审查的供应商响应文件的有效性、完整性和对磋商文件的响应程度进行符合性 审查，以确定是否对磋商文件的实质性要求做出响应。 </w:t>
      </w:r>
    </w:p>
    <w:p w14:paraId="2CC4F072">
      <w:pPr>
        <w:spacing w:line="440" w:lineRule="exact"/>
        <w:ind w:firstLine="482" w:firstLineChars="200"/>
        <w:rPr>
          <w:rFonts w:ascii="仿宋" w:hAnsi="仿宋" w:eastAsia="仿宋" w:cs="仿宋"/>
          <w:b/>
          <w:bCs/>
          <w:color w:val="000000"/>
          <w:sz w:val="24"/>
          <w:highlight w:val="none"/>
        </w:rPr>
      </w:pPr>
      <w:r>
        <w:rPr>
          <w:rFonts w:hint="eastAsia" w:ascii="仿宋" w:hAnsi="仿宋" w:eastAsia="仿宋" w:cs="仿宋"/>
          <w:b/>
          <w:bCs/>
          <w:color w:val="000000"/>
          <w:sz w:val="24"/>
          <w:highlight w:val="none"/>
        </w:rPr>
        <w:t>22.4 磋商小组在对供应商进行资格性审查时，将对供应商企业股东及出资等信息进行查询。根据 《 中华人民共和国政府采购法实施条例 》 第十八条第一款规定，审查中如发现供应商存在单位负责人为同一人或者存在直接控股、管理关系的不同供应商参加同一合同项下的政府采购活动的，按响应文件无效处理 。</w:t>
      </w:r>
    </w:p>
    <w:p w14:paraId="404ED777">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22.4.1 查询渠道：《国家企业信用信息公示系统》（网址：www.gsxt.gov.cn/index.html）</w:t>
      </w:r>
    </w:p>
    <w:p w14:paraId="19CD76C9">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22.4.2 审查流程：</w:t>
      </w:r>
    </w:p>
    <w:p w14:paraId="2F9F585A">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（1）进入《国家企业信用信息公示系统》（网址：www.gsxt.gov.cn/index.html），输入企业名称，进入企业信息主页面；</w:t>
      </w:r>
    </w:p>
    <w:p w14:paraId="6B4E1262">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（2）查看主页“股东及出资信息”栏，或年报中的“股东及出资信息”栏信息；</w:t>
      </w:r>
    </w:p>
    <w:p w14:paraId="40A58E5C">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（3）将各供应商的股东及出资信息进行比对，得出审查结论；</w:t>
      </w:r>
    </w:p>
    <w:p w14:paraId="0ECA6BE9">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（4）将相关资料作为评审资料打印存档。</w:t>
      </w:r>
    </w:p>
    <w:p w14:paraId="4DD764F4">
      <w:pPr>
        <w:spacing w:line="440" w:lineRule="exact"/>
        <w:ind w:firstLine="482" w:firstLineChars="200"/>
        <w:rPr>
          <w:rFonts w:ascii="仿宋" w:hAnsi="仿宋" w:eastAsia="仿宋" w:cs="仿宋"/>
          <w:b/>
          <w:bCs/>
          <w:color w:val="000000"/>
          <w:sz w:val="24"/>
          <w:highlight w:val="none"/>
        </w:rPr>
      </w:pPr>
      <w:r>
        <w:rPr>
          <w:rFonts w:hint="eastAsia" w:ascii="仿宋" w:hAnsi="仿宋" w:eastAsia="仿宋" w:cs="仿宋"/>
          <w:b/>
          <w:bCs/>
          <w:color w:val="000000"/>
          <w:sz w:val="24"/>
          <w:highlight w:val="none"/>
        </w:rPr>
        <w:t>22.5 磋商小组如发现供应商提供的证明文件不齐全或不符合规定格式的，应一次性告知供应商，供应商应在规定的时间内线上补正或更正。</w:t>
      </w:r>
    </w:p>
    <w:p w14:paraId="69DAE6A6">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22.6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w:t>
      </w:r>
      <w:r>
        <w:rPr>
          <w:rFonts w:hint="eastAsia" w:ascii="仿宋" w:hAnsi="仿宋" w:eastAsia="仿宋" w:cs="仿宋"/>
          <w:sz w:val="24"/>
          <w:highlight w:val="none"/>
        </w:rPr>
        <w:t>个人CA签章)</w:t>
      </w:r>
      <w:r>
        <w:rPr>
          <w:rFonts w:hint="eastAsia" w:ascii="仿宋" w:hAnsi="仿宋" w:eastAsia="仿宋" w:cs="仿宋"/>
          <w:color w:val="000000"/>
          <w:sz w:val="24"/>
          <w:highlight w:val="none"/>
        </w:rPr>
        <w:t>或者加盖供应商公章（CA签章）。</w:t>
      </w:r>
    </w:p>
    <w:p w14:paraId="33857EF1">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根据磋商文件规定的程序、评定成交的标准等事项与实质性响应竞争性磋商文件要求的供应商进行磋商。 </w:t>
      </w:r>
    </w:p>
    <w:p w14:paraId="688BB31E">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未实质性响应磋商文件的响应文件按无效处理，磋商小组应当告知有关供应商。 </w:t>
      </w:r>
    </w:p>
    <w:p w14:paraId="5BDE9A90">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磋商小组所有成员应当按已确定的磋商顺序集中与单一供应商分别进行磋商，并给予所有实质性响应竞争性磋商文件要求的供应商平等的磋商机会。 </w:t>
      </w:r>
    </w:p>
    <w:p w14:paraId="25AF0E25">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磋商中，磋商小组不得透露与磋商有关的其他供应商的技术资料、价格和其他信息。 </w:t>
      </w:r>
    </w:p>
    <w:p w14:paraId="780CB7EE">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磋商小组对磋商过程和重要磋商内容进行记录，磋商双方在记录上签字确认。 </w:t>
      </w:r>
    </w:p>
    <w:p w14:paraId="45C3A084">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22.7当磋商小组一致确定磋商供应商的竞争性磋商响应文件能够详细列明采购标的的技术、服务要求且符合竞争性磋商文件要求，无需再磋商的，磋商小组按竞争性磋商文件设定的程序和综合评分法确定成交候选人。第一轮磋商后竞争性磋商文件有实质性变动或仍需磋商的，磋商小组对竞争性磋商文件变动或提出磋商意见后进行第二轮磋商。</w:t>
      </w:r>
    </w:p>
    <w:p w14:paraId="75259B4C">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22.8 在磋商过程中，磋商小组可以根据磋商文件和磋商情况实质性变动项目需求中的技术、服务要求以及合同草案条款，但不得变动磋商文件中的其他内容。实质性变动的内容，须经采购人代表确认。 </w:t>
      </w:r>
    </w:p>
    <w:p w14:paraId="6E7E5257">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对磋商文件作出的实质性变动是磋商文件的有效组成部分，磋商小组应当及时通过广西政府采购云平台同时通知所有参加磋商的供应商。 </w:t>
      </w:r>
    </w:p>
    <w:p w14:paraId="5E4B988E">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供应商应当按照磋商文件的变动情况和磋商小组的要求重新提交响应文件，并由其法定代表人、负责人、自然人或相应的授权委托代表签字（个人CA签章）或者加盖供应商公章(CA签章)。逾时不交的，视同放弃磋商。 </w:t>
      </w:r>
    </w:p>
    <w:p w14:paraId="4F4D4072">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22.9 第二轮磋商</w:t>
      </w:r>
    </w:p>
    <w:p w14:paraId="40BD70A4">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磋商小组集中就重新提交的响应文件或磋商小组提出的磋商意见与单一响应供应商分别进行磋商。磋商小组对磋商过程和重要磋商内容进行记录，磋商双方在记录上签字确认（CA签章确认）。</w:t>
      </w:r>
    </w:p>
    <w:p w14:paraId="0C70B131">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磋商后，供应商根据磋商小组统一整理的书面磋商记录要求做出书面承诺，并由其法定代表人或授权代表签字或者加盖公章（CA签章）后按时线上提交。</w:t>
      </w:r>
    </w:p>
    <w:p w14:paraId="2C6E2271">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当磋商小组一致确定供应商的竞争性磋商响应文件符合竞争性磋商文件要求，无需再磋商的，磋商小组按竞争性磋商文件设定的程序和评审方法确定成交候选人。第二轮磋商后竞争性磋商文件仍有实质性变动的或仍需磋商的，磋商小组对竞争性磋商文件变动或提出磋商意见后进行第三轮磋商。以此类推。</w:t>
      </w:r>
    </w:p>
    <w:p w14:paraId="4FB1F92F">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22.10 在采购过程中符合竞争要求的供应商或者报价未超过采购预算的供应商不足 3 家的，采购人或者采购代理机构应当终止竞争性磋商采购活动。 </w:t>
      </w:r>
    </w:p>
    <w:p w14:paraId="43E3B43B">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22.11 最后报价 </w:t>
      </w:r>
    </w:p>
    <w:p w14:paraId="21E28CD0">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22.11.1 磋商文件能够详细列明采购标的的技术、服务要求的，磋商结束后，磋商小组应当要求所有继续参加磋商的供应商在规定时间内线上提交最后报价，提交最后报价的供应商不得少于 3 家。 </w:t>
      </w:r>
    </w:p>
    <w:p w14:paraId="213C99D0">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22.11.2 磋商文件不能详细列明采购标的的技术、服务要求的，需由磋商供应商提供最终设计方案或解决方案的，磋商结束后，磋商小组应当按照少数服从多数的原则投票推荐 3 家以上（含 3 家）供应商的设计方案或者解决方案，并要求其在规定时间内线上提交最后报价。 </w:t>
      </w:r>
    </w:p>
    <w:p w14:paraId="255D078F">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22.11.3 根据《财政部关于政府采购竞争性磋商采购方式管理暂行办法有关问题的补充通知》(财库〔2014〕214 号)的规定，如采购项目为政府购买服务项目（含政府和社会资本合作项目），在采购过程中符合要求的供应商（社会资本）只有 2 家的，竞争性磋商采购活动可以继续进行，并要求其在规定时间内线上提交最后报价；采购过程中符合要求的供应商（社会资本）只有 1 家的，采购人或者采购代理机构应当终止竞争性磋商采购活动，发布项目终止公告并说明原因，重新开展采购活动。 </w:t>
      </w:r>
    </w:p>
    <w:p w14:paraId="1BF9B6A3">
      <w:pPr>
        <w:spacing w:line="440" w:lineRule="exact"/>
        <w:ind w:firstLine="480" w:firstLineChars="200"/>
        <w:rPr>
          <w:rFonts w:ascii="仿宋" w:hAnsi="仿宋" w:eastAsia="仿宋" w:cs="仿宋"/>
          <w:b/>
          <w:bCs/>
          <w:color w:val="000000"/>
          <w:sz w:val="24"/>
          <w:highlight w:val="none"/>
        </w:rPr>
      </w:pPr>
      <w:r>
        <w:rPr>
          <w:rFonts w:hint="eastAsia" w:ascii="仿宋" w:hAnsi="仿宋" w:eastAsia="仿宋" w:cs="仿宋"/>
          <w:color w:val="000000"/>
          <w:sz w:val="24"/>
          <w:highlight w:val="none"/>
        </w:rPr>
        <w:t>22.11.4 根据《政府采购竞争性磋商采购方式管理暂行办法》(财库〔2014〕214 号)的规定：</w:t>
      </w:r>
      <w:r>
        <w:rPr>
          <w:rFonts w:hint="eastAsia" w:ascii="仿宋" w:hAnsi="仿宋" w:eastAsia="仿宋" w:cs="仿宋"/>
          <w:b/>
          <w:bCs/>
          <w:color w:val="000000"/>
          <w:sz w:val="24"/>
          <w:highlight w:val="none"/>
        </w:rPr>
        <w:t xml:space="preserve">最后报价是供应商响应文件的有效组成部分。 </w:t>
      </w:r>
      <w:r>
        <w:rPr>
          <w:rFonts w:hint="eastAsia" w:ascii="仿宋" w:hAnsi="仿宋" w:eastAsia="仿宋" w:cs="仿宋"/>
          <w:color w:val="000000"/>
          <w:sz w:val="24"/>
          <w:highlight w:val="none"/>
        </w:rPr>
        <w:t>符合本办法(财库〔2014〕214号文)第三条第四项情形的，提交最后报价的供应商可以为2家。</w:t>
      </w:r>
      <w:r>
        <w:rPr>
          <w:rFonts w:hint="eastAsia" w:ascii="仿宋" w:hAnsi="仿宋" w:eastAsia="仿宋" w:cs="仿宋"/>
          <w:b/>
          <w:bCs/>
          <w:color w:val="000000"/>
          <w:sz w:val="24"/>
          <w:highlight w:val="none"/>
        </w:rPr>
        <w:t>（财库〔2014〕214号文第三条第四项：市场竞争不充分的科研项目，以及需要扶持的科技成果转化项目。）</w:t>
      </w:r>
    </w:p>
    <w:p w14:paraId="3CE8E600">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22.12 已提交响应文件的供应商，在提交最后报价之前，可以根据磋商情况书面退出磋商。 </w:t>
      </w:r>
    </w:p>
    <w:p w14:paraId="4833C157">
      <w:pPr>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未书面退出磋商的供应商在规定时间内线上提交最后报价，其最后报价超出采购预算导致已通过评审的响应文件无效的，按供应商在提交响应文件截止时间后撤回响应文件处理。 </w:t>
      </w:r>
    </w:p>
    <w:p w14:paraId="6F94CC23">
      <w:pPr>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22.13</w:t>
      </w:r>
      <w:r>
        <w:rPr>
          <w:rFonts w:hint="eastAsia" w:ascii="仿宋" w:hAnsi="仿宋" w:eastAsia="仿宋" w:cs="仿宋"/>
          <w:color w:val="000000"/>
          <w:sz w:val="24"/>
          <w:highlight w:val="none"/>
        </w:rPr>
        <w:t>根据《关于推动解决政府采购异常低价问题的通知》</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财库〔2026〕2号</w:t>
      </w:r>
      <w:r>
        <w:rPr>
          <w:rFonts w:hint="eastAsia" w:ascii="仿宋" w:hAnsi="仿宋" w:eastAsia="仿宋" w:cs="仿宋"/>
          <w:color w:val="000000"/>
          <w:sz w:val="24"/>
          <w:highlight w:val="none"/>
          <w:lang w:eastAsia="zh-CN"/>
        </w:rPr>
        <w:t>）规定</w:t>
      </w:r>
      <w:r>
        <w:rPr>
          <w:rFonts w:hint="eastAsia" w:ascii="仿宋" w:hAnsi="仿宋" w:eastAsia="仿宋" w:cs="仿宋"/>
          <w:color w:val="000000"/>
          <w:sz w:val="24"/>
          <w:highlight w:val="none"/>
        </w:rPr>
        <w:t>，政府采购评审中出现下列情形之一的，</w:t>
      </w:r>
      <w:r>
        <w:rPr>
          <w:rFonts w:hint="eastAsia" w:ascii="仿宋" w:hAnsi="仿宋" w:eastAsia="仿宋" w:cs="仿宋"/>
          <w:color w:val="000000"/>
          <w:sz w:val="24"/>
          <w:highlight w:val="none"/>
          <w:lang w:eastAsia="zh-CN"/>
        </w:rPr>
        <w:t>磋商小组</w:t>
      </w:r>
      <w:r>
        <w:rPr>
          <w:rFonts w:hint="eastAsia" w:ascii="仿宋" w:hAnsi="仿宋" w:eastAsia="仿宋" w:cs="仿宋"/>
          <w:color w:val="000000"/>
          <w:sz w:val="24"/>
          <w:highlight w:val="none"/>
        </w:rPr>
        <w:t>应当启动异常低价投标（响应）审查程序： </w:t>
      </w:r>
    </w:p>
    <w:p w14:paraId="45B21D41">
      <w:pPr>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1</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投标（响应）报价低于全部通过符合性审查供应商投标（响应）报价平均值50%的，即投标（响应）报价&lt;全部通过符合性审查供应商投标（响应）报价平均值×50%； </w:t>
      </w:r>
    </w:p>
    <w:p w14:paraId="619F1F09">
      <w:pPr>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投标（响应）报价低于通过符合性审查的次低报价供应商投标（响应）报价50%的，即投标（响应）报价&lt;通过符合性审查的次低报价供应商投标（响应）报价×50%； </w:t>
      </w:r>
    </w:p>
    <w:p w14:paraId="36851720">
      <w:pPr>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投标（响应）报价低于采购项目最高限价45%的，即投标（响应）报价&lt;采购项目最高限价×45%； </w:t>
      </w:r>
    </w:p>
    <w:p w14:paraId="4A31A48B">
      <w:pPr>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lang w:eastAsia="zh-CN"/>
        </w:rPr>
        <w:t>）磋商小组</w:t>
      </w:r>
      <w:r>
        <w:rPr>
          <w:rFonts w:hint="eastAsia" w:ascii="仿宋" w:hAnsi="仿宋" w:eastAsia="仿宋" w:cs="仿宋"/>
          <w:color w:val="000000"/>
          <w:sz w:val="24"/>
          <w:highlight w:val="none"/>
        </w:rPr>
        <w:t>基于专业判断，认为供应商报价过低，有可能影响产品质量或者不能诚信履约的其他情形。 </w:t>
      </w:r>
    </w:p>
    <w:p w14:paraId="005AC098">
      <w:pPr>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eastAsia="zh-CN"/>
        </w:rPr>
        <w:t>磋商小组</w:t>
      </w:r>
      <w:r>
        <w:rPr>
          <w:rFonts w:hint="eastAsia" w:ascii="仿宋" w:hAnsi="仿宋" w:eastAsia="仿宋" w:cs="仿宋"/>
          <w:color w:val="000000"/>
          <w:sz w:val="24"/>
          <w:highlight w:val="none"/>
        </w:rPr>
        <w:t>启动异常低价投标（响应）审查后，属于前述第1项至第4项情形的，应当要求相关供应商在</w:t>
      </w:r>
      <w:r>
        <w:rPr>
          <w:rFonts w:hint="eastAsia" w:ascii="仿宋" w:hAnsi="仿宋" w:eastAsia="仿宋" w:cs="仿宋"/>
          <w:color w:val="000000"/>
          <w:sz w:val="24"/>
          <w:highlight w:val="none"/>
          <w:lang w:eastAsia="zh-CN"/>
        </w:rPr>
        <w:t>磋商小组</w:t>
      </w:r>
      <w:r>
        <w:rPr>
          <w:rFonts w:hint="eastAsia" w:ascii="仿宋" w:hAnsi="仿宋" w:eastAsia="仿宋" w:cs="仿宋"/>
          <w:color w:val="000000"/>
          <w:sz w:val="24"/>
          <w:highlight w:val="none"/>
        </w:rPr>
        <w:t>要求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投标（响应）供应商不能提供书面说明、证明材料，或者提供的书面说明、证明材料不能证明其报价合理性的，</w:t>
      </w:r>
      <w:r>
        <w:rPr>
          <w:rFonts w:hint="eastAsia" w:ascii="仿宋" w:hAnsi="仿宋" w:eastAsia="仿宋" w:cs="仿宋"/>
          <w:color w:val="000000"/>
          <w:sz w:val="24"/>
          <w:highlight w:val="none"/>
          <w:lang w:eastAsia="zh-CN"/>
        </w:rPr>
        <w:t>磋商小组</w:t>
      </w:r>
      <w:r>
        <w:rPr>
          <w:rFonts w:hint="eastAsia" w:ascii="仿宋" w:hAnsi="仿宋" w:eastAsia="仿宋" w:cs="仿宋"/>
          <w:color w:val="000000"/>
          <w:sz w:val="24"/>
          <w:highlight w:val="none"/>
        </w:rPr>
        <w:t>应当将其作为无效投标（响应）处理。 异常低价投标（响应）审查的启动原因、审查意见和审查结果应当在评审报告中记录</w:t>
      </w:r>
      <w:r>
        <w:rPr>
          <w:rFonts w:hint="eastAsia" w:ascii="仿宋" w:hAnsi="仿宋" w:eastAsia="仿宋" w:cs="仿宋"/>
          <w:color w:val="000000"/>
          <w:sz w:val="24"/>
          <w:highlight w:val="none"/>
          <w:lang w:eastAsia="zh-CN"/>
        </w:rPr>
        <w:t>。</w:t>
      </w:r>
    </w:p>
    <w:p w14:paraId="70788F44">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22.1</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 xml:space="preserve"> 评审报告 </w:t>
      </w:r>
    </w:p>
    <w:p w14:paraId="698BA12C">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磋商小组应当从质量和服务均能满足磋商文件全部实质性响应要求的供应商中，按照最后综合得分由高到低的顺序提出 3 名以上（含 3 名）成交候选人，并编写评审报告。</w:t>
      </w:r>
    </w:p>
    <w:p w14:paraId="48A769D1">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22.1</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rPr>
        <w:t xml:space="preserve"> 在评审过程中出现法律法规和磋商文件均没有明确规定的情形时，由磋商小组现场协商解决，协商不一致的，由全体磋商小组投票表决，以得票率二分之一以上磋商小组成员的意见为准。 </w:t>
      </w:r>
    </w:p>
    <w:p w14:paraId="75A88A1A">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22.1</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 xml:space="preserve"> 采购代理机构发现磋商小组有明显的违规倾向或歧视现象，或不按评审办法进行，或其他不正常行为的，应当及时制止。如制止无效，应及时向桂林市政府采购监督管理机构报告。</w:t>
      </w:r>
    </w:p>
    <w:p w14:paraId="04A58F12">
      <w:pPr>
        <w:spacing w:line="440" w:lineRule="exact"/>
        <w:ind w:firstLine="480" w:firstLineChars="200"/>
        <w:rPr>
          <w:rFonts w:ascii="仿宋" w:hAnsi="仿宋" w:eastAsia="仿宋" w:cs="仿宋"/>
          <w:b/>
          <w:bCs/>
          <w:color w:val="000000"/>
          <w:sz w:val="24"/>
          <w:highlight w:val="none"/>
        </w:rPr>
      </w:pPr>
      <w:r>
        <w:rPr>
          <w:rFonts w:hint="eastAsia" w:ascii="仿宋" w:hAnsi="仿宋" w:eastAsia="仿宋" w:cs="仿宋"/>
          <w:color w:val="000000"/>
          <w:sz w:val="24"/>
          <w:highlight w:val="none"/>
        </w:rPr>
        <w:t>22.1</w:t>
      </w:r>
      <w:r>
        <w:rPr>
          <w:rFonts w:hint="eastAsia" w:ascii="仿宋" w:hAnsi="仿宋" w:eastAsia="仿宋" w:cs="仿宋"/>
          <w:color w:val="000000"/>
          <w:sz w:val="24"/>
          <w:highlight w:val="none"/>
          <w:lang w:val="en-US" w:eastAsia="zh-CN"/>
        </w:rPr>
        <w:t>7</w:t>
      </w:r>
      <w:r>
        <w:rPr>
          <w:rFonts w:hint="eastAsia" w:ascii="仿宋" w:hAnsi="仿宋" w:eastAsia="仿宋" w:cs="仿宋"/>
          <w:color w:val="000000"/>
          <w:sz w:val="24"/>
          <w:highlight w:val="none"/>
        </w:rPr>
        <w:t xml:space="preserve"> 本采购项目的评审依据为竞争性磋商文件和竞争性磋商响应文件，采用的评审方法为</w:t>
      </w:r>
      <w:r>
        <w:rPr>
          <w:rFonts w:hint="eastAsia" w:ascii="仿宋" w:hAnsi="仿宋" w:eastAsia="仿宋" w:cs="仿宋"/>
          <w:b/>
          <w:bCs/>
          <w:color w:val="000000"/>
          <w:sz w:val="24"/>
          <w:highlight w:val="none"/>
        </w:rPr>
        <w:t>综合评分法。</w:t>
      </w:r>
    </w:p>
    <w:p w14:paraId="497B1196">
      <w:pPr>
        <w:pStyle w:val="4"/>
        <w:spacing w:before="0" w:after="0" w:line="440" w:lineRule="exact"/>
        <w:ind w:firstLine="482" w:firstLineChars="200"/>
        <w:rPr>
          <w:rFonts w:ascii="仿宋" w:hAnsi="仿宋" w:eastAsia="仿宋" w:cs="仿宋"/>
          <w:color w:val="000000"/>
          <w:sz w:val="24"/>
          <w:highlight w:val="none"/>
        </w:rPr>
      </w:pPr>
      <w:bookmarkStart w:id="111" w:name="_Toc13794"/>
      <w:bookmarkStart w:id="112" w:name="_Toc32470"/>
      <w:r>
        <w:rPr>
          <w:rFonts w:hint="eastAsia" w:ascii="仿宋" w:hAnsi="仿宋" w:eastAsia="仿宋" w:cs="仿宋"/>
          <w:color w:val="000000"/>
          <w:sz w:val="24"/>
          <w:highlight w:val="none"/>
        </w:rPr>
        <w:t>23. 确定成交供应商</w:t>
      </w:r>
      <w:bookmarkEnd w:id="111"/>
      <w:bookmarkEnd w:id="112"/>
    </w:p>
    <w:p w14:paraId="58DC0CB5">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23.1磋商小组应当根据综合得分情况，按照综合得分由高到低顺序推荐成交候选人，并编写评审报告。磋商小组应当根据综合得分由高到低排列次序，若得分相同时，以最后报价由低到高顺序排列；若仍相同的，依次按服务方案、售后服务承诺、履约能力分由高到低顺序排列并推荐成交候选供应商。</w:t>
      </w:r>
    </w:p>
    <w:p w14:paraId="00706CA3">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23.2采购单位应当确定磋商小组推荐排名第一的成交候选人为成交供应商。</w:t>
      </w:r>
    </w:p>
    <w:p w14:paraId="6CE606C4">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23.3排名第一的成交候选人放弃成交、因不可抗力提出不能履行合同，或信用信息记录不符合相关规定的，或者磋商文件规定应当提交履约保证金而在规定的期限内未能提交的（本项目免收履约保证金。），采购单位可以确定排名第二的成交候选人为成交供应商。</w:t>
      </w:r>
    </w:p>
    <w:p w14:paraId="1F17BDF8">
      <w:pPr>
        <w:spacing w:line="440" w:lineRule="exact"/>
        <w:ind w:firstLine="480" w:firstLineChars="200"/>
        <w:rPr>
          <w:highlight w:val="none"/>
        </w:rPr>
      </w:pPr>
      <w:r>
        <w:rPr>
          <w:rFonts w:hint="eastAsia" w:ascii="仿宋" w:hAnsi="仿宋" w:eastAsia="仿宋" w:cs="仿宋"/>
          <w:color w:val="000000"/>
          <w:sz w:val="24"/>
          <w:highlight w:val="none"/>
        </w:rPr>
        <w:t>23.4排名第二的成交候选人因前款规定的同样原因不能签订合同的，采购单位可以确定排名第三的成交候选人为成交供应商。</w:t>
      </w:r>
    </w:p>
    <w:p w14:paraId="0151A448">
      <w:pPr>
        <w:pStyle w:val="4"/>
        <w:spacing w:before="0" w:after="0" w:line="440" w:lineRule="exact"/>
        <w:ind w:firstLine="482" w:firstLineChars="200"/>
        <w:rPr>
          <w:rFonts w:ascii="仿宋" w:hAnsi="仿宋" w:eastAsia="仿宋" w:cs="仿宋"/>
          <w:color w:val="000000"/>
          <w:sz w:val="24"/>
          <w:highlight w:val="none"/>
        </w:rPr>
      </w:pPr>
      <w:bookmarkStart w:id="113" w:name="_Toc11990"/>
      <w:bookmarkStart w:id="114" w:name="_Toc21715"/>
      <w:r>
        <w:rPr>
          <w:rFonts w:hint="eastAsia" w:ascii="仿宋" w:hAnsi="仿宋" w:eastAsia="仿宋" w:cs="仿宋"/>
          <w:color w:val="000000"/>
          <w:sz w:val="24"/>
          <w:highlight w:val="none"/>
        </w:rPr>
        <w:t>24. 属于下列情况之一者，响应文件无效</w:t>
      </w:r>
      <w:bookmarkEnd w:id="113"/>
      <w:bookmarkEnd w:id="114"/>
    </w:p>
    <w:p w14:paraId="6EAF2B61">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（1）未按磋商文件规定完整线上提交响应文件或未按规定要求线上签字、签章的；</w:t>
      </w:r>
    </w:p>
    <w:p w14:paraId="022151DD">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（2）不具备磋商文件规定的资格要求的；</w:t>
      </w:r>
    </w:p>
    <w:p w14:paraId="346D0178">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（3）响应文件未按磋商文件的内容和要求编制，或提供虚假材料的；</w:t>
      </w:r>
    </w:p>
    <w:p w14:paraId="743E254E">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（4）响应文件有效期、交货时间、免费保修期（升级、维护）期/维护期、售后服务不能满足磋商文件要求的；</w:t>
      </w:r>
    </w:p>
    <w:p w14:paraId="68DB2D72">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（5）供应商未就“采购需求”中的所有内容作完整唯一报价的，或报价超出采购预算总金额的；</w:t>
      </w:r>
    </w:p>
    <w:p w14:paraId="141346E8">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（6）未在磋商小组规定的时间内提交响应文件(包括最后报价)的；</w:t>
      </w:r>
    </w:p>
    <w:p w14:paraId="353E7800">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（7）超越了按照法律法规规定必须获得行政许可或者行政审批的经营范围的；</w:t>
      </w:r>
    </w:p>
    <w:p w14:paraId="00D15AE6">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（8）未满足磋商文件实质性要求的或者响应文件有采购人不能接受的附加条件的；</w:t>
      </w:r>
    </w:p>
    <w:p w14:paraId="0CD98D2E">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（9）响应文件实质性要求未做变动，供应商最后报价高于第一次报价的；</w:t>
      </w:r>
    </w:p>
    <w:p w14:paraId="4AB9FF6B">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（10）不符合法律、法规和磋商文件规定的其他实质性要求和条件的。</w:t>
      </w:r>
    </w:p>
    <w:p w14:paraId="5ACF4890">
      <w:pPr>
        <w:spacing w:line="440" w:lineRule="exact"/>
        <w:ind w:firstLine="482" w:firstLineChars="200"/>
        <w:rPr>
          <w:rFonts w:ascii="仿宋" w:hAnsi="仿宋" w:eastAsia="仿宋" w:cs="仿宋"/>
          <w:b/>
          <w:bCs/>
          <w:color w:val="000000"/>
          <w:sz w:val="24"/>
          <w:highlight w:val="none"/>
        </w:rPr>
      </w:pPr>
      <w:r>
        <w:rPr>
          <w:rFonts w:hint="eastAsia" w:ascii="仿宋" w:hAnsi="仿宋" w:eastAsia="仿宋" w:cs="仿宋"/>
          <w:b/>
          <w:bCs/>
          <w:color w:val="000000"/>
          <w:sz w:val="24"/>
          <w:highlight w:val="none"/>
        </w:rPr>
        <w:t>供应商有下列情形之一的视为供应商相互串通磋商，响应文件将被视为无效</w:t>
      </w:r>
    </w:p>
    <w:p w14:paraId="5C7A8608">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（1）不同供应商的响应文件由同一单位或者个人编制；或不同供应商报名的IP地址一致的；</w:t>
      </w:r>
    </w:p>
    <w:p w14:paraId="0D1DC94D">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（2）不同供应商委托同一单位或者个人办理磋商事宜；</w:t>
      </w:r>
    </w:p>
    <w:p w14:paraId="22CED342">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（3）不同的供应商的响应文件载明的项目管理员为同一个人；</w:t>
      </w:r>
    </w:p>
    <w:p w14:paraId="65E560AF">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（4）不同供应商的响应文件异常一致或竞标报价呈规律性差异；</w:t>
      </w:r>
    </w:p>
    <w:p w14:paraId="7A417007">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（5）不同供应商的响应文件相互混编。</w:t>
      </w:r>
    </w:p>
    <w:p w14:paraId="11658529">
      <w:pPr>
        <w:pStyle w:val="4"/>
        <w:spacing w:before="0" w:after="0" w:line="440" w:lineRule="exact"/>
        <w:ind w:firstLine="482" w:firstLineChars="200"/>
        <w:rPr>
          <w:rFonts w:ascii="仿宋" w:hAnsi="仿宋" w:eastAsia="仿宋" w:cs="仿宋"/>
          <w:color w:val="000000"/>
          <w:sz w:val="24"/>
          <w:highlight w:val="none"/>
        </w:rPr>
      </w:pPr>
      <w:bookmarkStart w:id="115" w:name="_Toc5714"/>
      <w:bookmarkStart w:id="116" w:name="_Toc4259"/>
      <w:r>
        <w:rPr>
          <w:rFonts w:hint="eastAsia" w:ascii="仿宋" w:hAnsi="仿宋" w:eastAsia="仿宋" w:cs="仿宋"/>
          <w:color w:val="000000"/>
          <w:sz w:val="24"/>
          <w:highlight w:val="none"/>
        </w:rPr>
        <w:t>25. 出现下列情形之一的，采购人或者采购代理机构应当终止竞争性磋商采购活动，发布项目终止公告并说明原因，重新开展采购活动</w:t>
      </w:r>
      <w:bookmarkEnd w:id="115"/>
      <w:bookmarkEnd w:id="116"/>
    </w:p>
    <w:p w14:paraId="73F0E723">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（1）因情况变化，不再符合规定的竞争性磋商采购方式适用情形的；</w:t>
      </w:r>
    </w:p>
    <w:p w14:paraId="771E8237">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（2）出现影响采购公正的违法、违规行为的； </w:t>
      </w:r>
    </w:p>
    <w:p w14:paraId="14FDC10E">
      <w:pPr>
        <w:spacing w:line="440" w:lineRule="exact"/>
        <w:ind w:firstLine="480" w:firstLineChars="200"/>
        <w:rPr>
          <w:rFonts w:ascii="仿宋" w:hAnsi="仿宋" w:eastAsia="仿宋" w:cs="仿宋"/>
          <w:b/>
          <w:bCs/>
          <w:color w:val="000000"/>
          <w:sz w:val="24"/>
          <w:highlight w:val="none"/>
        </w:rPr>
      </w:pPr>
      <w:r>
        <w:rPr>
          <w:rFonts w:hint="eastAsia" w:ascii="仿宋" w:hAnsi="仿宋" w:eastAsia="仿宋" w:cs="仿宋"/>
          <w:color w:val="000000"/>
          <w:sz w:val="24"/>
          <w:highlight w:val="none"/>
        </w:rPr>
        <w:t>（3）在采购过程中符合竞争要求的供应商或者报价未超过采购预算的供应商不足3家的。</w:t>
      </w:r>
      <w:r>
        <w:rPr>
          <w:rFonts w:hint="eastAsia" w:ascii="仿宋" w:hAnsi="仿宋" w:eastAsia="仿宋" w:cs="仿宋"/>
          <w:b/>
          <w:bCs/>
          <w:color w:val="000000"/>
          <w:sz w:val="24"/>
          <w:highlight w:val="none"/>
        </w:rPr>
        <w:t xml:space="preserve">（除财库〔2014〕214 号《政府采购竞争性磋商采购方式管理暂行办法》第二十一条第三款规定的情形外） </w:t>
      </w:r>
    </w:p>
    <w:p w14:paraId="52299BEA">
      <w:pPr>
        <w:pStyle w:val="4"/>
        <w:spacing w:before="0" w:after="0" w:line="440" w:lineRule="exact"/>
        <w:ind w:firstLine="482" w:firstLineChars="200"/>
        <w:rPr>
          <w:rFonts w:ascii="仿宋" w:hAnsi="仿宋" w:eastAsia="仿宋" w:cs="仿宋"/>
          <w:color w:val="000000"/>
          <w:sz w:val="24"/>
          <w:highlight w:val="none"/>
        </w:rPr>
      </w:pPr>
      <w:bookmarkStart w:id="117" w:name="_Toc28973"/>
      <w:bookmarkStart w:id="118" w:name="_Toc19105"/>
      <w:r>
        <w:rPr>
          <w:rFonts w:hint="eastAsia" w:ascii="仿宋" w:hAnsi="仿宋" w:eastAsia="仿宋" w:cs="仿宋"/>
          <w:color w:val="000000"/>
          <w:sz w:val="24"/>
          <w:highlight w:val="none"/>
        </w:rPr>
        <w:t>26. 磋商过程的监控</w:t>
      </w:r>
      <w:bookmarkEnd w:id="117"/>
      <w:bookmarkEnd w:id="118"/>
    </w:p>
    <w:p w14:paraId="709D608B">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本项目磋商过程实行全程录音、录像监控，供应商在磋商过程中所进行的试图影响磋商结果的不公正活动，可能导致其磋商被拒绝。</w:t>
      </w:r>
    </w:p>
    <w:p w14:paraId="2B1C8F27">
      <w:pPr>
        <w:pStyle w:val="4"/>
        <w:numPr>
          <w:ilvl w:val="0"/>
          <w:numId w:val="5"/>
        </w:numPr>
        <w:spacing w:before="0" w:after="0" w:line="440" w:lineRule="exact"/>
        <w:ind w:firstLine="482" w:firstLineChars="200"/>
        <w:rPr>
          <w:rFonts w:ascii="仿宋" w:hAnsi="仿宋" w:eastAsia="仿宋" w:cs="仿宋"/>
          <w:color w:val="000000"/>
          <w:sz w:val="24"/>
          <w:highlight w:val="none"/>
        </w:rPr>
      </w:pPr>
      <w:bookmarkStart w:id="119" w:name="_Toc14829"/>
      <w:bookmarkStart w:id="120" w:name="_Toc14787"/>
      <w:r>
        <w:rPr>
          <w:rFonts w:hint="eastAsia" w:ascii="仿宋" w:hAnsi="仿宋" w:eastAsia="仿宋" w:cs="仿宋"/>
          <w:color w:val="000000"/>
          <w:sz w:val="24"/>
          <w:highlight w:val="none"/>
        </w:rPr>
        <w:t>信用查询</w:t>
      </w:r>
      <w:bookmarkEnd w:id="119"/>
      <w:bookmarkEnd w:id="120"/>
    </w:p>
    <w:p w14:paraId="79487945">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根据《关于做好政府采购有关信用主体标识码登记及在政府采购活动中查询使用信用记录有关问题的通知》桂财采〔2016〕37号的通知，采购代理机构对成交人的成交资格进行信用查询：</w:t>
      </w:r>
    </w:p>
    <w:p w14:paraId="56A46E60">
      <w:pPr>
        <w:spacing w:line="440" w:lineRule="exact"/>
        <w:ind w:firstLine="240" w:firstLineChars="100"/>
        <w:rPr>
          <w:rFonts w:ascii="仿宋" w:hAnsi="仿宋" w:eastAsia="仿宋" w:cs="仿宋"/>
          <w:color w:val="000000"/>
          <w:sz w:val="24"/>
          <w:highlight w:val="none"/>
        </w:rPr>
      </w:pPr>
      <w:r>
        <w:rPr>
          <w:rFonts w:hint="eastAsia" w:ascii="仿宋" w:hAnsi="仿宋" w:eastAsia="仿宋" w:cs="仿宋"/>
          <w:color w:val="000000"/>
          <w:sz w:val="24"/>
          <w:highlight w:val="none"/>
        </w:rPr>
        <w:t>（1）查询渠道：“信用中国”网站(www.creditchina.gov.cn)、中国政府采购网(www.ccgp.gov.cn)等；</w:t>
      </w:r>
    </w:p>
    <w:p w14:paraId="0D8398A8">
      <w:pPr>
        <w:spacing w:line="440" w:lineRule="exact"/>
        <w:ind w:firstLine="240" w:firstLineChars="100"/>
        <w:rPr>
          <w:rFonts w:ascii="仿宋" w:hAnsi="仿宋" w:eastAsia="仿宋" w:cs="仿宋"/>
          <w:color w:val="000000"/>
          <w:sz w:val="24"/>
          <w:highlight w:val="none"/>
        </w:rPr>
      </w:pPr>
      <w:r>
        <w:rPr>
          <w:rFonts w:hint="eastAsia" w:ascii="仿宋" w:hAnsi="仿宋" w:eastAsia="仿宋" w:cs="仿宋"/>
          <w:color w:val="000000"/>
          <w:sz w:val="24"/>
          <w:highlight w:val="none"/>
        </w:rPr>
        <w:t>（2）查询时间：成交通知书发出前；</w:t>
      </w:r>
    </w:p>
    <w:p w14:paraId="4C3C39A0">
      <w:pPr>
        <w:spacing w:line="440" w:lineRule="exact"/>
        <w:ind w:firstLine="240" w:firstLineChars="100"/>
        <w:rPr>
          <w:rFonts w:ascii="仿宋" w:hAnsi="仿宋" w:eastAsia="仿宋" w:cs="仿宋"/>
          <w:color w:val="000000"/>
          <w:sz w:val="24"/>
          <w:highlight w:val="none"/>
        </w:rPr>
      </w:pPr>
      <w:r>
        <w:rPr>
          <w:rFonts w:hint="eastAsia" w:ascii="仿宋" w:hAnsi="仿宋" w:eastAsia="仿宋" w:cs="仿宋"/>
          <w:color w:val="000000"/>
          <w:sz w:val="24"/>
          <w:highlight w:val="none"/>
        </w:rPr>
        <w:t>（3）信用信息查询记录和证据留存方式：在查询网站中直接打印查询记录，打印材料作为采购活动资料保存。</w:t>
      </w:r>
    </w:p>
    <w:p w14:paraId="4882BF27">
      <w:pPr>
        <w:spacing w:line="440" w:lineRule="exact"/>
        <w:ind w:firstLine="240" w:firstLineChars="100"/>
        <w:rPr>
          <w:rFonts w:ascii="仿宋" w:hAnsi="仿宋" w:eastAsia="仿宋" w:cs="仿宋"/>
          <w:color w:val="000000"/>
          <w:sz w:val="24"/>
          <w:highlight w:val="none"/>
        </w:rPr>
      </w:pPr>
      <w:r>
        <w:rPr>
          <w:rFonts w:hint="eastAsia" w:ascii="仿宋" w:hAnsi="仿宋" w:eastAsia="仿宋" w:cs="仿宋"/>
          <w:color w:val="000000"/>
          <w:sz w:val="24"/>
          <w:highlight w:val="none"/>
        </w:rPr>
        <w:t>（4）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098F35D1">
      <w:pPr>
        <w:pStyle w:val="4"/>
        <w:spacing w:before="0" w:after="0" w:line="440" w:lineRule="exact"/>
        <w:ind w:firstLine="482" w:firstLineChars="200"/>
        <w:rPr>
          <w:rFonts w:ascii="仿宋" w:hAnsi="仿宋" w:eastAsia="仿宋" w:cs="仿宋"/>
          <w:color w:val="000000"/>
          <w:sz w:val="24"/>
          <w:highlight w:val="none"/>
        </w:rPr>
      </w:pPr>
      <w:bookmarkStart w:id="121" w:name="_Toc27656"/>
      <w:bookmarkStart w:id="122" w:name="_Toc9438"/>
      <w:r>
        <w:rPr>
          <w:rFonts w:hint="eastAsia" w:ascii="仿宋" w:hAnsi="仿宋" w:eastAsia="仿宋" w:cs="仿宋"/>
          <w:color w:val="000000"/>
          <w:sz w:val="24"/>
          <w:highlight w:val="none"/>
        </w:rPr>
        <w:t>28. 成交结果公告及成交通知书</w:t>
      </w:r>
      <w:bookmarkEnd w:id="121"/>
      <w:bookmarkEnd w:id="122"/>
    </w:p>
    <w:p w14:paraId="6BF55CFC">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28.1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4423721B">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28.2 在发布成交公告的同时，采购代理机构向成交供应商发出成交通知书。成交供应商自接到通知之日起七个工作日内，办理成交通知书领取手续。</w:t>
      </w:r>
    </w:p>
    <w:p w14:paraId="47458F45">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28.3 采购代理机构无义务向未成交的供应商解释未成交原因和退还响应文件。</w:t>
      </w:r>
    </w:p>
    <w:p w14:paraId="1209A039">
      <w:pPr>
        <w:pStyle w:val="3"/>
        <w:spacing w:line="440" w:lineRule="exact"/>
        <w:jc w:val="center"/>
        <w:rPr>
          <w:rFonts w:ascii="仿宋" w:hAnsi="仿宋" w:eastAsia="仿宋" w:cs="仿宋"/>
          <w:b/>
          <w:bCs w:val="0"/>
          <w:szCs w:val="28"/>
          <w:highlight w:val="none"/>
        </w:rPr>
      </w:pPr>
      <w:bookmarkStart w:id="123" w:name="_Toc25593"/>
    </w:p>
    <w:p w14:paraId="17730E0D">
      <w:pPr>
        <w:pStyle w:val="3"/>
        <w:spacing w:line="440" w:lineRule="exact"/>
        <w:jc w:val="center"/>
        <w:rPr>
          <w:rFonts w:ascii="仿宋" w:hAnsi="仿宋" w:eastAsia="仿宋" w:cs="仿宋"/>
          <w:b/>
          <w:bCs w:val="0"/>
          <w:szCs w:val="28"/>
          <w:highlight w:val="none"/>
        </w:rPr>
      </w:pPr>
      <w:bookmarkStart w:id="124" w:name="_Toc3667"/>
      <w:r>
        <w:rPr>
          <w:rFonts w:hint="eastAsia" w:ascii="仿宋" w:hAnsi="仿宋" w:eastAsia="仿宋" w:cs="仿宋"/>
          <w:b/>
          <w:bCs w:val="0"/>
          <w:szCs w:val="28"/>
          <w:highlight w:val="none"/>
        </w:rPr>
        <w:t>五、签订合同</w:t>
      </w:r>
      <w:bookmarkEnd w:id="123"/>
      <w:bookmarkEnd w:id="124"/>
    </w:p>
    <w:p w14:paraId="09080C11">
      <w:pPr>
        <w:pStyle w:val="4"/>
        <w:spacing w:before="0" w:after="0" w:line="440" w:lineRule="exact"/>
        <w:ind w:firstLine="482" w:firstLineChars="200"/>
        <w:rPr>
          <w:rFonts w:ascii="仿宋" w:hAnsi="仿宋" w:eastAsia="仿宋" w:cs="仿宋"/>
          <w:color w:val="000000"/>
          <w:sz w:val="24"/>
          <w:highlight w:val="none"/>
        </w:rPr>
      </w:pPr>
      <w:bookmarkStart w:id="125" w:name="_Toc9354"/>
      <w:bookmarkStart w:id="126" w:name="_Toc26520"/>
      <w:r>
        <w:rPr>
          <w:rFonts w:hint="eastAsia" w:ascii="仿宋" w:hAnsi="仿宋" w:eastAsia="仿宋" w:cs="仿宋"/>
          <w:color w:val="000000"/>
          <w:sz w:val="24"/>
          <w:highlight w:val="none"/>
        </w:rPr>
        <w:t>29. 履约保证金</w:t>
      </w:r>
      <w:bookmarkEnd w:id="125"/>
      <w:bookmarkEnd w:id="126"/>
    </w:p>
    <w:p w14:paraId="50CF8A28">
      <w:pPr>
        <w:spacing w:line="440" w:lineRule="exact"/>
        <w:rPr>
          <w:rFonts w:ascii="仿宋" w:hAnsi="仿宋" w:eastAsia="仿宋" w:cs="仿宋"/>
          <w:b/>
          <w:color w:val="000000"/>
          <w:sz w:val="24"/>
          <w:highlight w:val="none"/>
        </w:rPr>
      </w:pPr>
      <w:r>
        <w:rPr>
          <w:rFonts w:hint="eastAsia" w:ascii="仿宋" w:hAnsi="仿宋" w:eastAsia="仿宋" w:cs="仿宋"/>
          <w:color w:val="000000"/>
          <w:sz w:val="24"/>
          <w:highlight w:val="none"/>
        </w:rPr>
        <w:t>本项目免收履约保证金。</w:t>
      </w:r>
    </w:p>
    <w:p w14:paraId="1543FEB1">
      <w:pPr>
        <w:pStyle w:val="4"/>
        <w:spacing w:before="0" w:after="0" w:line="440" w:lineRule="exact"/>
        <w:ind w:firstLine="482" w:firstLineChars="200"/>
        <w:rPr>
          <w:rFonts w:ascii="仿宋" w:hAnsi="仿宋" w:eastAsia="仿宋" w:cs="仿宋"/>
          <w:color w:val="000000"/>
          <w:sz w:val="24"/>
          <w:highlight w:val="none"/>
        </w:rPr>
      </w:pPr>
      <w:bookmarkStart w:id="127" w:name="_Toc4956"/>
      <w:bookmarkStart w:id="128" w:name="_Toc13771"/>
      <w:r>
        <w:rPr>
          <w:rFonts w:hint="eastAsia" w:ascii="仿宋" w:hAnsi="仿宋" w:eastAsia="仿宋" w:cs="仿宋"/>
          <w:color w:val="000000"/>
          <w:sz w:val="24"/>
          <w:highlight w:val="none"/>
        </w:rPr>
        <w:t>30. 签订合同</w:t>
      </w:r>
      <w:bookmarkEnd w:id="127"/>
      <w:bookmarkEnd w:id="128"/>
    </w:p>
    <w:p w14:paraId="7ABB515F">
      <w:pPr>
        <w:spacing w:line="440" w:lineRule="exact"/>
        <w:ind w:firstLine="482" w:firstLineChars="200"/>
        <w:rPr>
          <w:rFonts w:ascii="仿宋" w:hAnsi="仿宋" w:eastAsia="仿宋" w:cs="仿宋"/>
          <w:b/>
          <w:bCs/>
          <w:color w:val="000000"/>
          <w:sz w:val="24"/>
          <w:highlight w:val="none"/>
        </w:rPr>
      </w:pPr>
      <w:r>
        <w:rPr>
          <w:rFonts w:hint="eastAsia" w:ascii="仿宋" w:hAnsi="仿宋" w:eastAsia="仿宋" w:cs="仿宋"/>
          <w:b/>
          <w:bCs/>
          <w:color w:val="000000"/>
          <w:sz w:val="24"/>
          <w:highlight w:val="none"/>
        </w:rPr>
        <w:t>30.1 签订合同时间：成交通知书发出之日起八个工作日内签订合同。成交供应商领取成交通知书后，应按规定与采购人签订合同。</w:t>
      </w:r>
    </w:p>
    <w:p w14:paraId="5077F413">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30.2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50386AE7">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（1）成交后不与采购人签订合同的（不可抗力除外）；</w:t>
      </w:r>
    </w:p>
    <w:p w14:paraId="5CCF7C66">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（2）将成交项目转让给他人，或者在响应文件中未说明，且未经采购人同意，将成交项目分包给他人的；</w:t>
      </w:r>
    </w:p>
    <w:p w14:paraId="08FEB69B">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（3）拒绝履行合同义务的。</w:t>
      </w:r>
    </w:p>
    <w:p w14:paraId="172603A3">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30.3 合同备案存档：政府采购合同双方自签订之日起一个工作日内将合同原件一份交采购代理机构，采购代理机构将政府采购合同在省级以上人民政府财政部门指定媒体上公告。采购人于合同签订之日起七个工作日内将一份合同原件送本级财政部门备案，一份由</w:t>
      </w:r>
      <w:r>
        <w:rPr>
          <w:rFonts w:hint="eastAsia" w:ascii="仿宋" w:hAnsi="仿宋" w:eastAsia="仿宋" w:cs="仿宋"/>
          <w:color w:val="000000"/>
          <w:sz w:val="24"/>
          <w:highlight w:val="none"/>
          <w:lang w:eastAsia="zh-CN"/>
        </w:rPr>
        <w:t>广西鸿墨项目管理有限公司</w:t>
      </w:r>
      <w:r>
        <w:rPr>
          <w:rFonts w:hint="eastAsia" w:ascii="仿宋" w:hAnsi="仿宋" w:eastAsia="仿宋" w:cs="仿宋"/>
          <w:color w:val="000000"/>
          <w:sz w:val="24"/>
          <w:highlight w:val="none"/>
        </w:rPr>
        <w:t>存档。</w:t>
      </w:r>
    </w:p>
    <w:p w14:paraId="599A3A8D">
      <w:pPr>
        <w:pStyle w:val="3"/>
        <w:spacing w:line="440" w:lineRule="exact"/>
        <w:jc w:val="center"/>
        <w:rPr>
          <w:rFonts w:hint="eastAsia" w:ascii="仿宋" w:hAnsi="仿宋" w:eastAsia="仿宋" w:cs="仿宋"/>
          <w:b/>
          <w:bCs w:val="0"/>
          <w:szCs w:val="28"/>
          <w:highlight w:val="none"/>
        </w:rPr>
      </w:pPr>
      <w:bookmarkStart w:id="129" w:name="_Toc25801"/>
      <w:bookmarkStart w:id="130" w:name="_Toc16348"/>
    </w:p>
    <w:p w14:paraId="78B4EDF0">
      <w:pPr>
        <w:rPr>
          <w:rFonts w:hint="eastAsia" w:ascii="仿宋" w:hAnsi="仿宋" w:eastAsia="仿宋" w:cs="仿宋"/>
          <w:b/>
          <w:bCs w:val="0"/>
          <w:szCs w:val="28"/>
          <w:highlight w:val="none"/>
        </w:rPr>
      </w:pPr>
    </w:p>
    <w:p w14:paraId="3AD2EAB8">
      <w:pPr>
        <w:pStyle w:val="22"/>
        <w:rPr>
          <w:rFonts w:hint="eastAsia" w:ascii="仿宋" w:hAnsi="仿宋" w:eastAsia="仿宋" w:cs="仿宋"/>
          <w:b/>
          <w:bCs w:val="0"/>
          <w:szCs w:val="28"/>
          <w:highlight w:val="none"/>
        </w:rPr>
      </w:pPr>
    </w:p>
    <w:p w14:paraId="70702E5A">
      <w:pPr>
        <w:rPr>
          <w:rFonts w:hint="eastAsia" w:ascii="仿宋" w:hAnsi="仿宋" w:eastAsia="仿宋" w:cs="仿宋"/>
          <w:b/>
          <w:bCs w:val="0"/>
          <w:szCs w:val="28"/>
          <w:highlight w:val="none"/>
        </w:rPr>
      </w:pPr>
    </w:p>
    <w:p w14:paraId="6E01AD3A">
      <w:pPr>
        <w:pStyle w:val="22"/>
        <w:rPr>
          <w:rFonts w:hint="eastAsia" w:ascii="仿宋" w:hAnsi="仿宋" w:eastAsia="仿宋" w:cs="仿宋"/>
          <w:b/>
          <w:bCs w:val="0"/>
          <w:szCs w:val="28"/>
          <w:highlight w:val="none"/>
        </w:rPr>
      </w:pPr>
    </w:p>
    <w:p w14:paraId="22E60B50">
      <w:pPr>
        <w:rPr>
          <w:rFonts w:hint="eastAsia" w:ascii="仿宋" w:hAnsi="仿宋" w:eastAsia="仿宋" w:cs="仿宋"/>
          <w:b/>
          <w:bCs w:val="0"/>
          <w:szCs w:val="28"/>
          <w:highlight w:val="none"/>
        </w:rPr>
      </w:pPr>
    </w:p>
    <w:p w14:paraId="4AE53660">
      <w:pPr>
        <w:pStyle w:val="22"/>
        <w:rPr>
          <w:rFonts w:hint="eastAsia" w:ascii="仿宋" w:hAnsi="仿宋" w:eastAsia="仿宋" w:cs="仿宋"/>
          <w:b/>
          <w:bCs w:val="0"/>
          <w:szCs w:val="28"/>
          <w:highlight w:val="none"/>
        </w:rPr>
      </w:pPr>
    </w:p>
    <w:p w14:paraId="5CE105E4">
      <w:pPr>
        <w:rPr>
          <w:rFonts w:hint="eastAsia" w:ascii="仿宋" w:hAnsi="仿宋" w:eastAsia="仿宋" w:cs="仿宋"/>
          <w:b/>
          <w:bCs w:val="0"/>
          <w:szCs w:val="28"/>
          <w:highlight w:val="none"/>
        </w:rPr>
      </w:pPr>
    </w:p>
    <w:p w14:paraId="616008A4">
      <w:pPr>
        <w:pStyle w:val="22"/>
        <w:rPr>
          <w:rFonts w:hint="eastAsia" w:ascii="仿宋" w:hAnsi="仿宋" w:eastAsia="仿宋" w:cs="仿宋"/>
          <w:b/>
          <w:bCs w:val="0"/>
          <w:szCs w:val="28"/>
          <w:highlight w:val="none"/>
        </w:rPr>
      </w:pPr>
    </w:p>
    <w:p w14:paraId="5A904601">
      <w:pPr>
        <w:rPr>
          <w:rFonts w:hint="eastAsia" w:ascii="仿宋" w:hAnsi="仿宋" w:eastAsia="仿宋" w:cs="仿宋"/>
          <w:b/>
          <w:bCs w:val="0"/>
          <w:szCs w:val="28"/>
          <w:highlight w:val="none"/>
        </w:rPr>
      </w:pPr>
    </w:p>
    <w:p w14:paraId="461ADA49">
      <w:pPr>
        <w:rPr>
          <w:rFonts w:hint="eastAsia" w:ascii="仿宋" w:hAnsi="仿宋" w:eastAsia="仿宋" w:cs="仿宋"/>
          <w:b/>
          <w:bCs w:val="0"/>
          <w:szCs w:val="28"/>
          <w:highlight w:val="none"/>
        </w:rPr>
      </w:pPr>
    </w:p>
    <w:p w14:paraId="47F81038">
      <w:pPr>
        <w:rPr>
          <w:rFonts w:hint="eastAsia" w:ascii="仿宋" w:hAnsi="仿宋" w:eastAsia="仿宋" w:cs="仿宋"/>
          <w:b/>
          <w:bCs w:val="0"/>
          <w:szCs w:val="28"/>
          <w:highlight w:val="none"/>
        </w:rPr>
      </w:pPr>
    </w:p>
    <w:p w14:paraId="10526737">
      <w:pPr>
        <w:rPr>
          <w:rFonts w:hint="eastAsia" w:ascii="仿宋" w:hAnsi="仿宋" w:eastAsia="仿宋" w:cs="仿宋"/>
          <w:b/>
          <w:bCs w:val="0"/>
          <w:szCs w:val="28"/>
          <w:highlight w:val="none"/>
        </w:rPr>
      </w:pPr>
    </w:p>
    <w:p w14:paraId="6FC41C52">
      <w:pPr>
        <w:rPr>
          <w:rFonts w:hint="eastAsia" w:ascii="仿宋" w:hAnsi="仿宋" w:eastAsia="仿宋" w:cs="仿宋"/>
          <w:b/>
          <w:bCs w:val="0"/>
          <w:szCs w:val="28"/>
          <w:highlight w:val="none"/>
        </w:rPr>
      </w:pPr>
    </w:p>
    <w:p w14:paraId="428FF522">
      <w:pPr>
        <w:rPr>
          <w:rFonts w:hint="eastAsia" w:ascii="仿宋" w:hAnsi="仿宋" w:eastAsia="仿宋" w:cs="仿宋"/>
          <w:b/>
          <w:bCs w:val="0"/>
          <w:szCs w:val="28"/>
          <w:highlight w:val="none"/>
        </w:rPr>
      </w:pPr>
    </w:p>
    <w:p w14:paraId="2542FE0D">
      <w:pPr>
        <w:rPr>
          <w:rFonts w:hint="eastAsia" w:ascii="仿宋" w:hAnsi="仿宋" w:eastAsia="仿宋" w:cs="仿宋"/>
          <w:b/>
          <w:bCs w:val="0"/>
          <w:szCs w:val="28"/>
          <w:highlight w:val="none"/>
        </w:rPr>
      </w:pPr>
    </w:p>
    <w:p w14:paraId="10F13C16">
      <w:pPr>
        <w:rPr>
          <w:rFonts w:hint="eastAsia" w:ascii="仿宋" w:hAnsi="仿宋" w:eastAsia="仿宋" w:cs="仿宋"/>
          <w:b/>
          <w:bCs w:val="0"/>
          <w:szCs w:val="28"/>
          <w:highlight w:val="none"/>
        </w:rPr>
      </w:pPr>
    </w:p>
    <w:p w14:paraId="4EDA2DD6">
      <w:pPr>
        <w:rPr>
          <w:rFonts w:hint="eastAsia" w:ascii="仿宋" w:hAnsi="仿宋" w:eastAsia="仿宋" w:cs="仿宋"/>
          <w:b/>
          <w:bCs w:val="0"/>
          <w:szCs w:val="28"/>
          <w:highlight w:val="none"/>
        </w:rPr>
      </w:pPr>
    </w:p>
    <w:p w14:paraId="4B7D280B">
      <w:pPr>
        <w:rPr>
          <w:rFonts w:hint="eastAsia" w:ascii="仿宋" w:hAnsi="仿宋" w:eastAsia="仿宋" w:cs="仿宋"/>
          <w:b/>
          <w:bCs w:val="0"/>
          <w:szCs w:val="28"/>
          <w:highlight w:val="none"/>
        </w:rPr>
      </w:pPr>
    </w:p>
    <w:p w14:paraId="75461526">
      <w:pPr>
        <w:rPr>
          <w:rFonts w:hint="eastAsia" w:ascii="仿宋" w:hAnsi="仿宋" w:eastAsia="仿宋" w:cs="仿宋"/>
          <w:b/>
          <w:bCs w:val="0"/>
          <w:szCs w:val="28"/>
          <w:highlight w:val="none"/>
        </w:rPr>
      </w:pPr>
    </w:p>
    <w:p w14:paraId="3ABF8F05">
      <w:pPr>
        <w:rPr>
          <w:rFonts w:hint="eastAsia" w:ascii="仿宋" w:hAnsi="仿宋" w:eastAsia="仿宋" w:cs="仿宋"/>
          <w:b/>
          <w:bCs w:val="0"/>
          <w:szCs w:val="28"/>
          <w:highlight w:val="none"/>
        </w:rPr>
      </w:pPr>
    </w:p>
    <w:p w14:paraId="608B2C67">
      <w:pPr>
        <w:rPr>
          <w:rFonts w:hint="eastAsia" w:ascii="仿宋" w:hAnsi="仿宋" w:eastAsia="仿宋" w:cs="仿宋"/>
          <w:b/>
          <w:bCs w:val="0"/>
          <w:szCs w:val="28"/>
          <w:highlight w:val="none"/>
        </w:rPr>
      </w:pPr>
    </w:p>
    <w:p w14:paraId="42C51EDC">
      <w:pPr>
        <w:rPr>
          <w:rFonts w:hint="eastAsia" w:ascii="仿宋" w:hAnsi="仿宋" w:eastAsia="仿宋" w:cs="仿宋"/>
          <w:b/>
          <w:bCs w:val="0"/>
          <w:szCs w:val="28"/>
          <w:highlight w:val="none"/>
        </w:rPr>
      </w:pPr>
    </w:p>
    <w:p w14:paraId="2CC19763">
      <w:pPr>
        <w:rPr>
          <w:rFonts w:hint="eastAsia" w:ascii="仿宋" w:hAnsi="仿宋" w:eastAsia="仿宋" w:cs="仿宋"/>
          <w:b/>
          <w:bCs w:val="0"/>
          <w:szCs w:val="28"/>
          <w:highlight w:val="none"/>
        </w:rPr>
      </w:pPr>
    </w:p>
    <w:p w14:paraId="5F805037">
      <w:pPr>
        <w:rPr>
          <w:rFonts w:hint="eastAsia" w:ascii="仿宋" w:hAnsi="仿宋" w:eastAsia="仿宋" w:cs="仿宋"/>
          <w:b/>
          <w:bCs w:val="0"/>
          <w:szCs w:val="28"/>
          <w:highlight w:val="none"/>
        </w:rPr>
      </w:pPr>
    </w:p>
    <w:p w14:paraId="7461598D">
      <w:pPr>
        <w:rPr>
          <w:rFonts w:hint="eastAsia" w:ascii="仿宋" w:hAnsi="仿宋" w:eastAsia="仿宋" w:cs="仿宋"/>
          <w:b/>
          <w:bCs w:val="0"/>
          <w:szCs w:val="28"/>
          <w:highlight w:val="none"/>
        </w:rPr>
      </w:pPr>
    </w:p>
    <w:p w14:paraId="6F5494E3">
      <w:pPr>
        <w:rPr>
          <w:rFonts w:hint="eastAsia" w:ascii="仿宋" w:hAnsi="仿宋" w:eastAsia="仿宋" w:cs="仿宋"/>
          <w:b/>
          <w:bCs w:val="0"/>
          <w:szCs w:val="28"/>
          <w:highlight w:val="none"/>
        </w:rPr>
      </w:pPr>
    </w:p>
    <w:p w14:paraId="33706A4D">
      <w:pPr>
        <w:rPr>
          <w:rFonts w:hint="eastAsia" w:ascii="仿宋" w:hAnsi="仿宋" w:eastAsia="仿宋" w:cs="仿宋"/>
          <w:b/>
          <w:bCs w:val="0"/>
          <w:szCs w:val="28"/>
          <w:highlight w:val="none"/>
        </w:rPr>
      </w:pPr>
    </w:p>
    <w:p w14:paraId="43C24469">
      <w:pPr>
        <w:rPr>
          <w:rFonts w:hint="eastAsia" w:ascii="仿宋" w:hAnsi="仿宋" w:eastAsia="仿宋" w:cs="仿宋"/>
          <w:b/>
          <w:bCs w:val="0"/>
          <w:szCs w:val="28"/>
          <w:highlight w:val="none"/>
        </w:rPr>
      </w:pPr>
    </w:p>
    <w:p w14:paraId="49157A95">
      <w:pPr>
        <w:rPr>
          <w:rFonts w:hint="eastAsia" w:ascii="仿宋" w:hAnsi="仿宋" w:eastAsia="仿宋" w:cs="仿宋"/>
          <w:b/>
          <w:bCs w:val="0"/>
          <w:szCs w:val="28"/>
          <w:highlight w:val="none"/>
        </w:rPr>
      </w:pPr>
    </w:p>
    <w:p w14:paraId="5ED0E190">
      <w:pPr>
        <w:rPr>
          <w:rFonts w:hint="eastAsia" w:ascii="仿宋" w:hAnsi="仿宋" w:eastAsia="仿宋" w:cs="仿宋"/>
          <w:b/>
          <w:bCs w:val="0"/>
          <w:szCs w:val="28"/>
          <w:highlight w:val="none"/>
        </w:rPr>
      </w:pPr>
      <w:bookmarkStart w:id="234" w:name="_GoBack"/>
      <w:bookmarkEnd w:id="234"/>
    </w:p>
    <w:p w14:paraId="230E0373">
      <w:pPr>
        <w:rPr>
          <w:rFonts w:hint="eastAsia" w:ascii="仿宋" w:hAnsi="仿宋" w:eastAsia="仿宋" w:cs="仿宋"/>
          <w:b/>
          <w:bCs w:val="0"/>
          <w:szCs w:val="28"/>
          <w:highlight w:val="none"/>
        </w:rPr>
      </w:pPr>
    </w:p>
    <w:p w14:paraId="1A738A0D">
      <w:pPr>
        <w:rPr>
          <w:rFonts w:hint="eastAsia"/>
          <w:highlight w:val="none"/>
        </w:rPr>
      </w:pPr>
    </w:p>
    <w:p w14:paraId="74E13C38">
      <w:pPr>
        <w:pStyle w:val="3"/>
        <w:spacing w:line="440" w:lineRule="exact"/>
        <w:jc w:val="center"/>
        <w:rPr>
          <w:rFonts w:ascii="仿宋" w:hAnsi="仿宋" w:eastAsia="仿宋" w:cs="仿宋"/>
          <w:b/>
          <w:bCs w:val="0"/>
          <w:szCs w:val="28"/>
          <w:highlight w:val="none"/>
        </w:rPr>
      </w:pPr>
      <w:r>
        <w:rPr>
          <w:rFonts w:hint="eastAsia" w:ascii="仿宋" w:hAnsi="仿宋" w:eastAsia="仿宋" w:cs="仿宋"/>
          <w:b/>
          <w:bCs w:val="0"/>
          <w:szCs w:val="28"/>
          <w:highlight w:val="none"/>
        </w:rPr>
        <w:t>六、其他事项</w:t>
      </w:r>
      <w:bookmarkEnd w:id="129"/>
      <w:bookmarkEnd w:id="130"/>
    </w:p>
    <w:p w14:paraId="06C153AD">
      <w:pPr>
        <w:pStyle w:val="4"/>
        <w:spacing w:before="0" w:after="0" w:line="440" w:lineRule="exact"/>
        <w:ind w:firstLine="482" w:firstLineChars="200"/>
        <w:rPr>
          <w:rFonts w:ascii="仿宋" w:hAnsi="仿宋" w:eastAsia="仿宋" w:cs="仿宋"/>
          <w:color w:val="000000"/>
          <w:sz w:val="24"/>
          <w:highlight w:val="none"/>
        </w:rPr>
      </w:pPr>
      <w:bookmarkStart w:id="131" w:name="_Toc28647"/>
      <w:bookmarkStart w:id="132" w:name="_Toc21562"/>
      <w:r>
        <w:rPr>
          <w:rFonts w:hint="eastAsia" w:ascii="仿宋" w:hAnsi="仿宋" w:eastAsia="仿宋" w:cs="仿宋"/>
          <w:color w:val="000000"/>
          <w:sz w:val="24"/>
          <w:highlight w:val="none"/>
        </w:rPr>
        <w:t>31. 采购代理服务费</w:t>
      </w:r>
      <w:bookmarkEnd w:id="131"/>
      <w:bookmarkEnd w:id="132"/>
    </w:p>
    <w:p w14:paraId="28744E57">
      <w:pPr>
        <w:spacing w:line="440" w:lineRule="exact"/>
        <w:ind w:firstLine="480" w:firstLineChars="200"/>
        <w:rPr>
          <w:rFonts w:ascii="仿宋" w:hAnsi="仿宋" w:eastAsia="仿宋" w:cs="仿宋"/>
          <w:color w:val="000000"/>
          <w:sz w:val="24"/>
          <w:highlight w:val="none"/>
        </w:rPr>
      </w:pPr>
      <w:bookmarkStart w:id="133" w:name="_Toc12374"/>
      <w:r>
        <w:rPr>
          <w:rFonts w:hint="eastAsia" w:ascii="仿宋" w:hAnsi="仿宋" w:eastAsia="仿宋" w:cs="仿宋"/>
          <w:color w:val="000000"/>
          <w:sz w:val="24"/>
          <w:highlight w:val="none"/>
        </w:rPr>
        <w:t>31.1成交供应商领取成交通知书前，向</w:t>
      </w:r>
      <w:r>
        <w:rPr>
          <w:rFonts w:hint="eastAsia" w:ascii="仿宋" w:hAnsi="仿宋" w:eastAsia="仿宋" w:cs="仿宋"/>
          <w:color w:val="000000"/>
          <w:sz w:val="24"/>
          <w:highlight w:val="none"/>
          <w:lang w:eastAsia="zh-CN"/>
        </w:rPr>
        <w:t>广西鸿墨项目管理有限公司</w:t>
      </w:r>
      <w:r>
        <w:rPr>
          <w:rFonts w:hint="eastAsia" w:ascii="仿宋" w:hAnsi="仿宋" w:eastAsia="仿宋" w:cs="仿宋"/>
          <w:color w:val="000000"/>
          <w:sz w:val="24"/>
          <w:highlight w:val="none"/>
        </w:rPr>
        <w:t>一次性付清代理服务费。本项目招标代理服务收费标准参照计价格[2002]1980号《招标代理服务收费管理暂行办法》服务类收费标准向成交供应商收取。</w:t>
      </w:r>
    </w:p>
    <w:tbl>
      <w:tblPr>
        <w:tblStyle w:val="25"/>
        <w:tblW w:w="900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14:paraId="67063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880" w:type="dxa"/>
          </w:tcPr>
          <w:p w14:paraId="23FC581A">
            <w:pPr>
              <w:spacing w:line="400" w:lineRule="exact"/>
              <w:ind w:left="23"/>
              <w:rPr>
                <w:rFonts w:ascii="仿宋" w:hAnsi="仿宋" w:eastAsia="仿宋" w:cs="仿宋"/>
                <w:sz w:val="24"/>
                <w:highlight w:val="none"/>
              </w:rPr>
            </w:pPr>
            <w:r>
              <w:rPr>
                <w:rFonts w:ascii="仿宋" w:hAnsi="仿宋" w:eastAsia="仿宋" w:cs="仿宋"/>
                <w:sz w:val="24"/>
                <w:highlight w:val="none"/>
              </w:rPr>
              <w:pict>
                <v:line id="_x0000_s1029" o:spid="_x0000_s1029" o:spt="20" style="position:absolute;left:0pt;margin-left:23.35pt;margin-top:0.85pt;height:51.45pt;width:115.25pt;z-index:251661312;mso-width-relative:page;mso-height-relative:page;"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IBUzTWAAAACAEAAA8AAAAAAAAAAQAgAAAAIgAAAGRycy9kb3ducmV2LnhtbFBLAQIUABQAAAAI&#10;AIdO4kA5+KW57wEAAN0DAAAOAAAAAAAAAAEAIAAAACUBAABkcnMvZTJvRG9jLnhtbFBLBQYAAAAA&#10;BgAGAFkBAACGBQAAAAA=&#10;">
                  <v:path arrowok="t"/>
                  <v:fill focussize="0,0"/>
                  <v:stroke/>
                  <v:imagedata o:title=""/>
                  <o:lock v:ext="edit"/>
                </v:line>
              </w:pict>
            </w:r>
            <w:r>
              <w:rPr>
                <w:rFonts w:hint="eastAsia" w:ascii="仿宋" w:hAnsi="仿宋" w:eastAsia="仿宋" w:cs="仿宋"/>
                <w:sz w:val="24"/>
                <w:highlight w:val="none"/>
              </w:rPr>
              <w:t>费率           服务类型</w:t>
            </w:r>
          </w:p>
          <w:p w14:paraId="5D60A738">
            <w:pPr>
              <w:spacing w:line="400" w:lineRule="exact"/>
              <w:ind w:left="23"/>
              <w:rPr>
                <w:rFonts w:ascii="仿宋" w:hAnsi="仿宋" w:eastAsia="仿宋" w:cs="仿宋"/>
                <w:sz w:val="24"/>
                <w:highlight w:val="none"/>
              </w:rPr>
            </w:pPr>
            <w:r>
              <w:rPr>
                <w:rFonts w:ascii="仿宋" w:hAnsi="仿宋" w:eastAsia="仿宋" w:cs="仿宋"/>
                <w:sz w:val="24"/>
                <w:highlight w:val="none"/>
              </w:rPr>
              <w:pict>
                <v:line id="_x0000_s1028" o:spid="_x0000_s1028" o:spt="20" style="position:absolute;left:0pt;margin-left:-5.4pt;margin-top:3.1pt;height:31.2pt;width:144pt;z-index:251662336;mso-width-relative:page;mso-height-relative:page;"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ADq9E1gAAAAgBAAAPAAAAAAAAAAEAIAAAACIAAABkcnMvZG93bnJldi54bWxQSwECFAAU&#10;AAAACACHTuJAnKBCqfMBAADdAwAADgAAAAAAAAABACAAAAAlAQAAZHJzL2Uyb0RvYy54bWxQSwUG&#10;AAAAAAYABgBZAQAAigUAAAAA&#10;">
                  <v:path arrowok="t"/>
                  <v:fill focussize="0,0"/>
                  <v:stroke/>
                  <v:imagedata o:title=""/>
                  <o:lock v:ext="edit"/>
                </v:line>
              </w:pict>
            </w:r>
          </w:p>
          <w:p w14:paraId="6D446D4D">
            <w:pPr>
              <w:spacing w:line="400" w:lineRule="exact"/>
              <w:ind w:left="23"/>
              <w:rPr>
                <w:rFonts w:ascii="仿宋" w:hAnsi="仿宋" w:eastAsia="仿宋" w:cs="仿宋"/>
                <w:sz w:val="24"/>
                <w:highlight w:val="none"/>
              </w:rPr>
            </w:pPr>
            <w:r>
              <w:rPr>
                <w:rFonts w:hint="eastAsia" w:ascii="仿宋" w:hAnsi="仿宋" w:eastAsia="仿宋" w:cs="仿宋"/>
                <w:sz w:val="24"/>
                <w:highlight w:val="none"/>
              </w:rPr>
              <w:t>中标金额（万元）</w:t>
            </w:r>
          </w:p>
        </w:tc>
        <w:tc>
          <w:tcPr>
            <w:tcW w:w="1841" w:type="dxa"/>
            <w:vAlign w:val="center"/>
          </w:tcPr>
          <w:p w14:paraId="487C4D0D">
            <w:pPr>
              <w:spacing w:line="400" w:lineRule="exact"/>
              <w:ind w:left="23"/>
              <w:jc w:val="center"/>
              <w:rPr>
                <w:rFonts w:ascii="仿宋" w:hAnsi="仿宋" w:eastAsia="仿宋" w:cs="仿宋"/>
                <w:sz w:val="24"/>
                <w:highlight w:val="none"/>
              </w:rPr>
            </w:pPr>
            <w:r>
              <w:rPr>
                <w:rFonts w:hint="eastAsia" w:ascii="仿宋" w:hAnsi="仿宋" w:eastAsia="仿宋" w:cs="仿宋"/>
                <w:sz w:val="24"/>
                <w:highlight w:val="none"/>
              </w:rPr>
              <w:t>货物招标</w:t>
            </w:r>
          </w:p>
        </w:tc>
        <w:tc>
          <w:tcPr>
            <w:tcW w:w="1992" w:type="dxa"/>
            <w:vAlign w:val="center"/>
          </w:tcPr>
          <w:p w14:paraId="7E9081D4">
            <w:pPr>
              <w:spacing w:line="400" w:lineRule="exact"/>
              <w:ind w:left="23"/>
              <w:jc w:val="center"/>
              <w:rPr>
                <w:rFonts w:ascii="仿宋" w:hAnsi="仿宋" w:eastAsia="仿宋" w:cs="仿宋"/>
                <w:sz w:val="24"/>
                <w:highlight w:val="none"/>
              </w:rPr>
            </w:pPr>
            <w:r>
              <w:rPr>
                <w:rFonts w:hint="eastAsia" w:ascii="仿宋" w:hAnsi="仿宋" w:eastAsia="仿宋" w:cs="仿宋"/>
                <w:sz w:val="24"/>
                <w:highlight w:val="none"/>
              </w:rPr>
              <w:t>服务招标</w:t>
            </w:r>
          </w:p>
        </w:tc>
        <w:tc>
          <w:tcPr>
            <w:tcW w:w="2293" w:type="dxa"/>
            <w:vAlign w:val="center"/>
          </w:tcPr>
          <w:p w14:paraId="71A5DB23">
            <w:pPr>
              <w:spacing w:line="400" w:lineRule="exact"/>
              <w:ind w:left="23"/>
              <w:jc w:val="center"/>
              <w:rPr>
                <w:rFonts w:ascii="仿宋" w:hAnsi="仿宋" w:eastAsia="仿宋" w:cs="仿宋"/>
                <w:sz w:val="24"/>
                <w:highlight w:val="none"/>
              </w:rPr>
            </w:pPr>
            <w:r>
              <w:rPr>
                <w:rFonts w:hint="eastAsia" w:ascii="仿宋" w:hAnsi="仿宋" w:eastAsia="仿宋" w:cs="仿宋"/>
                <w:sz w:val="24"/>
                <w:highlight w:val="none"/>
              </w:rPr>
              <w:t>工程招标</w:t>
            </w:r>
          </w:p>
        </w:tc>
      </w:tr>
      <w:tr w14:paraId="253CC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tcPr>
          <w:p w14:paraId="24CB44FA">
            <w:pPr>
              <w:spacing w:line="400" w:lineRule="exact"/>
              <w:ind w:left="23"/>
              <w:rPr>
                <w:rFonts w:ascii="仿宋" w:hAnsi="仿宋" w:eastAsia="仿宋" w:cs="仿宋"/>
                <w:sz w:val="24"/>
                <w:highlight w:val="none"/>
              </w:rPr>
            </w:pPr>
            <w:r>
              <w:rPr>
                <w:rFonts w:hint="eastAsia" w:ascii="仿宋" w:hAnsi="仿宋" w:eastAsia="仿宋" w:cs="仿宋"/>
                <w:sz w:val="24"/>
                <w:highlight w:val="none"/>
              </w:rPr>
              <w:t>100以下</w:t>
            </w:r>
          </w:p>
        </w:tc>
        <w:tc>
          <w:tcPr>
            <w:tcW w:w="1841" w:type="dxa"/>
          </w:tcPr>
          <w:p w14:paraId="597993FA">
            <w:pPr>
              <w:spacing w:line="400" w:lineRule="exact"/>
              <w:ind w:left="23"/>
              <w:jc w:val="center"/>
              <w:rPr>
                <w:rFonts w:ascii="仿宋" w:hAnsi="仿宋" w:eastAsia="仿宋" w:cs="仿宋"/>
                <w:sz w:val="24"/>
                <w:highlight w:val="none"/>
              </w:rPr>
            </w:pPr>
            <w:r>
              <w:rPr>
                <w:rFonts w:hint="eastAsia" w:ascii="仿宋" w:hAnsi="仿宋" w:eastAsia="仿宋" w:cs="仿宋"/>
                <w:sz w:val="24"/>
                <w:highlight w:val="none"/>
              </w:rPr>
              <w:t>1.5%</w:t>
            </w:r>
          </w:p>
        </w:tc>
        <w:tc>
          <w:tcPr>
            <w:tcW w:w="1992" w:type="dxa"/>
          </w:tcPr>
          <w:p w14:paraId="0B1207AA">
            <w:pPr>
              <w:spacing w:line="400" w:lineRule="exact"/>
              <w:ind w:left="23"/>
              <w:jc w:val="center"/>
              <w:rPr>
                <w:rFonts w:ascii="仿宋" w:hAnsi="仿宋" w:eastAsia="仿宋" w:cs="仿宋"/>
                <w:sz w:val="24"/>
                <w:highlight w:val="none"/>
              </w:rPr>
            </w:pPr>
            <w:r>
              <w:rPr>
                <w:rFonts w:hint="eastAsia" w:ascii="仿宋" w:hAnsi="仿宋" w:eastAsia="仿宋" w:cs="仿宋"/>
                <w:sz w:val="24"/>
                <w:highlight w:val="none"/>
              </w:rPr>
              <w:t>1.5%</w:t>
            </w:r>
          </w:p>
        </w:tc>
        <w:tc>
          <w:tcPr>
            <w:tcW w:w="2293" w:type="dxa"/>
          </w:tcPr>
          <w:p w14:paraId="6AD2FBFC">
            <w:pPr>
              <w:spacing w:line="400" w:lineRule="exact"/>
              <w:ind w:left="23"/>
              <w:jc w:val="center"/>
              <w:rPr>
                <w:rFonts w:ascii="仿宋" w:hAnsi="仿宋" w:eastAsia="仿宋" w:cs="仿宋"/>
                <w:sz w:val="24"/>
                <w:highlight w:val="none"/>
              </w:rPr>
            </w:pPr>
            <w:r>
              <w:rPr>
                <w:rFonts w:hint="eastAsia" w:ascii="仿宋" w:hAnsi="仿宋" w:eastAsia="仿宋" w:cs="仿宋"/>
                <w:sz w:val="24"/>
                <w:highlight w:val="none"/>
              </w:rPr>
              <w:t>1.0%</w:t>
            </w:r>
          </w:p>
        </w:tc>
      </w:tr>
      <w:tr w14:paraId="61863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tcPr>
          <w:p w14:paraId="3B29AEDB">
            <w:pPr>
              <w:spacing w:line="400" w:lineRule="exact"/>
              <w:ind w:left="23"/>
              <w:rPr>
                <w:rFonts w:ascii="仿宋" w:hAnsi="仿宋" w:eastAsia="仿宋" w:cs="仿宋"/>
                <w:sz w:val="24"/>
                <w:highlight w:val="none"/>
              </w:rPr>
            </w:pPr>
            <w:r>
              <w:rPr>
                <w:rFonts w:hint="eastAsia" w:ascii="仿宋" w:hAnsi="仿宋" w:eastAsia="仿宋" w:cs="仿宋"/>
                <w:sz w:val="24"/>
                <w:highlight w:val="none"/>
              </w:rPr>
              <w:t>100-500</w:t>
            </w:r>
          </w:p>
        </w:tc>
        <w:tc>
          <w:tcPr>
            <w:tcW w:w="1841" w:type="dxa"/>
          </w:tcPr>
          <w:p w14:paraId="4CAF0326">
            <w:pPr>
              <w:spacing w:line="400" w:lineRule="exact"/>
              <w:ind w:left="23"/>
              <w:jc w:val="center"/>
              <w:rPr>
                <w:rFonts w:ascii="仿宋" w:hAnsi="仿宋" w:eastAsia="仿宋" w:cs="仿宋"/>
                <w:sz w:val="24"/>
                <w:highlight w:val="none"/>
              </w:rPr>
            </w:pPr>
            <w:r>
              <w:rPr>
                <w:rFonts w:hint="eastAsia" w:ascii="仿宋" w:hAnsi="仿宋" w:eastAsia="仿宋" w:cs="仿宋"/>
                <w:sz w:val="24"/>
                <w:highlight w:val="none"/>
              </w:rPr>
              <w:t>1.1%</w:t>
            </w:r>
          </w:p>
        </w:tc>
        <w:tc>
          <w:tcPr>
            <w:tcW w:w="1992" w:type="dxa"/>
          </w:tcPr>
          <w:p w14:paraId="1F3F0101">
            <w:pPr>
              <w:spacing w:line="400" w:lineRule="exact"/>
              <w:ind w:left="23"/>
              <w:jc w:val="center"/>
              <w:rPr>
                <w:rFonts w:ascii="仿宋" w:hAnsi="仿宋" w:eastAsia="仿宋" w:cs="仿宋"/>
                <w:sz w:val="24"/>
                <w:highlight w:val="none"/>
              </w:rPr>
            </w:pPr>
            <w:r>
              <w:rPr>
                <w:rFonts w:hint="eastAsia" w:ascii="仿宋" w:hAnsi="仿宋" w:eastAsia="仿宋" w:cs="仿宋"/>
                <w:sz w:val="24"/>
                <w:highlight w:val="none"/>
              </w:rPr>
              <w:t>0.8%</w:t>
            </w:r>
          </w:p>
        </w:tc>
        <w:tc>
          <w:tcPr>
            <w:tcW w:w="2293" w:type="dxa"/>
          </w:tcPr>
          <w:p w14:paraId="63C09C2C">
            <w:pPr>
              <w:spacing w:line="400" w:lineRule="exact"/>
              <w:ind w:left="23"/>
              <w:jc w:val="center"/>
              <w:rPr>
                <w:rFonts w:ascii="仿宋" w:hAnsi="仿宋" w:eastAsia="仿宋" w:cs="仿宋"/>
                <w:sz w:val="24"/>
                <w:highlight w:val="none"/>
              </w:rPr>
            </w:pPr>
            <w:r>
              <w:rPr>
                <w:rFonts w:hint="eastAsia" w:ascii="仿宋" w:hAnsi="仿宋" w:eastAsia="仿宋" w:cs="仿宋"/>
                <w:sz w:val="24"/>
                <w:highlight w:val="none"/>
              </w:rPr>
              <w:t>0.7%</w:t>
            </w:r>
          </w:p>
        </w:tc>
      </w:tr>
      <w:tr w14:paraId="1AF70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3F4D75D9">
            <w:pPr>
              <w:spacing w:line="400" w:lineRule="exact"/>
              <w:ind w:left="23"/>
              <w:rPr>
                <w:rFonts w:ascii="仿宋" w:hAnsi="仿宋" w:eastAsia="仿宋" w:cs="仿宋"/>
                <w:sz w:val="24"/>
                <w:highlight w:val="none"/>
              </w:rPr>
            </w:pPr>
            <w:r>
              <w:rPr>
                <w:rFonts w:hint="eastAsia" w:ascii="仿宋" w:hAnsi="仿宋" w:eastAsia="仿宋" w:cs="仿宋"/>
                <w:sz w:val="24"/>
                <w:highlight w:val="none"/>
              </w:rPr>
              <w:t>500-1000</w:t>
            </w:r>
          </w:p>
        </w:tc>
        <w:tc>
          <w:tcPr>
            <w:tcW w:w="1841" w:type="dxa"/>
          </w:tcPr>
          <w:p w14:paraId="0E8CDB18">
            <w:pPr>
              <w:spacing w:line="400" w:lineRule="exact"/>
              <w:ind w:left="23"/>
              <w:jc w:val="center"/>
              <w:rPr>
                <w:rFonts w:ascii="仿宋" w:hAnsi="仿宋" w:eastAsia="仿宋" w:cs="仿宋"/>
                <w:sz w:val="24"/>
                <w:highlight w:val="none"/>
              </w:rPr>
            </w:pPr>
            <w:r>
              <w:rPr>
                <w:rFonts w:hint="eastAsia" w:ascii="仿宋" w:hAnsi="仿宋" w:eastAsia="仿宋" w:cs="仿宋"/>
                <w:sz w:val="24"/>
                <w:highlight w:val="none"/>
              </w:rPr>
              <w:t>0.8%</w:t>
            </w:r>
          </w:p>
        </w:tc>
        <w:tc>
          <w:tcPr>
            <w:tcW w:w="1992" w:type="dxa"/>
          </w:tcPr>
          <w:p w14:paraId="1C91DC50">
            <w:pPr>
              <w:spacing w:line="400" w:lineRule="exact"/>
              <w:ind w:left="23"/>
              <w:jc w:val="center"/>
              <w:rPr>
                <w:rFonts w:ascii="仿宋" w:hAnsi="仿宋" w:eastAsia="仿宋" w:cs="仿宋"/>
                <w:sz w:val="24"/>
                <w:highlight w:val="none"/>
              </w:rPr>
            </w:pPr>
            <w:r>
              <w:rPr>
                <w:rFonts w:hint="eastAsia" w:ascii="仿宋" w:hAnsi="仿宋" w:eastAsia="仿宋" w:cs="仿宋"/>
                <w:sz w:val="24"/>
                <w:highlight w:val="none"/>
              </w:rPr>
              <w:t>0.45%</w:t>
            </w:r>
          </w:p>
        </w:tc>
        <w:tc>
          <w:tcPr>
            <w:tcW w:w="2293" w:type="dxa"/>
          </w:tcPr>
          <w:p w14:paraId="447F4418">
            <w:pPr>
              <w:spacing w:line="400" w:lineRule="exact"/>
              <w:ind w:left="23"/>
              <w:jc w:val="center"/>
              <w:rPr>
                <w:rFonts w:ascii="仿宋" w:hAnsi="仿宋" w:eastAsia="仿宋" w:cs="仿宋"/>
                <w:sz w:val="24"/>
                <w:highlight w:val="none"/>
              </w:rPr>
            </w:pPr>
            <w:r>
              <w:rPr>
                <w:rFonts w:hint="eastAsia" w:ascii="仿宋" w:hAnsi="仿宋" w:eastAsia="仿宋" w:cs="仿宋"/>
                <w:sz w:val="24"/>
                <w:highlight w:val="none"/>
              </w:rPr>
              <w:t>0.55%</w:t>
            </w:r>
          </w:p>
        </w:tc>
      </w:tr>
      <w:tr w14:paraId="37EFC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3C60FF40">
            <w:pPr>
              <w:spacing w:line="400" w:lineRule="exact"/>
              <w:ind w:left="23"/>
              <w:rPr>
                <w:rFonts w:ascii="仿宋" w:hAnsi="仿宋" w:eastAsia="仿宋" w:cs="仿宋"/>
                <w:sz w:val="24"/>
                <w:highlight w:val="none"/>
              </w:rPr>
            </w:pPr>
            <w:r>
              <w:rPr>
                <w:rFonts w:hint="eastAsia" w:ascii="仿宋" w:hAnsi="仿宋" w:eastAsia="仿宋" w:cs="仿宋"/>
                <w:sz w:val="24"/>
                <w:highlight w:val="none"/>
              </w:rPr>
              <w:t>1000-5000</w:t>
            </w:r>
          </w:p>
        </w:tc>
        <w:tc>
          <w:tcPr>
            <w:tcW w:w="1841" w:type="dxa"/>
          </w:tcPr>
          <w:p w14:paraId="77E62E84">
            <w:pPr>
              <w:spacing w:line="400" w:lineRule="exact"/>
              <w:ind w:left="23"/>
              <w:jc w:val="center"/>
              <w:rPr>
                <w:rFonts w:ascii="仿宋" w:hAnsi="仿宋" w:eastAsia="仿宋" w:cs="仿宋"/>
                <w:sz w:val="24"/>
                <w:highlight w:val="none"/>
              </w:rPr>
            </w:pPr>
            <w:r>
              <w:rPr>
                <w:rFonts w:hint="eastAsia" w:ascii="仿宋" w:hAnsi="仿宋" w:eastAsia="仿宋" w:cs="仿宋"/>
                <w:sz w:val="24"/>
                <w:highlight w:val="none"/>
              </w:rPr>
              <w:t>0.5%</w:t>
            </w:r>
          </w:p>
        </w:tc>
        <w:tc>
          <w:tcPr>
            <w:tcW w:w="1992" w:type="dxa"/>
          </w:tcPr>
          <w:p w14:paraId="424F81EF">
            <w:pPr>
              <w:spacing w:line="400" w:lineRule="exact"/>
              <w:ind w:left="23"/>
              <w:jc w:val="center"/>
              <w:rPr>
                <w:rFonts w:ascii="仿宋" w:hAnsi="仿宋" w:eastAsia="仿宋" w:cs="仿宋"/>
                <w:sz w:val="24"/>
                <w:highlight w:val="none"/>
              </w:rPr>
            </w:pPr>
            <w:r>
              <w:rPr>
                <w:rFonts w:hint="eastAsia" w:ascii="仿宋" w:hAnsi="仿宋" w:eastAsia="仿宋" w:cs="仿宋"/>
                <w:sz w:val="24"/>
                <w:highlight w:val="none"/>
              </w:rPr>
              <w:t>0.25%</w:t>
            </w:r>
          </w:p>
        </w:tc>
        <w:tc>
          <w:tcPr>
            <w:tcW w:w="2293" w:type="dxa"/>
          </w:tcPr>
          <w:p w14:paraId="1B45657E">
            <w:pPr>
              <w:spacing w:line="400" w:lineRule="exact"/>
              <w:ind w:left="23"/>
              <w:jc w:val="center"/>
              <w:rPr>
                <w:rFonts w:ascii="仿宋" w:hAnsi="仿宋" w:eastAsia="仿宋" w:cs="仿宋"/>
                <w:sz w:val="24"/>
                <w:highlight w:val="none"/>
              </w:rPr>
            </w:pPr>
            <w:r>
              <w:rPr>
                <w:rFonts w:hint="eastAsia" w:ascii="仿宋" w:hAnsi="仿宋" w:eastAsia="仿宋" w:cs="仿宋"/>
                <w:sz w:val="24"/>
                <w:highlight w:val="none"/>
              </w:rPr>
              <w:t>0.35%</w:t>
            </w:r>
          </w:p>
        </w:tc>
      </w:tr>
      <w:tr w14:paraId="1A675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68033E17">
            <w:pPr>
              <w:spacing w:line="400" w:lineRule="exact"/>
              <w:ind w:left="23"/>
              <w:rPr>
                <w:rFonts w:ascii="仿宋" w:hAnsi="仿宋" w:eastAsia="仿宋" w:cs="仿宋"/>
                <w:sz w:val="24"/>
                <w:highlight w:val="none"/>
              </w:rPr>
            </w:pPr>
            <w:r>
              <w:rPr>
                <w:rFonts w:hint="eastAsia" w:ascii="仿宋" w:hAnsi="仿宋" w:eastAsia="仿宋" w:cs="仿宋"/>
                <w:sz w:val="24"/>
                <w:highlight w:val="none"/>
              </w:rPr>
              <w:t>5000-10000</w:t>
            </w:r>
          </w:p>
        </w:tc>
        <w:tc>
          <w:tcPr>
            <w:tcW w:w="1841" w:type="dxa"/>
          </w:tcPr>
          <w:p w14:paraId="79F11CD2">
            <w:pPr>
              <w:spacing w:line="400" w:lineRule="exact"/>
              <w:ind w:left="23"/>
              <w:jc w:val="center"/>
              <w:rPr>
                <w:rFonts w:ascii="仿宋" w:hAnsi="仿宋" w:eastAsia="仿宋" w:cs="仿宋"/>
                <w:sz w:val="24"/>
                <w:highlight w:val="none"/>
              </w:rPr>
            </w:pPr>
            <w:r>
              <w:rPr>
                <w:rFonts w:hint="eastAsia" w:ascii="仿宋" w:hAnsi="仿宋" w:eastAsia="仿宋" w:cs="仿宋"/>
                <w:sz w:val="24"/>
                <w:highlight w:val="none"/>
              </w:rPr>
              <w:t>0.25%</w:t>
            </w:r>
          </w:p>
        </w:tc>
        <w:tc>
          <w:tcPr>
            <w:tcW w:w="1992" w:type="dxa"/>
          </w:tcPr>
          <w:p w14:paraId="323F78BE">
            <w:pPr>
              <w:spacing w:line="400" w:lineRule="exact"/>
              <w:ind w:left="23"/>
              <w:jc w:val="center"/>
              <w:rPr>
                <w:rFonts w:ascii="仿宋" w:hAnsi="仿宋" w:eastAsia="仿宋" w:cs="仿宋"/>
                <w:sz w:val="24"/>
                <w:highlight w:val="none"/>
              </w:rPr>
            </w:pPr>
            <w:r>
              <w:rPr>
                <w:rFonts w:hint="eastAsia" w:ascii="仿宋" w:hAnsi="仿宋" w:eastAsia="仿宋" w:cs="仿宋"/>
                <w:sz w:val="24"/>
                <w:highlight w:val="none"/>
              </w:rPr>
              <w:t>0.1%</w:t>
            </w:r>
          </w:p>
        </w:tc>
        <w:tc>
          <w:tcPr>
            <w:tcW w:w="2293" w:type="dxa"/>
          </w:tcPr>
          <w:p w14:paraId="212EEEBA">
            <w:pPr>
              <w:spacing w:line="400" w:lineRule="exact"/>
              <w:ind w:left="23"/>
              <w:jc w:val="center"/>
              <w:rPr>
                <w:rFonts w:ascii="仿宋" w:hAnsi="仿宋" w:eastAsia="仿宋" w:cs="仿宋"/>
                <w:sz w:val="24"/>
                <w:highlight w:val="none"/>
              </w:rPr>
            </w:pPr>
            <w:r>
              <w:rPr>
                <w:rFonts w:hint="eastAsia" w:ascii="仿宋" w:hAnsi="仿宋" w:eastAsia="仿宋" w:cs="仿宋"/>
                <w:sz w:val="24"/>
                <w:highlight w:val="none"/>
              </w:rPr>
              <w:t>0.2%</w:t>
            </w:r>
          </w:p>
        </w:tc>
      </w:tr>
    </w:tbl>
    <w:p w14:paraId="71ED4936">
      <w:pPr>
        <w:spacing w:line="400" w:lineRule="exact"/>
        <w:ind w:left="25"/>
        <w:rPr>
          <w:rFonts w:ascii="仿宋" w:hAnsi="仿宋" w:eastAsia="仿宋" w:cs="仿宋"/>
          <w:sz w:val="24"/>
          <w:highlight w:val="none"/>
        </w:rPr>
      </w:pPr>
      <w:r>
        <w:rPr>
          <w:rFonts w:hint="eastAsia" w:ascii="仿宋" w:hAnsi="仿宋" w:eastAsia="仿宋" w:cs="仿宋"/>
          <w:sz w:val="24"/>
          <w:highlight w:val="none"/>
        </w:rPr>
        <w:t>注：招标代理服务收费按差额定率累进法计算。</w:t>
      </w:r>
    </w:p>
    <w:p w14:paraId="2C6CB968">
      <w:pPr>
        <w:spacing w:line="400" w:lineRule="exact"/>
        <w:ind w:firstLine="422"/>
        <w:rPr>
          <w:rFonts w:ascii="仿宋" w:hAnsi="仿宋" w:eastAsia="仿宋" w:cs="仿宋"/>
          <w:bCs/>
          <w:sz w:val="24"/>
          <w:highlight w:val="none"/>
        </w:rPr>
      </w:pPr>
      <w:r>
        <w:rPr>
          <w:rFonts w:hint="eastAsia" w:ascii="仿宋" w:hAnsi="仿宋" w:eastAsia="仿宋" w:cs="仿宋"/>
          <w:bCs/>
          <w:sz w:val="24"/>
          <w:highlight w:val="none"/>
        </w:rPr>
        <w:t>31.2招标代理服务费缴纳账户：</w:t>
      </w:r>
    </w:p>
    <w:p w14:paraId="1EE34879">
      <w:pPr>
        <w:spacing w:line="440" w:lineRule="exact"/>
        <w:ind w:firstLine="482" w:firstLineChars="200"/>
        <w:rPr>
          <w:rStyle w:val="33"/>
          <w:rFonts w:hint="eastAsia" w:ascii="仿宋" w:hAnsi="仿宋" w:eastAsia="仿宋" w:cs="仿宋"/>
          <w:color w:val="000000"/>
          <w:sz w:val="24"/>
          <w:highlight w:val="none"/>
        </w:rPr>
      </w:pPr>
      <w:bookmarkStart w:id="134" w:name="_Toc25237"/>
      <w:r>
        <w:rPr>
          <w:rStyle w:val="33"/>
          <w:rFonts w:hint="eastAsia" w:ascii="仿宋" w:hAnsi="仿宋" w:eastAsia="仿宋" w:cs="仿宋"/>
          <w:color w:val="000000"/>
          <w:sz w:val="24"/>
          <w:highlight w:val="none"/>
        </w:rPr>
        <w:t>开户名称：广西鸿墨项目管理有限公司</w:t>
      </w:r>
    </w:p>
    <w:p w14:paraId="6ED7221B">
      <w:pPr>
        <w:spacing w:line="440" w:lineRule="exact"/>
        <w:ind w:firstLine="482" w:firstLineChars="200"/>
        <w:rPr>
          <w:rStyle w:val="33"/>
          <w:rFonts w:hint="eastAsia" w:ascii="仿宋" w:hAnsi="仿宋" w:eastAsia="仿宋" w:cs="仿宋"/>
          <w:color w:val="000000"/>
          <w:sz w:val="24"/>
          <w:highlight w:val="none"/>
        </w:rPr>
      </w:pPr>
      <w:r>
        <w:rPr>
          <w:rStyle w:val="33"/>
          <w:rFonts w:hint="eastAsia" w:ascii="仿宋" w:hAnsi="仿宋" w:eastAsia="仿宋" w:cs="仿宋"/>
          <w:color w:val="000000"/>
          <w:sz w:val="24"/>
          <w:highlight w:val="none"/>
        </w:rPr>
        <w:t>开户银行：中国银行股份有限公司桂林市中心广场支行</w:t>
      </w:r>
    </w:p>
    <w:p w14:paraId="5972939F">
      <w:pPr>
        <w:spacing w:line="440" w:lineRule="exact"/>
        <w:ind w:firstLine="482" w:firstLineChars="200"/>
        <w:rPr>
          <w:rStyle w:val="33"/>
          <w:rFonts w:hint="eastAsia" w:ascii="仿宋" w:hAnsi="仿宋" w:eastAsia="仿宋" w:cs="仿宋"/>
          <w:color w:val="000000"/>
          <w:sz w:val="24"/>
          <w:highlight w:val="none"/>
        </w:rPr>
      </w:pPr>
      <w:r>
        <w:rPr>
          <w:rStyle w:val="33"/>
          <w:rFonts w:hint="eastAsia" w:ascii="仿宋" w:hAnsi="仿宋" w:eastAsia="仿宋" w:cs="仿宋"/>
          <w:color w:val="000000"/>
          <w:sz w:val="24"/>
          <w:highlight w:val="none"/>
        </w:rPr>
        <w:t>银行账号：615886533242</w:t>
      </w:r>
    </w:p>
    <w:p w14:paraId="04490AC6">
      <w:pPr>
        <w:spacing w:line="440" w:lineRule="exact"/>
        <w:ind w:firstLine="482" w:firstLineChars="200"/>
        <w:rPr>
          <w:rFonts w:ascii="仿宋" w:hAnsi="仿宋" w:eastAsia="仿宋" w:cs="仿宋"/>
          <w:color w:val="000000"/>
          <w:sz w:val="24"/>
          <w:highlight w:val="none"/>
        </w:rPr>
      </w:pPr>
      <w:r>
        <w:rPr>
          <w:rStyle w:val="33"/>
          <w:rFonts w:hint="eastAsia" w:ascii="仿宋" w:hAnsi="仿宋" w:eastAsia="仿宋" w:cs="仿宋"/>
          <w:color w:val="000000"/>
          <w:sz w:val="24"/>
          <w:highlight w:val="none"/>
        </w:rPr>
        <w:t>32. 解释权</w:t>
      </w:r>
      <w:bookmarkEnd w:id="133"/>
      <w:bookmarkEnd w:id="134"/>
      <w:r>
        <w:rPr>
          <w:rFonts w:hint="eastAsia" w:ascii="仿宋" w:hAnsi="仿宋" w:eastAsia="仿宋" w:cs="仿宋"/>
          <w:color w:val="000000"/>
          <w:sz w:val="24"/>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16A71045">
      <w:pPr>
        <w:snapToGrid w:val="0"/>
        <w:spacing w:line="440" w:lineRule="exact"/>
        <w:ind w:firstLine="482" w:firstLineChars="200"/>
        <w:rPr>
          <w:rFonts w:ascii="仿宋" w:hAnsi="仿宋" w:eastAsia="仿宋" w:cs="仿宋"/>
          <w:color w:val="000000"/>
          <w:sz w:val="24"/>
          <w:highlight w:val="none"/>
        </w:rPr>
      </w:pPr>
      <w:bookmarkStart w:id="135" w:name="_Toc27567"/>
      <w:r>
        <w:rPr>
          <w:rStyle w:val="33"/>
          <w:rFonts w:hint="eastAsia" w:ascii="仿宋" w:hAnsi="仿宋" w:eastAsia="仿宋" w:cs="仿宋"/>
          <w:color w:val="000000"/>
          <w:sz w:val="24"/>
          <w:highlight w:val="none"/>
        </w:rPr>
        <w:t>33. 监督管理机构</w:t>
      </w:r>
      <w:bookmarkEnd w:id="135"/>
      <w:r>
        <w:rPr>
          <w:rFonts w:hint="eastAsia" w:ascii="仿宋" w:hAnsi="仿宋" w:eastAsia="仿宋" w:cs="仿宋"/>
          <w:color w:val="000000"/>
          <w:sz w:val="24"/>
          <w:highlight w:val="none"/>
        </w:rPr>
        <w:t>：桂林市雁山区政府采购管理办公室   电话：0773-3551859。</w:t>
      </w:r>
    </w:p>
    <w:p w14:paraId="53A1C801">
      <w:pPr>
        <w:snapToGrid w:val="0"/>
        <w:spacing w:line="440" w:lineRule="exact"/>
        <w:ind w:firstLine="482" w:firstLineChars="200"/>
        <w:rPr>
          <w:rFonts w:ascii="仿宋" w:hAnsi="仿宋" w:eastAsia="仿宋" w:cs="仿宋"/>
          <w:highlight w:val="none"/>
        </w:rPr>
      </w:pPr>
      <w:r>
        <w:rPr>
          <w:rStyle w:val="33"/>
          <w:rFonts w:hint="eastAsia" w:ascii="仿宋" w:hAnsi="仿宋" w:eastAsia="仿宋" w:cs="仿宋"/>
          <w:color w:val="000000"/>
          <w:sz w:val="24"/>
          <w:highlight w:val="none"/>
        </w:rPr>
        <w:t>34</w:t>
      </w:r>
      <w:r>
        <w:rPr>
          <w:rFonts w:hint="eastAsia" w:ascii="仿宋" w:hAnsi="仿宋" w:eastAsia="仿宋" w:cs="仿宋"/>
          <w:b/>
          <w:sz w:val="24"/>
          <w:highlight w:val="none"/>
        </w:rPr>
        <w:t>. 广西线上“政采贷”政策详见附表4。</w:t>
      </w:r>
    </w:p>
    <w:p w14:paraId="5B9C6FE6">
      <w:pPr>
        <w:rPr>
          <w:rFonts w:ascii="仿宋" w:hAnsi="仿宋" w:eastAsia="仿宋" w:cs="仿宋"/>
          <w:highlight w:val="none"/>
        </w:rPr>
      </w:pPr>
    </w:p>
    <w:p w14:paraId="44FB4BD9">
      <w:pPr>
        <w:pStyle w:val="13"/>
        <w:ind w:firstLine="480"/>
        <w:rPr>
          <w:rFonts w:ascii="仿宋" w:hAnsi="仿宋" w:eastAsia="仿宋" w:cs="仿宋"/>
          <w:highlight w:val="none"/>
        </w:rPr>
      </w:pPr>
    </w:p>
    <w:p w14:paraId="0F85CE0C">
      <w:pPr>
        <w:pStyle w:val="13"/>
        <w:ind w:firstLine="480"/>
        <w:rPr>
          <w:rFonts w:ascii="仿宋" w:hAnsi="仿宋" w:eastAsia="仿宋" w:cs="仿宋"/>
          <w:highlight w:val="none"/>
        </w:rPr>
      </w:pPr>
    </w:p>
    <w:p w14:paraId="6FA040C7">
      <w:pPr>
        <w:pStyle w:val="15"/>
        <w:pageBreakBefore/>
        <w:snapToGrid w:val="0"/>
        <w:rPr>
          <w:rFonts w:ascii="仿宋" w:hAnsi="仿宋" w:eastAsia="仿宋" w:cs="仿宋"/>
          <w:b/>
          <w:sz w:val="24"/>
          <w:szCs w:val="24"/>
          <w:highlight w:val="none"/>
        </w:rPr>
      </w:pPr>
      <w:r>
        <w:rPr>
          <w:rFonts w:hint="eastAsia" w:ascii="仿宋" w:hAnsi="仿宋" w:eastAsia="仿宋" w:cs="仿宋"/>
          <w:b/>
          <w:sz w:val="24"/>
          <w:szCs w:val="24"/>
          <w:highlight w:val="none"/>
        </w:rPr>
        <w:t>附表1：</w:t>
      </w:r>
    </w:p>
    <w:p w14:paraId="23628036">
      <w:pPr>
        <w:spacing w:line="460" w:lineRule="exact"/>
        <w:jc w:val="center"/>
        <w:rPr>
          <w:rFonts w:ascii="仿宋" w:hAnsi="仿宋" w:eastAsia="仿宋" w:cs="仿宋"/>
          <w:sz w:val="44"/>
          <w:highlight w:val="none"/>
        </w:rPr>
      </w:pPr>
      <w:r>
        <w:rPr>
          <w:rFonts w:hint="eastAsia" w:ascii="仿宋" w:hAnsi="仿宋" w:eastAsia="仿宋" w:cs="仿宋"/>
          <w:sz w:val="44"/>
          <w:highlight w:val="none"/>
        </w:rPr>
        <w:t>质疑函（格式）</w:t>
      </w:r>
    </w:p>
    <w:p w14:paraId="04974424">
      <w:pPr>
        <w:pStyle w:val="15"/>
        <w:snapToGrid w:val="0"/>
        <w:spacing w:line="36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一、质疑供应商基本信息：</w:t>
      </w:r>
    </w:p>
    <w:p w14:paraId="2529A7FB">
      <w:pPr>
        <w:pStyle w:val="15"/>
        <w:snapToGrid w:val="0"/>
        <w:spacing w:line="360" w:lineRule="exact"/>
        <w:ind w:firstLine="480" w:firstLineChars="200"/>
        <w:rPr>
          <w:rFonts w:ascii="仿宋" w:hAnsi="仿宋" w:eastAsia="仿宋" w:cs="仿宋"/>
          <w:bCs/>
          <w:sz w:val="24"/>
          <w:szCs w:val="24"/>
          <w:highlight w:val="none"/>
          <w:u w:val="single"/>
        </w:rPr>
      </w:pPr>
      <w:r>
        <w:rPr>
          <w:rFonts w:hint="eastAsia" w:ascii="仿宋" w:hAnsi="仿宋" w:eastAsia="仿宋" w:cs="仿宋"/>
          <w:bCs/>
          <w:sz w:val="24"/>
          <w:szCs w:val="24"/>
          <w:highlight w:val="none"/>
        </w:rPr>
        <w:t>质疑供应商：</w:t>
      </w:r>
    </w:p>
    <w:p w14:paraId="7ED6B656">
      <w:pPr>
        <w:pStyle w:val="15"/>
        <w:snapToGrid w:val="0"/>
        <w:spacing w:line="360" w:lineRule="exact"/>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地址：邮编：</w:t>
      </w:r>
    </w:p>
    <w:p w14:paraId="2F8EA962">
      <w:pPr>
        <w:pStyle w:val="15"/>
        <w:snapToGrid w:val="0"/>
        <w:spacing w:line="360" w:lineRule="exact"/>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联系人：联系电话：</w:t>
      </w:r>
    </w:p>
    <w:p w14:paraId="2B6B8BFF">
      <w:pPr>
        <w:pStyle w:val="15"/>
        <w:snapToGrid w:val="0"/>
        <w:spacing w:line="360" w:lineRule="exact"/>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授权代表：</w:t>
      </w:r>
    </w:p>
    <w:p w14:paraId="19E82B00">
      <w:pPr>
        <w:pStyle w:val="15"/>
        <w:snapToGrid w:val="0"/>
        <w:spacing w:line="360" w:lineRule="exact"/>
        <w:ind w:firstLine="480" w:firstLineChars="200"/>
        <w:rPr>
          <w:rFonts w:ascii="仿宋" w:hAnsi="仿宋" w:eastAsia="仿宋" w:cs="仿宋"/>
          <w:bCs/>
          <w:sz w:val="24"/>
          <w:szCs w:val="24"/>
          <w:highlight w:val="none"/>
          <w:u w:val="single"/>
        </w:rPr>
      </w:pPr>
      <w:r>
        <w:rPr>
          <w:rFonts w:hint="eastAsia" w:ascii="仿宋" w:hAnsi="仿宋" w:eastAsia="仿宋" w:cs="仿宋"/>
          <w:bCs/>
          <w:sz w:val="24"/>
          <w:szCs w:val="24"/>
          <w:highlight w:val="none"/>
        </w:rPr>
        <w:t>联系电话：</w:t>
      </w:r>
    </w:p>
    <w:p w14:paraId="0512EEEF">
      <w:pPr>
        <w:pStyle w:val="15"/>
        <w:snapToGrid w:val="0"/>
        <w:spacing w:line="360" w:lineRule="exact"/>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地址：邮编：</w:t>
      </w:r>
    </w:p>
    <w:p w14:paraId="73FEC656">
      <w:pPr>
        <w:pStyle w:val="15"/>
        <w:snapToGrid w:val="0"/>
        <w:spacing w:line="36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二、质疑项目基本情况：</w:t>
      </w:r>
    </w:p>
    <w:p w14:paraId="052B60B4">
      <w:pPr>
        <w:pStyle w:val="15"/>
        <w:spacing w:line="360" w:lineRule="exact"/>
        <w:ind w:left="25" w:leftChars="12" w:firstLine="472" w:firstLineChars="197"/>
        <w:rPr>
          <w:rFonts w:ascii="仿宋" w:hAnsi="仿宋" w:eastAsia="仿宋" w:cs="仿宋"/>
          <w:sz w:val="24"/>
          <w:szCs w:val="24"/>
          <w:highlight w:val="none"/>
        </w:rPr>
      </w:pPr>
      <w:r>
        <w:rPr>
          <w:rFonts w:hint="eastAsia" w:ascii="仿宋" w:hAnsi="仿宋" w:eastAsia="仿宋" w:cs="仿宋"/>
          <w:bCs/>
          <w:sz w:val="24"/>
          <w:szCs w:val="24"/>
          <w:highlight w:val="none"/>
        </w:rPr>
        <w:t>质疑</w:t>
      </w:r>
      <w:r>
        <w:rPr>
          <w:rFonts w:hint="eastAsia" w:ascii="仿宋" w:hAnsi="仿宋" w:eastAsia="仿宋" w:cs="仿宋"/>
          <w:sz w:val="24"/>
          <w:szCs w:val="24"/>
          <w:highlight w:val="none"/>
        </w:rPr>
        <w:t>项目的名称：</w:t>
      </w:r>
    </w:p>
    <w:p w14:paraId="03753377">
      <w:pPr>
        <w:pStyle w:val="15"/>
        <w:spacing w:line="360" w:lineRule="exact"/>
        <w:ind w:left="25" w:leftChars="12" w:firstLine="472" w:firstLineChars="197"/>
        <w:rPr>
          <w:rFonts w:ascii="仿宋" w:hAnsi="仿宋" w:eastAsia="仿宋" w:cs="仿宋"/>
          <w:sz w:val="24"/>
          <w:szCs w:val="24"/>
          <w:highlight w:val="none"/>
        </w:rPr>
      </w:pPr>
      <w:r>
        <w:rPr>
          <w:rFonts w:hint="eastAsia" w:ascii="仿宋" w:hAnsi="仿宋" w:eastAsia="仿宋" w:cs="仿宋"/>
          <w:bCs/>
          <w:sz w:val="24"/>
          <w:szCs w:val="24"/>
          <w:highlight w:val="none"/>
        </w:rPr>
        <w:t>质疑</w:t>
      </w:r>
      <w:r>
        <w:rPr>
          <w:rFonts w:hint="eastAsia" w:ascii="仿宋" w:hAnsi="仿宋" w:eastAsia="仿宋" w:cs="仿宋"/>
          <w:sz w:val="24"/>
          <w:szCs w:val="24"/>
          <w:highlight w:val="none"/>
        </w:rPr>
        <w:t>项目的编号：</w:t>
      </w:r>
    </w:p>
    <w:p w14:paraId="04FC90E3">
      <w:pPr>
        <w:pStyle w:val="15"/>
        <w:spacing w:line="360" w:lineRule="exact"/>
        <w:ind w:left="25" w:leftChars="12" w:firstLine="472" w:firstLineChars="197"/>
        <w:rPr>
          <w:rFonts w:ascii="仿宋" w:hAnsi="仿宋" w:eastAsia="仿宋" w:cs="仿宋"/>
          <w:sz w:val="24"/>
          <w:szCs w:val="24"/>
          <w:highlight w:val="none"/>
        </w:rPr>
      </w:pPr>
      <w:r>
        <w:rPr>
          <w:rFonts w:hint="eastAsia" w:ascii="仿宋" w:hAnsi="仿宋" w:eastAsia="仿宋" w:cs="仿宋"/>
          <w:sz w:val="24"/>
          <w:szCs w:val="24"/>
          <w:highlight w:val="none"/>
        </w:rPr>
        <w:t>采购人名称：</w:t>
      </w:r>
    </w:p>
    <w:p w14:paraId="0FAA18D3">
      <w:pPr>
        <w:pStyle w:val="15"/>
        <w:spacing w:line="360" w:lineRule="exact"/>
        <w:ind w:left="25" w:leftChars="12" w:firstLine="472" w:firstLineChars="197"/>
        <w:rPr>
          <w:rFonts w:ascii="仿宋" w:hAnsi="仿宋" w:eastAsia="仿宋" w:cs="仿宋"/>
          <w:sz w:val="24"/>
          <w:szCs w:val="24"/>
          <w:highlight w:val="none"/>
        </w:rPr>
      </w:pPr>
      <w:r>
        <w:rPr>
          <w:rFonts w:hint="eastAsia" w:ascii="仿宋" w:hAnsi="仿宋" w:eastAsia="仿宋" w:cs="仿宋"/>
          <w:sz w:val="24"/>
          <w:szCs w:val="24"/>
          <w:highlight w:val="none"/>
        </w:rPr>
        <w:t>质疑事项：</w:t>
      </w:r>
    </w:p>
    <w:p w14:paraId="14DF88D0">
      <w:pPr>
        <w:pStyle w:val="15"/>
        <w:spacing w:line="360" w:lineRule="exact"/>
        <w:ind w:left="25" w:leftChars="12" w:firstLine="352" w:firstLineChars="147"/>
        <w:rPr>
          <w:rFonts w:ascii="仿宋" w:hAnsi="仿宋" w:eastAsia="仿宋" w:cs="仿宋"/>
          <w:sz w:val="24"/>
          <w:szCs w:val="24"/>
          <w:highlight w:val="none"/>
        </w:rPr>
      </w:pPr>
      <w:r>
        <w:rPr>
          <w:rFonts w:hint="eastAsia" w:ascii="仿宋" w:hAnsi="仿宋" w:eastAsia="仿宋" w:cs="仿宋"/>
          <w:sz w:val="24"/>
          <w:szCs w:val="24"/>
          <w:highlight w:val="none"/>
        </w:rPr>
        <w:t>□招标文件   招标文件获取日期：</w:t>
      </w:r>
    </w:p>
    <w:p w14:paraId="5326657A">
      <w:pPr>
        <w:pStyle w:val="15"/>
        <w:spacing w:line="360" w:lineRule="exact"/>
        <w:ind w:left="25" w:leftChars="12" w:firstLine="352" w:firstLineChars="147"/>
        <w:rPr>
          <w:rFonts w:ascii="仿宋" w:hAnsi="仿宋" w:eastAsia="仿宋" w:cs="仿宋"/>
          <w:sz w:val="24"/>
          <w:szCs w:val="24"/>
          <w:highlight w:val="none"/>
        </w:rPr>
      </w:pPr>
      <w:r>
        <w:rPr>
          <w:rFonts w:hint="eastAsia" w:ascii="仿宋" w:hAnsi="仿宋" w:eastAsia="仿宋" w:cs="仿宋"/>
          <w:sz w:val="24"/>
          <w:szCs w:val="24"/>
          <w:highlight w:val="none"/>
        </w:rPr>
        <w:t xml:space="preserve">□采购过程   </w:t>
      </w:r>
    </w:p>
    <w:p w14:paraId="10F107C4">
      <w:pPr>
        <w:pStyle w:val="15"/>
        <w:spacing w:line="360" w:lineRule="exact"/>
        <w:ind w:left="25" w:leftChars="12" w:firstLine="352" w:firstLineChars="147"/>
        <w:rPr>
          <w:rFonts w:ascii="仿宋" w:hAnsi="仿宋" w:eastAsia="仿宋" w:cs="仿宋"/>
          <w:bCs/>
          <w:sz w:val="24"/>
          <w:szCs w:val="24"/>
          <w:highlight w:val="none"/>
          <w:u w:val="single"/>
        </w:rPr>
      </w:pPr>
      <w:r>
        <w:rPr>
          <w:rFonts w:hint="eastAsia" w:ascii="仿宋" w:hAnsi="仿宋" w:eastAsia="仿宋" w:cs="仿宋"/>
          <w:sz w:val="24"/>
          <w:szCs w:val="24"/>
          <w:highlight w:val="none"/>
        </w:rPr>
        <w:t xml:space="preserve">□中标结果   </w:t>
      </w:r>
    </w:p>
    <w:p w14:paraId="6A6ACB60">
      <w:pPr>
        <w:pStyle w:val="15"/>
        <w:spacing w:line="360" w:lineRule="exact"/>
        <w:ind w:left="25" w:leftChars="12" w:firstLine="472" w:firstLineChars="196"/>
        <w:rPr>
          <w:rFonts w:ascii="仿宋" w:hAnsi="仿宋" w:eastAsia="仿宋" w:cs="仿宋"/>
          <w:b/>
          <w:sz w:val="24"/>
          <w:szCs w:val="24"/>
          <w:highlight w:val="none"/>
        </w:rPr>
      </w:pPr>
      <w:r>
        <w:rPr>
          <w:rFonts w:hint="eastAsia" w:ascii="仿宋" w:hAnsi="仿宋" w:eastAsia="仿宋" w:cs="仿宋"/>
          <w:b/>
          <w:sz w:val="24"/>
          <w:szCs w:val="24"/>
          <w:highlight w:val="none"/>
        </w:rPr>
        <w:t>三、质疑事项具体内容</w:t>
      </w:r>
    </w:p>
    <w:p w14:paraId="3F98FB7F">
      <w:pPr>
        <w:pStyle w:val="15"/>
        <w:spacing w:line="360" w:lineRule="exact"/>
        <w:ind w:left="25" w:leftChars="12" w:firstLine="472" w:firstLineChars="197"/>
        <w:rPr>
          <w:rFonts w:ascii="仿宋" w:hAnsi="仿宋" w:eastAsia="仿宋" w:cs="仿宋"/>
          <w:sz w:val="24"/>
          <w:szCs w:val="24"/>
          <w:highlight w:val="none"/>
        </w:rPr>
      </w:pPr>
      <w:r>
        <w:rPr>
          <w:rFonts w:hint="eastAsia" w:ascii="仿宋" w:hAnsi="仿宋" w:eastAsia="仿宋" w:cs="仿宋"/>
          <w:sz w:val="24"/>
          <w:szCs w:val="24"/>
          <w:highlight w:val="none"/>
        </w:rPr>
        <w:t>质疑事项1：</w:t>
      </w:r>
    </w:p>
    <w:p w14:paraId="47F82924">
      <w:pPr>
        <w:pStyle w:val="15"/>
        <w:spacing w:line="360" w:lineRule="exact"/>
        <w:ind w:left="25" w:leftChars="12" w:firstLine="472" w:firstLineChars="197"/>
        <w:rPr>
          <w:rFonts w:ascii="仿宋" w:hAnsi="仿宋" w:eastAsia="仿宋" w:cs="仿宋"/>
          <w:sz w:val="24"/>
          <w:szCs w:val="24"/>
          <w:highlight w:val="none"/>
        </w:rPr>
      </w:pPr>
      <w:r>
        <w:rPr>
          <w:rFonts w:hint="eastAsia" w:ascii="仿宋" w:hAnsi="仿宋" w:eastAsia="仿宋" w:cs="仿宋"/>
          <w:sz w:val="24"/>
          <w:szCs w:val="24"/>
          <w:highlight w:val="none"/>
        </w:rPr>
        <w:t>事实依据：</w:t>
      </w:r>
    </w:p>
    <w:p w14:paraId="096463E6">
      <w:pPr>
        <w:pStyle w:val="15"/>
        <w:spacing w:line="360" w:lineRule="exact"/>
        <w:ind w:left="25" w:leftChars="12" w:firstLine="472" w:firstLineChars="197"/>
        <w:rPr>
          <w:rFonts w:ascii="仿宋" w:hAnsi="仿宋" w:eastAsia="仿宋" w:cs="仿宋"/>
          <w:sz w:val="24"/>
          <w:szCs w:val="24"/>
          <w:highlight w:val="none"/>
        </w:rPr>
      </w:pPr>
      <w:r>
        <w:rPr>
          <w:rFonts w:hint="eastAsia" w:ascii="仿宋" w:hAnsi="仿宋" w:eastAsia="仿宋" w:cs="仿宋"/>
          <w:sz w:val="24"/>
          <w:szCs w:val="24"/>
          <w:highlight w:val="none"/>
        </w:rPr>
        <w:t>法律依据：</w:t>
      </w:r>
    </w:p>
    <w:p w14:paraId="7E9C2509">
      <w:pPr>
        <w:pStyle w:val="15"/>
        <w:spacing w:line="360" w:lineRule="exact"/>
        <w:ind w:left="25" w:leftChars="12" w:firstLine="472" w:firstLineChars="197"/>
        <w:rPr>
          <w:rFonts w:ascii="仿宋" w:hAnsi="仿宋" w:eastAsia="仿宋" w:cs="仿宋"/>
          <w:sz w:val="24"/>
          <w:szCs w:val="24"/>
          <w:highlight w:val="none"/>
        </w:rPr>
      </w:pPr>
      <w:r>
        <w:rPr>
          <w:rFonts w:hint="eastAsia" w:ascii="仿宋" w:hAnsi="仿宋" w:eastAsia="仿宋" w:cs="仿宋"/>
          <w:sz w:val="24"/>
          <w:szCs w:val="24"/>
          <w:highlight w:val="none"/>
        </w:rPr>
        <w:t>质疑事项2</w:t>
      </w:r>
    </w:p>
    <w:p w14:paraId="15B0CF00">
      <w:pPr>
        <w:pStyle w:val="15"/>
        <w:spacing w:line="360" w:lineRule="exact"/>
        <w:ind w:left="25" w:leftChars="12" w:firstLine="472" w:firstLineChars="197"/>
        <w:rPr>
          <w:rFonts w:ascii="仿宋" w:hAnsi="仿宋" w:eastAsia="仿宋" w:cs="仿宋"/>
          <w:sz w:val="24"/>
          <w:szCs w:val="24"/>
          <w:highlight w:val="none"/>
        </w:rPr>
      </w:pPr>
      <w:r>
        <w:rPr>
          <w:rFonts w:hint="eastAsia" w:ascii="仿宋" w:hAnsi="仿宋" w:eastAsia="仿宋" w:cs="仿宋"/>
          <w:sz w:val="24"/>
          <w:szCs w:val="24"/>
          <w:highlight w:val="none"/>
        </w:rPr>
        <w:t>……</w:t>
      </w:r>
    </w:p>
    <w:p w14:paraId="342A077D">
      <w:pPr>
        <w:pStyle w:val="15"/>
        <w:spacing w:line="360" w:lineRule="exact"/>
        <w:ind w:left="25" w:leftChars="12" w:firstLine="472" w:firstLineChars="197"/>
        <w:rPr>
          <w:rFonts w:ascii="仿宋" w:hAnsi="仿宋" w:eastAsia="仿宋" w:cs="仿宋"/>
          <w:sz w:val="24"/>
          <w:szCs w:val="24"/>
          <w:highlight w:val="none"/>
        </w:rPr>
      </w:pPr>
      <w:r>
        <w:rPr>
          <w:rFonts w:hint="eastAsia" w:ascii="仿宋" w:hAnsi="仿宋" w:eastAsia="仿宋" w:cs="仿宋"/>
          <w:sz w:val="24"/>
          <w:szCs w:val="24"/>
          <w:highlight w:val="none"/>
        </w:rPr>
        <w:t>四、与质疑事项相关的质疑请求：</w:t>
      </w:r>
    </w:p>
    <w:p w14:paraId="4EACA161">
      <w:pPr>
        <w:pStyle w:val="15"/>
        <w:spacing w:line="360" w:lineRule="exact"/>
        <w:ind w:left="25" w:leftChars="12" w:firstLine="472" w:firstLineChars="197"/>
        <w:rPr>
          <w:rFonts w:ascii="仿宋" w:hAnsi="仿宋" w:eastAsia="仿宋" w:cs="仿宋"/>
          <w:sz w:val="24"/>
          <w:szCs w:val="24"/>
          <w:highlight w:val="none"/>
        </w:rPr>
      </w:pPr>
      <w:r>
        <w:rPr>
          <w:rFonts w:hint="eastAsia" w:ascii="仿宋" w:hAnsi="仿宋" w:eastAsia="仿宋" w:cs="仿宋"/>
          <w:sz w:val="24"/>
          <w:szCs w:val="24"/>
          <w:highlight w:val="none"/>
        </w:rPr>
        <w:t>请求：</w:t>
      </w:r>
    </w:p>
    <w:p w14:paraId="03F3C96C">
      <w:pPr>
        <w:pStyle w:val="15"/>
        <w:spacing w:line="360" w:lineRule="exact"/>
        <w:ind w:left="25" w:leftChars="12" w:firstLine="352" w:firstLineChars="147"/>
        <w:rPr>
          <w:rFonts w:ascii="仿宋" w:hAnsi="仿宋" w:eastAsia="仿宋" w:cs="仿宋"/>
          <w:sz w:val="24"/>
          <w:szCs w:val="24"/>
          <w:highlight w:val="none"/>
        </w:rPr>
      </w:pPr>
    </w:p>
    <w:p w14:paraId="5E02BC0D">
      <w:pPr>
        <w:pStyle w:val="15"/>
        <w:spacing w:line="360" w:lineRule="exact"/>
        <w:ind w:left="25" w:leftChars="12" w:firstLine="472" w:firstLineChars="197"/>
        <w:rPr>
          <w:rFonts w:ascii="仿宋" w:hAnsi="仿宋" w:eastAsia="仿宋" w:cs="仿宋"/>
          <w:sz w:val="24"/>
          <w:szCs w:val="24"/>
          <w:highlight w:val="none"/>
        </w:rPr>
      </w:pPr>
      <w:r>
        <w:rPr>
          <w:rFonts w:hint="eastAsia" w:ascii="仿宋" w:hAnsi="仿宋" w:eastAsia="仿宋" w:cs="仿宋"/>
          <w:sz w:val="24"/>
          <w:szCs w:val="24"/>
          <w:highlight w:val="none"/>
        </w:rPr>
        <w:t>签字（签章）：                                       公章：</w:t>
      </w:r>
    </w:p>
    <w:p w14:paraId="65D8CB27">
      <w:pPr>
        <w:pStyle w:val="15"/>
        <w:spacing w:line="360" w:lineRule="exact"/>
        <w:ind w:left="25" w:leftChars="12" w:firstLine="352" w:firstLineChars="147"/>
        <w:rPr>
          <w:rFonts w:ascii="仿宋" w:hAnsi="仿宋" w:eastAsia="仿宋" w:cs="仿宋"/>
          <w:sz w:val="24"/>
          <w:szCs w:val="24"/>
          <w:highlight w:val="none"/>
        </w:rPr>
      </w:pPr>
    </w:p>
    <w:p w14:paraId="20A878D0">
      <w:pPr>
        <w:pStyle w:val="15"/>
        <w:spacing w:line="360" w:lineRule="exact"/>
        <w:ind w:left="25" w:leftChars="12" w:firstLine="472" w:firstLineChars="197"/>
        <w:rPr>
          <w:rFonts w:ascii="仿宋" w:hAnsi="仿宋" w:eastAsia="仿宋" w:cs="仿宋"/>
          <w:sz w:val="24"/>
          <w:szCs w:val="24"/>
          <w:highlight w:val="none"/>
        </w:rPr>
      </w:pPr>
      <w:r>
        <w:rPr>
          <w:rFonts w:hint="eastAsia" w:ascii="仿宋" w:hAnsi="仿宋" w:eastAsia="仿宋" w:cs="仿宋"/>
          <w:sz w:val="24"/>
          <w:szCs w:val="24"/>
          <w:highlight w:val="none"/>
        </w:rPr>
        <w:t>日期：</w:t>
      </w:r>
    </w:p>
    <w:p w14:paraId="41FF39D2">
      <w:pPr>
        <w:pStyle w:val="15"/>
        <w:snapToGrid w:val="0"/>
        <w:spacing w:line="340" w:lineRule="exact"/>
        <w:rPr>
          <w:rFonts w:ascii="仿宋" w:hAnsi="仿宋" w:eastAsia="仿宋" w:cs="仿宋"/>
          <w:b/>
          <w:sz w:val="24"/>
          <w:szCs w:val="24"/>
          <w:highlight w:val="none"/>
        </w:rPr>
      </w:pPr>
    </w:p>
    <w:p w14:paraId="08D22C9F">
      <w:pPr>
        <w:pStyle w:val="15"/>
        <w:snapToGrid w:val="0"/>
        <w:spacing w:line="340" w:lineRule="exact"/>
        <w:rPr>
          <w:rFonts w:ascii="仿宋" w:hAnsi="仿宋" w:eastAsia="仿宋" w:cs="仿宋"/>
          <w:b/>
          <w:sz w:val="24"/>
          <w:szCs w:val="24"/>
          <w:highlight w:val="none"/>
        </w:rPr>
      </w:pPr>
      <w:r>
        <w:rPr>
          <w:rFonts w:hint="eastAsia" w:ascii="仿宋" w:hAnsi="仿宋" w:eastAsia="仿宋" w:cs="仿宋"/>
          <w:b/>
          <w:sz w:val="24"/>
          <w:szCs w:val="24"/>
          <w:highlight w:val="none"/>
        </w:rPr>
        <w:t>说明：</w:t>
      </w:r>
    </w:p>
    <w:p w14:paraId="20F3C53A">
      <w:pPr>
        <w:pStyle w:val="15"/>
        <w:spacing w:line="340" w:lineRule="exact"/>
        <w:ind w:left="25" w:leftChars="12" w:firstLine="354" w:firstLineChars="147"/>
        <w:rPr>
          <w:rFonts w:ascii="仿宋" w:hAnsi="仿宋" w:eastAsia="仿宋" w:cs="仿宋"/>
          <w:b/>
          <w:bCs/>
          <w:sz w:val="24"/>
          <w:szCs w:val="24"/>
          <w:highlight w:val="none"/>
        </w:rPr>
      </w:pPr>
      <w:r>
        <w:rPr>
          <w:rFonts w:hint="eastAsia" w:ascii="仿宋" w:hAnsi="仿宋" w:eastAsia="仿宋" w:cs="仿宋"/>
          <w:b/>
          <w:sz w:val="24"/>
          <w:szCs w:val="24"/>
          <w:highlight w:val="none"/>
        </w:rPr>
        <w:t>1.供应商提出质疑时，应提交质疑函和必要的证明材料</w:t>
      </w:r>
      <w:r>
        <w:rPr>
          <w:rFonts w:hint="eastAsia" w:ascii="仿宋" w:hAnsi="仿宋" w:eastAsia="仿宋" w:cs="仿宋"/>
          <w:b/>
          <w:bCs/>
          <w:sz w:val="24"/>
          <w:szCs w:val="24"/>
          <w:highlight w:val="none"/>
        </w:rPr>
        <w:t>。</w:t>
      </w:r>
    </w:p>
    <w:p w14:paraId="0A5D730E">
      <w:pPr>
        <w:pStyle w:val="15"/>
        <w:spacing w:line="340" w:lineRule="exact"/>
        <w:ind w:left="25" w:leftChars="12" w:firstLine="354" w:firstLineChars="147"/>
        <w:rPr>
          <w:rFonts w:ascii="仿宋" w:hAnsi="仿宋" w:eastAsia="仿宋" w:cs="仿宋"/>
          <w:b/>
          <w:sz w:val="24"/>
          <w:szCs w:val="24"/>
          <w:highlight w:val="none"/>
        </w:rPr>
      </w:pPr>
      <w:r>
        <w:rPr>
          <w:rFonts w:hint="eastAsia" w:ascii="仿宋" w:hAnsi="仿宋" w:eastAsia="仿宋" w:cs="仿宋"/>
          <w:b/>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140EF5E">
      <w:pPr>
        <w:pStyle w:val="15"/>
        <w:spacing w:line="340" w:lineRule="exact"/>
        <w:ind w:left="25" w:leftChars="12" w:firstLine="354" w:firstLineChars="147"/>
        <w:rPr>
          <w:rFonts w:ascii="仿宋" w:hAnsi="仿宋" w:eastAsia="仿宋" w:cs="仿宋"/>
          <w:b/>
          <w:sz w:val="24"/>
          <w:szCs w:val="24"/>
          <w:highlight w:val="none"/>
        </w:rPr>
      </w:pPr>
      <w:r>
        <w:rPr>
          <w:rFonts w:hint="eastAsia" w:ascii="仿宋" w:hAnsi="仿宋" w:eastAsia="仿宋" w:cs="仿宋"/>
          <w:b/>
          <w:sz w:val="24"/>
          <w:szCs w:val="24"/>
          <w:highlight w:val="none"/>
        </w:rPr>
        <w:t>3.质疑函的质疑事项应具体、明确，并有必要的事实依据和法律依据。</w:t>
      </w:r>
    </w:p>
    <w:p w14:paraId="62ABE4CF">
      <w:pPr>
        <w:pStyle w:val="15"/>
        <w:spacing w:line="340" w:lineRule="exact"/>
        <w:ind w:left="25" w:leftChars="12" w:firstLine="354" w:firstLineChars="147"/>
        <w:rPr>
          <w:rFonts w:ascii="仿宋" w:hAnsi="仿宋" w:eastAsia="仿宋" w:cs="仿宋"/>
          <w:b/>
          <w:sz w:val="24"/>
          <w:szCs w:val="24"/>
          <w:highlight w:val="none"/>
        </w:rPr>
      </w:pPr>
      <w:r>
        <w:rPr>
          <w:rFonts w:hint="eastAsia" w:ascii="仿宋" w:hAnsi="仿宋" w:eastAsia="仿宋" w:cs="仿宋"/>
          <w:b/>
          <w:sz w:val="24"/>
          <w:szCs w:val="24"/>
          <w:highlight w:val="none"/>
        </w:rPr>
        <w:t>4.质疑函的质疑请求应与质疑事项相关。</w:t>
      </w:r>
    </w:p>
    <w:p w14:paraId="60B540BA">
      <w:pPr>
        <w:pStyle w:val="15"/>
        <w:spacing w:line="340" w:lineRule="exact"/>
        <w:ind w:left="25" w:leftChars="12" w:firstLine="354" w:firstLineChars="147"/>
        <w:rPr>
          <w:rFonts w:ascii="仿宋" w:hAnsi="仿宋" w:eastAsia="仿宋" w:cs="仿宋"/>
          <w:b/>
          <w:sz w:val="24"/>
          <w:szCs w:val="24"/>
          <w:highlight w:val="none"/>
        </w:rPr>
      </w:pPr>
      <w:r>
        <w:rPr>
          <w:rFonts w:hint="eastAsia" w:ascii="仿宋" w:hAnsi="仿宋" w:eastAsia="仿宋" w:cs="仿宋"/>
          <w:b/>
          <w:sz w:val="24"/>
          <w:szCs w:val="24"/>
          <w:highlight w:val="none"/>
        </w:rPr>
        <w:t>5.质疑供应商为法人或者其他组织的，质疑函应由法定代表人、主要负责人，或者其授权代表签字或者盖章，并加盖公章。</w:t>
      </w:r>
    </w:p>
    <w:p w14:paraId="27EE3EE8">
      <w:pPr>
        <w:pStyle w:val="15"/>
        <w:pageBreakBefore/>
        <w:snapToGrid w:val="0"/>
        <w:rPr>
          <w:rFonts w:ascii="仿宋" w:hAnsi="仿宋" w:eastAsia="仿宋" w:cs="仿宋"/>
          <w:b/>
          <w:sz w:val="24"/>
          <w:szCs w:val="24"/>
          <w:highlight w:val="none"/>
        </w:rPr>
      </w:pPr>
      <w:r>
        <w:rPr>
          <w:rFonts w:hint="eastAsia" w:ascii="仿宋" w:hAnsi="仿宋" w:eastAsia="仿宋" w:cs="仿宋"/>
          <w:b/>
          <w:sz w:val="24"/>
          <w:szCs w:val="24"/>
          <w:highlight w:val="none"/>
        </w:rPr>
        <w:t>附表2：</w:t>
      </w:r>
    </w:p>
    <w:p w14:paraId="7BE5A30A">
      <w:pPr>
        <w:spacing w:line="460" w:lineRule="exact"/>
        <w:jc w:val="center"/>
        <w:rPr>
          <w:rFonts w:ascii="仿宋" w:hAnsi="仿宋" w:eastAsia="仿宋" w:cs="仿宋"/>
          <w:sz w:val="44"/>
          <w:highlight w:val="none"/>
        </w:rPr>
      </w:pPr>
    </w:p>
    <w:p w14:paraId="23EFF8FF">
      <w:pPr>
        <w:spacing w:line="460" w:lineRule="exact"/>
        <w:jc w:val="center"/>
        <w:rPr>
          <w:rFonts w:ascii="仿宋" w:hAnsi="仿宋" w:eastAsia="仿宋" w:cs="仿宋"/>
          <w:sz w:val="44"/>
          <w:highlight w:val="none"/>
        </w:rPr>
      </w:pPr>
      <w:r>
        <w:rPr>
          <w:rFonts w:hint="eastAsia" w:ascii="仿宋" w:hAnsi="仿宋" w:eastAsia="仿宋" w:cs="仿宋"/>
          <w:sz w:val="44"/>
          <w:highlight w:val="none"/>
        </w:rPr>
        <w:t>投诉书（格式）</w:t>
      </w:r>
    </w:p>
    <w:p w14:paraId="3C394B39">
      <w:pPr>
        <w:pStyle w:val="15"/>
        <w:snapToGrid w:val="0"/>
        <w:spacing w:line="40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一、投诉相关主体基本情况：</w:t>
      </w:r>
    </w:p>
    <w:p w14:paraId="5E3151A2">
      <w:pPr>
        <w:pStyle w:val="15"/>
        <w:snapToGrid w:val="0"/>
        <w:spacing w:line="400" w:lineRule="exact"/>
        <w:ind w:firstLine="480" w:firstLineChars="200"/>
        <w:rPr>
          <w:rFonts w:ascii="仿宋" w:hAnsi="仿宋" w:eastAsia="仿宋" w:cs="仿宋"/>
          <w:bCs/>
          <w:sz w:val="24"/>
          <w:szCs w:val="24"/>
          <w:highlight w:val="none"/>
          <w:u w:val="single"/>
        </w:rPr>
      </w:pPr>
      <w:r>
        <w:rPr>
          <w:rFonts w:hint="eastAsia" w:ascii="仿宋" w:hAnsi="仿宋" w:eastAsia="仿宋" w:cs="仿宋"/>
          <w:bCs/>
          <w:sz w:val="24"/>
          <w:szCs w:val="24"/>
          <w:highlight w:val="none"/>
        </w:rPr>
        <w:t>磋商供应商：</w:t>
      </w:r>
    </w:p>
    <w:p w14:paraId="1241A66A">
      <w:pPr>
        <w:pStyle w:val="15"/>
        <w:snapToGrid w:val="0"/>
        <w:spacing w:line="400" w:lineRule="exact"/>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地址：邮编：</w:t>
      </w:r>
    </w:p>
    <w:p w14:paraId="16F27165">
      <w:pPr>
        <w:pStyle w:val="15"/>
        <w:snapToGrid w:val="0"/>
        <w:spacing w:line="400" w:lineRule="exact"/>
        <w:ind w:firstLine="480" w:firstLineChars="200"/>
        <w:rPr>
          <w:rFonts w:ascii="仿宋" w:hAnsi="仿宋" w:eastAsia="仿宋" w:cs="仿宋"/>
          <w:bCs/>
          <w:sz w:val="24"/>
          <w:szCs w:val="24"/>
          <w:highlight w:val="none"/>
          <w:u w:val="single"/>
        </w:rPr>
      </w:pPr>
      <w:r>
        <w:rPr>
          <w:rFonts w:hint="eastAsia" w:ascii="仿宋" w:hAnsi="仿宋" w:eastAsia="仿宋" w:cs="仿宋"/>
          <w:bCs/>
          <w:sz w:val="24"/>
          <w:szCs w:val="24"/>
          <w:highlight w:val="none"/>
        </w:rPr>
        <w:t>法定代表人/主要负责人：</w:t>
      </w:r>
    </w:p>
    <w:p w14:paraId="6CDCECE3">
      <w:pPr>
        <w:pStyle w:val="15"/>
        <w:snapToGrid w:val="0"/>
        <w:spacing w:line="400" w:lineRule="exact"/>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联系电话：</w:t>
      </w:r>
    </w:p>
    <w:p w14:paraId="5BFB578D">
      <w:pPr>
        <w:pStyle w:val="15"/>
        <w:snapToGrid w:val="0"/>
        <w:spacing w:line="400" w:lineRule="exact"/>
        <w:ind w:firstLine="480" w:firstLineChars="200"/>
        <w:rPr>
          <w:rFonts w:ascii="仿宋" w:hAnsi="仿宋" w:eastAsia="仿宋" w:cs="仿宋"/>
          <w:bCs/>
          <w:sz w:val="24"/>
          <w:szCs w:val="24"/>
          <w:highlight w:val="none"/>
          <w:u w:val="single"/>
        </w:rPr>
      </w:pPr>
      <w:r>
        <w:rPr>
          <w:rFonts w:hint="eastAsia" w:ascii="仿宋" w:hAnsi="仿宋" w:eastAsia="仿宋" w:cs="仿宋"/>
          <w:bCs/>
          <w:sz w:val="24"/>
          <w:szCs w:val="24"/>
          <w:highlight w:val="none"/>
        </w:rPr>
        <w:t>授权代表：联系电话：</w:t>
      </w:r>
    </w:p>
    <w:p w14:paraId="1194C1D1">
      <w:pPr>
        <w:pStyle w:val="15"/>
        <w:snapToGrid w:val="0"/>
        <w:spacing w:line="400" w:lineRule="exact"/>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地址：邮编：</w:t>
      </w:r>
    </w:p>
    <w:p w14:paraId="7402026F">
      <w:pPr>
        <w:pStyle w:val="15"/>
        <w:snapToGrid w:val="0"/>
        <w:spacing w:line="400" w:lineRule="exact"/>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被投诉人1：</w:t>
      </w:r>
    </w:p>
    <w:p w14:paraId="20FC38A3">
      <w:pPr>
        <w:pStyle w:val="15"/>
        <w:snapToGrid w:val="0"/>
        <w:spacing w:line="400" w:lineRule="exact"/>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地址：邮编：</w:t>
      </w:r>
    </w:p>
    <w:p w14:paraId="4325E253">
      <w:pPr>
        <w:pStyle w:val="15"/>
        <w:snapToGrid w:val="0"/>
        <w:spacing w:line="400" w:lineRule="exact"/>
        <w:ind w:firstLine="480" w:firstLineChars="200"/>
        <w:rPr>
          <w:rFonts w:ascii="仿宋" w:hAnsi="仿宋" w:eastAsia="仿宋" w:cs="仿宋"/>
          <w:bCs/>
          <w:sz w:val="24"/>
          <w:szCs w:val="24"/>
          <w:highlight w:val="none"/>
          <w:u w:val="single"/>
        </w:rPr>
      </w:pPr>
      <w:r>
        <w:rPr>
          <w:rFonts w:hint="eastAsia" w:ascii="仿宋" w:hAnsi="仿宋" w:eastAsia="仿宋" w:cs="仿宋"/>
          <w:bCs/>
          <w:sz w:val="24"/>
          <w:szCs w:val="24"/>
          <w:highlight w:val="none"/>
        </w:rPr>
        <w:t>联系人：联系电话：</w:t>
      </w:r>
    </w:p>
    <w:p w14:paraId="37FF32B7">
      <w:pPr>
        <w:pStyle w:val="15"/>
        <w:snapToGrid w:val="0"/>
        <w:spacing w:line="400" w:lineRule="exact"/>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被投诉人2：</w:t>
      </w:r>
    </w:p>
    <w:p w14:paraId="2B54C57C">
      <w:pPr>
        <w:pStyle w:val="15"/>
        <w:snapToGrid w:val="0"/>
        <w:spacing w:line="400" w:lineRule="exact"/>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w:t>
      </w:r>
    </w:p>
    <w:p w14:paraId="210C5C40">
      <w:pPr>
        <w:pStyle w:val="15"/>
        <w:snapToGrid w:val="0"/>
        <w:spacing w:line="400" w:lineRule="exact"/>
        <w:ind w:firstLine="480" w:firstLineChars="200"/>
        <w:rPr>
          <w:rFonts w:ascii="仿宋" w:hAnsi="仿宋" w:eastAsia="仿宋" w:cs="仿宋"/>
          <w:bCs/>
          <w:sz w:val="24"/>
          <w:szCs w:val="24"/>
          <w:highlight w:val="none"/>
          <w:u w:val="single"/>
        </w:rPr>
      </w:pPr>
      <w:r>
        <w:rPr>
          <w:rFonts w:hint="eastAsia" w:ascii="仿宋" w:hAnsi="仿宋" w:eastAsia="仿宋" w:cs="仿宋"/>
          <w:bCs/>
          <w:sz w:val="24"/>
          <w:szCs w:val="24"/>
          <w:highlight w:val="none"/>
        </w:rPr>
        <w:t>相关供应商：</w:t>
      </w:r>
    </w:p>
    <w:p w14:paraId="4CAD57B5">
      <w:pPr>
        <w:pStyle w:val="15"/>
        <w:snapToGrid w:val="0"/>
        <w:spacing w:line="400" w:lineRule="exact"/>
        <w:ind w:firstLine="480" w:firstLineChars="200"/>
        <w:rPr>
          <w:rFonts w:ascii="仿宋" w:hAnsi="仿宋" w:eastAsia="仿宋" w:cs="仿宋"/>
          <w:bCs/>
          <w:sz w:val="24"/>
          <w:szCs w:val="24"/>
          <w:highlight w:val="none"/>
          <w:u w:val="single"/>
        </w:rPr>
      </w:pPr>
      <w:r>
        <w:rPr>
          <w:rFonts w:hint="eastAsia" w:ascii="仿宋" w:hAnsi="仿宋" w:eastAsia="仿宋" w:cs="仿宋"/>
          <w:bCs/>
          <w:sz w:val="24"/>
          <w:szCs w:val="24"/>
          <w:highlight w:val="none"/>
        </w:rPr>
        <w:t>地址：邮编：</w:t>
      </w:r>
    </w:p>
    <w:p w14:paraId="60254D56">
      <w:pPr>
        <w:pStyle w:val="15"/>
        <w:snapToGrid w:val="0"/>
        <w:spacing w:line="400" w:lineRule="exact"/>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联系人：联系电话：</w:t>
      </w:r>
    </w:p>
    <w:p w14:paraId="5B3D1E26">
      <w:pPr>
        <w:pStyle w:val="15"/>
        <w:snapToGrid w:val="0"/>
        <w:spacing w:line="40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二、投诉项目基本情况：</w:t>
      </w:r>
    </w:p>
    <w:p w14:paraId="7ECA7FDA">
      <w:pPr>
        <w:pStyle w:val="15"/>
        <w:spacing w:line="400" w:lineRule="exact"/>
        <w:ind w:left="25" w:leftChars="12" w:firstLine="472" w:firstLineChars="197"/>
        <w:rPr>
          <w:rFonts w:ascii="仿宋" w:hAnsi="仿宋" w:eastAsia="仿宋" w:cs="仿宋"/>
          <w:sz w:val="24"/>
          <w:szCs w:val="24"/>
          <w:highlight w:val="none"/>
        </w:rPr>
      </w:pPr>
      <w:r>
        <w:rPr>
          <w:rFonts w:hint="eastAsia" w:ascii="仿宋" w:hAnsi="仿宋" w:eastAsia="仿宋" w:cs="仿宋"/>
          <w:bCs/>
          <w:sz w:val="24"/>
          <w:szCs w:val="24"/>
          <w:highlight w:val="none"/>
        </w:rPr>
        <w:t>采购</w:t>
      </w:r>
      <w:r>
        <w:rPr>
          <w:rFonts w:hint="eastAsia" w:ascii="仿宋" w:hAnsi="仿宋" w:eastAsia="仿宋" w:cs="仿宋"/>
          <w:sz w:val="24"/>
          <w:szCs w:val="24"/>
          <w:highlight w:val="none"/>
        </w:rPr>
        <w:t>项目的名称：</w:t>
      </w:r>
    </w:p>
    <w:p w14:paraId="6560FA8C">
      <w:pPr>
        <w:pStyle w:val="15"/>
        <w:spacing w:line="400" w:lineRule="exact"/>
        <w:ind w:left="25" w:leftChars="12" w:firstLine="472" w:firstLineChars="197"/>
        <w:rPr>
          <w:rFonts w:ascii="仿宋" w:hAnsi="仿宋" w:eastAsia="仿宋" w:cs="仿宋"/>
          <w:sz w:val="24"/>
          <w:szCs w:val="24"/>
          <w:highlight w:val="none"/>
        </w:rPr>
      </w:pPr>
      <w:r>
        <w:rPr>
          <w:rFonts w:hint="eastAsia" w:ascii="仿宋" w:hAnsi="仿宋" w:eastAsia="仿宋" w:cs="仿宋"/>
          <w:bCs/>
          <w:sz w:val="24"/>
          <w:szCs w:val="24"/>
          <w:highlight w:val="none"/>
        </w:rPr>
        <w:t>采购</w:t>
      </w:r>
      <w:r>
        <w:rPr>
          <w:rFonts w:hint="eastAsia" w:ascii="仿宋" w:hAnsi="仿宋" w:eastAsia="仿宋" w:cs="仿宋"/>
          <w:sz w:val="24"/>
          <w:szCs w:val="24"/>
          <w:highlight w:val="none"/>
        </w:rPr>
        <w:t>项目的编号：</w:t>
      </w:r>
    </w:p>
    <w:p w14:paraId="6E87DDCF">
      <w:pPr>
        <w:pStyle w:val="15"/>
        <w:spacing w:line="400" w:lineRule="exact"/>
        <w:ind w:left="25" w:leftChars="12" w:firstLine="472" w:firstLineChars="197"/>
        <w:rPr>
          <w:rFonts w:ascii="仿宋" w:hAnsi="仿宋" w:eastAsia="仿宋" w:cs="仿宋"/>
          <w:bCs/>
          <w:sz w:val="24"/>
          <w:szCs w:val="24"/>
          <w:highlight w:val="none"/>
          <w:u w:val="single"/>
        </w:rPr>
      </w:pPr>
      <w:r>
        <w:rPr>
          <w:rFonts w:hint="eastAsia" w:ascii="仿宋" w:hAnsi="仿宋" w:eastAsia="仿宋" w:cs="仿宋"/>
          <w:sz w:val="24"/>
          <w:szCs w:val="24"/>
          <w:highlight w:val="none"/>
        </w:rPr>
        <w:t>采购人名称：</w:t>
      </w:r>
    </w:p>
    <w:p w14:paraId="53228BFE">
      <w:pPr>
        <w:pStyle w:val="15"/>
        <w:spacing w:line="400" w:lineRule="exact"/>
        <w:ind w:left="25" w:leftChars="12" w:firstLine="472" w:firstLineChars="197"/>
        <w:rPr>
          <w:rFonts w:ascii="仿宋" w:hAnsi="仿宋" w:eastAsia="仿宋" w:cs="仿宋"/>
          <w:bCs/>
          <w:sz w:val="24"/>
          <w:szCs w:val="24"/>
          <w:highlight w:val="none"/>
          <w:u w:val="single"/>
        </w:rPr>
      </w:pPr>
      <w:r>
        <w:rPr>
          <w:rFonts w:hint="eastAsia" w:ascii="仿宋" w:hAnsi="仿宋" w:eastAsia="仿宋" w:cs="仿宋"/>
          <w:sz w:val="24"/>
          <w:szCs w:val="24"/>
          <w:highlight w:val="none"/>
        </w:rPr>
        <w:t>代理机构名称：</w:t>
      </w:r>
    </w:p>
    <w:p w14:paraId="00D90108">
      <w:pPr>
        <w:pStyle w:val="15"/>
        <w:spacing w:line="400" w:lineRule="exact"/>
        <w:ind w:left="25" w:leftChars="12" w:firstLine="472" w:firstLineChars="197"/>
        <w:rPr>
          <w:rFonts w:ascii="仿宋" w:hAnsi="仿宋" w:eastAsia="仿宋" w:cs="仿宋"/>
          <w:bCs/>
          <w:sz w:val="24"/>
          <w:szCs w:val="24"/>
          <w:highlight w:val="none"/>
          <w:u w:val="single"/>
        </w:rPr>
      </w:pPr>
      <w:r>
        <w:rPr>
          <w:rFonts w:hint="eastAsia" w:ascii="仿宋" w:hAnsi="仿宋" w:eastAsia="仿宋" w:cs="仿宋"/>
          <w:bCs/>
          <w:sz w:val="24"/>
          <w:szCs w:val="24"/>
          <w:highlight w:val="none"/>
        </w:rPr>
        <w:t>采购文件公告：</w:t>
      </w:r>
      <w:r>
        <w:rPr>
          <w:rFonts w:hint="eastAsia" w:ascii="仿宋" w:hAnsi="仿宋" w:eastAsia="仿宋" w:cs="仿宋"/>
          <w:bCs/>
          <w:sz w:val="24"/>
          <w:szCs w:val="24"/>
          <w:highlight w:val="none"/>
          <w:u w:val="single"/>
        </w:rPr>
        <w:t>是/否</w:t>
      </w:r>
      <w:r>
        <w:rPr>
          <w:rFonts w:hint="eastAsia" w:ascii="仿宋" w:hAnsi="仿宋" w:eastAsia="仿宋" w:cs="仿宋"/>
          <w:bCs/>
          <w:sz w:val="24"/>
          <w:szCs w:val="24"/>
          <w:highlight w:val="none"/>
        </w:rPr>
        <w:t>公告期限：</w:t>
      </w:r>
    </w:p>
    <w:p w14:paraId="6EFA32BB">
      <w:pPr>
        <w:pStyle w:val="15"/>
        <w:spacing w:line="400" w:lineRule="exact"/>
        <w:ind w:left="25" w:leftChars="12" w:firstLine="472" w:firstLineChars="197"/>
        <w:rPr>
          <w:rFonts w:ascii="仿宋" w:hAnsi="仿宋" w:eastAsia="仿宋" w:cs="仿宋"/>
          <w:b/>
          <w:sz w:val="24"/>
          <w:szCs w:val="24"/>
          <w:highlight w:val="none"/>
        </w:rPr>
      </w:pPr>
      <w:r>
        <w:rPr>
          <w:rFonts w:hint="eastAsia" w:ascii="仿宋" w:hAnsi="仿宋" w:eastAsia="仿宋" w:cs="仿宋"/>
          <w:bCs/>
          <w:sz w:val="24"/>
          <w:szCs w:val="24"/>
          <w:highlight w:val="none"/>
        </w:rPr>
        <w:t>采购结果公告：</w:t>
      </w:r>
      <w:r>
        <w:rPr>
          <w:rFonts w:hint="eastAsia" w:ascii="仿宋" w:hAnsi="仿宋" w:eastAsia="仿宋" w:cs="仿宋"/>
          <w:bCs/>
          <w:sz w:val="24"/>
          <w:szCs w:val="24"/>
          <w:highlight w:val="none"/>
          <w:u w:val="single"/>
        </w:rPr>
        <w:t>是/否</w:t>
      </w:r>
      <w:r>
        <w:rPr>
          <w:rFonts w:hint="eastAsia" w:ascii="仿宋" w:hAnsi="仿宋" w:eastAsia="仿宋" w:cs="仿宋"/>
          <w:bCs/>
          <w:sz w:val="24"/>
          <w:szCs w:val="24"/>
          <w:highlight w:val="none"/>
        </w:rPr>
        <w:t>公告期限：</w:t>
      </w:r>
    </w:p>
    <w:p w14:paraId="2F3A29BF">
      <w:pPr>
        <w:pStyle w:val="15"/>
        <w:spacing w:line="400" w:lineRule="exact"/>
        <w:ind w:left="25" w:leftChars="12" w:firstLine="472" w:firstLineChars="196"/>
        <w:rPr>
          <w:rFonts w:ascii="仿宋" w:hAnsi="仿宋" w:eastAsia="仿宋" w:cs="仿宋"/>
          <w:b/>
          <w:sz w:val="24"/>
          <w:szCs w:val="24"/>
          <w:highlight w:val="none"/>
        </w:rPr>
      </w:pPr>
      <w:r>
        <w:rPr>
          <w:rFonts w:hint="eastAsia" w:ascii="仿宋" w:hAnsi="仿宋" w:eastAsia="仿宋" w:cs="仿宋"/>
          <w:b/>
          <w:sz w:val="24"/>
          <w:szCs w:val="24"/>
          <w:highlight w:val="none"/>
        </w:rPr>
        <w:t>三、质疑基本情况</w:t>
      </w:r>
    </w:p>
    <w:p w14:paraId="5CDE19E4">
      <w:pPr>
        <w:pStyle w:val="15"/>
        <w:spacing w:line="400" w:lineRule="exact"/>
        <w:ind w:left="25" w:leftChars="12" w:firstLine="952" w:firstLineChars="397"/>
        <w:rPr>
          <w:rFonts w:ascii="仿宋" w:hAnsi="仿宋" w:eastAsia="仿宋" w:cs="仿宋"/>
          <w:sz w:val="24"/>
          <w:szCs w:val="24"/>
          <w:highlight w:val="none"/>
        </w:rPr>
      </w:pPr>
      <w:r>
        <w:rPr>
          <w:rFonts w:hint="eastAsia" w:ascii="仿宋" w:hAnsi="仿宋" w:eastAsia="仿宋" w:cs="仿宋"/>
          <w:sz w:val="24"/>
          <w:szCs w:val="24"/>
          <w:highlight w:val="none"/>
        </w:rPr>
        <w:t>投诉人于年月日，向提出质疑，质疑事项为：</w:t>
      </w:r>
    </w:p>
    <w:p w14:paraId="41AC2269">
      <w:pPr>
        <w:pStyle w:val="15"/>
        <w:spacing w:line="400" w:lineRule="exact"/>
        <w:rPr>
          <w:rFonts w:ascii="仿宋" w:hAnsi="仿宋" w:eastAsia="仿宋" w:cs="仿宋"/>
          <w:bCs/>
          <w:sz w:val="24"/>
          <w:szCs w:val="24"/>
          <w:highlight w:val="none"/>
          <w:u w:val="single"/>
        </w:rPr>
      </w:pPr>
    </w:p>
    <w:p w14:paraId="1B4CAA9D">
      <w:pPr>
        <w:pStyle w:val="15"/>
        <w:spacing w:line="400" w:lineRule="exact"/>
        <w:rPr>
          <w:rFonts w:ascii="仿宋" w:hAnsi="仿宋" w:eastAsia="仿宋" w:cs="仿宋"/>
          <w:bCs/>
          <w:sz w:val="24"/>
          <w:szCs w:val="24"/>
          <w:highlight w:val="none"/>
          <w:u w:val="single"/>
        </w:rPr>
      </w:pPr>
    </w:p>
    <w:p w14:paraId="75C90C36">
      <w:pPr>
        <w:pStyle w:val="15"/>
        <w:spacing w:line="400" w:lineRule="exact"/>
        <w:rPr>
          <w:rFonts w:ascii="仿宋" w:hAnsi="仿宋" w:eastAsia="仿宋" w:cs="仿宋"/>
          <w:sz w:val="24"/>
          <w:szCs w:val="24"/>
          <w:highlight w:val="none"/>
        </w:rPr>
      </w:pPr>
      <w:r>
        <w:rPr>
          <w:rFonts w:hint="eastAsia" w:ascii="仿宋" w:hAnsi="仿宋" w:eastAsia="仿宋" w:cs="仿宋"/>
          <w:bCs/>
          <w:sz w:val="24"/>
          <w:szCs w:val="24"/>
          <w:highlight w:val="none"/>
          <w:u w:val="single"/>
        </w:rPr>
        <w:t>采购人/代理机构</w:t>
      </w:r>
      <w:r>
        <w:rPr>
          <w:rFonts w:hint="eastAsia" w:ascii="仿宋" w:hAnsi="仿宋" w:eastAsia="仿宋" w:cs="仿宋"/>
          <w:bCs/>
          <w:sz w:val="24"/>
          <w:szCs w:val="24"/>
          <w:highlight w:val="none"/>
        </w:rPr>
        <w:t>于</w:t>
      </w:r>
      <w:r>
        <w:rPr>
          <w:rFonts w:hint="eastAsia" w:ascii="仿宋" w:hAnsi="仿宋" w:eastAsia="仿宋" w:cs="仿宋"/>
          <w:sz w:val="24"/>
          <w:szCs w:val="24"/>
          <w:highlight w:val="none"/>
        </w:rPr>
        <w:t>年月日，</w:t>
      </w:r>
      <w:r>
        <w:rPr>
          <w:rFonts w:hint="eastAsia" w:ascii="仿宋" w:hAnsi="仿宋" w:eastAsia="仿宋" w:cs="仿宋"/>
          <w:bCs/>
          <w:sz w:val="24"/>
          <w:szCs w:val="24"/>
          <w:highlight w:val="none"/>
        </w:rPr>
        <w:t xml:space="preserve">就质疑事项作出了答复/没有在法定期限内作出答复。                                                                                             </w:t>
      </w:r>
    </w:p>
    <w:p w14:paraId="1BA420B9">
      <w:pPr>
        <w:pStyle w:val="15"/>
        <w:spacing w:line="400" w:lineRule="exact"/>
        <w:ind w:left="25" w:leftChars="12" w:firstLine="472" w:firstLineChars="196"/>
        <w:rPr>
          <w:rFonts w:ascii="仿宋" w:hAnsi="仿宋" w:eastAsia="仿宋" w:cs="仿宋"/>
          <w:b/>
          <w:sz w:val="24"/>
          <w:szCs w:val="24"/>
          <w:highlight w:val="none"/>
        </w:rPr>
      </w:pPr>
      <w:r>
        <w:rPr>
          <w:rFonts w:hint="eastAsia" w:ascii="仿宋" w:hAnsi="仿宋" w:eastAsia="仿宋" w:cs="仿宋"/>
          <w:b/>
          <w:sz w:val="24"/>
          <w:szCs w:val="24"/>
          <w:highlight w:val="none"/>
        </w:rPr>
        <w:t>四、投诉事项具体内容</w:t>
      </w:r>
    </w:p>
    <w:p w14:paraId="71EC4A1A">
      <w:pPr>
        <w:pStyle w:val="15"/>
        <w:spacing w:line="400" w:lineRule="exact"/>
        <w:ind w:left="25" w:leftChars="12" w:firstLine="472" w:firstLineChars="197"/>
        <w:rPr>
          <w:rFonts w:ascii="仿宋" w:hAnsi="仿宋" w:eastAsia="仿宋" w:cs="仿宋"/>
          <w:bCs/>
          <w:sz w:val="24"/>
          <w:szCs w:val="24"/>
          <w:highlight w:val="none"/>
          <w:u w:val="single"/>
        </w:rPr>
      </w:pPr>
      <w:r>
        <w:rPr>
          <w:rFonts w:hint="eastAsia" w:ascii="仿宋" w:hAnsi="仿宋" w:eastAsia="仿宋" w:cs="仿宋"/>
          <w:sz w:val="24"/>
          <w:szCs w:val="24"/>
          <w:highlight w:val="none"/>
        </w:rPr>
        <w:t>投诉事项1：</w:t>
      </w:r>
    </w:p>
    <w:p w14:paraId="649618B4">
      <w:pPr>
        <w:pStyle w:val="15"/>
        <w:spacing w:line="400" w:lineRule="exact"/>
        <w:ind w:firstLine="480" w:firstLineChars="200"/>
        <w:rPr>
          <w:rFonts w:ascii="仿宋" w:hAnsi="仿宋" w:eastAsia="仿宋" w:cs="仿宋"/>
          <w:bCs/>
          <w:sz w:val="24"/>
          <w:szCs w:val="24"/>
          <w:highlight w:val="none"/>
          <w:u w:val="single"/>
        </w:rPr>
      </w:pPr>
      <w:r>
        <w:rPr>
          <w:rFonts w:hint="eastAsia" w:ascii="仿宋" w:hAnsi="仿宋" w:eastAsia="仿宋" w:cs="仿宋"/>
          <w:bCs/>
          <w:sz w:val="24"/>
          <w:szCs w:val="24"/>
          <w:highlight w:val="none"/>
        </w:rPr>
        <w:t>事实依据：</w:t>
      </w:r>
    </w:p>
    <w:p w14:paraId="3AE52ED5">
      <w:pPr>
        <w:pStyle w:val="15"/>
        <w:spacing w:line="400" w:lineRule="exact"/>
        <w:ind w:left="25" w:leftChars="12" w:firstLine="472" w:firstLineChars="197"/>
        <w:rPr>
          <w:rFonts w:ascii="仿宋" w:hAnsi="仿宋" w:eastAsia="仿宋" w:cs="仿宋"/>
          <w:sz w:val="24"/>
          <w:szCs w:val="24"/>
          <w:highlight w:val="none"/>
        </w:rPr>
      </w:pPr>
    </w:p>
    <w:p w14:paraId="3D9B37C2">
      <w:pPr>
        <w:pStyle w:val="15"/>
        <w:spacing w:line="400" w:lineRule="exact"/>
        <w:ind w:firstLine="480" w:firstLineChars="200"/>
        <w:rPr>
          <w:rFonts w:ascii="仿宋" w:hAnsi="仿宋" w:eastAsia="仿宋" w:cs="仿宋"/>
          <w:bCs/>
          <w:sz w:val="24"/>
          <w:szCs w:val="24"/>
          <w:highlight w:val="none"/>
          <w:u w:val="single"/>
        </w:rPr>
      </w:pPr>
      <w:r>
        <w:rPr>
          <w:rFonts w:hint="eastAsia" w:ascii="仿宋" w:hAnsi="仿宋" w:eastAsia="仿宋" w:cs="仿宋"/>
          <w:bCs/>
          <w:sz w:val="24"/>
          <w:szCs w:val="24"/>
          <w:highlight w:val="none"/>
        </w:rPr>
        <w:t>法律依据：</w:t>
      </w:r>
    </w:p>
    <w:p w14:paraId="301AB9B6">
      <w:pPr>
        <w:pStyle w:val="15"/>
        <w:spacing w:line="400" w:lineRule="exact"/>
        <w:ind w:left="25" w:leftChars="12" w:firstLine="352" w:firstLineChars="147"/>
        <w:rPr>
          <w:rFonts w:ascii="仿宋" w:hAnsi="仿宋" w:eastAsia="仿宋" w:cs="仿宋"/>
          <w:bCs/>
          <w:sz w:val="24"/>
          <w:szCs w:val="24"/>
          <w:highlight w:val="none"/>
          <w:u w:val="single"/>
        </w:rPr>
      </w:pPr>
    </w:p>
    <w:p w14:paraId="3AE08D76">
      <w:pPr>
        <w:pStyle w:val="15"/>
        <w:spacing w:line="400" w:lineRule="exact"/>
        <w:ind w:left="25" w:leftChars="12" w:firstLine="472" w:firstLineChars="197"/>
        <w:rPr>
          <w:rFonts w:ascii="仿宋" w:hAnsi="仿宋" w:eastAsia="仿宋" w:cs="仿宋"/>
          <w:bCs/>
          <w:sz w:val="24"/>
          <w:szCs w:val="24"/>
          <w:highlight w:val="none"/>
        </w:rPr>
      </w:pPr>
      <w:r>
        <w:rPr>
          <w:rFonts w:hint="eastAsia" w:ascii="仿宋" w:hAnsi="仿宋" w:eastAsia="仿宋" w:cs="仿宋"/>
          <w:sz w:val="24"/>
          <w:szCs w:val="24"/>
          <w:highlight w:val="none"/>
        </w:rPr>
        <w:t xml:space="preserve">投诉事项2  </w:t>
      </w:r>
    </w:p>
    <w:p w14:paraId="2A027E62">
      <w:pPr>
        <w:pStyle w:val="15"/>
        <w:spacing w:line="400" w:lineRule="exact"/>
        <w:ind w:left="25" w:leftChars="12" w:firstLine="472" w:firstLineChars="197"/>
        <w:rPr>
          <w:rFonts w:ascii="仿宋" w:hAnsi="仿宋" w:eastAsia="仿宋" w:cs="仿宋"/>
          <w:bCs/>
          <w:sz w:val="24"/>
          <w:szCs w:val="24"/>
          <w:highlight w:val="none"/>
        </w:rPr>
      </w:pPr>
      <w:r>
        <w:rPr>
          <w:rFonts w:hint="eastAsia" w:ascii="仿宋" w:hAnsi="仿宋" w:eastAsia="仿宋" w:cs="仿宋"/>
          <w:bCs/>
          <w:sz w:val="24"/>
          <w:szCs w:val="24"/>
          <w:highlight w:val="none"/>
        </w:rPr>
        <w:t>……</w:t>
      </w:r>
    </w:p>
    <w:p w14:paraId="24DAC8C2">
      <w:pPr>
        <w:pStyle w:val="15"/>
        <w:spacing w:line="400" w:lineRule="exact"/>
        <w:ind w:left="25" w:leftChars="12" w:firstLine="472" w:firstLineChars="196"/>
        <w:rPr>
          <w:rFonts w:ascii="仿宋" w:hAnsi="仿宋" w:eastAsia="仿宋" w:cs="仿宋"/>
          <w:b/>
          <w:sz w:val="24"/>
          <w:szCs w:val="24"/>
          <w:highlight w:val="none"/>
        </w:rPr>
      </w:pPr>
      <w:r>
        <w:rPr>
          <w:rFonts w:hint="eastAsia" w:ascii="仿宋" w:hAnsi="仿宋" w:eastAsia="仿宋" w:cs="仿宋"/>
          <w:b/>
          <w:sz w:val="24"/>
          <w:szCs w:val="24"/>
          <w:highlight w:val="none"/>
        </w:rPr>
        <w:t>五、与投诉事项相关的投诉请求：</w:t>
      </w:r>
    </w:p>
    <w:p w14:paraId="12133249">
      <w:pPr>
        <w:pStyle w:val="15"/>
        <w:spacing w:line="400" w:lineRule="exact"/>
        <w:ind w:left="25" w:leftChars="12" w:firstLine="472" w:firstLineChars="197"/>
        <w:rPr>
          <w:rFonts w:ascii="仿宋" w:hAnsi="仿宋" w:eastAsia="仿宋" w:cs="仿宋"/>
          <w:sz w:val="24"/>
          <w:szCs w:val="24"/>
          <w:highlight w:val="none"/>
        </w:rPr>
      </w:pPr>
      <w:r>
        <w:rPr>
          <w:rFonts w:hint="eastAsia" w:ascii="仿宋" w:hAnsi="仿宋" w:eastAsia="仿宋" w:cs="仿宋"/>
          <w:sz w:val="24"/>
          <w:szCs w:val="24"/>
          <w:highlight w:val="none"/>
        </w:rPr>
        <w:t>请求：</w:t>
      </w:r>
    </w:p>
    <w:p w14:paraId="7F35A454">
      <w:pPr>
        <w:pStyle w:val="15"/>
        <w:spacing w:line="400" w:lineRule="exact"/>
        <w:ind w:left="25" w:leftChars="12" w:firstLine="352" w:firstLineChars="147"/>
        <w:rPr>
          <w:rFonts w:ascii="仿宋" w:hAnsi="仿宋" w:eastAsia="仿宋" w:cs="仿宋"/>
          <w:sz w:val="24"/>
          <w:szCs w:val="24"/>
          <w:highlight w:val="none"/>
        </w:rPr>
      </w:pPr>
    </w:p>
    <w:p w14:paraId="51042FE4">
      <w:pPr>
        <w:pStyle w:val="15"/>
        <w:spacing w:line="400" w:lineRule="exact"/>
        <w:ind w:left="25" w:leftChars="12" w:firstLine="472" w:firstLineChars="197"/>
        <w:rPr>
          <w:rFonts w:ascii="仿宋" w:hAnsi="仿宋" w:eastAsia="仿宋" w:cs="仿宋"/>
          <w:sz w:val="24"/>
          <w:szCs w:val="24"/>
          <w:highlight w:val="none"/>
        </w:rPr>
      </w:pPr>
      <w:r>
        <w:rPr>
          <w:rFonts w:hint="eastAsia" w:ascii="仿宋" w:hAnsi="仿宋" w:eastAsia="仿宋" w:cs="仿宋"/>
          <w:sz w:val="24"/>
          <w:szCs w:val="24"/>
          <w:highlight w:val="none"/>
        </w:rPr>
        <w:t>签字（签章）：                                       公章：</w:t>
      </w:r>
    </w:p>
    <w:p w14:paraId="46C28E40">
      <w:pPr>
        <w:pStyle w:val="15"/>
        <w:spacing w:line="400" w:lineRule="exact"/>
        <w:ind w:left="25" w:leftChars="12" w:firstLine="352" w:firstLineChars="147"/>
        <w:rPr>
          <w:rFonts w:ascii="仿宋" w:hAnsi="仿宋" w:eastAsia="仿宋" w:cs="仿宋"/>
          <w:sz w:val="24"/>
          <w:szCs w:val="24"/>
          <w:highlight w:val="none"/>
        </w:rPr>
      </w:pPr>
    </w:p>
    <w:p w14:paraId="46F9F9AF">
      <w:pPr>
        <w:pStyle w:val="15"/>
        <w:spacing w:line="400" w:lineRule="exact"/>
        <w:ind w:left="25" w:leftChars="12" w:firstLine="472" w:firstLineChars="197"/>
        <w:rPr>
          <w:rFonts w:ascii="仿宋" w:hAnsi="仿宋" w:eastAsia="仿宋" w:cs="仿宋"/>
          <w:sz w:val="24"/>
          <w:szCs w:val="24"/>
          <w:highlight w:val="none"/>
        </w:rPr>
      </w:pPr>
      <w:r>
        <w:rPr>
          <w:rFonts w:hint="eastAsia" w:ascii="仿宋" w:hAnsi="仿宋" w:eastAsia="仿宋" w:cs="仿宋"/>
          <w:sz w:val="24"/>
          <w:szCs w:val="24"/>
          <w:highlight w:val="none"/>
        </w:rPr>
        <w:t>日期：</w:t>
      </w:r>
    </w:p>
    <w:p w14:paraId="3F2427FC">
      <w:pPr>
        <w:pStyle w:val="15"/>
        <w:spacing w:line="360" w:lineRule="exact"/>
        <w:ind w:left="25" w:leftChars="12" w:firstLine="472" w:firstLineChars="197"/>
        <w:rPr>
          <w:rFonts w:ascii="仿宋" w:hAnsi="仿宋" w:eastAsia="仿宋" w:cs="仿宋"/>
          <w:sz w:val="24"/>
          <w:szCs w:val="24"/>
          <w:highlight w:val="none"/>
        </w:rPr>
      </w:pPr>
    </w:p>
    <w:p w14:paraId="26F4A047">
      <w:pPr>
        <w:pStyle w:val="15"/>
        <w:snapToGrid w:val="0"/>
        <w:spacing w:line="340" w:lineRule="exact"/>
        <w:rPr>
          <w:rFonts w:ascii="仿宋" w:hAnsi="仿宋" w:eastAsia="仿宋" w:cs="仿宋"/>
          <w:b/>
          <w:sz w:val="24"/>
          <w:szCs w:val="24"/>
          <w:highlight w:val="none"/>
        </w:rPr>
      </w:pPr>
    </w:p>
    <w:p w14:paraId="42BE9307">
      <w:pPr>
        <w:pStyle w:val="15"/>
        <w:snapToGrid w:val="0"/>
        <w:spacing w:line="340" w:lineRule="exact"/>
        <w:rPr>
          <w:rFonts w:ascii="仿宋" w:hAnsi="仿宋" w:eastAsia="仿宋" w:cs="仿宋"/>
          <w:b/>
          <w:sz w:val="24"/>
          <w:szCs w:val="24"/>
          <w:highlight w:val="none"/>
        </w:rPr>
      </w:pPr>
      <w:r>
        <w:rPr>
          <w:rFonts w:hint="eastAsia" w:ascii="仿宋" w:hAnsi="仿宋" w:eastAsia="仿宋" w:cs="仿宋"/>
          <w:b/>
          <w:sz w:val="24"/>
          <w:szCs w:val="24"/>
          <w:highlight w:val="none"/>
        </w:rPr>
        <w:t>说明：</w:t>
      </w:r>
    </w:p>
    <w:p w14:paraId="4AAB0C62">
      <w:pPr>
        <w:pStyle w:val="15"/>
        <w:spacing w:line="340" w:lineRule="exact"/>
        <w:ind w:left="25" w:leftChars="12" w:firstLine="354" w:firstLineChars="147"/>
        <w:rPr>
          <w:rFonts w:ascii="仿宋" w:hAnsi="仿宋" w:eastAsia="仿宋" w:cs="仿宋"/>
          <w:b/>
          <w:bCs/>
          <w:sz w:val="24"/>
          <w:szCs w:val="24"/>
          <w:highlight w:val="none"/>
        </w:rPr>
      </w:pPr>
      <w:r>
        <w:rPr>
          <w:rFonts w:hint="eastAsia" w:ascii="仿宋" w:hAnsi="仿宋" w:eastAsia="仿宋" w:cs="仿宋"/>
          <w:b/>
          <w:sz w:val="24"/>
          <w:szCs w:val="24"/>
          <w:highlight w:val="none"/>
        </w:rPr>
        <w:t>1.投诉人提起投诉时，应当提交投诉书和必要的证明材料，并按照被投诉人和与投诉事项有关的供应商数量提供投诉书副本</w:t>
      </w:r>
      <w:r>
        <w:rPr>
          <w:rFonts w:hint="eastAsia" w:ascii="仿宋" w:hAnsi="仿宋" w:eastAsia="仿宋" w:cs="仿宋"/>
          <w:b/>
          <w:bCs/>
          <w:sz w:val="24"/>
          <w:szCs w:val="24"/>
          <w:highlight w:val="none"/>
        </w:rPr>
        <w:t>。</w:t>
      </w:r>
    </w:p>
    <w:p w14:paraId="6EA238A5">
      <w:pPr>
        <w:pStyle w:val="15"/>
        <w:spacing w:line="340" w:lineRule="exact"/>
        <w:ind w:left="25" w:leftChars="12" w:firstLine="354" w:firstLineChars="147"/>
        <w:rPr>
          <w:rFonts w:ascii="仿宋" w:hAnsi="仿宋" w:eastAsia="仿宋" w:cs="仿宋"/>
          <w:b/>
          <w:sz w:val="24"/>
          <w:szCs w:val="24"/>
          <w:highlight w:val="none"/>
        </w:rPr>
      </w:pPr>
      <w:r>
        <w:rPr>
          <w:rFonts w:hint="eastAsia" w:ascii="仿宋" w:hAnsi="仿宋" w:eastAsia="仿宋" w:cs="仿宋"/>
          <w:b/>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066F918">
      <w:pPr>
        <w:pStyle w:val="15"/>
        <w:spacing w:line="340" w:lineRule="exact"/>
        <w:ind w:left="25" w:leftChars="12" w:firstLine="354" w:firstLineChars="147"/>
        <w:rPr>
          <w:rFonts w:ascii="仿宋" w:hAnsi="仿宋" w:eastAsia="仿宋" w:cs="仿宋"/>
          <w:b/>
          <w:sz w:val="24"/>
          <w:szCs w:val="24"/>
          <w:highlight w:val="none"/>
        </w:rPr>
      </w:pPr>
      <w:r>
        <w:rPr>
          <w:rFonts w:hint="eastAsia" w:ascii="仿宋" w:hAnsi="仿宋" w:eastAsia="仿宋" w:cs="仿宋"/>
          <w:b/>
          <w:sz w:val="24"/>
          <w:szCs w:val="24"/>
          <w:highlight w:val="none"/>
        </w:rPr>
        <w:t>3.投诉书应简要列明质疑事项，质疑函、质疑答复等作为附件材料提供。</w:t>
      </w:r>
    </w:p>
    <w:p w14:paraId="664249F7">
      <w:pPr>
        <w:pStyle w:val="15"/>
        <w:spacing w:line="340" w:lineRule="exact"/>
        <w:ind w:left="25" w:leftChars="12" w:firstLine="354" w:firstLineChars="147"/>
        <w:rPr>
          <w:rFonts w:ascii="仿宋" w:hAnsi="仿宋" w:eastAsia="仿宋" w:cs="仿宋"/>
          <w:b/>
          <w:sz w:val="24"/>
          <w:szCs w:val="24"/>
          <w:highlight w:val="none"/>
        </w:rPr>
      </w:pPr>
      <w:r>
        <w:rPr>
          <w:rFonts w:hint="eastAsia" w:ascii="仿宋" w:hAnsi="仿宋" w:eastAsia="仿宋" w:cs="仿宋"/>
          <w:b/>
          <w:sz w:val="24"/>
          <w:szCs w:val="24"/>
          <w:highlight w:val="none"/>
        </w:rPr>
        <w:t>4.投诉书的投诉事项应具体、明确，并有必要的事实依据和法律依据。</w:t>
      </w:r>
    </w:p>
    <w:p w14:paraId="2B30AF97">
      <w:pPr>
        <w:pStyle w:val="15"/>
        <w:spacing w:line="340" w:lineRule="exact"/>
        <w:ind w:left="25" w:leftChars="12" w:firstLine="354" w:firstLineChars="147"/>
        <w:rPr>
          <w:rFonts w:ascii="仿宋" w:hAnsi="仿宋" w:eastAsia="仿宋" w:cs="仿宋"/>
          <w:b/>
          <w:sz w:val="24"/>
          <w:szCs w:val="24"/>
          <w:highlight w:val="none"/>
        </w:rPr>
      </w:pPr>
      <w:r>
        <w:rPr>
          <w:rFonts w:hint="eastAsia" w:ascii="仿宋" w:hAnsi="仿宋" w:eastAsia="仿宋" w:cs="仿宋"/>
          <w:b/>
          <w:sz w:val="24"/>
          <w:szCs w:val="24"/>
          <w:highlight w:val="none"/>
        </w:rPr>
        <w:t>5.投诉书的投诉请求应与投诉事项相关。</w:t>
      </w:r>
    </w:p>
    <w:p w14:paraId="7554777F">
      <w:pPr>
        <w:pStyle w:val="15"/>
        <w:spacing w:line="340" w:lineRule="exact"/>
        <w:ind w:left="25" w:leftChars="12" w:firstLine="354" w:firstLineChars="147"/>
        <w:rPr>
          <w:rFonts w:ascii="仿宋" w:hAnsi="仿宋" w:eastAsia="仿宋" w:cs="仿宋"/>
          <w:b/>
          <w:sz w:val="24"/>
          <w:szCs w:val="24"/>
          <w:highlight w:val="none"/>
        </w:rPr>
      </w:pPr>
      <w:r>
        <w:rPr>
          <w:rFonts w:hint="eastAsia" w:ascii="仿宋" w:hAnsi="仿宋" w:eastAsia="仿宋" w:cs="仿宋"/>
          <w:b/>
          <w:sz w:val="24"/>
          <w:szCs w:val="24"/>
          <w:highlight w:val="none"/>
        </w:rPr>
        <w:t>6.投诉人为法人或者其他组织的，投诉书应由法定代表人、主要负责人，或者其授权代表签字或者盖章，并加盖公章。</w:t>
      </w:r>
    </w:p>
    <w:p w14:paraId="15016F11">
      <w:pPr>
        <w:pStyle w:val="15"/>
        <w:spacing w:line="340" w:lineRule="exact"/>
        <w:ind w:left="25" w:leftChars="12" w:firstLine="310" w:firstLineChars="147"/>
        <w:rPr>
          <w:rFonts w:ascii="仿宋" w:hAnsi="仿宋" w:eastAsia="仿宋" w:cs="仿宋"/>
          <w:b/>
          <w:szCs w:val="21"/>
          <w:highlight w:val="none"/>
        </w:rPr>
      </w:pPr>
    </w:p>
    <w:p w14:paraId="4EFCD070">
      <w:pPr>
        <w:pStyle w:val="36"/>
        <w:rPr>
          <w:rFonts w:ascii="仿宋" w:hAnsi="仿宋" w:eastAsia="仿宋" w:cs="仿宋"/>
          <w:highlight w:val="none"/>
        </w:rPr>
      </w:pPr>
    </w:p>
    <w:p w14:paraId="2408FE2C">
      <w:pPr>
        <w:pStyle w:val="36"/>
        <w:rPr>
          <w:rFonts w:ascii="仿宋" w:hAnsi="仿宋" w:eastAsia="仿宋" w:cs="仿宋"/>
          <w:highlight w:val="none"/>
        </w:rPr>
      </w:pPr>
    </w:p>
    <w:p w14:paraId="79E3357A">
      <w:pPr>
        <w:pStyle w:val="36"/>
        <w:rPr>
          <w:rFonts w:ascii="仿宋" w:hAnsi="仿宋" w:eastAsia="仿宋" w:cs="仿宋"/>
          <w:highlight w:val="none"/>
        </w:rPr>
      </w:pPr>
    </w:p>
    <w:p w14:paraId="1F1ABB7B">
      <w:pPr>
        <w:pStyle w:val="36"/>
        <w:rPr>
          <w:rFonts w:ascii="仿宋" w:hAnsi="仿宋" w:eastAsia="仿宋" w:cs="仿宋"/>
          <w:highlight w:val="none"/>
        </w:rPr>
      </w:pPr>
    </w:p>
    <w:p w14:paraId="39AD5406">
      <w:pPr>
        <w:pStyle w:val="15"/>
        <w:snapToGrid w:val="0"/>
        <w:rPr>
          <w:rFonts w:ascii="仿宋" w:hAnsi="仿宋" w:eastAsia="仿宋" w:cs="仿宋"/>
          <w:b/>
          <w:sz w:val="24"/>
          <w:szCs w:val="24"/>
          <w:highlight w:val="none"/>
        </w:rPr>
      </w:pPr>
    </w:p>
    <w:p w14:paraId="5FB6E7F4">
      <w:pPr>
        <w:pStyle w:val="15"/>
        <w:snapToGrid w:val="0"/>
        <w:rPr>
          <w:rFonts w:ascii="仿宋" w:hAnsi="仿宋" w:eastAsia="仿宋" w:cs="仿宋"/>
          <w:b/>
          <w:sz w:val="24"/>
          <w:szCs w:val="24"/>
          <w:highlight w:val="none"/>
        </w:rPr>
      </w:pPr>
    </w:p>
    <w:p w14:paraId="11589C08">
      <w:pPr>
        <w:pStyle w:val="15"/>
        <w:snapToGrid w:val="0"/>
        <w:rPr>
          <w:rFonts w:ascii="仿宋" w:hAnsi="仿宋" w:eastAsia="仿宋" w:cs="仿宋"/>
          <w:b/>
          <w:sz w:val="24"/>
          <w:szCs w:val="24"/>
          <w:highlight w:val="none"/>
        </w:rPr>
      </w:pPr>
    </w:p>
    <w:p w14:paraId="3641B3AD">
      <w:pPr>
        <w:pStyle w:val="15"/>
        <w:snapToGrid w:val="0"/>
        <w:rPr>
          <w:rFonts w:ascii="仿宋" w:hAnsi="仿宋" w:eastAsia="仿宋" w:cs="仿宋"/>
          <w:b/>
          <w:sz w:val="24"/>
          <w:szCs w:val="24"/>
          <w:highlight w:val="none"/>
        </w:rPr>
      </w:pPr>
    </w:p>
    <w:p w14:paraId="05CE5DFA">
      <w:pPr>
        <w:pStyle w:val="15"/>
        <w:snapToGrid w:val="0"/>
        <w:rPr>
          <w:rFonts w:ascii="仿宋" w:hAnsi="仿宋" w:eastAsia="仿宋" w:cs="仿宋"/>
          <w:b/>
          <w:sz w:val="24"/>
          <w:szCs w:val="24"/>
          <w:highlight w:val="none"/>
        </w:rPr>
      </w:pPr>
    </w:p>
    <w:p w14:paraId="7D8CAD87">
      <w:pPr>
        <w:pStyle w:val="15"/>
        <w:snapToGrid w:val="0"/>
        <w:rPr>
          <w:rFonts w:ascii="仿宋" w:hAnsi="仿宋" w:eastAsia="仿宋" w:cs="仿宋"/>
          <w:b/>
          <w:sz w:val="24"/>
          <w:szCs w:val="24"/>
          <w:highlight w:val="none"/>
        </w:rPr>
      </w:pPr>
    </w:p>
    <w:p w14:paraId="4BE0E83A">
      <w:pPr>
        <w:pStyle w:val="15"/>
        <w:snapToGrid w:val="0"/>
        <w:rPr>
          <w:rFonts w:ascii="仿宋" w:hAnsi="仿宋" w:eastAsia="仿宋" w:cs="仿宋"/>
          <w:b/>
          <w:sz w:val="24"/>
          <w:szCs w:val="24"/>
          <w:highlight w:val="none"/>
        </w:rPr>
      </w:pPr>
    </w:p>
    <w:p w14:paraId="092A4E27">
      <w:pPr>
        <w:pStyle w:val="15"/>
        <w:snapToGrid w:val="0"/>
        <w:rPr>
          <w:rFonts w:ascii="仿宋" w:hAnsi="仿宋" w:eastAsia="仿宋" w:cs="仿宋"/>
          <w:b/>
          <w:sz w:val="24"/>
          <w:szCs w:val="24"/>
          <w:highlight w:val="none"/>
        </w:rPr>
      </w:pPr>
    </w:p>
    <w:p w14:paraId="22A03870">
      <w:pPr>
        <w:pStyle w:val="15"/>
        <w:snapToGrid w:val="0"/>
        <w:rPr>
          <w:rFonts w:ascii="仿宋" w:hAnsi="仿宋" w:eastAsia="仿宋" w:cs="仿宋"/>
          <w:b/>
          <w:sz w:val="24"/>
          <w:szCs w:val="24"/>
          <w:highlight w:val="none"/>
        </w:rPr>
      </w:pPr>
    </w:p>
    <w:p w14:paraId="1BCDD9E1">
      <w:pPr>
        <w:pStyle w:val="15"/>
        <w:snapToGrid w:val="0"/>
        <w:rPr>
          <w:rFonts w:ascii="仿宋" w:hAnsi="仿宋" w:eastAsia="仿宋" w:cs="仿宋"/>
          <w:b/>
          <w:sz w:val="24"/>
          <w:szCs w:val="24"/>
          <w:highlight w:val="none"/>
        </w:rPr>
      </w:pPr>
    </w:p>
    <w:p w14:paraId="7824DF98">
      <w:pPr>
        <w:pStyle w:val="15"/>
        <w:pageBreakBefore/>
        <w:snapToGrid w:val="0"/>
        <w:rPr>
          <w:rFonts w:ascii="仿宋" w:hAnsi="仿宋" w:eastAsia="仿宋" w:cs="仿宋"/>
          <w:b/>
          <w:sz w:val="24"/>
          <w:szCs w:val="24"/>
          <w:highlight w:val="none"/>
        </w:rPr>
      </w:pPr>
      <w:r>
        <w:rPr>
          <w:rFonts w:hint="eastAsia" w:ascii="仿宋" w:hAnsi="仿宋" w:eastAsia="仿宋" w:cs="仿宋"/>
          <w:b/>
          <w:sz w:val="24"/>
          <w:szCs w:val="24"/>
          <w:highlight w:val="none"/>
        </w:rPr>
        <w:t>附表3：</w:t>
      </w:r>
    </w:p>
    <w:p w14:paraId="5F2A64C4">
      <w:pPr>
        <w:spacing w:line="460" w:lineRule="exact"/>
        <w:jc w:val="center"/>
        <w:rPr>
          <w:rFonts w:ascii="仿宋" w:hAnsi="仿宋" w:eastAsia="仿宋" w:cs="仿宋"/>
          <w:sz w:val="44"/>
          <w:highlight w:val="none"/>
        </w:rPr>
      </w:pPr>
    </w:p>
    <w:p w14:paraId="2BBE8666">
      <w:pPr>
        <w:spacing w:line="460" w:lineRule="exact"/>
        <w:jc w:val="center"/>
        <w:rPr>
          <w:rFonts w:ascii="仿宋" w:hAnsi="仿宋" w:eastAsia="仿宋" w:cs="仿宋"/>
          <w:sz w:val="44"/>
          <w:highlight w:val="none"/>
        </w:rPr>
      </w:pPr>
      <w:r>
        <w:rPr>
          <w:rFonts w:hint="eastAsia" w:ascii="仿宋" w:hAnsi="仿宋" w:eastAsia="仿宋" w:cs="仿宋"/>
          <w:b/>
          <w:bCs/>
          <w:sz w:val="44"/>
          <w:highlight w:val="none"/>
        </w:rPr>
        <w:t>政府采购项目合同验收书（格式）</w:t>
      </w:r>
    </w:p>
    <w:p w14:paraId="31EA1037">
      <w:pPr>
        <w:widowControl/>
        <w:spacing w:line="600" w:lineRule="atLeast"/>
        <w:jc w:val="center"/>
        <w:rPr>
          <w:rFonts w:ascii="仿宋" w:hAnsi="仿宋" w:eastAsia="仿宋" w:cs="仿宋"/>
          <w:kern w:val="0"/>
          <w:sz w:val="36"/>
          <w:szCs w:val="36"/>
          <w:highlight w:val="none"/>
        </w:rPr>
      </w:pPr>
    </w:p>
    <w:p w14:paraId="3DD17C31">
      <w:pPr>
        <w:widowControl/>
        <w:spacing w:line="460" w:lineRule="exact"/>
        <w:ind w:firstLine="482"/>
        <w:jc w:val="left"/>
        <w:rPr>
          <w:rFonts w:ascii="仿宋" w:hAnsi="仿宋" w:eastAsia="仿宋" w:cs="仿宋"/>
          <w:kern w:val="0"/>
          <w:sz w:val="30"/>
          <w:szCs w:val="30"/>
          <w:highlight w:val="none"/>
        </w:rPr>
      </w:pPr>
      <w:r>
        <w:rPr>
          <w:rFonts w:hint="eastAsia" w:ascii="仿宋" w:hAnsi="仿宋" w:eastAsia="仿宋" w:cs="仿宋"/>
          <w:kern w:val="0"/>
          <w:sz w:val="24"/>
          <w:highlight w:val="none"/>
        </w:rPr>
        <w:t>根据政府采购项目（</w:t>
      </w:r>
      <w:r>
        <w:rPr>
          <w:rFonts w:hint="eastAsia" w:ascii="仿宋" w:hAnsi="仿宋" w:eastAsia="仿宋" w:cs="仿宋"/>
          <w:kern w:val="0"/>
          <w:sz w:val="24"/>
          <w:highlight w:val="none"/>
          <w:u w:val="single"/>
        </w:rPr>
        <w:t>采购合同编号：</w:t>
      </w:r>
      <w:r>
        <w:rPr>
          <w:rFonts w:hint="eastAsia" w:ascii="仿宋" w:hAnsi="仿宋" w:eastAsia="仿宋" w:cs="仿宋"/>
          <w:kern w:val="0"/>
          <w:sz w:val="24"/>
          <w:highlight w:val="none"/>
          <w:u w:val="single"/>
        </w:rPr>
        <w:softHyphen/>
      </w:r>
      <w:r>
        <w:rPr>
          <w:rFonts w:hint="eastAsia" w:ascii="仿宋" w:hAnsi="仿宋" w:eastAsia="仿宋" w:cs="仿宋"/>
          <w:kern w:val="0"/>
          <w:sz w:val="24"/>
          <w:highlight w:val="none"/>
          <w:u w:val="single"/>
        </w:rPr>
        <w:t>   </w:t>
      </w:r>
      <w:r>
        <w:rPr>
          <w:rFonts w:hint="eastAsia" w:ascii="仿宋" w:hAnsi="仿宋" w:eastAsia="仿宋" w:cs="仿宋"/>
          <w:kern w:val="0"/>
          <w:sz w:val="24"/>
          <w:highlight w:val="none"/>
        </w:rPr>
        <w:t>）的约定，我单位对（</w:t>
      </w:r>
      <w:r>
        <w:rPr>
          <w:rFonts w:hint="eastAsia" w:ascii="仿宋" w:hAnsi="仿宋" w:eastAsia="仿宋" w:cs="仿宋"/>
          <w:kern w:val="0"/>
          <w:sz w:val="24"/>
          <w:highlight w:val="none"/>
          <w:u w:val="single"/>
        </w:rPr>
        <w:t> 项目名称   </w:t>
      </w:r>
      <w:r>
        <w:rPr>
          <w:rFonts w:hint="eastAsia" w:ascii="仿宋" w:hAnsi="仿宋" w:eastAsia="仿宋" w:cs="仿宋"/>
          <w:kern w:val="0"/>
          <w:sz w:val="24"/>
          <w:highlight w:val="none"/>
        </w:rPr>
        <w:t>）政府采购项目中标（或成交）供应商（</w:t>
      </w:r>
      <w:r>
        <w:rPr>
          <w:rFonts w:hint="eastAsia" w:ascii="仿宋" w:hAnsi="仿宋" w:eastAsia="仿宋" w:cs="仿宋"/>
          <w:kern w:val="0"/>
          <w:sz w:val="24"/>
          <w:highlight w:val="none"/>
          <w:u w:val="single"/>
        </w:rPr>
        <w:t>      公司名称         </w:t>
      </w:r>
      <w:r>
        <w:rPr>
          <w:rFonts w:hint="eastAsia" w:ascii="仿宋" w:hAnsi="仿宋" w:eastAsia="仿宋" w:cs="仿宋"/>
          <w:kern w:val="0"/>
          <w:sz w:val="24"/>
          <w:highlight w:val="none"/>
        </w:rPr>
        <w:t>） 提供的服务进行了验收，验收情况如下：</w:t>
      </w:r>
    </w:p>
    <w:tbl>
      <w:tblPr>
        <w:tblStyle w:val="25"/>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7"/>
        <w:gridCol w:w="2294"/>
        <w:gridCol w:w="946"/>
        <w:gridCol w:w="2495"/>
        <w:gridCol w:w="205"/>
        <w:gridCol w:w="793"/>
        <w:gridCol w:w="1367"/>
      </w:tblGrid>
      <w:tr w14:paraId="5F86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821" w:type="dxa"/>
            <w:gridSpan w:val="2"/>
            <w:vAlign w:val="center"/>
          </w:tcPr>
          <w:p w14:paraId="367DB6AC">
            <w:pPr>
              <w:widowControl/>
              <w:spacing w:line="320" w:lineRule="atLeast"/>
              <w:ind w:firstLine="5"/>
              <w:jc w:val="center"/>
              <w:rPr>
                <w:rFonts w:ascii="仿宋" w:hAnsi="仿宋" w:eastAsia="仿宋" w:cs="仿宋"/>
                <w:kern w:val="0"/>
                <w:highlight w:val="none"/>
              </w:rPr>
            </w:pPr>
            <w:r>
              <w:rPr>
                <w:rFonts w:hint="eastAsia" w:ascii="仿宋" w:hAnsi="仿宋" w:eastAsia="仿宋" w:cs="仿宋"/>
                <w:kern w:val="0"/>
                <w:highlight w:val="none"/>
              </w:rPr>
              <w:t>验收方式：</w:t>
            </w:r>
          </w:p>
        </w:tc>
        <w:tc>
          <w:tcPr>
            <w:tcW w:w="5806" w:type="dxa"/>
            <w:gridSpan w:val="5"/>
            <w:vAlign w:val="center"/>
          </w:tcPr>
          <w:p w14:paraId="3F9FEBD1">
            <w:pPr>
              <w:widowControl/>
              <w:spacing w:line="320" w:lineRule="atLeast"/>
              <w:ind w:firstLine="480"/>
              <w:jc w:val="center"/>
              <w:rPr>
                <w:rFonts w:ascii="仿宋" w:hAnsi="仿宋" w:eastAsia="仿宋" w:cs="仿宋"/>
                <w:kern w:val="0"/>
                <w:highlight w:val="none"/>
              </w:rPr>
            </w:pPr>
            <w:r>
              <w:rPr>
                <w:rFonts w:hint="eastAsia" w:ascii="仿宋" w:hAnsi="仿宋" w:eastAsia="仿宋" w:cs="仿宋"/>
                <w:kern w:val="0"/>
                <w:highlight w:val="none"/>
              </w:rPr>
              <w:t>□自行验收        □委托验收</w:t>
            </w:r>
          </w:p>
        </w:tc>
      </w:tr>
      <w:tr w14:paraId="7A5DB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527" w:type="dxa"/>
            <w:vAlign w:val="center"/>
          </w:tcPr>
          <w:p w14:paraId="76D85199">
            <w:pPr>
              <w:widowControl/>
              <w:spacing w:line="320" w:lineRule="atLeast"/>
              <w:ind w:firstLine="2"/>
              <w:jc w:val="center"/>
              <w:rPr>
                <w:rFonts w:ascii="仿宋" w:hAnsi="仿宋" w:eastAsia="仿宋" w:cs="仿宋"/>
                <w:kern w:val="0"/>
                <w:highlight w:val="none"/>
              </w:rPr>
            </w:pPr>
            <w:r>
              <w:rPr>
                <w:rFonts w:hint="eastAsia" w:ascii="仿宋" w:hAnsi="仿宋" w:eastAsia="仿宋" w:cs="仿宋"/>
                <w:kern w:val="0"/>
                <w:highlight w:val="none"/>
              </w:rPr>
              <w:t>序号</w:t>
            </w:r>
          </w:p>
        </w:tc>
        <w:tc>
          <w:tcPr>
            <w:tcW w:w="2294" w:type="dxa"/>
            <w:vAlign w:val="center"/>
          </w:tcPr>
          <w:p w14:paraId="10C9314C">
            <w:pPr>
              <w:widowControl/>
              <w:spacing w:line="320" w:lineRule="atLeast"/>
              <w:ind w:firstLine="2"/>
              <w:jc w:val="center"/>
              <w:rPr>
                <w:rFonts w:ascii="仿宋" w:hAnsi="仿宋" w:eastAsia="仿宋" w:cs="仿宋"/>
                <w:kern w:val="0"/>
                <w:highlight w:val="none"/>
              </w:rPr>
            </w:pPr>
            <w:r>
              <w:rPr>
                <w:rFonts w:hint="eastAsia" w:ascii="仿宋" w:hAnsi="仿宋" w:eastAsia="仿宋" w:cs="仿宋"/>
                <w:kern w:val="0"/>
                <w:highlight w:val="none"/>
              </w:rPr>
              <w:t>名 称</w:t>
            </w:r>
          </w:p>
        </w:tc>
        <w:tc>
          <w:tcPr>
            <w:tcW w:w="3441" w:type="dxa"/>
            <w:gridSpan w:val="2"/>
            <w:vAlign w:val="center"/>
          </w:tcPr>
          <w:p w14:paraId="70A76A6C">
            <w:pPr>
              <w:widowControl/>
              <w:spacing w:line="320" w:lineRule="atLeast"/>
              <w:ind w:firstLine="2"/>
              <w:jc w:val="center"/>
              <w:rPr>
                <w:rFonts w:ascii="仿宋" w:hAnsi="仿宋" w:eastAsia="仿宋" w:cs="仿宋"/>
                <w:kern w:val="0"/>
                <w:highlight w:val="none"/>
              </w:rPr>
            </w:pPr>
            <w:r>
              <w:rPr>
                <w:rFonts w:hint="eastAsia" w:ascii="仿宋" w:hAnsi="仿宋" w:eastAsia="仿宋" w:cs="仿宋"/>
                <w:kern w:val="0"/>
                <w:highlight w:val="none"/>
              </w:rPr>
              <w:t>货物型号规格、标准及配置等</w:t>
            </w:r>
          </w:p>
          <w:p w14:paraId="39029BB1">
            <w:pPr>
              <w:widowControl/>
              <w:spacing w:line="320" w:lineRule="atLeast"/>
              <w:ind w:firstLine="2"/>
              <w:jc w:val="center"/>
              <w:rPr>
                <w:rFonts w:ascii="仿宋" w:hAnsi="仿宋" w:eastAsia="仿宋" w:cs="仿宋"/>
                <w:kern w:val="0"/>
                <w:highlight w:val="none"/>
              </w:rPr>
            </w:pPr>
            <w:r>
              <w:rPr>
                <w:rFonts w:hint="eastAsia" w:ascii="仿宋" w:hAnsi="仿宋" w:eastAsia="仿宋" w:cs="仿宋"/>
                <w:kern w:val="0"/>
                <w:highlight w:val="none"/>
              </w:rPr>
              <w:t>（或服务内容、标准）</w:t>
            </w:r>
          </w:p>
        </w:tc>
        <w:tc>
          <w:tcPr>
            <w:tcW w:w="998" w:type="dxa"/>
            <w:gridSpan w:val="2"/>
            <w:vAlign w:val="center"/>
          </w:tcPr>
          <w:p w14:paraId="3DE5FFD7">
            <w:pPr>
              <w:widowControl/>
              <w:spacing w:line="320" w:lineRule="atLeast"/>
              <w:jc w:val="center"/>
              <w:rPr>
                <w:rFonts w:ascii="仿宋" w:hAnsi="仿宋" w:eastAsia="仿宋" w:cs="仿宋"/>
                <w:kern w:val="0"/>
                <w:highlight w:val="none"/>
              </w:rPr>
            </w:pPr>
            <w:r>
              <w:rPr>
                <w:rFonts w:hint="eastAsia" w:ascii="仿宋" w:hAnsi="仿宋" w:eastAsia="仿宋" w:cs="仿宋"/>
                <w:kern w:val="0"/>
                <w:highlight w:val="none"/>
              </w:rPr>
              <w:t>数量</w:t>
            </w:r>
          </w:p>
        </w:tc>
        <w:tc>
          <w:tcPr>
            <w:tcW w:w="1367" w:type="dxa"/>
            <w:vAlign w:val="center"/>
          </w:tcPr>
          <w:p w14:paraId="420039CF">
            <w:pPr>
              <w:widowControl/>
              <w:spacing w:line="320" w:lineRule="atLeast"/>
              <w:ind w:firstLine="2"/>
              <w:jc w:val="center"/>
              <w:rPr>
                <w:rFonts w:ascii="仿宋" w:hAnsi="仿宋" w:eastAsia="仿宋" w:cs="仿宋"/>
                <w:kern w:val="0"/>
                <w:highlight w:val="none"/>
              </w:rPr>
            </w:pPr>
            <w:r>
              <w:rPr>
                <w:rFonts w:hint="eastAsia" w:ascii="仿宋" w:hAnsi="仿宋" w:eastAsia="仿宋" w:cs="仿宋"/>
                <w:kern w:val="0"/>
                <w:highlight w:val="none"/>
              </w:rPr>
              <w:t>金 额</w:t>
            </w:r>
          </w:p>
        </w:tc>
      </w:tr>
      <w:tr w14:paraId="2C70D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3132D954">
            <w:pPr>
              <w:widowControl/>
              <w:spacing w:line="320" w:lineRule="atLeast"/>
              <w:ind w:firstLine="5"/>
              <w:jc w:val="left"/>
              <w:rPr>
                <w:rFonts w:ascii="仿宋" w:hAnsi="仿宋" w:eastAsia="仿宋" w:cs="仿宋"/>
                <w:kern w:val="0"/>
                <w:highlight w:val="none"/>
              </w:rPr>
            </w:pPr>
            <w:r>
              <w:rPr>
                <w:rFonts w:hint="eastAsia" w:ascii="仿宋" w:hAnsi="仿宋" w:eastAsia="仿宋" w:cs="仿宋"/>
                <w:kern w:val="0"/>
                <w:highlight w:val="none"/>
              </w:rPr>
              <w:t> </w:t>
            </w:r>
          </w:p>
        </w:tc>
        <w:tc>
          <w:tcPr>
            <w:tcW w:w="2294" w:type="dxa"/>
            <w:vAlign w:val="center"/>
          </w:tcPr>
          <w:p w14:paraId="571BD684">
            <w:pPr>
              <w:widowControl/>
              <w:spacing w:line="320" w:lineRule="atLeast"/>
              <w:ind w:firstLine="480"/>
              <w:jc w:val="left"/>
              <w:rPr>
                <w:rFonts w:ascii="仿宋" w:hAnsi="仿宋" w:eastAsia="仿宋" w:cs="仿宋"/>
                <w:kern w:val="0"/>
                <w:highlight w:val="none"/>
              </w:rPr>
            </w:pPr>
            <w:r>
              <w:rPr>
                <w:rFonts w:hint="eastAsia" w:ascii="仿宋" w:hAnsi="仿宋" w:eastAsia="仿宋" w:cs="仿宋"/>
                <w:kern w:val="0"/>
                <w:highlight w:val="none"/>
              </w:rPr>
              <w:t> </w:t>
            </w:r>
          </w:p>
        </w:tc>
        <w:tc>
          <w:tcPr>
            <w:tcW w:w="3441" w:type="dxa"/>
            <w:gridSpan w:val="2"/>
            <w:vAlign w:val="center"/>
          </w:tcPr>
          <w:p w14:paraId="4BC77AEF">
            <w:pPr>
              <w:widowControl/>
              <w:spacing w:line="320" w:lineRule="atLeast"/>
              <w:ind w:firstLine="480"/>
              <w:jc w:val="left"/>
              <w:rPr>
                <w:rFonts w:ascii="仿宋" w:hAnsi="仿宋" w:eastAsia="仿宋" w:cs="仿宋"/>
                <w:kern w:val="0"/>
                <w:highlight w:val="none"/>
              </w:rPr>
            </w:pPr>
            <w:r>
              <w:rPr>
                <w:rFonts w:hint="eastAsia" w:ascii="仿宋" w:hAnsi="仿宋" w:eastAsia="仿宋" w:cs="仿宋"/>
                <w:kern w:val="0"/>
                <w:highlight w:val="none"/>
              </w:rPr>
              <w:t> </w:t>
            </w:r>
          </w:p>
        </w:tc>
        <w:tc>
          <w:tcPr>
            <w:tcW w:w="998" w:type="dxa"/>
            <w:gridSpan w:val="2"/>
            <w:vAlign w:val="center"/>
          </w:tcPr>
          <w:p w14:paraId="6E141CEB">
            <w:pPr>
              <w:widowControl/>
              <w:spacing w:line="320" w:lineRule="atLeast"/>
              <w:ind w:firstLine="480"/>
              <w:jc w:val="left"/>
              <w:rPr>
                <w:rFonts w:ascii="仿宋" w:hAnsi="仿宋" w:eastAsia="仿宋" w:cs="仿宋"/>
                <w:kern w:val="0"/>
                <w:highlight w:val="none"/>
              </w:rPr>
            </w:pPr>
            <w:r>
              <w:rPr>
                <w:rFonts w:hint="eastAsia" w:ascii="仿宋" w:hAnsi="仿宋" w:eastAsia="仿宋" w:cs="仿宋"/>
                <w:kern w:val="0"/>
                <w:highlight w:val="none"/>
              </w:rPr>
              <w:t> </w:t>
            </w:r>
          </w:p>
        </w:tc>
        <w:tc>
          <w:tcPr>
            <w:tcW w:w="1367" w:type="dxa"/>
            <w:vAlign w:val="center"/>
          </w:tcPr>
          <w:p w14:paraId="4C77B93D">
            <w:pPr>
              <w:widowControl/>
              <w:spacing w:line="320" w:lineRule="atLeast"/>
              <w:ind w:firstLine="480"/>
              <w:jc w:val="left"/>
              <w:rPr>
                <w:rFonts w:ascii="仿宋" w:hAnsi="仿宋" w:eastAsia="仿宋" w:cs="仿宋"/>
                <w:kern w:val="0"/>
                <w:highlight w:val="none"/>
              </w:rPr>
            </w:pPr>
            <w:r>
              <w:rPr>
                <w:rFonts w:hint="eastAsia" w:ascii="仿宋" w:hAnsi="仿宋" w:eastAsia="仿宋" w:cs="仿宋"/>
                <w:kern w:val="0"/>
                <w:highlight w:val="none"/>
              </w:rPr>
              <w:t> </w:t>
            </w:r>
          </w:p>
        </w:tc>
      </w:tr>
      <w:tr w14:paraId="6ACE7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342C5CC4">
            <w:pPr>
              <w:widowControl/>
              <w:spacing w:line="320" w:lineRule="atLeast"/>
              <w:ind w:firstLine="480"/>
              <w:jc w:val="left"/>
              <w:rPr>
                <w:rFonts w:ascii="仿宋" w:hAnsi="仿宋" w:eastAsia="仿宋" w:cs="仿宋"/>
                <w:kern w:val="0"/>
                <w:highlight w:val="none"/>
              </w:rPr>
            </w:pPr>
            <w:r>
              <w:rPr>
                <w:rFonts w:hint="eastAsia" w:ascii="仿宋" w:hAnsi="仿宋" w:eastAsia="仿宋" w:cs="仿宋"/>
                <w:kern w:val="0"/>
                <w:highlight w:val="none"/>
              </w:rPr>
              <w:t> </w:t>
            </w:r>
          </w:p>
        </w:tc>
        <w:tc>
          <w:tcPr>
            <w:tcW w:w="2294" w:type="dxa"/>
            <w:vAlign w:val="center"/>
          </w:tcPr>
          <w:p w14:paraId="5207FEA2">
            <w:pPr>
              <w:widowControl/>
              <w:spacing w:line="320" w:lineRule="atLeast"/>
              <w:ind w:firstLine="480"/>
              <w:jc w:val="left"/>
              <w:rPr>
                <w:rFonts w:ascii="仿宋" w:hAnsi="仿宋" w:eastAsia="仿宋" w:cs="仿宋"/>
                <w:kern w:val="0"/>
                <w:highlight w:val="none"/>
              </w:rPr>
            </w:pPr>
            <w:r>
              <w:rPr>
                <w:rFonts w:hint="eastAsia" w:ascii="仿宋" w:hAnsi="仿宋" w:eastAsia="仿宋" w:cs="仿宋"/>
                <w:kern w:val="0"/>
                <w:highlight w:val="none"/>
              </w:rPr>
              <w:t> </w:t>
            </w:r>
          </w:p>
        </w:tc>
        <w:tc>
          <w:tcPr>
            <w:tcW w:w="3441" w:type="dxa"/>
            <w:gridSpan w:val="2"/>
            <w:vAlign w:val="center"/>
          </w:tcPr>
          <w:p w14:paraId="29819722">
            <w:pPr>
              <w:widowControl/>
              <w:spacing w:line="320" w:lineRule="atLeast"/>
              <w:ind w:firstLine="480"/>
              <w:jc w:val="left"/>
              <w:rPr>
                <w:rFonts w:ascii="仿宋" w:hAnsi="仿宋" w:eastAsia="仿宋" w:cs="仿宋"/>
                <w:kern w:val="0"/>
                <w:highlight w:val="none"/>
              </w:rPr>
            </w:pPr>
            <w:r>
              <w:rPr>
                <w:rFonts w:hint="eastAsia" w:ascii="仿宋" w:hAnsi="仿宋" w:eastAsia="仿宋" w:cs="仿宋"/>
                <w:kern w:val="0"/>
                <w:highlight w:val="none"/>
              </w:rPr>
              <w:t> </w:t>
            </w:r>
          </w:p>
        </w:tc>
        <w:tc>
          <w:tcPr>
            <w:tcW w:w="998" w:type="dxa"/>
            <w:gridSpan w:val="2"/>
            <w:vAlign w:val="center"/>
          </w:tcPr>
          <w:p w14:paraId="3F1A15FB">
            <w:pPr>
              <w:widowControl/>
              <w:spacing w:line="320" w:lineRule="atLeast"/>
              <w:ind w:firstLine="480"/>
              <w:jc w:val="left"/>
              <w:rPr>
                <w:rFonts w:ascii="仿宋" w:hAnsi="仿宋" w:eastAsia="仿宋" w:cs="仿宋"/>
                <w:kern w:val="0"/>
                <w:highlight w:val="none"/>
              </w:rPr>
            </w:pPr>
            <w:r>
              <w:rPr>
                <w:rFonts w:hint="eastAsia" w:ascii="仿宋" w:hAnsi="仿宋" w:eastAsia="仿宋" w:cs="仿宋"/>
                <w:kern w:val="0"/>
                <w:highlight w:val="none"/>
              </w:rPr>
              <w:t> </w:t>
            </w:r>
          </w:p>
        </w:tc>
        <w:tc>
          <w:tcPr>
            <w:tcW w:w="1367" w:type="dxa"/>
            <w:vAlign w:val="center"/>
          </w:tcPr>
          <w:p w14:paraId="02237A1A">
            <w:pPr>
              <w:widowControl/>
              <w:spacing w:line="320" w:lineRule="atLeast"/>
              <w:ind w:firstLine="480"/>
              <w:jc w:val="left"/>
              <w:rPr>
                <w:rFonts w:ascii="仿宋" w:hAnsi="仿宋" w:eastAsia="仿宋" w:cs="仿宋"/>
                <w:kern w:val="0"/>
                <w:highlight w:val="none"/>
              </w:rPr>
            </w:pPr>
            <w:r>
              <w:rPr>
                <w:rFonts w:hint="eastAsia" w:ascii="仿宋" w:hAnsi="仿宋" w:eastAsia="仿宋" w:cs="仿宋"/>
                <w:kern w:val="0"/>
                <w:highlight w:val="none"/>
              </w:rPr>
              <w:t> </w:t>
            </w:r>
          </w:p>
        </w:tc>
      </w:tr>
      <w:tr w14:paraId="47DBE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20DDCBE9">
            <w:pPr>
              <w:widowControl/>
              <w:spacing w:line="320" w:lineRule="atLeast"/>
              <w:ind w:firstLine="480"/>
              <w:jc w:val="left"/>
              <w:rPr>
                <w:rFonts w:ascii="仿宋" w:hAnsi="仿宋" w:eastAsia="仿宋" w:cs="仿宋"/>
                <w:kern w:val="0"/>
                <w:highlight w:val="none"/>
              </w:rPr>
            </w:pPr>
            <w:r>
              <w:rPr>
                <w:rFonts w:hint="eastAsia" w:ascii="仿宋" w:hAnsi="仿宋" w:eastAsia="仿宋" w:cs="仿宋"/>
                <w:kern w:val="0"/>
                <w:highlight w:val="none"/>
              </w:rPr>
              <w:t> </w:t>
            </w:r>
          </w:p>
        </w:tc>
        <w:tc>
          <w:tcPr>
            <w:tcW w:w="2294" w:type="dxa"/>
            <w:vAlign w:val="center"/>
          </w:tcPr>
          <w:p w14:paraId="48A0CB92">
            <w:pPr>
              <w:widowControl/>
              <w:spacing w:line="320" w:lineRule="atLeast"/>
              <w:ind w:firstLine="480"/>
              <w:jc w:val="left"/>
              <w:rPr>
                <w:rFonts w:ascii="仿宋" w:hAnsi="仿宋" w:eastAsia="仿宋" w:cs="仿宋"/>
                <w:kern w:val="0"/>
                <w:highlight w:val="none"/>
              </w:rPr>
            </w:pPr>
            <w:r>
              <w:rPr>
                <w:rFonts w:hint="eastAsia" w:ascii="仿宋" w:hAnsi="仿宋" w:eastAsia="仿宋" w:cs="仿宋"/>
                <w:kern w:val="0"/>
                <w:highlight w:val="none"/>
              </w:rPr>
              <w:t> </w:t>
            </w:r>
          </w:p>
        </w:tc>
        <w:tc>
          <w:tcPr>
            <w:tcW w:w="3441" w:type="dxa"/>
            <w:gridSpan w:val="2"/>
            <w:vAlign w:val="center"/>
          </w:tcPr>
          <w:p w14:paraId="2C891884">
            <w:pPr>
              <w:widowControl/>
              <w:spacing w:line="320" w:lineRule="atLeast"/>
              <w:ind w:firstLine="480"/>
              <w:jc w:val="left"/>
              <w:rPr>
                <w:rFonts w:ascii="仿宋" w:hAnsi="仿宋" w:eastAsia="仿宋" w:cs="仿宋"/>
                <w:kern w:val="0"/>
                <w:highlight w:val="none"/>
              </w:rPr>
            </w:pPr>
            <w:r>
              <w:rPr>
                <w:rFonts w:hint="eastAsia" w:ascii="仿宋" w:hAnsi="仿宋" w:eastAsia="仿宋" w:cs="仿宋"/>
                <w:kern w:val="0"/>
                <w:highlight w:val="none"/>
              </w:rPr>
              <w:t> </w:t>
            </w:r>
          </w:p>
        </w:tc>
        <w:tc>
          <w:tcPr>
            <w:tcW w:w="998" w:type="dxa"/>
            <w:gridSpan w:val="2"/>
            <w:vAlign w:val="center"/>
          </w:tcPr>
          <w:p w14:paraId="674889E3">
            <w:pPr>
              <w:widowControl/>
              <w:spacing w:line="320" w:lineRule="atLeast"/>
              <w:ind w:firstLine="480"/>
              <w:jc w:val="left"/>
              <w:rPr>
                <w:rFonts w:ascii="仿宋" w:hAnsi="仿宋" w:eastAsia="仿宋" w:cs="仿宋"/>
                <w:kern w:val="0"/>
                <w:highlight w:val="none"/>
              </w:rPr>
            </w:pPr>
            <w:r>
              <w:rPr>
                <w:rFonts w:hint="eastAsia" w:ascii="仿宋" w:hAnsi="仿宋" w:eastAsia="仿宋" w:cs="仿宋"/>
                <w:kern w:val="0"/>
                <w:highlight w:val="none"/>
              </w:rPr>
              <w:t> </w:t>
            </w:r>
          </w:p>
        </w:tc>
        <w:tc>
          <w:tcPr>
            <w:tcW w:w="1367" w:type="dxa"/>
            <w:vAlign w:val="center"/>
          </w:tcPr>
          <w:p w14:paraId="5C479C66">
            <w:pPr>
              <w:widowControl/>
              <w:spacing w:line="320" w:lineRule="atLeast"/>
              <w:ind w:firstLine="480"/>
              <w:jc w:val="left"/>
              <w:rPr>
                <w:rFonts w:ascii="仿宋" w:hAnsi="仿宋" w:eastAsia="仿宋" w:cs="仿宋"/>
                <w:kern w:val="0"/>
                <w:highlight w:val="none"/>
              </w:rPr>
            </w:pPr>
            <w:r>
              <w:rPr>
                <w:rFonts w:hint="eastAsia" w:ascii="仿宋" w:hAnsi="仿宋" w:eastAsia="仿宋" w:cs="仿宋"/>
                <w:kern w:val="0"/>
                <w:highlight w:val="none"/>
              </w:rPr>
              <w:t> </w:t>
            </w:r>
          </w:p>
        </w:tc>
      </w:tr>
      <w:tr w14:paraId="6D6FF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262" w:type="dxa"/>
            <w:gridSpan w:val="4"/>
            <w:vAlign w:val="center"/>
          </w:tcPr>
          <w:p w14:paraId="3BAF855D">
            <w:pPr>
              <w:widowControl/>
              <w:spacing w:line="320" w:lineRule="atLeast"/>
              <w:ind w:firstLine="5"/>
              <w:jc w:val="center"/>
              <w:rPr>
                <w:rFonts w:ascii="仿宋" w:hAnsi="仿宋" w:eastAsia="仿宋" w:cs="仿宋"/>
                <w:kern w:val="0"/>
                <w:highlight w:val="none"/>
              </w:rPr>
            </w:pPr>
            <w:r>
              <w:rPr>
                <w:rFonts w:hint="eastAsia" w:ascii="仿宋" w:hAnsi="仿宋" w:eastAsia="仿宋" w:cs="仿宋"/>
                <w:kern w:val="0"/>
                <w:highlight w:val="none"/>
              </w:rPr>
              <w:t>合       计</w:t>
            </w:r>
          </w:p>
        </w:tc>
        <w:tc>
          <w:tcPr>
            <w:tcW w:w="998" w:type="dxa"/>
            <w:gridSpan w:val="2"/>
            <w:vAlign w:val="center"/>
          </w:tcPr>
          <w:p w14:paraId="069D9E93">
            <w:pPr>
              <w:widowControl/>
              <w:spacing w:line="320" w:lineRule="atLeast"/>
              <w:ind w:firstLine="480"/>
              <w:jc w:val="left"/>
              <w:rPr>
                <w:rFonts w:ascii="仿宋" w:hAnsi="仿宋" w:eastAsia="仿宋" w:cs="仿宋"/>
                <w:kern w:val="0"/>
                <w:highlight w:val="none"/>
              </w:rPr>
            </w:pPr>
            <w:r>
              <w:rPr>
                <w:rFonts w:hint="eastAsia" w:ascii="仿宋" w:hAnsi="仿宋" w:eastAsia="仿宋" w:cs="仿宋"/>
                <w:kern w:val="0"/>
                <w:highlight w:val="none"/>
              </w:rPr>
              <w:t> </w:t>
            </w:r>
          </w:p>
        </w:tc>
        <w:tc>
          <w:tcPr>
            <w:tcW w:w="1367" w:type="dxa"/>
            <w:vAlign w:val="center"/>
          </w:tcPr>
          <w:p w14:paraId="29D4454C">
            <w:pPr>
              <w:widowControl/>
              <w:spacing w:line="320" w:lineRule="atLeast"/>
              <w:ind w:firstLine="480"/>
              <w:jc w:val="left"/>
              <w:rPr>
                <w:rFonts w:ascii="仿宋" w:hAnsi="仿宋" w:eastAsia="仿宋" w:cs="仿宋"/>
                <w:kern w:val="0"/>
                <w:highlight w:val="none"/>
              </w:rPr>
            </w:pPr>
            <w:r>
              <w:rPr>
                <w:rFonts w:hint="eastAsia" w:ascii="仿宋" w:hAnsi="仿宋" w:eastAsia="仿宋" w:cs="仿宋"/>
                <w:kern w:val="0"/>
                <w:highlight w:val="none"/>
              </w:rPr>
              <w:t> </w:t>
            </w:r>
          </w:p>
        </w:tc>
      </w:tr>
      <w:tr w14:paraId="63A11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9627" w:type="dxa"/>
            <w:gridSpan w:val="7"/>
            <w:vAlign w:val="center"/>
          </w:tcPr>
          <w:p w14:paraId="01C4EE1D">
            <w:pPr>
              <w:widowControl/>
              <w:spacing w:line="320" w:lineRule="atLeast"/>
              <w:ind w:firstLine="2"/>
              <w:jc w:val="left"/>
              <w:rPr>
                <w:rFonts w:ascii="仿宋" w:hAnsi="仿宋" w:eastAsia="仿宋" w:cs="仿宋"/>
                <w:kern w:val="0"/>
                <w:highlight w:val="none"/>
              </w:rPr>
            </w:pPr>
            <w:r>
              <w:rPr>
                <w:rFonts w:hint="eastAsia" w:ascii="仿宋" w:hAnsi="仿宋" w:eastAsia="仿宋" w:cs="仿宋"/>
                <w:kern w:val="0"/>
                <w:highlight w:val="none"/>
              </w:rPr>
              <w:t>合计大写金额：  仟   佰   拾   万   仟   佰   拾   元</w:t>
            </w:r>
          </w:p>
        </w:tc>
      </w:tr>
      <w:tr w14:paraId="1C06A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1527" w:type="dxa"/>
            <w:vAlign w:val="center"/>
          </w:tcPr>
          <w:p w14:paraId="02A4DB4B">
            <w:pPr>
              <w:widowControl/>
              <w:spacing w:line="320" w:lineRule="atLeast"/>
              <w:ind w:firstLine="2"/>
              <w:jc w:val="left"/>
              <w:rPr>
                <w:rFonts w:ascii="仿宋" w:hAnsi="仿宋" w:eastAsia="仿宋" w:cs="仿宋"/>
                <w:kern w:val="0"/>
                <w:highlight w:val="none"/>
              </w:rPr>
            </w:pPr>
            <w:r>
              <w:rPr>
                <w:rFonts w:hint="eastAsia" w:ascii="仿宋" w:hAnsi="仿宋" w:eastAsia="仿宋" w:cs="仿宋"/>
                <w:kern w:val="0"/>
                <w:highlight w:val="none"/>
              </w:rPr>
              <w:t>实际供货日期</w:t>
            </w:r>
          </w:p>
        </w:tc>
        <w:tc>
          <w:tcPr>
            <w:tcW w:w="3240" w:type="dxa"/>
            <w:gridSpan w:val="2"/>
            <w:vAlign w:val="center"/>
          </w:tcPr>
          <w:p w14:paraId="118EF218">
            <w:pPr>
              <w:widowControl/>
              <w:spacing w:line="320" w:lineRule="atLeast"/>
              <w:ind w:firstLine="480"/>
              <w:jc w:val="left"/>
              <w:rPr>
                <w:rFonts w:ascii="仿宋" w:hAnsi="仿宋" w:eastAsia="仿宋" w:cs="仿宋"/>
                <w:kern w:val="0"/>
                <w:highlight w:val="none"/>
              </w:rPr>
            </w:pPr>
            <w:r>
              <w:rPr>
                <w:rFonts w:hint="eastAsia" w:ascii="仿宋" w:hAnsi="仿宋" w:eastAsia="仿宋" w:cs="仿宋"/>
                <w:kern w:val="0"/>
                <w:highlight w:val="none"/>
              </w:rPr>
              <w:t> </w:t>
            </w:r>
          </w:p>
        </w:tc>
        <w:tc>
          <w:tcPr>
            <w:tcW w:w="2700" w:type="dxa"/>
            <w:gridSpan w:val="2"/>
            <w:vAlign w:val="center"/>
          </w:tcPr>
          <w:p w14:paraId="3D3DB105">
            <w:pPr>
              <w:widowControl/>
              <w:spacing w:line="320" w:lineRule="atLeast"/>
              <w:ind w:firstLine="46"/>
              <w:jc w:val="center"/>
              <w:rPr>
                <w:rFonts w:ascii="仿宋" w:hAnsi="仿宋" w:eastAsia="仿宋" w:cs="仿宋"/>
                <w:kern w:val="0"/>
                <w:highlight w:val="none"/>
              </w:rPr>
            </w:pPr>
            <w:r>
              <w:rPr>
                <w:rFonts w:hint="eastAsia" w:ascii="仿宋" w:hAnsi="仿宋" w:eastAsia="仿宋" w:cs="仿宋"/>
                <w:kern w:val="0"/>
                <w:highlight w:val="none"/>
              </w:rPr>
              <w:t>合同交货验收日期</w:t>
            </w:r>
          </w:p>
        </w:tc>
        <w:tc>
          <w:tcPr>
            <w:tcW w:w="2160" w:type="dxa"/>
            <w:gridSpan w:val="2"/>
            <w:vAlign w:val="center"/>
          </w:tcPr>
          <w:p w14:paraId="4CC221D1">
            <w:pPr>
              <w:widowControl/>
              <w:spacing w:line="320" w:lineRule="atLeast"/>
              <w:ind w:firstLine="480"/>
              <w:jc w:val="left"/>
              <w:rPr>
                <w:rFonts w:ascii="仿宋" w:hAnsi="仿宋" w:eastAsia="仿宋" w:cs="仿宋"/>
                <w:kern w:val="0"/>
                <w:highlight w:val="none"/>
              </w:rPr>
            </w:pPr>
            <w:r>
              <w:rPr>
                <w:rFonts w:hint="eastAsia" w:ascii="仿宋" w:hAnsi="仿宋" w:eastAsia="仿宋" w:cs="仿宋"/>
                <w:kern w:val="0"/>
                <w:highlight w:val="none"/>
              </w:rPr>
              <w:t> </w:t>
            </w:r>
          </w:p>
        </w:tc>
      </w:tr>
      <w:tr w14:paraId="0F9D2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527" w:type="dxa"/>
            <w:tcMar>
              <w:top w:w="0" w:type="dxa"/>
              <w:left w:w="108" w:type="dxa"/>
              <w:bottom w:w="0" w:type="dxa"/>
              <w:right w:w="108" w:type="dxa"/>
            </w:tcMar>
            <w:vAlign w:val="center"/>
          </w:tcPr>
          <w:p w14:paraId="3B68BA36">
            <w:pPr>
              <w:widowControl/>
              <w:spacing w:line="320" w:lineRule="atLeast"/>
              <w:jc w:val="left"/>
              <w:rPr>
                <w:rFonts w:ascii="仿宋" w:hAnsi="仿宋" w:eastAsia="仿宋" w:cs="仿宋"/>
                <w:kern w:val="0"/>
                <w:highlight w:val="none"/>
              </w:rPr>
            </w:pPr>
            <w:r>
              <w:rPr>
                <w:rFonts w:hint="eastAsia" w:ascii="仿宋" w:hAnsi="仿宋" w:eastAsia="仿宋" w:cs="仿宋"/>
                <w:kern w:val="0"/>
                <w:highlight w:val="none"/>
              </w:rPr>
              <w:t>验收具体内容</w:t>
            </w:r>
          </w:p>
        </w:tc>
        <w:tc>
          <w:tcPr>
            <w:tcW w:w="8100" w:type="dxa"/>
            <w:gridSpan w:val="6"/>
            <w:tcMar>
              <w:top w:w="0" w:type="dxa"/>
              <w:left w:w="108" w:type="dxa"/>
              <w:bottom w:w="0" w:type="dxa"/>
              <w:right w:w="108" w:type="dxa"/>
            </w:tcMar>
            <w:vAlign w:val="center"/>
          </w:tcPr>
          <w:p w14:paraId="6CC64837">
            <w:pPr>
              <w:widowControl/>
              <w:spacing w:line="320" w:lineRule="atLeast"/>
              <w:jc w:val="left"/>
              <w:rPr>
                <w:rFonts w:ascii="仿宋" w:hAnsi="仿宋" w:eastAsia="仿宋" w:cs="仿宋"/>
                <w:kern w:val="0"/>
                <w:highlight w:val="none"/>
              </w:rPr>
            </w:pPr>
            <w:r>
              <w:rPr>
                <w:rFonts w:hint="eastAsia" w:ascii="仿宋" w:hAnsi="仿宋" w:eastAsia="仿宋" w:cs="仿宋"/>
                <w:kern w:val="0"/>
                <w:highlight w:val="none"/>
              </w:rPr>
              <w:t>（应按采购合同、采购文件、投标文件及验收方案等进行验收；并核对中标或者中标供应商在提供的服务等方面是否违反合同约定或服务规范要求、提供的质量保证证明材料是否齐全、应有的附件是否达到合同约定等。可附件)</w:t>
            </w:r>
          </w:p>
        </w:tc>
      </w:tr>
      <w:tr w14:paraId="63A05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1" w:hRule="atLeast"/>
          <w:jc w:val="center"/>
        </w:trPr>
        <w:tc>
          <w:tcPr>
            <w:tcW w:w="1527" w:type="dxa"/>
            <w:vMerge w:val="restart"/>
            <w:tcMar>
              <w:top w:w="0" w:type="dxa"/>
              <w:left w:w="108" w:type="dxa"/>
              <w:bottom w:w="0" w:type="dxa"/>
              <w:right w:w="108" w:type="dxa"/>
            </w:tcMar>
            <w:vAlign w:val="center"/>
          </w:tcPr>
          <w:p w14:paraId="526088E7">
            <w:pPr>
              <w:widowControl/>
              <w:spacing w:line="320" w:lineRule="atLeast"/>
              <w:jc w:val="left"/>
              <w:rPr>
                <w:rFonts w:ascii="仿宋" w:hAnsi="仿宋" w:eastAsia="仿宋" w:cs="仿宋"/>
                <w:kern w:val="0"/>
                <w:highlight w:val="none"/>
              </w:rPr>
            </w:pPr>
            <w:r>
              <w:rPr>
                <w:rFonts w:hint="eastAsia" w:ascii="仿宋" w:hAnsi="仿宋" w:eastAsia="仿宋" w:cs="仿宋"/>
                <w:kern w:val="0"/>
                <w:highlight w:val="none"/>
              </w:rPr>
              <w:t>验收小组意见</w:t>
            </w:r>
          </w:p>
        </w:tc>
        <w:tc>
          <w:tcPr>
            <w:tcW w:w="8100" w:type="dxa"/>
            <w:gridSpan w:val="6"/>
            <w:vAlign w:val="center"/>
          </w:tcPr>
          <w:p w14:paraId="157F7A6A">
            <w:pPr>
              <w:widowControl/>
              <w:spacing w:line="320" w:lineRule="atLeast"/>
              <w:jc w:val="left"/>
              <w:rPr>
                <w:rFonts w:ascii="仿宋" w:hAnsi="仿宋" w:eastAsia="仿宋" w:cs="仿宋"/>
                <w:kern w:val="0"/>
                <w:highlight w:val="none"/>
              </w:rPr>
            </w:pPr>
            <w:r>
              <w:rPr>
                <w:rFonts w:hint="eastAsia" w:ascii="仿宋" w:hAnsi="仿宋" w:eastAsia="仿宋" w:cs="仿宋"/>
                <w:kern w:val="0"/>
                <w:highlight w:val="none"/>
              </w:rPr>
              <w:t> 验收结论性意见：</w:t>
            </w:r>
          </w:p>
          <w:p w14:paraId="461498AF">
            <w:pPr>
              <w:widowControl/>
              <w:spacing w:line="320" w:lineRule="atLeast"/>
              <w:jc w:val="left"/>
              <w:rPr>
                <w:rFonts w:ascii="仿宋" w:hAnsi="仿宋" w:eastAsia="仿宋" w:cs="仿宋"/>
                <w:kern w:val="0"/>
                <w:highlight w:val="none"/>
              </w:rPr>
            </w:pPr>
            <w:r>
              <w:rPr>
                <w:rFonts w:hint="eastAsia" w:ascii="仿宋" w:hAnsi="仿宋" w:eastAsia="仿宋" w:cs="仿宋"/>
                <w:kern w:val="0"/>
                <w:highlight w:val="none"/>
              </w:rPr>
              <w:t> </w:t>
            </w:r>
          </w:p>
        </w:tc>
      </w:tr>
      <w:tr w14:paraId="0F627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1527" w:type="dxa"/>
            <w:vMerge w:val="continue"/>
            <w:vAlign w:val="center"/>
          </w:tcPr>
          <w:p w14:paraId="3D38CFCE">
            <w:pPr>
              <w:widowControl/>
              <w:jc w:val="left"/>
              <w:rPr>
                <w:rFonts w:ascii="仿宋" w:hAnsi="仿宋" w:eastAsia="仿宋" w:cs="仿宋"/>
                <w:kern w:val="0"/>
                <w:highlight w:val="none"/>
              </w:rPr>
            </w:pPr>
          </w:p>
        </w:tc>
        <w:tc>
          <w:tcPr>
            <w:tcW w:w="8100" w:type="dxa"/>
            <w:gridSpan w:val="6"/>
            <w:vAlign w:val="center"/>
          </w:tcPr>
          <w:p w14:paraId="123E8928">
            <w:pPr>
              <w:widowControl/>
              <w:spacing w:line="320" w:lineRule="atLeast"/>
              <w:ind w:firstLine="96"/>
              <w:jc w:val="left"/>
              <w:rPr>
                <w:rFonts w:ascii="仿宋" w:hAnsi="仿宋" w:eastAsia="仿宋" w:cs="仿宋"/>
                <w:kern w:val="0"/>
                <w:highlight w:val="none"/>
              </w:rPr>
            </w:pPr>
            <w:r>
              <w:rPr>
                <w:rFonts w:hint="eastAsia" w:ascii="仿宋" w:hAnsi="仿宋" w:eastAsia="仿宋" w:cs="仿宋"/>
                <w:kern w:val="0"/>
                <w:highlight w:val="none"/>
              </w:rPr>
              <w:t>有异议的意见和说明理由：</w:t>
            </w:r>
          </w:p>
          <w:p w14:paraId="7B4C2822">
            <w:pPr>
              <w:widowControl/>
              <w:spacing w:line="320" w:lineRule="atLeast"/>
              <w:jc w:val="left"/>
              <w:rPr>
                <w:rFonts w:ascii="仿宋" w:hAnsi="仿宋" w:eastAsia="仿宋" w:cs="仿宋"/>
                <w:kern w:val="0"/>
                <w:highlight w:val="none"/>
              </w:rPr>
            </w:pPr>
            <w:r>
              <w:rPr>
                <w:rFonts w:hint="eastAsia" w:ascii="仿宋" w:hAnsi="仿宋" w:eastAsia="仿宋" w:cs="仿宋"/>
                <w:kern w:val="0"/>
                <w:highlight w:val="none"/>
              </w:rPr>
              <w:t>                                      签字：</w:t>
            </w:r>
          </w:p>
        </w:tc>
      </w:tr>
      <w:tr w14:paraId="77ACF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9627" w:type="dxa"/>
            <w:gridSpan w:val="7"/>
            <w:tcMar>
              <w:top w:w="0" w:type="dxa"/>
              <w:left w:w="108" w:type="dxa"/>
              <w:bottom w:w="0" w:type="dxa"/>
              <w:right w:w="108" w:type="dxa"/>
            </w:tcMar>
            <w:vAlign w:val="center"/>
          </w:tcPr>
          <w:p w14:paraId="14494B54">
            <w:pPr>
              <w:widowControl/>
              <w:spacing w:line="320" w:lineRule="atLeast"/>
              <w:jc w:val="left"/>
              <w:rPr>
                <w:rFonts w:ascii="仿宋" w:hAnsi="仿宋" w:eastAsia="仿宋" w:cs="仿宋"/>
                <w:kern w:val="0"/>
                <w:highlight w:val="none"/>
              </w:rPr>
            </w:pPr>
            <w:r>
              <w:rPr>
                <w:rFonts w:hint="eastAsia" w:ascii="仿宋" w:hAnsi="仿宋" w:eastAsia="仿宋" w:cs="仿宋"/>
                <w:kern w:val="0"/>
                <w:highlight w:val="none"/>
              </w:rPr>
              <w:t>验收小组成员签字：</w:t>
            </w:r>
          </w:p>
        </w:tc>
      </w:tr>
      <w:tr w14:paraId="62D5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9627" w:type="dxa"/>
            <w:gridSpan w:val="7"/>
            <w:tcMar>
              <w:top w:w="0" w:type="dxa"/>
              <w:left w:w="108" w:type="dxa"/>
              <w:bottom w:w="0" w:type="dxa"/>
              <w:right w:w="108" w:type="dxa"/>
            </w:tcMar>
            <w:vAlign w:val="center"/>
          </w:tcPr>
          <w:p w14:paraId="60707F48">
            <w:pPr>
              <w:widowControl/>
              <w:spacing w:line="320" w:lineRule="atLeast"/>
              <w:jc w:val="left"/>
              <w:rPr>
                <w:rFonts w:ascii="仿宋" w:hAnsi="仿宋" w:eastAsia="仿宋" w:cs="仿宋"/>
                <w:kern w:val="0"/>
                <w:highlight w:val="none"/>
              </w:rPr>
            </w:pPr>
            <w:r>
              <w:rPr>
                <w:rFonts w:hint="eastAsia" w:ascii="仿宋" w:hAnsi="仿宋" w:eastAsia="仿宋" w:cs="仿宋"/>
                <w:kern w:val="0"/>
                <w:highlight w:val="none"/>
              </w:rPr>
              <w:t>监督人员或其他相关人员签字：</w:t>
            </w:r>
          </w:p>
          <w:p w14:paraId="1C1DFC80">
            <w:pPr>
              <w:widowControl/>
              <w:spacing w:line="320" w:lineRule="atLeast"/>
              <w:ind w:firstLine="74"/>
              <w:jc w:val="left"/>
              <w:rPr>
                <w:rFonts w:ascii="仿宋" w:hAnsi="仿宋" w:eastAsia="仿宋" w:cs="仿宋"/>
                <w:kern w:val="0"/>
                <w:highlight w:val="none"/>
              </w:rPr>
            </w:pPr>
            <w:r>
              <w:rPr>
                <w:rFonts w:hint="eastAsia" w:ascii="仿宋" w:hAnsi="仿宋" w:eastAsia="仿宋" w:cs="仿宋"/>
                <w:kern w:val="0"/>
                <w:highlight w:val="none"/>
              </w:rPr>
              <w:t>或受邀机构的意见（盖章）：</w:t>
            </w:r>
          </w:p>
        </w:tc>
      </w:tr>
      <w:tr w14:paraId="20C8F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4" w:hRule="atLeast"/>
          <w:jc w:val="center"/>
        </w:trPr>
        <w:tc>
          <w:tcPr>
            <w:tcW w:w="4767" w:type="dxa"/>
            <w:gridSpan w:val="3"/>
            <w:tcMar>
              <w:top w:w="0" w:type="dxa"/>
              <w:left w:w="108" w:type="dxa"/>
              <w:bottom w:w="0" w:type="dxa"/>
              <w:right w:w="108" w:type="dxa"/>
            </w:tcMar>
            <w:vAlign w:val="center"/>
          </w:tcPr>
          <w:p w14:paraId="4B73424A">
            <w:pPr>
              <w:widowControl/>
              <w:spacing w:line="320" w:lineRule="atLeast"/>
              <w:ind w:firstLine="74"/>
              <w:jc w:val="left"/>
              <w:rPr>
                <w:rFonts w:ascii="仿宋" w:hAnsi="仿宋" w:eastAsia="仿宋" w:cs="仿宋"/>
                <w:kern w:val="0"/>
                <w:highlight w:val="none"/>
              </w:rPr>
            </w:pPr>
            <w:r>
              <w:rPr>
                <w:rFonts w:hint="eastAsia" w:ascii="仿宋" w:hAnsi="仿宋" w:eastAsia="仿宋" w:cs="仿宋"/>
                <w:kern w:val="0"/>
                <w:highlight w:val="none"/>
              </w:rPr>
              <w:t>中标或者中标供应商负责人签字或盖章：</w:t>
            </w:r>
          </w:p>
          <w:p w14:paraId="35DD33C2">
            <w:pPr>
              <w:widowControl/>
              <w:spacing w:line="320" w:lineRule="atLeast"/>
              <w:jc w:val="left"/>
              <w:rPr>
                <w:rFonts w:ascii="仿宋" w:hAnsi="仿宋" w:eastAsia="仿宋" w:cs="仿宋"/>
                <w:kern w:val="0"/>
                <w:highlight w:val="none"/>
              </w:rPr>
            </w:pPr>
            <w:r>
              <w:rPr>
                <w:rFonts w:hint="eastAsia" w:ascii="仿宋" w:hAnsi="仿宋" w:eastAsia="仿宋" w:cs="仿宋"/>
                <w:kern w:val="0"/>
                <w:highlight w:val="none"/>
              </w:rPr>
              <w:t>联系电话：                   年   月    日</w:t>
            </w:r>
          </w:p>
        </w:tc>
        <w:tc>
          <w:tcPr>
            <w:tcW w:w="4860" w:type="dxa"/>
            <w:gridSpan w:val="4"/>
            <w:vAlign w:val="center"/>
          </w:tcPr>
          <w:p w14:paraId="6DBEB524">
            <w:pPr>
              <w:widowControl/>
              <w:spacing w:line="320" w:lineRule="atLeast"/>
              <w:jc w:val="left"/>
              <w:rPr>
                <w:rFonts w:ascii="仿宋" w:hAnsi="仿宋" w:eastAsia="仿宋" w:cs="仿宋"/>
                <w:kern w:val="0"/>
                <w:highlight w:val="none"/>
              </w:rPr>
            </w:pPr>
            <w:r>
              <w:rPr>
                <w:rFonts w:hint="eastAsia" w:ascii="仿宋" w:hAnsi="仿宋" w:eastAsia="仿宋" w:cs="仿宋"/>
                <w:kern w:val="0"/>
                <w:highlight w:val="none"/>
              </w:rPr>
              <w:t> 采购人或受托机构的意见（盖章）：</w:t>
            </w:r>
          </w:p>
          <w:p w14:paraId="557F7948">
            <w:pPr>
              <w:widowControl/>
              <w:spacing w:line="320" w:lineRule="atLeast"/>
              <w:jc w:val="left"/>
              <w:rPr>
                <w:rFonts w:ascii="仿宋" w:hAnsi="仿宋" w:eastAsia="仿宋" w:cs="仿宋"/>
                <w:kern w:val="0"/>
                <w:highlight w:val="none"/>
              </w:rPr>
            </w:pPr>
            <w:r>
              <w:rPr>
                <w:rFonts w:hint="eastAsia" w:ascii="仿宋" w:hAnsi="仿宋" w:eastAsia="仿宋" w:cs="仿宋"/>
                <w:kern w:val="0"/>
                <w:highlight w:val="none"/>
              </w:rPr>
              <w:t>联系电话：                 年     月     日</w:t>
            </w:r>
          </w:p>
        </w:tc>
      </w:tr>
    </w:tbl>
    <w:p w14:paraId="320E1C90">
      <w:pPr>
        <w:pStyle w:val="36"/>
        <w:rPr>
          <w:rFonts w:ascii="仿宋" w:hAnsi="仿宋" w:eastAsia="仿宋" w:cs="仿宋"/>
          <w:highlight w:val="none"/>
        </w:rPr>
      </w:pPr>
    </w:p>
    <w:p w14:paraId="0D2B2A61">
      <w:pPr>
        <w:pStyle w:val="36"/>
        <w:rPr>
          <w:rFonts w:ascii="仿宋" w:hAnsi="仿宋" w:eastAsia="仿宋" w:cs="仿宋"/>
          <w:highlight w:val="none"/>
        </w:rPr>
      </w:pPr>
    </w:p>
    <w:p w14:paraId="5AF8A4E2">
      <w:pPr>
        <w:pStyle w:val="36"/>
        <w:pageBreakBefore/>
        <w:rPr>
          <w:rFonts w:ascii="仿宋" w:hAnsi="仿宋" w:eastAsia="仿宋" w:cs="仿宋"/>
          <w:b/>
          <w:sz w:val="24"/>
          <w:szCs w:val="24"/>
          <w:highlight w:val="none"/>
        </w:rPr>
      </w:pPr>
      <w:r>
        <w:rPr>
          <w:rFonts w:hint="eastAsia" w:ascii="仿宋" w:hAnsi="仿宋" w:eastAsia="仿宋" w:cs="仿宋"/>
          <w:b/>
          <w:sz w:val="24"/>
          <w:szCs w:val="24"/>
          <w:highlight w:val="none"/>
        </w:rPr>
        <w:t>附表4：</w:t>
      </w:r>
    </w:p>
    <w:p w14:paraId="6FE04688">
      <w:pPr>
        <w:pStyle w:val="36"/>
        <w:rPr>
          <w:rFonts w:ascii="仿宋" w:hAnsi="仿宋" w:eastAsia="仿宋" w:cs="仿宋"/>
          <w:b/>
          <w:sz w:val="24"/>
          <w:szCs w:val="24"/>
          <w:highlight w:val="none"/>
        </w:rPr>
      </w:pPr>
    </w:p>
    <w:p w14:paraId="51E7FEFE">
      <w:pPr>
        <w:pStyle w:val="36"/>
        <w:rPr>
          <w:rFonts w:ascii="仿宋" w:hAnsi="仿宋" w:eastAsia="仿宋" w:cs="仿宋"/>
          <w:b/>
          <w:sz w:val="24"/>
          <w:szCs w:val="24"/>
          <w:highlight w:val="none"/>
        </w:rPr>
      </w:pPr>
      <w:r>
        <w:rPr>
          <w:rFonts w:hint="eastAsia" w:ascii="仿宋" w:hAnsi="仿宋" w:eastAsia="仿宋" w:cs="仿宋"/>
          <w:kern w:val="0"/>
          <w:sz w:val="24"/>
          <w:highlight w:val="none"/>
        </w:rPr>
        <w:fldChar w:fldCharType="begin"/>
      </w:r>
      <w:r>
        <w:rPr>
          <w:highlight w:val="none"/>
        </w:rPr>
        <w:instrText xml:space="preserve"> INCLUDEPICTURE "C:\\Users\\Kyle\\AppData\\Local\\kingsoft\\WPS Cloud Files\\userdata\\qing\\filecache\\.457808618\\WeChat%20Files\\huangjiahui3168\\FileStorage\\WeChat%20Files\\huangjiahui3168\\FileStorage\\Administrator\\AppData\\Roaming\\Tencent\\Users\\84332323\\QQ\\WinTemp\\RichOle\\IBTSMDNQID2EUB%7b1%5d6~PD(5.png" \* MERGEFORMAT </w:instrText>
      </w:r>
      <w:r>
        <w:rPr>
          <w:rFonts w:hint="eastAsia" w:ascii="仿宋" w:hAnsi="仿宋" w:eastAsia="仿宋" w:cs="仿宋"/>
          <w:kern w:val="0"/>
          <w:sz w:val="24"/>
          <w:highlight w:val="none"/>
        </w:rPr>
        <w:fldChar w:fldCharType="separate"/>
      </w:r>
      <w:r>
        <w:rPr>
          <w:rFonts w:hint="eastAsia" w:ascii="仿宋" w:hAnsi="仿宋" w:eastAsia="仿宋" w:cs="仿宋"/>
          <w:kern w:val="0"/>
          <w:sz w:val="24"/>
          <w:highlight w:val="none"/>
        </w:rPr>
        <w:drawing>
          <wp:inline distT="0" distB="0" distL="114300" distR="114300">
            <wp:extent cx="5925185" cy="5829300"/>
            <wp:effectExtent l="0" t="0" r="18415" b="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7" r:link="rId8"/>
                    <a:stretch>
                      <a:fillRect/>
                    </a:stretch>
                  </pic:blipFill>
                  <pic:spPr>
                    <a:xfrm>
                      <a:off x="0" y="0"/>
                      <a:ext cx="5925185" cy="5829300"/>
                    </a:xfrm>
                    <a:prstGeom prst="rect">
                      <a:avLst/>
                    </a:prstGeom>
                    <a:noFill/>
                    <a:ln w="9525">
                      <a:noFill/>
                    </a:ln>
                  </pic:spPr>
                </pic:pic>
              </a:graphicData>
            </a:graphic>
          </wp:inline>
        </w:drawing>
      </w:r>
      <w:r>
        <w:rPr>
          <w:rFonts w:hint="eastAsia" w:ascii="仿宋" w:hAnsi="仿宋" w:eastAsia="仿宋" w:cs="仿宋"/>
          <w:kern w:val="0"/>
          <w:sz w:val="24"/>
          <w:highlight w:val="none"/>
        </w:rPr>
        <w:fldChar w:fldCharType="end"/>
      </w:r>
    </w:p>
    <w:p w14:paraId="6F18BF4E">
      <w:pPr>
        <w:pStyle w:val="13"/>
        <w:ind w:firstLine="480"/>
        <w:rPr>
          <w:rFonts w:ascii="仿宋" w:hAnsi="仿宋" w:eastAsia="仿宋" w:cs="仿宋"/>
          <w:highlight w:val="none"/>
        </w:rPr>
      </w:pPr>
      <w:r>
        <w:rPr>
          <w:rFonts w:hint="eastAsia" w:ascii="仿宋" w:hAnsi="仿宋" w:eastAsia="仿宋" w:cs="仿宋"/>
          <w:highlight w:val="none"/>
        </w:rPr>
        <w:fldChar w:fldCharType="begin"/>
      </w:r>
      <w:r>
        <w:rPr>
          <w:highlight w:val="none"/>
        </w:rPr>
        <w:instrText xml:space="preserve"> INCLUDEPICTURE "C:\\Users\\Kyle\\AppData\\Local\\kingsoft\\WPS Cloud Files\\userdata\\qing\\filecache\\.457808618\\WeChat%20Files\\huangjiahui3168\\FileStorage\\WeChat%20Files\\huangjiahui3168\\FileStorage\\Administrator\\AppData\\Roaming\\Tencent\\Users\\84332323\\QQ\\WinTemp\\RichOle\\IBTSMDNQID2EUB%7b1%5d6~PD(5.png" \* MERGEFORMAT </w:instrText>
      </w:r>
      <w:r>
        <w:rPr>
          <w:rFonts w:hint="eastAsia" w:ascii="仿宋" w:hAnsi="仿宋" w:eastAsia="仿宋" w:cs="仿宋"/>
          <w:highlight w:val="none"/>
        </w:rPr>
        <w:fldChar w:fldCharType="separate"/>
      </w:r>
      <w:r>
        <w:rPr>
          <w:rFonts w:hint="eastAsia" w:ascii="仿宋" w:hAnsi="仿宋" w:eastAsia="仿宋" w:cs="仿宋"/>
          <w:highlight w:val="none"/>
        </w:rPr>
        <w:drawing>
          <wp:inline distT="0" distB="0" distL="114300" distR="114300">
            <wp:extent cx="5925185" cy="5829300"/>
            <wp:effectExtent l="0" t="0" r="1841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r:link="rId8"/>
                    <a:stretch>
                      <a:fillRect/>
                    </a:stretch>
                  </pic:blipFill>
                  <pic:spPr>
                    <a:xfrm>
                      <a:off x="0" y="0"/>
                      <a:ext cx="5925185" cy="5829300"/>
                    </a:xfrm>
                    <a:prstGeom prst="rect">
                      <a:avLst/>
                    </a:prstGeom>
                    <a:noFill/>
                    <a:ln w="9525">
                      <a:noFill/>
                    </a:ln>
                  </pic:spPr>
                </pic:pic>
              </a:graphicData>
            </a:graphic>
          </wp:inline>
        </w:drawing>
      </w:r>
      <w:r>
        <w:rPr>
          <w:rFonts w:hint="eastAsia" w:ascii="仿宋" w:hAnsi="仿宋" w:eastAsia="仿宋" w:cs="仿宋"/>
          <w:highlight w:val="none"/>
        </w:rPr>
        <w:fldChar w:fldCharType="end"/>
      </w:r>
    </w:p>
    <w:p w14:paraId="07AC4D54">
      <w:pPr>
        <w:pStyle w:val="13"/>
        <w:ind w:firstLine="480"/>
        <w:rPr>
          <w:rFonts w:ascii="仿宋" w:hAnsi="仿宋" w:eastAsia="仿宋" w:cs="仿宋"/>
          <w:highlight w:val="none"/>
        </w:rPr>
      </w:pPr>
    </w:p>
    <w:p w14:paraId="15C26F75">
      <w:pPr>
        <w:pStyle w:val="13"/>
        <w:ind w:firstLine="480"/>
        <w:rPr>
          <w:rFonts w:ascii="仿宋" w:hAnsi="仿宋" w:eastAsia="仿宋" w:cs="仿宋"/>
          <w:highlight w:val="none"/>
        </w:rPr>
      </w:pPr>
    </w:p>
    <w:p w14:paraId="01706D30">
      <w:pPr>
        <w:pStyle w:val="13"/>
        <w:ind w:firstLine="480"/>
        <w:rPr>
          <w:rFonts w:ascii="仿宋" w:hAnsi="仿宋" w:eastAsia="仿宋" w:cs="仿宋"/>
          <w:highlight w:val="none"/>
        </w:rPr>
      </w:pPr>
    </w:p>
    <w:p w14:paraId="22852742">
      <w:pPr>
        <w:pStyle w:val="2"/>
        <w:keepNext w:val="0"/>
        <w:keepLines w:val="0"/>
        <w:pageBreakBefore/>
        <w:tabs>
          <w:tab w:val="left" w:pos="0"/>
        </w:tabs>
        <w:autoSpaceDE w:val="0"/>
        <w:autoSpaceDN w:val="0"/>
        <w:adjustRightInd w:val="0"/>
        <w:spacing w:before="0" w:after="0" w:line="360" w:lineRule="auto"/>
        <w:ind w:left="425"/>
        <w:jc w:val="center"/>
        <w:rPr>
          <w:rFonts w:ascii="仿宋" w:hAnsi="仿宋" w:eastAsia="仿宋" w:cs="仿宋"/>
          <w:sz w:val="32"/>
          <w:szCs w:val="32"/>
          <w:highlight w:val="none"/>
        </w:rPr>
      </w:pPr>
      <w:bookmarkStart w:id="136" w:name="_Toc24601"/>
      <w:bookmarkStart w:id="137" w:name="_Toc22353"/>
      <w:bookmarkStart w:id="138" w:name="_Toc5459"/>
      <w:r>
        <w:rPr>
          <w:rFonts w:hint="eastAsia" w:ascii="仿宋" w:hAnsi="仿宋" w:eastAsia="仿宋" w:cs="仿宋"/>
          <w:sz w:val="32"/>
          <w:szCs w:val="32"/>
          <w:highlight w:val="none"/>
        </w:rPr>
        <w:t>第三章采购需求</w:t>
      </w:r>
      <w:bookmarkEnd w:id="136"/>
      <w:bookmarkEnd w:id="137"/>
      <w:bookmarkEnd w:id="138"/>
    </w:p>
    <w:p w14:paraId="368690F3">
      <w:pPr>
        <w:spacing w:line="360" w:lineRule="auto"/>
        <w:ind w:firstLine="482" w:firstLineChars="200"/>
        <w:rPr>
          <w:rFonts w:hint="eastAsia" w:ascii="仿宋" w:hAnsi="仿宋" w:eastAsia="仿宋" w:cs="仿宋"/>
          <w:sz w:val="24"/>
          <w:highlight w:val="none"/>
          <w:lang w:eastAsia="zh-CN"/>
        </w:rPr>
      </w:pPr>
      <w:r>
        <w:rPr>
          <w:rFonts w:hint="eastAsia" w:ascii="仿宋" w:hAnsi="仿宋" w:eastAsia="仿宋" w:cs="仿宋"/>
          <w:b/>
          <w:bCs/>
          <w:sz w:val="24"/>
          <w:highlight w:val="none"/>
        </w:rPr>
        <w:t>一、采购项目名称：</w:t>
      </w:r>
      <w:r>
        <w:rPr>
          <w:rFonts w:hint="eastAsia" w:ascii="仿宋" w:hAnsi="仿宋" w:eastAsia="仿宋" w:cs="仿宋"/>
          <w:sz w:val="24"/>
          <w:highlight w:val="none"/>
          <w:lang w:eastAsia="zh-CN"/>
        </w:rPr>
        <w:t>雁山区金雁餐厅货物采购配送服务</w:t>
      </w:r>
    </w:p>
    <w:p w14:paraId="1674F7C9">
      <w:pPr>
        <w:spacing w:line="360" w:lineRule="auto"/>
        <w:ind w:firstLine="482" w:firstLineChars="200"/>
        <w:rPr>
          <w:rFonts w:hint="eastAsia" w:ascii="仿宋" w:hAnsi="仿宋" w:eastAsia="仿宋" w:cs="仿宋"/>
          <w:color w:val="000000"/>
          <w:sz w:val="24"/>
          <w:highlight w:val="none"/>
        </w:rPr>
      </w:pPr>
      <w:r>
        <w:rPr>
          <w:rFonts w:hint="eastAsia" w:ascii="仿宋" w:hAnsi="仿宋" w:eastAsia="仿宋" w:cs="仿宋"/>
          <w:b/>
          <w:bCs/>
          <w:sz w:val="24"/>
          <w:highlight w:val="none"/>
        </w:rPr>
        <w:t>二、采购需求概况：</w:t>
      </w:r>
      <w:r>
        <w:rPr>
          <w:rFonts w:hint="eastAsia" w:ascii="仿宋" w:hAnsi="仿宋" w:eastAsia="仿宋" w:cs="仿宋"/>
          <w:color w:val="000000"/>
          <w:sz w:val="24"/>
          <w:highlight w:val="none"/>
          <w:lang w:eastAsia="zh-CN"/>
        </w:rPr>
        <w:t>雁山区金雁餐厅货物采购配送服务</w:t>
      </w:r>
      <w:r>
        <w:rPr>
          <w:rFonts w:hint="eastAsia" w:ascii="仿宋" w:hAnsi="仿宋" w:eastAsia="仿宋" w:cs="仿宋"/>
          <w:color w:val="000000"/>
          <w:sz w:val="24"/>
          <w:highlight w:val="none"/>
        </w:rPr>
        <w:t>1项，包含：鲜猪肉类、蔬菜类、干货、调味品类、禽蛋类、鲜家禽类、水产类等农副产品配送。</w:t>
      </w:r>
    </w:p>
    <w:p w14:paraId="589021BC">
      <w:pPr>
        <w:pStyle w:val="22"/>
        <w:rPr>
          <w:rFonts w:hint="eastAsia" w:eastAsia="仿宋"/>
          <w:highlight w:val="none"/>
          <w:lang w:val="en-US" w:eastAsia="zh-CN"/>
        </w:rPr>
      </w:pPr>
      <w:r>
        <w:rPr>
          <w:rFonts w:hint="eastAsia" w:ascii="仿宋" w:hAnsi="仿宋" w:eastAsia="仿宋" w:cs="仿宋"/>
          <w:color w:val="000000"/>
          <w:sz w:val="24"/>
          <w:highlight w:val="none"/>
          <w:lang w:val="en-US" w:eastAsia="zh-CN"/>
        </w:rPr>
        <w:t>三、</w:t>
      </w:r>
      <w:r>
        <w:rPr>
          <w:rFonts w:hint="eastAsia" w:ascii="宋体" w:hAnsi="宋体" w:cs="宋体"/>
          <w:b/>
          <w:color w:val="000000"/>
          <w:szCs w:val="21"/>
          <w:highlight w:val="none"/>
        </w:rPr>
        <w:t>本项</w:t>
      </w:r>
      <w:r>
        <w:rPr>
          <w:rFonts w:hint="eastAsia" w:ascii="宋体" w:hAnsi="宋体" w:cs="宋体"/>
          <w:b/>
          <w:color w:val="000000"/>
          <w:szCs w:val="21"/>
          <w:highlight w:val="none"/>
          <w:lang w:val="en-US" w:eastAsia="zh-CN"/>
        </w:rPr>
        <w:t>目</w:t>
      </w:r>
      <w:r>
        <w:rPr>
          <w:rFonts w:hint="eastAsia" w:ascii="宋体" w:hAnsi="宋体" w:cs="宋体"/>
          <w:b/>
          <w:color w:val="000000"/>
          <w:szCs w:val="21"/>
          <w:highlight w:val="none"/>
        </w:rPr>
        <w:t>所属行业:餐饮业</w:t>
      </w:r>
    </w:p>
    <w:p w14:paraId="7D862D92">
      <w:pPr>
        <w:spacing w:line="360" w:lineRule="auto"/>
        <w:ind w:firstLine="482" w:firstLineChars="200"/>
        <w:rPr>
          <w:rFonts w:ascii="仿宋" w:hAnsi="仿宋" w:eastAsia="仿宋" w:cs="仿宋"/>
          <w:b/>
          <w:bCs/>
          <w:sz w:val="24"/>
          <w:highlight w:val="none"/>
        </w:rPr>
      </w:pPr>
      <w:r>
        <w:rPr>
          <w:rFonts w:hint="eastAsia" w:ascii="仿宋" w:hAnsi="仿宋" w:eastAsia="仿宋" w:cs="仿宋"/>
          <w:b/>
          <w:bCs/>
          <w:sz w:val="24"/>
          <w:highlight w:val="none"/>
          <w:lang w:val="en-US" w:eastAsia="zh-CN"/>
        </w:rPr>
        <w:t>四</w:t>
      </w:r>
      <w:r>
        <w:rPr>
          <w:rFonts w:hint="eastAsia" w:ascii="仿宋" w:hAnsi="仿宋" w:eastAsia="仿宋" w:cs="仿宋"/>
          <w:b/>
          <w:bCs/>
          <w:sz w:val="24"/>
          <w:highlight w:val="none"/>
        </w:rPr>
        <w:t>、采购服务要求：</w:t>
      </w:r>
    </w:p>
    <w:tbl>
      <w:tblPr>
        <w:tblStyle w:val="25"/>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338"/>
        <w:gridCol w:w="1267"/>
        <w:gridCol w:w="5144"/>
        <w:gridCol w:w="712"/>
        <w:gridCol w:w="706"/>
      </w:tblGrid>
      <w:tr w14:paraId="304CA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706" w:type="dxa"/>
            <w:gridSpan w:val="6"/>
            <w:tcBorders>
              <w:top w:val="single" w:color="auto" w:sz="4" w:space="0"/>
              <w:left w:val="single" w:color="auto" w:sz="4" w:space="0"/>
              <w:bottom w:val="single" w:color="auto" w:sz="4" w:space="0"/>
              <w:right w:val="single" w:color="auto" w:sz="4" w:space="0"/>
            </w:tcBorders>
            <w:vAlign w:val="center"/>
          </w:tcPr>
          <w:p w14:paraId="78881904">
            <w:pPr>
              <w:jc w:val="left"/>
              <w:rPr>
                <w:rFonts w:ascii="仿宋" w:hAnsi="仿宋" w:eastAsia="仿宋" w:cs="仿宋"/>
                <w:sz w:val="24"/>
                <w:highlight w:val="none"/>
              </w:rPr>
            </w:pPr>
            <w:bookmarkStart w:id="139" w:name="_Toc2989"/>
            <w:r>
              <w:rPr>
                <w:rFonts w:hint="eastAsia" w:ascii="仿宋" w:hAnsi="仿宋" w:eastAsia="仿宋" w:cs="仿宋"/>
                <w:b/>
                <w:bCs/>
                <w:color w:val="000000"/>
                <w:kern w:val="0"/>
                <w:sz w:val="24"/>
                <w:highlight w:val="none"/>
              </w:rPr>
              <w:t>一、项目要求及技术需求</w:t>
            </w:r>
          </w:p>
        </w:tc>
      </w:tr>
      <w:tr w14:paraId="645BD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 w:hRule="atLeast"/>
          <w:jc w:val="center"/>
        </w:trPr>
        <w:tc>
          <w:tcPr>
            <w:tcW w:w="539" w:type="dxa"/>
            <w:tcBorders>
              <w:top w:val="single" w:color="auto" w:sz="4" w:space="0"/>
              <w:left w:val="single" w:color="auto" w:sz="4" w:space="0"/>
              <w:bottom w:val="single" w:color="auto" w:sz="4" w:space="0"/>
              <w:right w:val="single" w:color="auto" w:sz="4" w:space="0"/>
            </w:tcBorders>
            <w:vAlign w:val="center"/>
          </w:tcPr>
          <w:p w14:paraId="706CCB70">
            <w:pPr>
              <w:pStyle w:val="17"/>
              <w:jc w:val="center"/>
              <w:rPr>
                <w:rFonts w:ascii="仿宋" w:hAnsi="仿宋" w:eastAsia="仿宋" w:cs="仿宋"/>
                <w:sz w:val="24"/>
                <w:szCs w:val="24"/>
                <w:highlight w:val="none"/>
              </w:rPr>
            </w:pPr>
            <w:r>
              <w:rPr>
                <w:rFonts w:hint="eastAsia" w:ascii="仿宋" w:hAnsi="仿宋" w:eastAsia="仿宋" w:cs="仿宋"/>
                <w:sz w:val="24"/>
                <w:szCs w:val="24"/>
                <w:highlight w:val="none"/>
              </w:rPr>
              <w:t>项号</w:t>
            </w:r>
          </w:p>
        </w:tc>
        <w:tc>
          <w:tcPr>
            <w:tcW w:w="1338" w:type="dxa"/>
            <w:tcBorders>
              <w:top w:val="single" w:color="auto" w:sz="4" w:space="0"/>
              <w:left w:val="single" w:color="auto" w:sz="4" w:space="0"/>
              <w:bottom w:val="single" w:color="auto" w:sz="4" w:space="0"/>
              <w:right w:val="single" w:color="auto" w:sz="4" w:space="0"/>
            </w:tcBorders>
            <w:vAlign w:val="center"/>
          </w:tcPr>
          <w:p w14:paraId="197ECBE0">
            <w:pPr>
              <w:pStyle w:val="17"/>
              <w:jc w:val="center"/>
              <w:rPr>
                <w:rFonts w:ascii="仿宋" w:hAnsi="仿宋" w:eastAsia="仿宋" w:cs="仿宋"/>
                <w:sz w:val="24"/>
                <w:szCs w:val="24"/>
                <w:highlight w:val="none"/>
              </w:rPr>
            </w:pPr>
            <w:r>
              <w:rPr>
                <w:rFonts w:hint="eastAsia" w:ascii="仿宋" w:hAnsi="仿宋" w:eastAsia="仿宋" w:cs="仿宋"/>
                <w:sz w:val="24"/>
                <w:szCs w:val="24"/>
                <w:highlight w:val="none"/>
              </w:rPr>
              <w:t>名称</w:t>
            </w:r>
          </w:p>
        </w:tc>
        <w:tc>
          <w:tcPr>
            <w:tcW w:w="1267" w:type="dxa"/>
            <w:tcBorders>
              <w:top w:val="single" w:color="auto" w:sz="4" w:space="0"/>
              <w:left w:val="single" w:color="auto" w:sz="4" w:space="0"/>
              <w:bottom w:val="single" w:color="auto" w:sz="4" w:space="0"/>
              <w:right w:val="single" w:color="auto" w:sz="4" w:space="0"/>
            </w:tcBorders>
            <w:vAlign w:val="center"/>
          </w:tcPr>
          <w:p w14:paraId="2FBA6844">
            <w:pPr>
              <w:pStyle w:val="17"/>
              <w:jc w:val="center"/>
              <w:rPr>
                <w:rFonts w:ascii="仿宋" w:hAnsi="仿宋" w:eastAsia="仿宋" w:cs="仿宋"/>
                <w:sz w:val="24"/>
                <w:szCs w:val="24"/>
                <w:highlight w:val="none"/>
              </w:rPr>
            </w:pPr>
            <w:r>
              <w:rPr>
                <w:rFonts w:hint="eastAsia" w:ascii="仿宋" w:hAnsi="仿宋" w:eastAsia="仿宋" w:cs="仿宋"/>
                <w:sz w:val="24"/>
                <w:szCs w:val="24"/>
                <w:highlight w:val="none"/>
              </w:rPr>
              <w:t>品名</w:t>
            </w:r>
          </w:p>
        </w:tc>
        <w:tc>
          <w:tcPr>
            <w:tcW w:w="5144" w:type="dxa"/>
            <w:tcBorders>
              <w:top w:val="single" w:color="auto" w:sz="4" w:space="0"/>
              <w:left w:val="single" w:color="auto" w:sz="4" w:space="0"/>
              <w:bottom w:val="single" w:color="auto" w:sz="4" w:space="0"/>
              <w:right w:val="single" w:color="auto" w:sz="4" w:space="0"/>
            </w:tcBorders>
            <w:vAlign w:val="center"/>
          </w:tcPr>
          <w:p w14:paraId="669EEF95">
            <w:pPr>
              <w:pStyle w:val="17"/>
              <w:jc w:val="center"/>
              <w:rPr>
                <w:rFonts w:ascii="仿宋" w:hAnsi="仿宋" w:eastAsia="仿宋" w:cs="仿宋"/>
                <w:sz w:val="24"/>
                <w:szCs w:val="24"/>
                <w:highlight w:val="none"/>
              </w:rPr>
            </w:pPr>
            <w:r>
              <w:rPr>
                <w:rFonts w:hint="eastAsia" w:ascii="仿宋" w:hAnsi="仿宋" w:eastAsia="仿宋" w:cs="仿宋"/>
                <w:sz w:val="24"/>
                <w:szCs w:val="24"/>
                <w:highlight w:val="none"/>
              </w:rPr>
              <w:t>项目要求及技术需求</w:t>
            </w:r>
          </w:p>
        </w:tc>
        <w:tc>
          <w:tcPr>
            <w:tcW w:w="712" w:type="dxa"/>
            <w:tcBorders>
              <w:top w:val="single" w:color="auto" w:sz="4" w:space="0"/>
              <w:left w:val="single" w:color="auto" w:sz="4" w:space="0"/>
              <w:bottom w:val="single" w:color="auto" w:sz="4" w:space="0"/>
              <w:right w:val="single" w:color="auto" w:sz="4" w:space="0"/>
            </w:tcBorders>
            <w:vAlign w:val="center"/>
          </w:tcPr>
          <w:p w14:paraId="59719894">
            <w:pPr>
              <w:pStyle w:val="17"/>
              <w:rPr>
                <w:rFonts w:ascii="仿宋" w:hAnsi="仿宋" w:eastAsia="仿宋" w:cs="仿宋"/>
                <w:sz w:val="24"/>
                <w:szCs w:val="24"/>
                <w:highlight w:val="none"/>
              </w:rPr>
            </w:pPr>
            <w:r>
              <w:rPr>
                <w:rFonts w:hint="eastAsia" w:ascii="仿宋" w:hAnsi="仿宋" w:eastAsia="仿宋" w:cs="仿宋"/>
                <w:sz w:val="24"/>
                <w:szCs w:val="24"/>
                <w:highlight w:val="none"/>
              </w:rPr>
              <w:t>数量</w:t>
            </w:r>
          </w:p>
        </w:tc>
        <w:tc>
          <w:tcPr>
            <w:tcW w:w="706" w:type="dxa"/>
            <w:tcBorders>
              <w:top w:val="single" w:color="auto" w:sz="4" w:space="0"/>
              <w:left w:val="single" w:color="auto" w:sz="4" w:space="0"/>
              <w:bottom w:val="single" w:color="auto" w:sz="4" w:space="0"/>
              <w:right w:val="single" w:color="auto" w:sz="4" w:space="0"/>
            </w:tcBorders>
            <w:vAlign w:val="center"/>
          </w:tcPr>
          <w:p w14:paraId="70C4E2A9">
            <w:pPr>
              <w:pStyle w:val="17"/>
              <w:jc w:val="center"/>
              <w:rPr>
                <w:rFonts w:ascii="仿宋" w:hAnsi="仿宋" w:eastAsia="仿宋" w:cs="仿宋"/>
                <w:sz w:val="24"/>
                <w:szCs w:val="24"/>
                <w:highlight w:val="none"/>
              </w:rPr>
            </w:pPr>
            <w:r>
              <w:rPr>
                <w:rFonts w:hint="eastAsia" w:ascii="仿宋" w:hAnsi="仿宋" w:eastAsia="仿宋" w:cs="仿宋"/>
                <w:sz w:val="24"/>
                <w:szCs w:val="24"/>
                <w:highlight w:val="none"/>
              </w:rPr>
              <w:t>单位</w:t>
            </w:r>
          </w:p>
        </w:tc>
      </w:tr>
      <w:tr w14:paraId="3093A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539" w:type="dxa"/>
            <w:tcBorders>
              <w:top w:val="single" w:color="auto" w:sz="4" w:space="0"/>
              <w:left w:val="single" w:color="auto" w:sz="4" w:space="0"/>
              <w:bottom w:val="single" w:color="auto" w:sz="4" w:space="0"/>
              <w:right w:val="single" w:color="auto" w:sz="4" w:space="0"/>
            </w:tcBorders>
            <w:vAlign w:val="center"/>
          </w:tcPr>
          <w:p w14:paraId="722BC449">
            <w:pPr>
              <w:pStyle w:val="17"/>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c>
          <w:tcPr>
            <w:tcW w:w="1338" w:type="dxa"/>
            <w:tcBorders>
              <w:top w:val="single" w:color="auto" w:sz="4" w:space="0"/>
              <w:left w:val="single" w:color="auto" w:sz="4" w:space="0"/>
              <w:bottom w:val="single" w:color="auto" w:sz="4" w:space="0"/>
              <w:right w:val="single" w:color="auto" w:sz="4" w:space="0"/>
            </w:tcBorders>
            <w:vAlign w:val="center"/>
          </w:tcPr>
          <w:p w14:paraId="6CBA33C4">
            <w:pPr>
              <w:spacing w:line="400" w:lineRule="exact"/>
              <w:jc w:val="center"/>
              <w:rPr>
                <w:rFonts w:ascii="仿宋" w:hAnsi="仿宋" w:eastAsia="仿宋" w:cs="仿宋"/>
                <w:sz w:val="24"/>
                <w:highlight w:val="none"/>
              </w:rPr>
            </w:pPr>
            <w:r>
              <w:rPr>
                <w:rFonts w:hint="eastAsia" w:ascii="宋体" w:hAnsi="宋体" w:cs="宋体"/>
                <w:szCs w:val="21"/>
                <w:highlight w:val="none"/>
              </w:rPr>
              <w:t>鲜猪肉类</w:t>
            </w:r>
          </w:p>
        </w:tc>
        <w:tc>
          <w:tcPr>
            <w:tcW w:w="1267" w:type="dxa"/>
            <w:tcBorders>
              <w:top w:val="single" w:color="auto" w:sz="4" w:space="0"/>
              <w:left w:val="single" w:color="auto" w:sz="4" w:space="0"/>
              <w:bottom w:val="single" w:color="auto" w:sz="4" w:space="0"/>
              <w:right w:val="single" w:color="auto" w:sz="4" w:space="0"/>
            </w:tcBorders>
            <w:vAlign w:val="center"/>
          </w:tcPr>
          <w:p w14:paraId="778D1A58">
            <w:pPr>
              <w:spacing w:line="400" w:lineRule="exact"/>
              <w:jc w:val="center"/>
              <w:rPr>
                <w:rFonts w:ascii="仿宋" w:hAnsi="仿宋" w:eastAsia="仿宋" w:cs="仿宋"/>
                <w:sz w:val="24"/>
                <w:highlight w:val="none"/>
              </w:rPr>
            </w:pPr>
            <w:r>
              <w:rPr>
                <w:rFonts w:hint="eastAsia" w:ascii="宋体" w:hAnsi="宋体" w:cs="宋体"/>
                <w:szCs w:val="21"/>
                <w:highlight w:val="none"/>
              </w:rPr>
              <w:t>鲜猪肉</w:t>
            </w:r>
          </w:p>
        </w:tc>
        <w:tc>
          <w:tcPr>
            <w:tcW w:w="5144" w:type="dxa"/>
            <w:tcBorders>
              <w:top w:val="single" w:color="auto" w:sz="4" w:space="0"/>
              <w:left w:val="single" w:color="auto" w:sz="4" w:space="0"/>
              <w:bottom w:val="single" w:color="auto" w:sz="4" w:space="0"/>
              <w:right w:val="single" w:color="auto" w:sz="4" w:space="0"/>
            </w:tcBorders>
            <w:vAlign w:val="center"/>
          </w:tcPr>
          <w:p w14:paraId="4A5EB912">
            <w:pPr>
              <w:numPr>
                <w:ilvl w:val="0"/>
                <w:numId w:val="6"/>
              </w:numPr>
              <w:autoSpaceDE w:val="0"/>
              <w:autoSpaceDN w:val="0"/>
              <w:adjustRightInd w:val="0"/>
              <w:spacing w:line="400" w:lineRule="exact"/>
              <w:jc w:val="left"/>
              <w:rPr>
                <w:rFonts w:ascii="宋体" w:hAnsi="宋体" w:cs="宋体"/>
                <w:kern w:val="0"/>
                <w:szCs w:val="21"/>
                <w:highlight w:val="none"/>
              </w:rPr>
            </w:pPr>
            <w:r>
              <w:rPr>
                <w:rFonts w:hint="eastAsia" w:ascii="宋体" w:hAnsi="宋体" w:cs="宋体"/>
                <w:kern w:val="0"/>
                <w:szCs w:val="21"/>
                <w:highlight w:val="none"/>
              </w:rPr>
              <w:t>必须符合鲜(冻)畜肉国标GB2707-2005，保证无异味、无霉烂变质。</w:t>
            </w:r>
          </w:p>
          <w:p w14:paraId="54453A20">
            <w:pPr>
              <w:numPr>
                <w:ilvl w:val="0"/>
                <w:numId w:val="6"/>
              </w:numPr>
              <w:autoSpaceDE w:val="0"/>
              <w:autoSpaceDN w:val="0"/>
              <w:adjustRightInd w:val="0"/>
              <w:spacing w:line="400" w:lineRule="exact"/>
              <w:jc w:val="left"/>
              <w:rPr>
                <w:rFonts w:ascii="宋体" w:hAnsi="宋体" w:cs="宋体"/>
                <w:szCs w:val="21"/>
                <w:highlight w:val="none"/>
              </w:rPr>
            </w:pPr>
            <w:r>
              <w:rPr>
                <w:rFonts w:hint="eastAsia" w:ascii="宋体" w:hAnsi="宋体" w:cs="宋体"/>
                <w:kern w:val="0"/>
                <w:szCs w:val="21"/>
                <w:highlight w:val="none"/>
              </w:rPr>
              <w:t>所供每批次鲜肉必须有齐全的“两证两章”（《肉品品质检验合格证明》、《动物产品检疫合格证明》、《肉品品质检验合格验讫印章》和《动物产品检疫合格印章》），现场查验。</w:t>
            </w:r>
          </w:p>
          <w:p w14:paraId="19016A42">
            <w:pPr>
              <w:numPr>
                <w:ilvl w:val="0"/>
                <w:numId w:val="6"/>
              </w:numPr>
              <w:autoSpaceDE w:val="0"/>
              <w:autoSpaceDN w:val="0"/>
              <w:adjustRightInd w:val="0"/>
              <w:spacing w:line="400" w:lineRule="exact"/>
              <w:jc w:val="left"/>
              <w:rPr>
                <w:rFonts w:ascii="宋体" w:hAnsi="宋体" w:cs="宋体"/>
                <w:szCs w:val="21"/>
                <w:highlight w:val="none"/>
              </w:rPr>
            </w:pPr>
            <w:r>
              <w:rPr>
                <w:rFonts w:hint="eastAsia" w:ascii="宋体" w:hAnsi="宋体" w:cs="宋体"/>
                <w:kern w:val="0"/>
                <w:szCs w:val="21"/>
                <w:highlight w:val="none"/>
              </w:rPr>
              <w:t>色泽：肌肉有光泽，颜色均匀，脂肪乳白色。组织状态：纤维清晰，有坚韧性，指压后凹陷立即恢复，肉质紧密，有坚韧性。</w:t>
            </w:r>
          </w:p>
          <w:p w14:paraId="6AD09C87">
            <w:pPr>
              <w:numPr>
                <w:ilvl w:val="0"/>
                <w:numId w:val="6"/>
              </w:numPr>
              <w:autoSpaceDE w:val="0"/>
              <w:autoSpaceDN w:val="0"/>
              <w:adjustRightInd w:val="0"/>
              <w:spacing w:line="400" w:lineRule="exact"/>
              <w:jc w:val="left"/>
              <w:rPr>
                <w:rFonts w:ascii="仿宋" w:hAnsi="仿宋" w:eastAsia="仿宋" w:cs="仿宋"/>
                <w:sz w:val="24"/>
                <w:highlight w:val="none"/>
              </w:rPr>
            </w:pPr>
            <w:r>
              <w:rPr>
                <w:rFonts w:hint="eastAsia" w:ascii="宋体" w:hAnsi="宋体" w:cs="宋体"/>
                <w:kern w:val="0"/>
                <w:szCs w:val="21"/>
                <w:highlight w:val="none"/>
              </w:rPr>
              <w:t>粘度：外表湿润，不粘手，切面有渗出液，不粘手。气味：具有肉类固有的气味，无异味，煮沸后肉汤澄清透明，脂肪团聚于表面澄清透明或稍有浑浊。</w:t>
            </w:r>
          </w:p>
        </w:tc>
        <w:tc>
          <w:tcPr>
            <w:tcW w:w="712" w:type="dxa"/>
            <w:tcBorders>
              <w:top w:val="single" w:color="auto" w:sz="4" w:space="0"/>
              <w:left w:val="single" w:color="auto" w:sz="4" w:space="0"/>
              <w:bottom w:val="single" w:color="auto" w:sz="4" w:space="0"/>
              <w:right w:val="single" w:color="auto" w:sz="4" w:space="0"/>
            </w:tcBorders>
            <w:vAlign w:val="center"/>
          </w:tcPr>
          <w:p w14:paraId="7A174B20">
            <w:pPr>
              <w:pStyle w:val="17"/>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c>
          <w:tcPr>
            <w:tcW w:w="706" w:type="dxa"/>
            <w:tcBorders>
              <w:top w:val="single" w:color="auto" w:sz="4" w:space="0"/>
              <w:left w:val="single" w:color="auto" w:sz="4" w:space="0"/>
              <w:bottom w:val="single" w:color="auto" w:sz="4" w:space="0"/>
              <w:right w:val="single" w:color="auto" w:sz="4" w:space="0"/>
            </w:tcBorders>
            <w:vAlign w:val="center"/>
          </w:tcPr>
          <w:p w14:paraId="61CFE6D9">
            <w:pPr>
              <w:pStyle w:val="17"/>
              <w:ind w:left="1200" w:hanging="1200" w:hangingChars="500"/>
              <w:jc w:val="center"/>
              <w:rPr>
                <w:rFonts w:ascii="仿宋" w:hAnsi="仿宋" w:eastAsia="仿宋" w:cs="仿宋"/>
                <w:sz w:val="24"/>
                <w:szCs w:val="24"/>
                <w:highlight w:val="none"/>
              </w:rPr>
            </w:pPr>
            <w:r>
              <w:rPr>
                <w:rFonts w:hint="eastAsia" w:ascii="仿宋" w:hAnsi="仿宋" w:eastAsia="仿宋" w:cs="仿宋"/>
                <w:sz w:val="24"/>
                <w:szCs w:val="24"/>
                <w:highlight w:val="none"/>
              </w:rPr>
              <w:t>项</w:t>
            </w:r>
          </w:p>
        </w:tc>
      </w:tr>
      <w:tr w14:paraId="26913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539" w:type="dxa"/>
            <w:tcBorders>
              <w:top w:val="single" w:color="auto" w:sz="4" w:space="0"/>
              <w:left w:val="single" w:color="auto" w:sz="4" w:space="0"/>
              <w:bottom w:val="single" w:color="auto" w:sz="4" w:space="0"/>
              <w:right w:val="single" w:color="auto" w:sz="4" w:space="0"/>
            </w:tcBorders>
            <w:vAlign w:val="center"/>
          </w:tcPr>
          <w:p w14:paraId="343CAB14">
            <w:pPr>
              <w:pStyle w:val="17"/>
              <w:jc w:val="center"/>
              <w:rPr>
                <w:rFonts w:ascii="仿宋" w:hAnsi="仿宋" w:eastAsia="仿宋" w:cs="仿宋"/>
                <w:sz w:val="24"/>
                <w:szCs w:val="24"/>
                <w:highlight w:val="none"/>
              </w:rPr>
            </w:pPr>
            <w:r>
              <w:rPr>
                <w:rFonts w:hint="eastAsia" w:ascii="仿宋" w:hAnsi="仿宋" w:eastAsia="仿宋" w:cs="仿宋"/>
                <w:sz w:val="24"/>
                <w:szCs w:val="24"/>
                <w:highlight w:val="none"/>
              </w:rPr>
              <w:t>2</w:t>
            </w:r>
          </w:p>
        </w:tc>
        <w:tc>
          <w:tcPr>
            <w:tcW w:w="1338" w:type="dxa"/>
            <w:tcBorders>
              <w:top w:val="single" w:color="auto" w:sz="4" w:space="0"/>
              <w:left w:val="single" w:color="auto" w:sz="4" w:space="0"/>
              <w:bottom w:val="single" w:color="auto" w:sz="4" w:space="0"/>
              <w:right w:val="single" w:color="auto" w:sz="4" w:space="0"/>
            </w:tcBorders>
            <w:vAlign w:val="center"/>
          </w:tcPr>
          <w:p w14:paraId="6CD4158F">
            <w:pPr>
              <w:spacing w:line="400" w:lineRule="exact"/>
              <w:jc w:val="center"/>
              <w:rPr>
                <w:rFonts w:ascii="仿宋" w:hAnsi="仿宋" w:eastAsia="仿宋" w:cs="仿宋"/>
                <w:sz w:val="24"/>
                <w:highlight w:val="none"/>
              </w:rPr>
            </w:pPr>
            <w:r>
              <w:rPr>
                <w:rFonts w:hint="eastAsia" w:ascii="宋体" w:hAnsi="宋体" w:cs="宋体"/>
                <w:szCs w:val="21"/>
                <w:highlight w:val="none"/>
              </w:rPr>
              <w:t>蔬菜类</w:t>
            </w:r>
          </w:p>
        </w:tc>
        <w:tc>
          <w:tcPr>
            <w:tcW w:w="1267" w:type="dxa"/>
            <w:tcBorders>
              <w:top w:val="single" w:color="auto" w:sz="4" w:space="0"/>
              <w:left w:val="single" w:color="auto" w:sz="4" w:space="0"/>
              <w:bottom w:val="single" w:color="auto" w:sz="4" w:space="0"/>
              <w:right w:val="single" w:color="auto" w:sz="4" w:space="0"/>
            </w:tcBorders>
            <w:vAlign w:val="center"/>
          </w:tcPr>
          <w:p w14:paraId="5FA5E5D9">
            <w:pPr>
              <w:spacing w:line="400" w:lineRule="exact"/>
              <w:jc w:val="center"/>
              <w:rPr>
                <w:rFonts w:ascii="仿宋" w:hAnsi="仿宋" w:eastAsia="仿宋" w:cs="仿宋"/>
                <w:sz w:val="24"/>
                <w:highlight w:val="none"/>
              </w:rPr>
            </w:pPr>
            <w:r>
              <w:rPr>
                <w:rFonts w:hint="eastAsia" w:ascii="宋体" w:hAnsi="宋体" w:cs="宋体"/>
                <w:szCs w:val="21"/>
                <w:highlight w:val="none"/>
              </w:rPr>
              <w:t>蔬菜</w:t>
            </w:r>
          </w:p>
        </w:tc>
        <w:tc>
          <w:tcPr>
            <w:tcW w:w="5144" w:type="dxa"/>
            <w:tcBorders>
              <w:top w:val="single" w:color="auto" w:sz="4" w:space="0"/>
              <w:left w:val="single" w:color="auto" w:sz="4" w:space="0"/>
              <w:bottom w:val="single" w:color="auto" w:sz="4" w:space="0"/>
              <w:right w:val="single" w:color="auto" w:sz="4" w:space="0"/>
            </w:tcBorders>
            <w:vAlign w:val="center"/>
          </w:tcPr>
          <w:p w14:paraId="02B0E790">
            <w:pPr>
              <w:numPr>
                <w:ilvl w:val="0"/>
                <w:numId w:val="7"/>
              </w:numPr>
              <w:autoSpaceDE w:val="0"/>
              <w:autoSpaceDN w:val="0"/>
              <w:adjustRightInd w:val="0"/>
              <w:spacing w:line="400" w:lineRule="exact"/>
              <w:jc w:val="left"/>
              <w:rPr>
                <w:rFonts w:ascii="宋体" w:hAnsi="宋体" w:cs="宋体"/>
                <w:szCs w:val="21"/>
                <w:highlight w:val="none"/>
              </w:rPr>
            </w:pPr>
            <w:r>
              <w:rPr>
                <w:rFonts w:hint="eastAsia" w:ascii="宋体" w:hAnsi="宋体" w:cs="宋体"/>
                <w:szCs w:val="21"/>
                <w:highlight w:val="none"/>
              </w:rPr>
              <w:t>必须符合国家及行业相关标准，保证新鲜、无异味、无霉烂变质，外观干爽、当季。</w:t>
            </w:r>
          </w:p>
          <w:p w14:paraId="5D3AA979">
            <w:pPr>
              <w:numPr>
                <w:ilvl w:val="0"/>
                <w:numId w:val="7"/>
              </w:numPr>
              <w:autoSpaceDE w:val="0"/>
              <w:autoSpaceDN w:val="0"/>
              <w:adjustRightInd w:val="0"/>
              <w:spacing w:line="400" w:lineRule="exact"/>
              <w:jc w:val="left"/>
              <w:rPr>
                <w:rFonts w:ascii="宋体" w:hAnsi="宋体" w:cs="宋体"/>
                <w:szCs w:val="21"/>
                <w:highlight w:val="none"/>
              </w:rPr>
            </w:pPr>
            <w:r>
              <w:rPr>
                <w:rFonts w:hint="eastAsia" w:ascii="宋体" w:hAnsi="宋体" w:cs="宋体"/>
                <w:szCs w:val="21"/>
                <w:highlight w:val="none"/>
              </w:rPr>
              <w:t>必须保证食用安全，绝无农药等有害物质的留存。</w:t>
            </w:r>
          </w:p>
          <w:p w14:paraId="16E3C6F7">
            <w:pPr>
              <w:numPr>
                <w:ilvl w:val="0"/>
                <w:numId w:val="7"/>
              </w:numPr>
              <w:autoSpaceDE w:val="0"/>
              <w:autoSpaceDN w:val="0"/>
              <w:adjustRightInd w:val="0"/>
              <w:spacing w:line="400" w:lineRule="exact"/>
              <w:jc w:val="left"/>
              <w:rPr>
                <w:rFonts w:ascii="宋体" w:hAnsi="宋体" w:cs="宋体"/>
                <w:szCs w:val="21"/>
                <w:highlight w:val="none"/>
              </w:rPr>
            </w:pPr>
            <w:r>
              <w:rPr>
                <w:rFonts w:hint="eastAsia" w:ascii="宋体" w:hAnsi="宋体" w:cs="宋体"/>
                <w:szCs w:val="21"/>
                <w:highlight w:val="none"/>
              </w:rPr>
              <w:t>交付采购人前必须经过前期处理，使用率达到</w:t>
            </w:r>
            <w:r>
              <w:rPr>
                <w:rFonts w:hint="eastAsia" w:ascii="宋体" w:hAnsi="宋体" w:cs="宋体"/>
                <w:b/>
                <w:szCs w:val="21"/>
                <w:highlight w:val="none"/>
              </w:rPr>
              <w:t>98%</w:t>
            </w:r>
            <w:r>
              <w:rPr>
                <w:rFonts w:hint="eastAsia" w:ascii="宋体" w:hAnsi="宋体" w:cs="宋体"/>
                <w:szCs w:val="21"/>
                <w:highlight w:val="none"/>
              </w:rPr>
              <w:t>以上。</w:t>
            </w:r>
          </w:p>
          <w:p w14:paraId="5B465498">
            <w:pPr>
              <w:numPr>
                <w:ilvl w:val="0"/>
                <w:numId w:val="7"/>
              </w:numPr>
              <w:autoSpaceDE w:val="0"/>
              <w:autoSpaceDN w:val="0"/>
              <w:adjustRightInd w:val="0"/>
              <w:spacing w:line="400" w:lineRule="exact"/>
              <w:jc w:val="left"/>
              <w:rPr>
                <w:rFonts w:ascii="仿宋" w:hAnsi="仿宋" w:eastAsia="仿宋" w:cs="仿宋"/>
                <w:sz w:val="24"/>
                <w:highlight w:val="none"/>
              </w:rPr>
            </w:pPr>
            <w:r>
              <w:rPr>
                <w:rFonts w:hint="eastAsia" w:ascii="宋体" w:hAnsi="宋体" w:cs="宋体"/>
                <w:szCs w:val="21"/>
                <w:highlight w:val="none"/>
              </w:rPr>
              <w:t>每天提交批次残留物检测证明。</w:t>
            </w:r>
          </w:p>
        </w:tc>
        <w:tc>
          <w:tcPr>
            <w:tcW w:w="712" w:type="dxa"/>
            <w:tcBorders>
              <w:top w:val="single" w:color="auto" w:sz="4" w:space="0"/>
              <w:left w:val="single" w:color="auto" w:sz="4" w:space="0"/>
              <w:bottom w:val="single" w:color="auto" w:sz="4" w:space="0"/>
              <w:right w:val="single" w:color="auto" w:sz="4" w:space="0"/>
            </w:tcBorders>
            <w:vAlign w:val="center"/>
          </w:tcPr>
          <w:p w14:paraId="2B9589CA">
            <w:pPr>
              <w:pStyle w:val="17"/>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c>
          <w:tcPr>
            <w:tcW w:w="706" w:type="dxa"/>
            <w:tcBorders>
              <w:top w:val="single" w:color="auto" w:sz="4" w:space="0"/>
              <w:left w:val="single" w:color="auto" w:sz="4" w:space="0"/>
              <w:bottom w:val="single" w:color="auto" w:sz="4" w:space="0"/>
              <w:right w:val="single" w:color="auto" w:sz="4" w:space="0"/>
            </w:tcBorders>
            <w:vAlign w:val="center"/>
          </w:tcPr>
          <w:p w14:paraId="19706D71">
            <w:pPr>
              <w:pStyle w:val="17"/>
              <w:ind w:left="1200" w:hanging="1200" w:hangingChars="500"/>
              <w:jc w:val="center"/>
              <w:rPr>
                <w:rFonts w:ascii="仿宋" w:hAnsi="仿宋" w:eastAsia="仿宋" w:cs="仿宋"/>
                <w:sz w:val="24"/>
                <w:szCs w:val="24"/>
                <w:highlight w:val="none"/>
              </w:rPr>
            </w:pPr>
            <w:r>
              <w:rPr>
                <w:rFonts w:hint="eastAsia" w:ascii="仿宋" w:hAnsi="仿宋" w:eastAsia="仿宋" w:cs="仿宋"/>
                <w:sz w:val="24"/>
                <w:szCs w:val="24"/>
                <w:highlight w:val="none"/>
              </w:rPr>
              <w:t>项</w:t>
            </w:r>
          </w:p>
        </w:tc>
      </w:tr>
      <w:tr w14:paraId="492E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539" w:type="dxa"/>
            <w:tcBorders>
              <w:top w:val="single" w:color="auto" w:sz="4" w:space="0"/>
              <w:left w:val="single" w:color="auto" w:sz="4" w:space="0"/>
              <w:bottom w:val="single" w:color="auto" w:sz="4" w:space="0"/>
              <w:right w:val="single" w:color="auto" w:sz="4" w:space="0"/>
            </w:tcBorders>
            <w:vAlign w:val="center"/>
          </w:tcPr>
          <w:p w14:paraId="5AA71FD5">
            <w:pPr>
              <w:pStyle w:val="17"/>
              <w:jc w:val="center"/>
              <w:rPr>
                <w:rFonts w:ascii="仿宋" w:hAnsi="仿宋" w:eastAsia="仿宋" w:cs="仿宋"/>
                <w:sz w:val="24"/>
                <w:szCs w:val="24"/>
                <w:highlight w:val="none"/>
              </w:rPr>
            </w:pPr>
            <w:r>
              <w:rPr>
                <w:rFonts w:hint="eastAsia" w:ascii="仿宋" w:hAnsi="仿宋" w:eastAsia="仿宋" w:cs="仿宋"/>
                <w:sz w:val="24"/>
                <w:szCs w:val="24"/>
                <w:highlight w:val="none"/>
              </w:rPr>
              <w:t>3</w:t>
            </w:r>
          </w:p>
        </w:tc>
        <w:tc>
          <w:tcPr>
            <w:tcW w:w="1338" w:type="dxa"/>
            <w:tcBorders>
              <w:top w:val="single" w:color="auto" w:sz="4" w:space="0"/>
              <w:left w:val="single" w:color="auto" w:sz="4" w:space="0"/>
              <w:bottom w:val="single" w:color="auto" w:sz="4" w:space="0"/>
              <w:right w:val="single" w:color="auto" w:sz="4" w:space="0"/>
            </w:tcBorders>
            <w:vAlign w:val="center"/>
          </w:tcPr>
          <w:p w14:paraId="33871CD9">
            <w:pPr>
              <w:spacing w:line="400" w:lineRule="exact"/>
              <w:jc w:val="center"/>
              <w:rPr>
                <w:rFonts w:ascii="仿宋" w:hAnsi="仿宋" w:eastAsia="仿宋" w:cs="仿宋"/>
                <w:sz w:val="24"/>
                <w:highlight w:val="none"/>
              </w:rPr>
            </w:pPr>
            <w:r>
              <w:rPr>
                <w:rFonts w:hint="eastAsia" w:ascii="宋体" w:hAnsi="宋体" w:cs="宋体"/>
                <w:szCs w:val="21"/>
                <w:highlight w:val="none"/>
              </w:rPr>
              <w:t>干货、调味品类</w:t>
            </w:r>
          </w:p>
        </w:tc>
        <w:tc>
          <w:tcPr>
            <w:tcW w:w="1267" w:type="dxa"/>
            <w:tcBorders>
              <w:top w:val="single" w:color="auto" w:sz="4" w:space="0"/>
              <w:left w:val="single" w:color="auto" w:sz="4" w:space="0"/>
              <w:bottom w:val="single" w:color="auto" w:sz="4" w:space="0"/>
              <w:right w:val="single" w:color="auto" w:sz="4" w:space="0"/>
            </w:tcBorders>
            <w:vAlign w:val="center"/>
          </w:tcPr>
          <w:p w14:paraId="4A98E551">
            <w:pPr>
              <w:spacing w:line="400" w:lineRule="exact"/>
              <w:jc w:val="center"/>
              <w:rPr>
                <w:rFonts w:ascii="仿宋" w:hAnsi="仿宋" w:eastAsia="仿宋" w:cs="仿宋"/>
                <w:sz w:val="24"/>
                <w:highlight w:val="none"/>
              </w:rPr>
            </w:pPr>
            <w:r>
              <w:rPr>
                <w:rFonts w:hint="eastAsia" w:ascii="宋体" w:hAnsi="宋体" w:cs="宋体"/>
                <w:szCs w:val="21"/>
                <w:highlight w:val="none"/>
              </w:rPr>
              <w:t>干货、调味品</w:t>
            </w:r>
          </w:p>
        </w:tc>
        <w:tc>
          <w:tcPr>
            <w:tcW w:w="5144" w:type="dxa"/>
            <w:tcBorders>
              <w:top w:val="single" w:color="auto" w:sz="4" w:space="0"/>
              <w:left w:val="single" w:color="auto" w:sz="4" w:space="0"/>
              <w:bottom w:val="single" w:color="auto" w:sz="4" w:space="0"/>
              <w:right w:val="single" w:color="auto" w:sz="4" w:space="0"/>
            </w:tcBorders>
            <w:vAlign w:val="center"/>
          </w:tcPr>
          <w:p w14:paraId="237C7C05">
            <w:pPr>
              <w:numPr>
                <w:ilvl w:val="0"/>
                <w:numId w:val="8"/>
              </w:numPr>
              <w:spacing w:line="400" w:lineRule="exact"/>
              <w:rPr>
                <w:rFonts w:ascii="宋体" w:hAnsi="宋体" w:cs="宋体"/>
                <w:szCs w:val="21"/>
                <w:highlight w:val="none"/>
              </w:rPr>
            </w:pPr>
            <w:r>
              <w:rPr>
                <w:rFonts w:hint="eastAsia" w:ascii="宋体" w:hAnsi="宋体" w:cs="宋体"/>
                <w:szCs w:val="21"/>
                <w:highlight w:val="none"/>
              </w:rPr>
              <w:t>产品符合国家及行业相关标准，标明加工厂名称、品名、生产日期、保质期或保存期，供货时的剩余保质期不少于二分之一，产品标准号等内容。</w:t>
            </w:r>
          </w:p>
          <w:p w14:paraId="5E6C6F78">
            <w:pPr>
              <w:numPr>
                <w:ilvl w:val="0"/>
                <w:numId w:val="8"/>
              </w:numPr>
              <w:spacing w:line="400" w:lineRule="exact"/>
              <w:rPr>
                <w:rFonts w:ascii="宋体" w:hAnsi="宋体" w:cs="宋体"/>
                <w:szCs w:val="21"/>
                <w:highlight w:val="none"/>
              </w:rPr>
            </w:pPr>
            <w:r>
              <w:rPr>
                <w:rFonts w:hint="eastAsia" w:ascii="宋体" w:hAnsi="宋体" w:cs="宋体"/>
                <w:szCs w:val="21"/>
                <w:highlight w:val="none"/>
              </w:rPr>
              <w:t>酱油：颜色比较红、亮，有光泽、透明，把这酱油倒在瓶子里后，摇一下，产生的泡沫非常细腻，保持持久，挂碗现象非常好，有一种发黏的感觉。</w:t>
            </w:r>
          </w:p>
          <w:p w14:paraId="2BDC0C40">
            <w:pPr>
              <w:numPr>
                <w:ilvl w:val="0"/>
                <w:numId w:val="8"/>
              </w:numPr>
              <w:spacing w:line="400" w:lineRule="exact"/>
              <w:rPr>
                <w:rFonts w:ascii="宋体" w:hAnsi="宋体" w:cs="宋体"/>
                <w:szCs w:val="21"/>
                <w:highlight w:val="none"/>
              </w:rPr>
            </w:pPr>
            <w:r>
              <w:rPr>
                <w:rFonts w:hint="eastAsia" w:ascii="宋体" w:hAnsi="宋体" w:cs="宋体"/>
                <w:szCs w:val="21"/>
                <w:highlight w:val="none"/>
              </w:rPr>
              <w:t>醋：具有正常食醋的色泽、气味和滋味，不涩，无其他不良气味与异味，无浮物，不浑浊，无沉淀，无异物，无醋鳗、醋虱。</w:t>
            </w:r>
          </w:p>
          <w:p w14:paraId="64B11DB4">
            <w:pPr>
              <w:numPr>
                <w:ilvl w:val="0"/>
                <w:numId w:val="8"/>
              </w:numPr>
              <w:spacing w:line="400" w:lineRule="exact"/>
              <w:rPr>
                <w:rFonts w:ascii="宋体" w:hAnsi="宋体" w:cs="宋体"/>
                <w:szCs w:val="21"/>
                <w:highlight w:val="none"/>
              </w:rPr>
            </w:pPr>
            <w:r>
              <w:rPr>
                <w:rFonts w:hint="eastAsia" w:ascii="宋体" w:hAnsi="宋体" w:cs="宋体"/>
                <w:szCs w:val="21"/>
                <w:highlight w:val="none"/>
              </w:rPr>
              <w:t>味精、鸡精等：结晶或粉末，具有特殊的鲜味，无异味，无肉眼可见杂质，无返卤吸潮现象。</w:t>
            </w:r>
          </w:p>
          <w:p w14:paraId="5735C9A6">
            <w:pPr>
              <w:numPr>
                <w:ilvl w:val="0"/>
                <w:numId w:val="8"/>
              </w:numPr>
              <w:spacing w:line="400" w:lineRule="exact"/>
              <w:rPr>
                <w:rFonts w:ascii="宋体" w:hAnsi="宋体" w:cs="宋体"/>
                <w:szCs w:val="21"/>
                <w:highlight w:val="none"/>
              </w:rPr>
            </w:pPr>
            <w:r>
              <w:rPr>
                <w:rFonts w:hint="eastAsia" w:ascii="宋体" w:hAnsi="宋体" w:cs="宋体"/>
                <w:szCs w:val="21"/>
                <w:highlight w:val="none"/>
              </w:rPr>
              <w:t>食盐：结晶整齐一致，坚硬光滑，呈透明或半透明，不结块，无反卤吸潮现象，无杂质，沾取少许尝试具有纯正的咸味。</w:t>
            </w:r>
          </w:p>
          <w:p w14:paraId="5A752B66">
            <w:pPr>
              <w:numPr>
                <w:ilvl w:val="0"/>
                <w:numId w:val="8"/>
              </w:numPr>
              <w:spacing w:line="400" w:lineRule="exact"/>
              <w:rPr>
                <w:rFonts w:ascii="宋体" w:hAnsi="宋体" w:cs="宋体"/>
                <w:szCs w:val="21"/>
                <w:highlight w:val="none"/>
              </w:rPr>
            </w:pPr>
            <w:r>
              <w:rPr>
                <w:rFonts w:hint="eastAsia" w:ascii="宋体" w:hAnsi="宋体" w:cs="宋体"/>
                <w:szCs w:val="21"/>
                <w:highlight w:val="none"/>
              </w:rPr>
              <w:t>食糖：色泽洁白明亮，有光泽，具有白糖的正常气味，无酸味、酒味或其他外来气味。（绵白糖：颗粒细小而均匀，质地绵软、潮润）。</w:t>
            </w:r>
          </w:p>
          <w:p w14:paraId="75FED580">
            <w:pPr>
              <w:numPr>
                <w:ilvl w:val="0"/>
                <w:numId w:val="8"/>
              </w:numPr>
              <w:spacing w:line="400" w:lineRule="exact"/>
              <w:rPr>
                <w:rFonts w:ascii="宋体" w:hAnsi="宋体" w:cs="宋体"/>
                <w:szCs w:val="21"/>
                <w:highlight w:val="none"/>
              </w:rPr>
            </w:pPr>
            <w:r>
              <w:rPr>
                <w:rFonts w:hint="eastAsia" w:ascii="宋体" w:hAnsi="宋体" w:cs="宋体"/>
                <w:szCs w:val="21"/>
                <w:highlight w:val="none"/>
              </w:rPr>
              <w:t>调料粉（黑胡椒粉、椒盐粉、八角、八角粉、孜然粉等）：呈干燥状，具有该种香料植物所特有的色、香、味，没有不纯正的气味和味道，无发霉味或其他异味。</w:t>
            </w:r>
          </w:p>
          <w:p w14:paraId="7DA44011">
            <w:pPr>
              <w:numPr>
                <w:ilvl w:val="0"/>
                <w:numId w:val="8"/>
              </w:numPr>
              <w:spacing w:line="400" w:lineRule="exact"/>
              <w:rPr>
                <w:rFonts w:ascii="仿宋" w:hAnsi="仿宋" w:eastAsia="仿宋" w:cs="仿宋"/>
                <w:sz w:val="24"/>
                <w:highlight w:val="none"/>
              </w:rPr>
            </w:pPr>
            <w:r>
              <w:rPr>
                <w:rFonts w:hint="eastAsia" w:ascii="宋体" w:hAnsi="宋体" w:cs="宋体"/>
                <w:szCs w:val="21"/>
                <w:highlight w:val="none"/>
              </w:rPr>
              <w:t>其他：具有固有色泽和香味，无污染、色泽、气味、口味正常，无异味或霉味（霉变），无杂质异物等。</w:t>
            </w:r>
          </w:p>
        </w:tc>
        <w:tc>
          <w:tcPr>
            <w:tcW w:w="712" w:type="dxa"/>
            <w:tcBorders>
              <w:top w:val="single" w:color="auto" w:sz="4" w:space="0"/>
              <w:left w:val="single" w:color="auto" w:sz="4" w:space="0"/>
              <w:bottom w:val="single" w:color="auto" w:sz="4" w:space="0"/>
              <w:right w:val="single" w:color="auto" w:sz="4" w:space="0"/>
            </w:tcBorders>
            <w:vAlign w:val="center"/>
          </w:tcPr>
          <w:p w14:paraId="119EA843">
            <w:pPr>
              <w:pStyle w:val="17"/>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c>
          <w:tcPr>
            <w:tcW w:w="706" w:type="dxa"/>
            <w:tcBorders>
              <w:top w:val="single" w:color="auto" w:sz="4" w:space="0"/>
              <w:left w:val="single" w:color="auto" w:sz="4" w:space="0"/>
              <w:bottom w:val="single" w:color="auto" w:sz="4" w:space="0"/>
              <w:right w:val="single" w:color="auto" w:sz="4" w:space="0"/>
            </w:tcBorders>
            <w:vAlign w:val="center"/>
          </w:tcPr>
          <w:p w14:paraId="7D908794">
            <w:pPr>
              <w:pStyle w:val="17"/>
              <w:ind w:left="1200" w:hanging="1200" w:hangingChars="500"/>
              <w:jc w:val="center"/>
              <w:rPr>
                <w:rFonts w:ascii="仿宋" w:hAnsi="仿宋" w:eastAsia="仿宋" w:cs="仿宋"/>
                <w:sz w:val="24"/>
                <w:szCs w:val="24"/>
                <w:highlight w:val="none"/>
              </w:rPr>
            </w:pPr>
            <w:r>
              <w:rPr>
                <w:rFonts w:hint="eastAsia" w:ascii="仿宋" w:hAnsi="仿宋" w:eastAsia="仿宋" w:cs="仿宋"/>
                <w:sz w:val="24"/>
                <w:szCs w:val="24"/>
                <w:highlight w:val="none"/>
              </w:rPr>
              <w:t>项</w:t>
            </w:r>
          </w:p>
        </w:tc>
      </w:tr>
      <w:tr w14:paraId="518F2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539" w:type="dxa"/>
            <w:tcBorders>
              <w:top w:val="single" w:color="auto" w:sz="4" w:space="0"/>
              <w:left w:val="single" w:color="auto" w:sz="4" w:space="0"/>
              <w:bottom w:val="single" w:color="auto" w:sz="4" w:space="0"/>
              <w:right w:val="single" w:color="auto" w:sz="4" w:space="0"/>
            </w:tcBorders>
            <w:vAlign w:val="center"/>
          </w:tcPr>
          <w:p w14:paraId="208311F3">
            <w:pPr>
              <w:pStyle w:val="17"/>
              <w:jc w:val="center"/>
              <w:rPr>
                <w:rFonts w:ascii="仿宋" w:hAnsi="仿宋" w:eastAsia="仿宋" w:cs="仿宋"/>
                <w:sz w:val="24"/>
                <w:szCs w:val="24"/>
                <w:highlight w:val="none"/>
              </w:rPr>
            </w:pPr>
            <w:r>
              <w:rPr>
                <w:rFonts w:hint="eastAsia" w:ascii="仿宋" w:hAnsi="仿宋" w:eastAsia="仿宋" w:cs="仿宋"/>
                <w:sz w:val="24"/>
                <w:szCs w:val="24"/>
                <w:highlight w:val="none"/>
              </w:rPr>
              <w:t>4</w:t>
            </w:r>
          </w:p>
        </w:tc>
        <w:tc>
          <w:tcPr>
            <w:tcW w:w="1338" w:type="dxa"/>
            <w:tcBorders>
              <w:top w:val="single" w:color="auto" w:sz="4" w:space="0"/>
              <w:left w:val="single" w:color="auto" w:sz="4" w:space="0"/>
              <w:bottom w:val="single" w:color="auto" w:sz="4" w:space="0"/>
              <w:right w:val="single" w:color="auto" w:sz="4" w:space="0"/>
            </w:tcBorders>
            <w:vAlign w:val="center"/>
          </w:tcPr>
          <w:p w14:paraId="4CC68E0D">
            <w:pPr>
              <w:spacing w:line="400" w:lineRule="exact"/>
              <w:jc w:val="center"/>
              <w:rPr>
                <w:highlight w:val="none"/>
              </w:rPr>
            </w:pPr>
            <w:r>
              <w:rPr>
                <w:rFonts w:hint="eastAsia" w:ascii="宋体" w:hAnsi="宋体" w:cs="宋体"/>
                <w:szCs w:val="21"/>
                <w:highlight w:val="none"/>
              </w:rPr>
              <w:t>禽蛋类</w:t>
            </w:r>
          </w:p>
        </w:tc>
        <w:tc>
          <w:tcPr>
            <w:tcW w:w="1267" w:type="dxa"/>
            <w:tcBorders>
              <w:top w:val="single" w:color="auto" w:sz="4" w:space="0"/>
              <w:left w:val="single" w:color="auto" w:sz="4" w:space="0"/>
              <w:bottom w:val="single" w:color="auto" w:sz="4" w:space="0"/>
              <w:right w:val="single" w:color="auto" w:sz="4" w:space="0"/>
            </w:tcBorders>
            <w:vAlign w:val="center"/>
          </w:tcPr>
          <w:p w14:paraId="7D8712D0">
            <w:pPr>
              <w:spacing w:line="400" w:lineRule="exact"/>
              <w:jc w:val="center"/>
              <w:rPr>
                <w:rFonts w:ascii="仿宋" w:hAnsi="仿宋" w:eastAsia="仿宋" w:cs="仿宋"/>
                <w:sz w:val="24"/>
                <w:highlight w:val="none"/>
              </w:rPr>
            </w:pPr>
            <w:r>
              <w:rPr>
                <w:rFonts w:hint="eastAsia" w:ascii="宋体" w:hAnsi="宋体" w:cs="宋体"/>
                <w:szCs w:val="21"/>
                <w:highlight w:val="none"/>
              </w:rPr>
              <w:t>禽蛋</w:t>
            </w:r>
          </w:p>
        </w:tc>
        <w:tc>
          <w:tcPr>
            <w:tcW w:w="5144" w:type="dxa"/>
            <w:tcBorders>
              <w:top w:val="single" w:color="auto" w:sz="4" w:space="0"/>
              <w:left w:val="single" w:color="auto" w:sz="4" w:space="0"/>
              <w:bottom w:val="single" w:color="auto" w:sz="4" w:space="0"/>
              <w:right w:val="single" w:color="auto" w:sz="4" w:space="0"/>
            </w:tcBorders>
            <w:vAlign w:val="center"/>
          </w:tcPr>
          <w:p w14:paraId="2B829BA8">
            <w:pPr>
              <w:numPr>
                <w:ilvl w:val="0"/>
                <w:numId w:val="9"/>
              </w:numPr>
              <w:spacing w:line="400" w:lineRule="exact"/>
              <w:rPr>
                <w:rFonts w:ascii="宋体" w:hAnsi="宋体" w:cs="宋体"/>
                <w:kern w:val="0"/>
                <w:szCs w:val="21"/>
                <w:highlight w:val="none"/>
              </w:rPr>
            </w:pPr>
            <w:r>
              <w:rPr>
                <w:rFonts w:hint="eastAsia" w:ascii="宋体" w:hAnsi="宋体" w:cs="宋体"/>
                <w:kern w:val="0"/>
                <w:szCs w:val="21"/>
                <w:highlight w:val="none"/>
              </w:rPr>
              <w:t>符合鲜蛋卫生标准国家标准GB2748-2003。</w:t>
            </w:r>
          </w:p>
          <w:p w14:paraId="603EFE13">
            <w:pPr>
              <w:numPr>
                <w:ilvl w:val="0"/>
                <w:numId w:val="9"/>
              </w:numPr>
              <w:spacing w:line="400" w:lineRule="exact"/>
              <w:rPr>
                <w:rFonts w:ascii="宋体" w:hAnsi="宋体" w:cs="宋体"/>
                <w:szCs w:val="21"/>
                <w:highlight w:val="none"/>
              </w:rPr>
            </w:pPr>
            <w:r>
              <w:rPr>
                <w:rFonts w:hint="eastAsia" w:ascii="宋体" w:hAnsi="宋体" w:cs="宋体"/>
                <w:kern w:val="0"/>
                <w:szCs w:val="21"/>
                <w:highlight w:val="none"/>
              </w:rPr>
              <w:t>蛋壳清洁完整，色泽鲜明，</w:t>
            </w:r>
            <w:r>
              <w:rPr>
                <w:rFonts w:hint="eastAsia" w:ascii="宋体" w:hAnsi="宋体" w:cs="宋体"/>
                <w:bCs/>
                <w:kern w:val="0"/>
                <w:szCs w:val="21"/>
                <w:highlight w:val="none"/>
              </w:rPr>
              <w:t>大小均匀、</w:t>
            </w:r>
            <w:r>
              <w:rPr>
                <w:rFonts w:hint="eastAsia" w:ascii="宋体" w:hAnsi="宋体" w:cs="宋体"/>
                <w:kern w:val="0"/>
                <w:szCs w:val="21"/>
                <w:highlight w:val="none"/>
              </w:rPr>
              <w:t>无破损、裂纹，无霉斑，灯光透视时，整个蛋呈桔黄色至橙红色，蛋黄不见或略见阴影，没有霉味、酸味，臭味等不良气味，打开后蛋黄凸起、完整、有韧性，蛋白澄清、透明、稀稠分明，无异味。</w:t>
            </w:r>
          </w:p>
          <w:p w14:paraId="36D0B301">
            <w:pPr>
              <w:numPr>
                <w:ilvl w:val="0"/>
                <w:numId w:val="9"/>
              </w:numPr>
              <w:spacing w:line="400" w:lineRule="exact"/>
              <w:rPr>
                <w:rFonts w:ascii="仿宋" w:hAnsi="仿宋" w:eastAsia="仿宋" w:cs="仿宋"/>
                <w:sz w:val="24"/>
                <w:highlight w:val="none"/>
              </w:rPr>
            </w:pPr>
            <w:r>
              <w:rPr>
                <w:rFonts w:hint="eastAsia" w:ascii="宋体" w:hAnsi="宋体" w:cs="宋体"/>
                <w:kern w:val="0"/>
                <w:szCs w:val="21"/>
                <w:highlight w:val="none"/>
              </w:rPr>
              <w:t>所供每批次禽蛋必须有《动物检疫合格证明》，现场查验。</w:t>
            </w:r>
          </w:p>
        </w:tc>
        <w:tc>
          <w:tcPr>
            <w:tcW w:w="712" w:type="dxa"/>
            <w:tcBorders>
              <w:top w:val="single" w:color="auto" w:sz="4" w:space="0"/>
              <w:left w:val="single" w:color="auto" w:sz="4" w:space="0"/>
              <w:bottom w:val="single" w:color="auto" w:sz="4" w:space="0"/>
              <w:right w:val="single" w:color="auto" w:sz="4" w:space="0"/>
            </w:tcBorders>
            <w:vAlign w:val="center"/>
          </w:tcPr>
          <w:p w14:paraId="65408A40">
            <w:pPr>
              <w:pStyle w:val="17"/>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c>
          <w:tcPr>
            <w:tcW w:w="706" w:type="dxa"/>
            <w:tcBorders>
              <w:top w:val="single" w:color="auto" w:sz="4" w:space="0"/>
              <w:left w:val="single" w:color="auto" w:sz="4" w:space="0"/>
              <w:bottom w:val="single" w:color="auto" w:sz="4" w:space="0"/>
              <w:right w:val="single" w:color="auto" w:sz="4" w:space="0"/>
            </w:tcBorders>
            <w:vAlign w:val="center"/>
          </w:tcPr>
          <w:p w14:paraId="4696618B">
            <w:pPr>
              <w:pStyle w:val="17"/>
              <w:ind w:left="1200" w:hanging="1200" w:hangingChars="500"/>
              <w:jc w:val="center"/>
              <w:rPr>
                <w:rFonts w:ascii="仿宋" w:hAnsi="仿宋" w:eastAsia="仿宋" w:cs="仿宋"/>
                <w:sz w:val="24"/>
                <w:szCs w:val="24"/>
                <w:highlight w:val="none"/>
              </w:rPr>
            </w:pPr>
            <w:r>
              <w:rPr>
                <w:rFonts w:hint="eastAsia" w:ascii="仿宋" w:hAnsi="仿宋" w:eastAsia="仿宋" w:cs="仿宋"/>
                <w:sz w:val="24"/>
                <w:szCs w:val="24"/>
                <w:highlight w:val="none"/>
              </w:rPr>
              <w:t>项</w:t>
            </w:r>
          </w:p>
        </w:tc>
      </w:tr>
      <w:tr w14:paraId="27CE5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539" w:type="dxa"/>
            <w:tcBorders>
              <w:top w:val="single" w:color="auto" w:sz="4" w:space="0"/>
              <w:left w:val="single" w:color="auto" w:sz="4" w:space="0"/>
              <w:bottom w:val="single" w:color="auto" w:sz="4" w:space="0"/>
              <w:right w:val="single" w:color="auto" w:sz="4" w:space="0"/>
            </w:tcBorders>
            <w:vAlign w:val="center"/>
          </w:tcPr>
          <w:p w14:paraId="6637E3FD">
            <w:pPr>
              <w:pStyle w:val="17"/>
              <w:jc w:val="center"/>
              <w:rPr>
                <w:rFonts w:ascii="仿宋" w:hAnsi="仿宋" w:eastAsia="仿宋" w:cs="仿宋"/>
                <w:sz w:val="24"/>
                <w:szCs w:val="24"/>
                <w:highlight w:val="none"/>
              </w:rPr>
            </w:pPr>
            <w:r>
              <w:rPr>
                <w:rFonts w:hint="eastAsia" w:ascii="仿宋" w:hAnsi="仿宋" w:eastAsia="仿宋" w:cs="仿宋"/>
                <w:sz w:val="24"/>
                <w:szCs w:val="24"/>
                <w:highlight w:val="none"/>
              </w:rPr>
              <w:t>5</w:t>
            </w:r>
          </w:p>
        </w:tc>
        <w:tc>
          <w:tcPr>
            <w:tcW w:w="1338" w:type="dxa"/>
            <w:tcBorders>
              <w:top w:val="single" w:color="auto" w:sz="4" w:space="0"/>
              <w:left w:val="single" w:color="auto" w:sz="4" w:space="0"/>
              <w:bottom w:val="single" w:color="auto" w:sz="4" w:space="0"/>
              <w:right w:val="single" w:color="auto" w:sz="4" w:space="0"/>
            </w:tcBorders>
            <w:vAlign w:val="center"/>
          </w:tcPr>
          <w:p w14:paraId="080242BB">
            <w:pPr>
              <w:spacing w:line="400" w:lineRule="exact"/>
              <w:jc w:val="center"/>
              <w:rPr>
                <w:rFonts w:ascii="仿宋" w:hAnsi="仿宋" w:eastAsia="仿宋" w:cs="仿宋"/>
                <w:sz w:val="24"/>
                <w:highlight w:val="none"/>
              </w:rPr>
            </w:pPr>
            <w:r>
              <w:rPr>
                <w:rFonts w:hint="eastAsia" w:ascii="宋体" w:hAnsi="宋体" w:cs="宋体"/>
                <w:szCs w:val="21"/>
                <w:highlight w:val="none"/>
              </w:rPr>
              <w:t>鲜家禽类</w:t>
            </w:r>
          </w:p>
        </w:tc>
        <w:tc>
          <w:tcPr>
            <w:tcW w:w="1267" w:type="dxa"/>
            <w:tcBorders>
              <w:top w:val="single" w:color="auto" w:sz="4" w:space="0"/>
              <w:left w:val="single" w:color="auto" w:sz="4" w:space="0"/>
              <w:bottom w:val="single" w:color="auto" w:sz="4" w:space="0"/>
              <w:right w:val="single" w:color="auto" w:sz="4" w:space="0"/>
            </w:tcBorders>
            <w:vAlign w:val="center"/>
          </w:tcPr>
          <w:p w14:paraId="488F5325">
            <w:pPr>
              <w:spacing w:line="400" w:lineRule="exact"/>
              <w:jc w:val="center"/>
              <w:rPr>
                <w:rFonts w:ascii="仿宋" w:hAnsi="仿宋" w:eastAsia="仿宋" w:cs="仿宋"/>
                <w:sz w:val="24"/>
                <w:highlight w:val="none"/>
              </w:rPr>
            </w:pPr>
            <w:r>
              <w:rPr>
                <w:rFonts w:hint="eastAsia" w:ascii="宋体" w:hAnsi="宋体" w:cs="宋体"/>
                <w:szCs w:val="21"/>
                <w:highlight w:val="none"/>
              </w:rPr>
              <w:t>鲜家禽肉</w:t>
            </w:r>
          </w:p>
        </w:tc>
        <w:tc>
          <w:tcPr>
            <w:tcW w:w="5144" w:type="dxa"/>
            <w:tcBorders>
              <w:top w:val="single" w:color="auto" w:sz="4" w:space="0"/>
              <w:left w:val="single" w:color="auto" w:sz="4" w:space="0"/>
              <w:bottom w:val="single" w:color="auto" w:sz="4" w:space="0"/>
              <w:right w:val="single" w:color="auto" w:sz="4" w:space="0"/>
            </w:tcBorders>
            <w:vAlign w:val="center"/>
          </w:tcPr>
          <w:p w14:paraId="29E22DED">
            <w:pPr>
              <w:numPr>
                <w:ilvl w:val="0"/>
                <w:numId w:val="10"/>
              </w:numPr>
              <w:spacing w:line="400" w:lineRule="exact"/>
              <w:rPr>
                <w:rFonts w:ascii="宋体" w:hAnsi="宋体" w:cs="宋体"/>
                <w:szCs w:val="21"/>
                <w:highlight w:val="none"/>
              </w:rPr>
            </w:pPr>
            <w:r>
              <w:rPr>
                <w:rFonts w:hint="eastAsia" w:ascii="宋体" w:hAnsi="宋体" w:cs="宋体"/>
                <w:szCs w:val="21"/>
                <w:highlight w:val="none"/>
              </w:rPr>
              <w:t>产品符合国家及行业相关标准。</w:t>
            </w:r>
          </w:p>
          <w:p w14:paraId="3178ABD6">
            <w:pPr>
              <w:numPr>
                <w:ilvl w:val="0"/>
                <w:numId w:val="10"/>
              </w:numPr>
              <w:spacing w:line="400" w:lineRule="exact"/>
              <w:rPr>
                <w:rFonts w:ascii="宋体" w:hAnsi="宋体" w:cs="宋体"/>
                <w:szCs w:val="21"/>
                <w:highlight w:val="none"/>
              </w:rPr>
            </w:pPr>
            <w:r>
              <w:rPr>
                <w:rFonts w:hint="eastAsia" w:ascii="宋体" w:hAnsi="宋体" w:cs="宋体"/>
                <w:szCs w:val="21"/>
                <w:highlight w:val="none"/>
              </w:rPr>
              <w:t>白条鸡：有检疫证明，鸡龄4个月以上，无伤残，宰杀干净，去爪。宰杀时间不超过3小时，单个重量3斤以上。</w:t>
            </w:r>
          </w:p>
          <w:p w14:paraId="53332044">
            <w:pPr>
              <w:numPr>
                <w:ilvl w:val="0"/>
                <w:numId w:val="10"/>
              </w:numPr>
              <w:spacing w:line="400" w:lineRule="exact"/>
              <w:rPr>
                <w:rFonts w:ascii="宋体" w:hAnsi="宋体" w:cs="宋体"/>
                <w:szCs w:val="21"/>
                <w:highlight w:val="none"/>
              </w:rPr>
            </w:pPr>
            <w:r>
              <w:rPr>
                <w:rFonts w:hint="eastAsia" w:ascii="宋体" w:hAnsi="宋体" w:cs="宋体"/>
                <w:szCs w:val="21"/>
                <w:highlight w:val="none"/>
              </w:rPr>
              <w:t>土鸡：有检疫证明，天然放养，谷物喂养，鸡龄6个月以上，项鸡4个月以上，无伤残，宰杀干净、去爪。单个重：项鸡2斤以上，剦鸡3.5斤以上。</w:t>
            </w:r>
          </w:p>
          <w:p w14:paraId="04A9C950">
            <w:pPr>
              <w:numPr>
                <w:ilvl w:val="0"/>
                <w:numId w:val="10"/>
              </w:numPr>
              <w:spacing w:line="400" w:lineRule="exact"/>
              <w:rPr>
                <w:rFonts w:ascii="宋体" w:hAnsi="宋体" w:cs="宋体"/>
                <w:szCs w:val="21"/>
                <w:highlight w:val="none"/>
              </w:rPr>
            </w:pPr>
            <w:r>
              <w:rPr>
                <w:rFonts w:hint="eastAsia" w:ascii="宋体" w:hAnsi="宋体" w:cs="宋体"/>
                <w:szCs w:val="21"/>
                <w:highlight w:val="none"/>
              </w:rPr>
              <w:t>白条鸭：有检疫证明，无伤残，宰杀干净，去脚，无异味，单个重量4斤以上，宰杀时间不超过3小时。</w:t>
            </w:r>
          </w:p>
          <w:p w14:paraId="7B92B612">
            <w:pPr>
              <w:numPr>
                <w:ilvl w:val="0"/>
                <w:numId w:val="10"/>
              </w:numPr>
              <w:spacing w:line="400" w:lineRule="exact"/>
              <w:rPr>
                <w:rFonts w:ascii="宋体" w:hAnsi="宋体" w:cs="宋体"/>
                <w:szCs w:val="21"/>
                <w:highlight w:val="none"/>
              </w:rPr>
            </w:pPr>
            <w:r>
              <w:rPr>
                <w:rFonts w:hint="eastAsia" w:ascii="宋体" w:hAnsi="宋体" w:cs="宋体"/>
                <w:szCs w:val="21"/>
                <w:highlight w:val="none"/>
              </w:rPr>
              <w:t>土鸭：有检疫证明，无伤残，宰杀干净，去脚，无异味，单个重量3斤以上，宰杀时间不超过3小时。</w:t>
            </w:r>
          </w:p>
          <w:p w14:paraId="256F987D">
            <w:pPr>
              <w:numPr>
                <w:ilvl w:val="0"/>
                <w:numId w:val="10"/>
              </w:numPr>
              <w:spacing w:line="400" w:lineRule="exact"/>
              <w:rPr>
                <w:rFonts w:ascii="仿宋" w:hAnsi="仿宋" w:eastAsia="仿宋" w:cs="仿宋"/>
                <w:sz w:val="24"/>
                <w:highlight w:val="none"/>
              </w:rPr>
            </w:pPr>
            <w:r>
              <w:rPr>
                <w:rFonts w:hint="eastAsia" w:ascii="宋体" w:hAnsi="宋体" w:cs="宋体"/>
                <w:szCs w:val="21"/>
                <w:highlight w:val="none"/>
              </w:rPr>
              <w:t>西洋鸭：有检疫证明，无伤残，宰杀干净，去脚，无异味，单个重量4斤以上，宰杀时间不超过3小时。</w:t>
            </w:r>
          </w:p>
        </w:tc>
        <w:tc>
          <w:tcPr>
            <w:tcW w:w="712" w:type="dxa"/>
            <w:tcBorders>
              <w:top w:val="single" w:color="auto" w:sz="4" w:space="0"/>
              <w:left w:val="single" w:color="auto" w:sz="4" w:space="0"/>
              <w:bottom w:val="single" w:color="auto" w:sz="4" w:space="0"/>
              <w:right w:val="single" w:color="auto" w:sz="4" w:space="0"/>
            </w:tcBorders>
            <w:vAlign w:val="center"/>
          </w:tcPr>
          <w:p w14:paraId="0C7CB572">
            <w:pPr>
              <w:pStyle w:val="17"/>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c>
          <w:tcPr>
            <w:tcW w:w="706" w:type="dxa"/>
            <w:tcBorders>
              <w:top w:val="single" w:color="auto" w:sz="4" w:space="0"/>
              <w:left w:val="single" w:color="auto" w:sz="4" w:space="0"/>
              <w:bottom w:val="single" w:color="auto" w:sz="4" w:space="0"/>
              <w:right w:val="single" w:color="auto" w:sz="4" w:space="0"/>
            </w:tcBorders>
            <w:vAlign w:val="center"/>
          </w:tcPr>
          <w:p w14:paraId="198F91E7">
            <w:pPr>
              <w:pStyle w:val="17"/>
              <w:ind w:left="1200" w:hanging="1200" w:hangingChars="500"/>
              <w:jc w:val="center"/>
              <w:rPr>
                <w:rFonts w:ascii="仿宋" w:hAnsi="仿宋" w:eastAsia="仿宋" w:cs="仿宋"/>
                <w:sz w:val="24"/>
                <w:szCs w:val="24"/>
                <w:highlight w:val="none"/>
              </w:rPr>
            </w:pPr>
            <w:r>
              <w:rPr>
                <w:rFonts w:hint="eastAsia" w:ascii="仿宋" w:hAnsi="仿宋" w:eastAsia="仿宋" w:cs="仿宋"/>
                <w:sz w:val="24"/>
                <w:szCs w:val="24"/>
                <w:highlight w:val="none"/>
              </w:rPr>
              <w:t>项</w:t>
            </w:r>
          </w:p>
        </w:tc>
      </w:tr>
      <w:tr w14:paraId="37751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539" w:type="dxa"/>
            <w:tcBorders>
              <w:top w:val="single" w:color="auto" w:sz="4" w:space="0"/>
              <w:left w:val="single" w:color="auto" w:sz="4" w:space="0"/>
              <w:bottom w:val="single" w:color="auto" w:sz="4" w:space="0"/>
              <w:right w:val="single" w:color="auto" w:sz="4" w:space="0"/>
            </w:tcBorders>
            <w:vAlign w:val="center"/>
          </w:tcPr>
          <w:p w14:paraId="49206AF9">
            <w:pPr>
              <w:pStyle w:val="17"/>
              <w:jc w:val="center"/>
              <w:rPr>
                <w:rFonts w:ascii="仿宋" w:hAnsi="仿宋" w:eastAsia="仿宋" w:cs="仿宋"/>
                <w:sz w:val="24"/>
                <w:szCs w:val="24"/>
                <w:highlight w:val="none"/>
              </w:rPr>
            </w:pPr>
            <w:r>
              <w:rPr>
                <w:rFonts w:hint="eastAsia" w:ascii="仿宋" w:hAnsi="仿宋" w:eastAsia="仿宋" w:cs="仿宋"/>
                <w:sz w:val="24"/>
                <w:szCs w:val="24"/>
                <w:highlight w:val="none"/>
              </w:rPr>
              <w:t>6</w:t>
            </w:r>
          </w:p>
        </w:tc>
        <w:tc>
          <w:tcPr>
            <w:tcW w:w="1338" w:type="dxa"/>
            <w:tcBorders>
              <w:top w:val="single" w:color="auto" w:sz="4" w:space="0"/>
              <w:left w:val="single" w:color="auto" w:sz="4" w:space="0"/>
              <w:bottom w:val="single" w:color="auto" w:sz="4" w:space="0"/>
              <w:right w:val="single" w:color="auto" w:sz="4" w:space="0"/>
            </w:tcBorders>
            <w:vAlign w:val="center"/>
          </w:tcPr>
          <w:p w14:paraId="249BA49B">
            <w:pPr>
              <w:spacing w:line="400" w:lineRule="exact"/>
              <w:jc w:val="center"/>
              <w:rPr>
                <w:rFonts w:ascii="宋体" w:hAnsi="宋体" w:cs="宋体"/>
                <w:szCs w:val="21"/>
                <w:highlight w:val="none"/>
              </w:rPr>
            </w:pPr>
            <w:r>
              <w:rPr>
                <w:rFonts w:hint="eastAsia" w:ascii="宋体" w:hAnsi="宋体" w:cs="宋体"/>
                <w:szCs w:val="21"/>
                <w:highlight w:val="none"/>
              </w:rPr>
              <w:t>水产类</w:t>
            </w:r>
          </w:p>
        </w:tc>
        <w:tc>
          <w:tcPr>
            <w:tcW w:w="1267" w:type="dxa"/>
            <w:tcBorders>
              <w:top w:val="single" w:color="auto" w:sz="4" w:space="0"/>
              <w:left w:val="single" w:color="auto" w:sz="4" w:space="0"/>
              <w:bottom w:val="single" w:color="auto" w:sz="4" w:space="0"/>
              <w:right w:val="single" w:color="auto" w:sz="4" w:space="0"/>
            </w:tcBorders>
            <w:vAlign w:val="center"/>
          </w:tcPr>
          <w:p w14:paraId="3BF8979F">
            <w:pPr>
              <w:spacing w:line="400" w:lineRule="exact"/>
              <w:jc w:val="center"/>
              <w:rPr>
                <w:rFonts w:ascii="宋体" w:hAnsi="宋体" w:cs="宋体"/>
                <w:szCs w:val="21"/>
                <w:highlight w:val="none"/>
              </w:rPr>
            </w:pPr>
            <w:r>
              <w:rPr>
                <w:rFonts w:hint="eastAsia" w:ascii="宋体" w:hAnsi="宋体" w:cs="宋体"/>
                <w:szCs w:val="21"/>
                <w:highlight w:val="none"/>
              </w:rPr>
              <w:t>鱼虾类</w:t>
            </w:r>
          </w:p>
        </w:tc>
        <w:tc>
          <w:tcPr>
            <w:tcW w:w="5144" w:type="dxa"/>
            <w:tcBorders>
              <w:top w:val="single" w:color="auto" w:sz="4" w:space="0"/>
              <w:left w:val="single" w:color="auto" w:sz="4" w:space="0"/>
              <w:bottom w:val="single" w:color="auto" w:sz="4" w:space="0"/>
              <w:right w:val="single" w:color="auto" w:sz="4" w:space="0"/>
            </w:tcBorders>
            <w:vAlign w:val="center"/>
          </w:tcPr>
          <w:p w14:paraId="5DC4D48D">
            <w:pPr>
              <w:spacing w:line="400" w:lineRule="exact"/>
              <w:rPr>
                <w:rFonts w:ascii="宋体" w:hAnsi="宋体" w:cs="宋体"/>
                <w:szCs w:val="21"/>
                <w:highlight w:val="none"/>
              </w:rPr>
            </w:pPr>
            <w:r>
              <w:rPr>
                <w:rFonts w:hint="eastAsia" w:ascii="宋体" w:hAnsi="宋体" w:cs="宋体"/>
                <w:szCs w:val="21"/>
                <w:highlight w:val="none"/>
              </w:rPr>
              <w:t>1.鱼标准 游水生猛、对外界刺激敏感、无翻肛、无嘴烂及其它外表损伤，大小均匀。</w:t>
            </w:r>
          </w:p>
          <w:p w14:paraId="024D9819">
            <w:pPr>
              <w:spacing w:line="400" w:lineRule="exact"/>
              <w:rPr>
                <w:rFonts w:ascii="宋体" w:hAnsi="宋体" w:cs="宋体"/>
                <w:szCs w:val="21"/>
                <w:highlight w:val="none"/>
              </w:rPr>
            </w:pPr>
            <w:r>
              <w:rPr>
                <w:rFonts w:hint="eastAsia" w:ascii="宋体" w:hAnsi="宋体" w:cs="宋体"/>
                <w:szCs w:val="21"/>
                <w:highlight w:val="none"/>
              </w:rPr>
              <w:t>2.虾标准：游水快、对外界刺激敏感、头尾完整，有一定弯曲度虾眼突起、肉质坚实。</w:t>
            </w:r>
          </w:p>
        </w:tc>
        <w:tc>
          <w:tcPr>
            <w:tcW w:w="712" w:type="dxa"/>
            <w:tcBorders>
              <w:top w:val="single" w:color="auto" w:sz="4" w:space="0"/>
              <w:left w:val="single" w:color="auto" w:sz="4" w:space="0"/>
              <w:bottom w:val="single" w:color="auto" w:sz="4" w:space="0"/>
              <w:right w:val="single" w:color="auto" w:sz="4" w:space="0"/>
            </w:tcBorders>
            <w:vAlign w:val="center"/>
          </w:tcPr>
          <w:p w14:paraId="7A2E3009">
            <w:pPr>
              <w:pStyle w:val="17"/>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c>
          <w:tcPr>
            <w:tcW w:w="706" w:type="dxa"/>
            <w:tcBorders>
              <w:top w:val="single" w:color="auto" w:sz="4" w:space="0"/>
              <w:left w:val="single" w:color="auto" w:sz="4" w:space="0"/>
              <w:bottom w:val="single" w:color="auto" w:sz="4" w:space="0"/>
              <w:right w:val="single" w:color="auto" w:sz="4" w:space="0"/>
            </w:tcBorders>
            <w:vAlign w:val="center"/>
          </w:tcPr>
          <w:p w14:paraId="7167278B">
            <w:pPr>
              <w:pStyle w:val="17"/>
              <w:ind w:left="1200" w:hanging="1200" w:hangingChars="500"/>
              <w:jc w:val="center"/>
              <w:rPr>
                <w:rFonts w:ascii="仿宋" w:hAnsi="仿宋" w:eastAsia="仿宋" w:cs="仿宋"/>
                <w:sz w:val="24"/>
                <w:szCs w:val="24"/>
                <w:highlight w:val="none"/>
              </w:rPr>
            </w:pPr>
            <w:r>
              <w:rPr>
                <w:rFonts w:hint="eastAsia" w:ascii="仿宋" w:hAnsi="仿宋" w:eastAsia="仿宋" w:cs="仿宋"/>
                <w:sz w:val="24"/>
                <w:szCs w:val="24"/>
                <w:highlight w:val="none"/>
              </w:rPr>
              <w:t>项</w:t>
            </w:r>
          </w:p>
        </w:tc>
      </w:tr>
      <w:tr w14:paraId="0C255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06" w:type="dxa"/>
            <w:gridSpan w:val="6"/>
            <w:tcBorders>
              <w:top w:val="single" w:color="auto" w:sz="4" w:space="0"/>
              <w:left w:val="single" w:color="auto" w:sz="4" w:space="0"/>
              <w:bottom w:val="single" w:color="auto" w:sz="4" w:space="0"/>
              <w:right w:val="single" w:color="auto" w:sz="4" w:space="0"/>
            </w:tcBorders>
            <w:vAlign w:val="center"/>
          </w:tcPr>
          <w:p w14:paraId="78BD01E0">
            <w:pPr>
              <w:pStyle w:val="17"/>
              <w:ind w:left="1205" w:hanging="1205" w:hangingChars="500"/>
              <w:rPr>
                <w:rFonts w:ascii="仿宋" w:hAnsi="仿宋" w:eastAsia="仿宋" w:cs="仿宋"/>
                <w:b/>
                <w:bCs/>
                <w:sz w:val="24"/>
                <w:szCs w:val="24"/>
                <w:highlight w:val="none"/>
              </w:rPr>
            </w:pPr>
            <w:r>
              <w:rPr>
                <w:rFonts w:hint="eastAsia" w:ascii="仿宋" w:hAnsi="仿宋" w:eastAsia="仿宋" w:cs="仿宋"/>
                <w:b/>
                <w:bCs/>
                <w:sz w:val="24"/>
                <w:szCs w:val="24"/>
                <w:highlight w:val="none"/>
              </w:rPr>
              <w:t>二、商务要求</w:t>
            </w:r>
          </w:p>
        </w:tc>
      </w:tr>
      <w:tr w14:paraId="0E3DB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877" w:type="dxa"/>
            <w:gridSpan w:val="2"/>
            <w:tcBorders>
              <w:top w:val="single" w:color="auto" w:sz="4" w:space="0"/>
              <w:left w:val="single" w:color="auto" w:sz="4" w:space="0"/>
              <w:bottom w:val="single" w:color="auto" w:sz="4" w:space="0"/>
              <w:right w:val="single" w:color="auto" w:sz="4" w:space="0"/>
            </w:tcBorders>
            <w:vAlign w:val="center"/>
          </w:tcPr>
          <w:p w14:paraId="642EC9B9">
            <w:pPr>
              <w:jc w:val="center"/>
              <w:rPr>
                <w:rFonts w:ascii="仿宋" w:hAnsi="仿宋" w:eastAsia="仿宋" w:cs="仿宋"/>
                <w:sz w:val="24"/>
                <w:highlight w:val="none"/>
              </w:rPr>
            </w:pPr>
            <w:r>
              <w:rPr>
                <w:rFonts w:hint="eastAsia" w:ascii="仿宋" w:hAnsi="仿宋" w:eastAsia="仿宋" w:cs="仿宋"/>
                <w:b/>
                <w:bCs/>
                <w:color w:val="000000"/>
                <w:kern w:val="0"/>
                <w:sz w:val="24"/>
                <w:highlight w:val="none"/>
              </w:rPr>
              <w:t>服务期限</w:t>
            </w:r>
          </w:p>
        </w:tc>
        <w:tc>
          <w:tcPr>
            <w:tcW w:w="7829" w:type="dxa"/>
            <w:gridSpan w:val="4"/>
            <w:tcBorders>
              <w:top w:val="single" w:color="auto" w:sz="4" w:space="0"/>
              <w:left w:val="single" w:color="auto" w:sz="4" w:space="0"/>
              <w:bottom w:val="single" w:color="auto" w:sz="4" w:space="0"/>
              <w:right w:val="single" w:color="auto" w:sz="4" w:space="0"/>
            </w:tcBorders>
            <w:vAlign w:val="center"/>
          </w:tcPr>
          <w:p w14:paraId="1E2F9FDC">
            <w:pPr>
              <w:spacing w:line="360" w:lineRule="auto"/>
              <w:jc w:val="left"/>
              <w:rPr>
                <w:rFonts w:ascii="仿宋" w:hAnsi="仿宋" w:eastAsia="仿宋" w:cs="仿宋"/>
                <w:sz w:val="24"/>
                <w:highlight w:val="none"/>
              </w:rPr>
            </w:pPr>
            <w:r>
              <w:rPr>
                <w:rFonts w:hint="eastAsia" w:ascii="仿宋" w:hAnsi="仿宋" w:eastAsia="仿宋" w:cs="仿宋"/>
                <w:color w:val="000000"/>
                <w:kern w:val="0"/>
                <w:sz w:val="24"/>
                <w:highlight w:val="none"/>
              </w:rPr>
              <w:t>服务期限：自签订合同之日起2年。</w:t>
            </w:r>
          </w:p>
        </w:tc>
      </w:tr>
      <w:tr w14:paraId="5A84A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877" w:type="dxa"/>
            <w:gridSpan w:val="2"/>
            <w:tcBorders>
              <w:top w:val="single" w:color="auto" w:sz="4" w:space="0"/>
              <w:left w:val="single" w:color="auto" w:sz="4" w:space="0"/>
              <w:bottom w:val="single" w:color="auto" w:sz="4" w:space="0"/>
              <w:right w:val="single" w:color="auto" w:sz="4" w:space="0"/>
            </w:tcBorders>
            <w:vAlign w:val="center"/>
          </w:tcPr>
          <w:p w14:paraId="615E7688">
            <w:pPr>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服务地点</w:t>
            </w:r>
          </w:p>
        </w:tc>
        <w:tc>
          <w:tcPr>
            <w:tcW w:w="7829" w:type="dxa"/>
            <w:gridSpan w:val="4"/>
            <w:tcBorders>
              <w:top w:val="single" w:color="auto" w:sz="4" w:space="0"/>
              <w:left w:val="single" w:color="auto" w:sz="4" w:space="0"/>
              <w:bottom w:val="single" w:color="auto" w:sz="4" w:space="0"/>
              <w:right w:val="single" w:color="auto" w:sz="4" w:space="0"/>
            </w:tcBorders>
            <w:vAlign w:val="center"/>
          </w:tcPr>
          <w:p w14:paraId="2954BDC0">
            <w:pPr>
              <w:spacing w:line="360" w:lineRule="auto"/>
              <w:jc w:val="left"/>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采购人指定地点。</w:t>
            </w:r>
          </w:p>
        </w:tc>
      </w:tr>
      <w:tr w14:paraId="2EC5C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877" w:type="dxa"/>
            <w:gridSpan w:val="2"/>
            <w:tcBorders>
              <w:top w:val="single" w:color="auto" w:sz="4" w:space="0"/>
              <w:left w:val="single" w:color="auto" w:sz="4" w:space="0"/>
              <w:bottom w:val="single" w:color="auto" w:sz="4" w:space="0"/>
              <w:right w:val="single" w:color="auto" w:sz="4" w:space="0"/>
            </w:tcBorders>
            <w:vAlign w:val="center"/>
          </w:tcPr>
          <w:p w14:paraId="455333AB">
            <w:pPr>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报价要求</w:t>
            </w:r>
          </w:p>
        </w:tc>
        <w:tc>
          <w:tcPr>
            <w:tcW w:w="7829" w:type="dxa"/>
            <w:gridSpan w:val="4"/>
            <w:tcBorders>
              <w:top w:val="single" w:color="auto" w:sz="4" w:space="0"/>
              <w:left w:val="single" w:color="auto" w:sz="4" w:space="0"/>
              <w:bottom w:val="single" w:color="auto" w:sz="4" w:space="0"/>
              <w:right w:val="single" w:color="auto" w:sz="4" w:space="0"/>
            </w:tcBorders>
            <w:vAlign w:val="center"/>
          </w:tcPr>
          <w:p w14:paraId="4799D7E5">
            <w:pPr>
              <w:spacing w:line="360" w:lineRule="auto"/>
              <w:jc w:val="left"/>
              <w:rPr>
                <w:rFonts w:ascii="仿宋" w:hAnsi="仿宋" w:eastAsia="仿宋" w:cs="仿宋"/>
                <w:sz w:val="24"/>
                <w:highlight w:val="none"/>
              </w:rPr>
            </w:pPr>
            <w:r>
              <w:rPr>
                <w:rFonts w:hint="eastAsia" w:ascii="仿宋" w:hAnsi="仿宋" w:eastAsia="仿宋" w:cs="仿宋"/>
                <w:color w:val="000000"/>
                <w:kern w:val="0"/>
                <w:sz w:val="24"/>
                <w:highlight w:val="none"/>
              </w:rPr>
              <w:t>供应商必须就“采购需求”中要求配送的各类物资作完整唯一折扣率（%）报价，供应商的投标报价不得高于本项目的控制价，否则响应文件按无效处理。</w:t>
            </w:r>
          </w:p>
        </w:tc>
      </w:tr>
      <w:tr w14:paraId="44CD8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877" w:type="dxa"/>
            <w:gridSpan w:val="2"/>
            <w:tcBorders>
              <w:top w:val="single" w:color="auto" w:sz="4" w:space="0"/>
              <w:left w:val="single" w:color="auto" w:sz="4" w:space="0"/>
              <w:bottom w:val="single" w:color="auto" w:sz="4" w:space="0"/>
              <w:right w:val="single" w:color="auto" w:sz="4" w:space="0"/>
            </w:tcBorders>
            <w:vAlign w:val="center"/>
          </w:tcPr>
          <w:p w14:paraId="7800A37A">
            <w:pPr>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付款方式</w:t>
            </w:r>
          </w:p>
        </w:tc>
        <w:tc>
          <w:tcPr>
            <w:tcW w:w="7829" w:type="dxa"/>
            <w:gridSpan w:val="4"/>
            <w:tcBorders>
              <w:top w:val="single" w:color="auto" w:sz="4" w:space="0"/>
              <w:left w:val="single" w:color="auto" w:sz="4" w:space="0"/>
              <w:bottom w:val="single" w:color="auto" w:sz="4" w:space="0"/>
              <w:right w:val="single" w:color="auto" w:sz="4" w:space="0"/>
            </w:tcBorders>
            <w:vAlign w:val="center"/>
          </w:tcPr>
          <w:p w14:paraId="51F7AB2B">
            <w:pPr>
              <w:spacing w:line="360" w:lineRule="auto"/>
              <w:jc w:val="left"/>
              <w:rPr>
                <w:rFonts w:ascii="仿宋" w:hAnsi="仿宋" w:eastAsia="仿宋" w:cs="仿宋"/>
                <w:sz w:val="24"/>
                <w:highlight w:val="none"/>
              </w:rPr>
            </w:pPr>
            <w:r>
              <w:rPr>
                <w:rFonts w:ascii="仿宋" w:hAnsi="仿宋" w:eastAsia="仿宋" w:cs="仿宋"/>
                <w:sz w:val="24"/>
                <w:highlight w:val="none"/>
              </w:rPr>
              <w:t>1.采用先供货后对账再结算方式，甲方无须预付款。</w:t>
            </w:r>
          </w:p>
          <w:p w14:paraId="284FEC99">
            <w:pPr>
              <w:spacing w:line="360" w:lineRule="auto"/>
              <w:jc w:val="left"/>
              <w:rPr>
                <w:rFonts w:ascii="仿宋" w:hAnsi="仿宋" w:eastAsia="仿宋" w:cs="仿宋"/>
                <w:sz w:val="24"/>
                <w:highlight w:val="none"/>
              </w:rPr>
            </w:pPr>
            <w:r>
              <w:rPr>
                <w:rFonts w:ascii="仿宋" w:hAnsi="仿宋" w:eastAsia="仿宋" w:cs="仿宋"/>
                <w:sz w:val="24"/>
                <w:highlight w:val="none"/>
              </w:rPr>
              <w:t>2.合同期内每月10日前，甲方按照供应商上月已交付的产品数量乘以对应产品单价，计算本次应付款额，供应商须向甲方提供该批货物等额发票及供货单据，作为甲方付款依据，甲方收到发票及相关票据后25日内，以银行转账方式向供应商支付货款。供应商须按时足额提供发票及相关票据，否则甲方有权拒绝付款而不构成违约。供应商开具的发票必须真实、合法、有效，如供应商提供虚假发票，由此引发的一切责任由供应商负责。</w:t>
            </w:r>
          </w:p>
        </w:tc>
      </w:tr>
      <w:tr w14:paraId="1D7E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877" w:type="dxa"/>
            <w:gridSpan w:val="2"/>
            <w:tcBorders>
              <w:top w:val="single" w:color="auto" w:sz="4" w:space="0"/>
              <w:left w:val="single" w:color="auto" w:sz="4" w:space="0"/>
              <w:bottom w:val="single" w:color="auto" w:sz="4" w:space="0"/>
              <w:right w:val="single" w:color="auto" w:sz="4" w:space="0"/>
            </w:tcBorders>
            <w:vAlign w:val="center"/>
          </w:tcPr>
          <w:p w14:paraId="0D3E1B2D">
            <w:pPr>
              <w:jc w:val="center"/>
              <w:rPr>
                <w:rFonts w:ascii="仿宋" w:hAnsi="仿宋" w:eastAsia="仿宋" w:cs="仿宋"/>
                <w:b/>
                <w:bCs/>
                <w:color w:val="000000"/>
                <w:kern w:val="0"/>
                <w:sz w:val="24"/>
                <w:highlight w:val="none"/>
              </w:rPr>
            </w:pPr>
            <w:r>
              <w:rPr>
                <w:rFonts w:hint="eastAsia" w:ascii="宋体" w:hAnsi="宋体"/>
                <w:b/>
                <w:highlight w:val="none"/>
              </w:rPr>
              <w:t>验收条件及要求</w:t>
            </w:r>
          </w:p>
        </w:tc>
        <w:tc>
          <w:tcPr>
            <w:tcW w:w="7829" w:type="dxa"/>
            <w:gridSpan w:val="4"/>
            <w:tcBorders>
              <w:top w:val="single" w:color="auto" w:sz="4" w:space="0"/>
              <w:left w:val="single" w:color="auto" w:sz="4" w:space="0"/>
              <w:bottom w:val="single" w:color="auto" w:sz="4" w:space="0"/>
              <w:right w:val="single" w:color="auto" w:sz="4" w:space="0"/>
            </w:tcBorders>
            <w:vAlign w:val="center"/>
          </w:tcPr>
          <w:p w14:paraId="5CDDA658">
            <w:pPr>
              <w:spacing w:line="400" w:lineRule="exact"/>
              <w:jc w:val="left"/>
              <w:rPr>
                <w:rFonts w:ascii="宋体" w:hAnsi="宋体" w:cs="??"/>
                <w:kern w:val="0"/>
                <w:szCs w:val="21"/>
                <w:highlight w:val="none"/>
              </w:rPr>
            </w:pPr>
            <w:r>
              <w:rPr>
                <w:rFonts w:hint="eastAsia" w:ascii="宋体" w:hAnsi="宋体" w:cs="??"/>
                <w:kern w:val="0"/>
                <w:szCs w:val="21"/>
                <w:highlight w:val="none"/>
              </w:rPr>
              <w:t>1</w:t>
            </w:r>
            <w:r>
              <w:rPr>
                <w:rFonts w:ascii="宋体" w:hAnsi="宋体" w:cs="??"/>
                <w:kern w:val="0"/>
                <w:szCs w:val="21"/>
                <w:highlight w:val="none"/>
              </w:rPr>
              <w:t>、</w:t>
            </w:r>
            <w:r>
              <w:rPr>
                <w:rFonts w:hint="eastAsia" w:ascii="宋体" w:hAnsi="宋体" w:cs="??"/>
                <w:kern w:val="0"/>
                <w:szCs w:val="21"/>
                <w:highlight w:val="none"/>
              </w:rPr>
              <w:t>本项目执行相关国家标准、行业标准、地方标准或者其他标准、规范。</w:t>
            </w:r>
          </w:p>
          <w:p w14:paraId="604B0F8A">
            <w:pPr>
              <w:spacing w:line="400" w:lineRule="exact"/>
              <w:jc w:val="left"/>
              <w:rPr>
                <w:rFonts w:ascii="宋体" w:hAnsi="宋体" w:cs="??"/>
                <w:kern w:val="0"/>
                <w:szCs w:val="21"/>
                <w:highlight w:val="none"/>
              </w:rPr>
            </w:pPr>
            <w:r>
              <w:rPr>
                <w:rFonts w:hint="eastAsia" w:ascii="宋体" w:hAnsi="宋体" w:cs="??"/>
                <w:kern w:val="0"/>
                <w:szCs w:val="21"/>
                <w:highlight w:val="none"/>
              </w:rPr>
              <w:t>2</w:t>
            </w:r>
            <w:r>
              <w:rPr>
                <w:rFonts w:ascii="宋体" w:hAnsi="宋体" w:cs="??"/>
                <w:kern w:val="0"/>
                <w:szCs w:val="21"/>
                <w:highlight w:val="none"/>
              </w:rPr>
              <w:t>、</w:t>
            </w:r>
            <w:r>
              <w:rPr>
                <w:rFonts w:hint="eastAsia" w:ascii="宋体" w:hAnsi="宋体" w:cs="??"/>
                <w:kern w:val="0"/>
                <w:szCs w:val="21"/>
                <w:highlight w:val="none"/>
              </w:rPr>
              <w:t>要求成交供应商依据竞争性磋商文件要求、响应文件承诺、强制执行的国家、行业、地方标准履行合同；成交供应商提供的服务成果达不到以上验收标准的，不予验收，造成的一切不利后果由成交供应商自行承担。</w:t>
            </w:r>
          </w:p>
          <w:p w14:paraId="6E189601">
            <w:pPr>
              <w:spacing w:line="400" w:lineRule="exact"/>
              <w:jc w:val="left"/>
              <w:rPr>
                <w:rFonts w:ascii="宋体" w:hAnsi="宋体" w:cs="??"/>
                <w:kern w:val="0"/>
                <w:szCs w:val="21"/>
                <w:highlight w:val="none"/>
              </w:rPr>
            </w:pPr>
            <w:r>
              <w:rPr>
                <w:rFonts w:hint="eastAsia" w:ascii="宋体" w:hAnsi="宋体" w:cs="??"/>
                <w:kern w:val="0"/>
                <w:szCs w:val="21"/>
                <w:highlight w:val="none"/>
              </w:rPr>
              <w:t>3</w:t>
            </w:r>
            <w:r>
              <w:rPr>
                <w:rFonts w:ascii="宋体" w:hAnsi="宋体" w:cs="??"/>
                <w:kern w:val="0"/>
                <w:szCs w:val="21"/>
                <w:highlight w:val="none"/>
              </w:rPr>
              <w:t>、</w:t>
            </w:r>
            <w:r>
              <w:rPr>
                <w:rFonts w:hint="eastAsia" w:ascii="宋体" w:hAnsi="宋体" w:cs="??"/>
                <w:kern w:val="0"/>
                <w:szCs w:val="21"/>
                <w:highlight w:val="none"/>
              </w:rPr>
              <w:t>外包装良好、标注生产日期及保质期，内透明塑料袋包装，袋内无杂质、无破损、无漏气，产品大小均匀，无霉变、无异味、无过期，食品安全的各项指标符合国家要求。</w:t>
            </w:r>
          </w:p>
          <w:p w14:paraId="1178B674">
            <w:pPr>
              <w:pStyle w:val="9"/>
              <w:spacing w:line="360" w:lineRule="auto"/>
              <w:rPr>
                <w:rFonts w:ascii="仿宋" w:hAnsi="仿宋" w:eastAsia="仿宋" w:cs="仿宋"/>
                <w:sz w:val="24"/>
                <w:highlight w:val="none"/>
              </w:rPr>
            </w:pPr>
            <w:r>
              <w:rPr>
                <w:rFonts w:hint="eastAsia" w:ascii="宋体" w:hAnsi="宋体" w:cs="??"/>
                <w:kern w:val="0"/>
                <w:szCs w:val="21"/>
                <w:highlight w:val="none"/>
              </w:rPr>
              <w:t>4</w:t>
            </w:r>
            <w:r>
              <w:rPr>
                <w:rFonts w:ascii="宋体" w:hAnsi="宋体" w:cs="??"/>
                <w:kern w:val="0"/>
                <w:szCs w:val="21"/>
                <w:highlight w:val="none"/>
              </w:rPr>
              <w:t>、</w:t>
            </w:r>
            <w:r>
              <w:rPr>
                <w:rFonts w:hint="eastAsia" w:ascii="宋体" w:hAnsi="宋体" w:cs="??"/>
                <w:kern w:val="0"/>
                <w:szCs w:val="21"/>
                <w:highlight w:val="none"/>
              </w:rPr>
              <w:t>所有食品的来源必须清晰。应当来源于受地方政府部门监管的基地、专业流通市场。</w:t>
            </w:r>
          </w:p>
        </w:tc>
      </w:tr>
      <w:tr w14:paraId="353C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877" w:type="dxa"/>
            <w:gridSpan w:val="2"/>
            <w:tcBorders>
              <w:top w:val="single" w:color="auto" w:sz="4" w:space="0"/>
              <w:left w:val="single" w:color="auto" w:sz="4" w:space="0"/>
              <w:bottom w:val="single" w:color="auto" w:sz="4" w:space="0"/>
              <w:right w:val="single" w:color="auto" w:sz="4" w:space="0"/>
            </w:tcBorders>
            <w:vAlign w:val="center"/>
          </w:tcPr>
          <w:p w14:paraId="56CF63C7">
            <w:pPr>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其他要求</w:t>
            </w:r>
          </w:p>
        </w:tc>
        <w:tc>
          <w:tcPr>
            <w:tcW w:w="7829" w:type="dxa"/>
            <w:gridSpan w:val="4"/>
            <w:tcBorders>
              <w:top w:val="single" w:color="auto" w:sz="4" w:space="0"/>
              <w:left w:val="single" w:color="auto" w:sz="4" w:space="0"/>
              <w:bottom w:val="single" w:color="auto" w:sz="4" w:space="0"/>
              <w:right w:val="single" w:color="auto" w:sz="4" w:space="0"/>
            </w:tcBorders>
            <w:vAlign w:val="center"/>
          </w:tcPr>
          <w:p w14:paraId="710F6078">
            <w:pPr>
              <w:pStyle w:val="9"/>
              <w:spacing w:line="360" w:lineRule="auto"/>
              <w:rPr>
                <w:rFonts w:ascii="仿宋" w:hAnsi="仿宋" w:eastAsia="仿宋" w:cs="仿宋"/>
                <w:sz w:val="24"/>
                <w:highlight w:val="none"/>
              </w:rPr>
            </w:pPr>
            <w:r>
              <w:rPr>
                <w:rFonts w:hint="eastAsia" w:ascii="仿宋" w:hAnsi="仿宋" w:eastAsia="仿宋" w:cs="仿宋"/>
                <w:sz w:val="24"/>
                <w:highlight w:val="none"/>
              </w:rPr>
              <w:t>1、每天早上8:30分之前准时将货物送到雁山区金雁食堂，供应货物必须符合食品卫生安全要求，保质保量配送。</w:t>
            </w:r>
          </w:p>
          <w:p w14:paraId="3BDD03A6">
            <w:pPr>
              <w:pStyle w:val="9"/>
              <w:spacing w:line="360" w:lineRule="auto"/>
              <w:rPr>
                <w:rFonts w:ascii="仿宋" w:hAnsi="仿宋" w:eastAsia="仿宋" w:cs="仿宋"/>
                <w:sz w:val="24"/>
                <w:highlight w:val="none"/>
              </w:rPr>
            </w:pPr>
            <w:r>
              <w:rPr>
                <w:rFonts w:hint="eastAsia" w:ascii="仿宋" w:hAnsi="仿宋" w:eastAsia="仿宋" w:cs="仿宋"/>
                <w:sz w:val="24"/>
                <w:highlight w:val="none"/>
              </w:rPr>
              <w:t>2、最终结算以实际供货金额为准。</w:t>
            </w:r>
            <w:r>
              <w:rPr>
                <w:rFonts w:hint="eastAsia" w:ascii="仿宋" w:hAnsi="仿宋" w:eastAsia="仿宋" w:cs="仿宋"/>
                <w:b/>
                <w:bCs/>
                <w:sz w:val="24"/>
                <w:highlight w:val="none"/>
              </w:rPr>
              <w:t>配送折扣费</w:t>
            </w:r>
            <w:r>
              <w:rPr>
                <w:rFonts w:hint="eastAsia" w:ascii="仿宋" w:hAnsi="仿宋" w:eastAsia="仿宋" w:cs="仿宋"/>
                <w:sz w:val="24"/>
                <w:highlight w:val="none"/>
              </w:rPr>
              <w:t>用每月转账至雁山区后勤服务中心对公账户。</w:t>
            </w:r>
          </w:p>
          <w:p w14:paraId="7F3242AC">
            <w:pPr>
              <w:pStyle w:val="9"/>
              <w:spacing w:line="360" w:lineRule="auto"/>
              <w:rPr>
                <w:rFonts w:ascii="仿宋" w:hAnsi="仿宋" w:eastAsia="仿宋" w:cs="仿宋"/>
                <w:sz w:val="24"/>
                <w:highlight w:val="none"/>
              </w:rPr>
            </w:pPr>
            <w:r>
              <w:rPr>
                <w:rFonts w:hint="eastAsia" w:ascii="仿宋" w:hAnsi="仿宋" w:eastAsia="仿宋" w:cs="仿宋"/>
                <w:sz w:val="24"/>
                <w:highlight w:val="none"/>
              </w:rPr>
              <w:t xml:space="preserve">户名：桂林市雁山区后勤服务中心      </w:t>
            </w:r>
          </w:p>
          <w:p w14:paraId="198BE21E">
            <w:pPr>
              <w:pStyle w:val="9"/>
              <w:spacing w:line="360" w:lineRule="auto"/>
              <w:rPr>
                <w:rFonts w:ascii="仿宋" w:hAnsi="仿宋" w:eastAsia="仿宋" w:cs="仿宋"/>
                <w:sz w:val="24"/>
                <w:highlight w:val="none"/>
              </w:rPr>
            </w:pPr>
            <w:r>
              <w:rPr>
                <w:rFonts w:hint="eastAsia" w:ascii="仿宋" w:hAnsi="仿宋" w:eastAsia="仿宋" w:cs="仿宋"/>
                <w:sz w:val="24"/>
                <w:highlight w:val="none"/>
              </w:rPr>
              <w:t xml:space="preserve">账号：621061760867                   </w:t>
            </w:r>
          </w:p>
          <w:p w14:paraId="5CFCE441">
            <w:pPr>
              <w:pStyle w:val="9"/>
              <w:spacing w:line="360" w:lineRule="auto"/>
              <w:rPr>
                <w:rFonts w:ascii="仿宋" w:hAnsi="仿宋" w:eastAsia="仿宋" w:cs="仿宋"/>
                <w:sz w:val="24"/>
                <w:highlight w:val="none"/>
              </w:rPr>
            </w:pPr>
            <w:r>
              <w:rPr>
                <w:rFonts w:hint="eastAsia" w:ascii="仿宋" w:hAnsi="仿宋" w:eastAsia="仿宋" w:cs="仿宋"/>
                <w:sz w:val="24"/>
                <w:highlight w:val="none"/>
              </w:rPr>
              <w:t xml:space="preserve">开户行：中国银行雁山支行             </w:t>
            </w:r>
          </w:p>
          <w:p w14:paraId="0C9ADC47">
            <w:pPr>
              <w:pStyle w:val="9"/>
              <w:spacing w:line="360" w:lineRule="auto"/>
              <w:rPr>
                <w:rFonts w:ascii="仿宋" w:hAnsi="仿宋" w:eastAsia="仿宋" w:cs="仿宋"/>
                <w:sz w:val="24"/>
                <w:highlight w:val="none"/>
              </w:rPr>
            </w:pPr>
            <w:r>
              <w:rPr>
                <w:rFonts w:hint="eastAsia" w:ascii="仿宋" w:hAnsi="仿宋" w:eastAsia="仿宋" w:cs="仿宋"/>
                <w:sz w:val="24"/>
                <w:highlight w:val="none"/>
              </w:rPr>
              <w:t xml:space="preserve">备注中请注明转后勤服务中心（4069）    </w:t>
            </w:r>
          </w:p>
        </w:tc>
      </w:tr>
    </w:tbl>
    <w:p w14:paraId="16A6079C">
      <w:pPr>
        <w:spacing w:line="440" w:lineRule="exact"/>
        <w:ind w:firstLine="480" w:firstLineChars="200"/>
        <w:rPr>
          <w:rFonts w:ascii="仿宋" w:hAnsi="仿宋" w:eastAsia="仿宋" w:cs="仿宋"/>
          <w:color w:val="000000"/>
          <w:sz w:val="24"/>
          <w:highlight w:val="none"/>
        </w:rPr>
      </w:pPr>
    </w:p>
    <w:p w14:paraId="463E8D50">
      <w:pPr>
        <w:rPr>
          <w:rFonts w:ascii="仿宋" w:hAnsi="仿宋" w:eastAsia="仿宋" w:cs="仿宋"/>
          <w:sz w:val="32"/>
          <w:szCs w:val="32"/>
          <w:highlight w:val="none"/>
        </w:rPr>
      </w:pPr>
    </w:p>
    <w:p w14:paraId="3E7D8782">
      <w:pPr>
        <w:rPr>
          <w:rFonts w:ascii="仿宋" w:hAnsi="仿宋" w:eastAsia="仿宋" w:cs="仿宋"/>
          <w:highlight w:val="none"/>
        </w:rPr>
      </w:pPr>
    </w:p>
    <w:p w14:paraId="69AE6A3B">
      <w:pPr>
        <w:pStyle w:val="2"/>
        <w:keepNext w:val="0"/>
        <w:keepLines w:val="0"/>
        <w:pageBreakBefore/>
        <w:tabs>
          <w:tab w:val="left" w:pos="0"/>
        </w:tabs>
        <w:autoSpaceDE w:val="0"/>
        <w:autoSpaceDN w:val="0"/>
        <w:adjustRightInd w:val="0"/>
        <w:spacing w:before="0" w:after="0" w:line="400" w:lineRule="exact"/>
        <w:jc w:val="center"/>
        <w:rPr>
          <w:rFonts w:ascii="仿宋" w:hAnsi="仿宋" w:eastAsia="仿宋" w:cs="仿宋"/>
          <w:sz w:val="32"/>
          <w:szCs w:val="32"/>
          <w:highlight w:val="none"/>
        </w:rPr>
      </w:pPr>
      <w:bookmarkStart w:id="140" w:name="_Toc25918"/>
      <w:r>
        <w:rPr>
          <w:rFonts w:hint="eastAsia" w:ascii="仿宋" w:hAnsi="仿宋" w:eastAsia="仿宋" w:cs="仿宋"/>
          <w:sz w:val="32"/>
          <w:szCs w:val="32"/>
          <w:highlight w:val="none"/>
        </w:rPr>
        <w:t>第四章 评审办法</w:t>
      </w:r>
      <w:bookmarkEnd w:id="139"/>
      <w:bookmarkEnd w:id="140"/>
    </w:p>
    <w:p w14:paraId="76B0CB8F">
      <w:pPr>
        <w:spacing w:line="400" w:lineRule="exact"/>
        <w:ind w:firstLine="482" w:firstLineChars="200"/>
        <w:rPr>
          <w:rFonts w:ascii="仿宋" w:hAnsi="仿宋" w:eastAsia="仿宋" w:cs="仿宋"/>
          <w:b/>
          <w:bCs/>
          <w:color w:val="000000" w:themeColor="text1"/>
          <w:sz w:val="24"/>
          <w:highlight w:val="none"/>
        </w:rPr>
      </w:pPr>
    </w:p>
    <w:p w14:paraId="1263B12B">
      <w:pPr>
        <w:spacing w:line="400" w:lineRule="exact"/>
        <w:ind w:firstLine="482" w:firstLineChars="200"/>
        <w:rPr>
          <w:rFonts w:ascii="仿宋" w:hAnsi="仿宋" w:eastAsia="仿宋" w:cs="仿宋"/>
          <w:b/>
          <w:bCs/>
          <w:color w:val="000000" w:themeColor="text1"/>
          <w:sz w:val="24"/>
          <w:highlight w:val="none"/>
        </w:rPr>
      </w:pPr>
      <w:r>
        <w:rPr>
          <w:rFonts w:hint="eastAsia" w:ascii="仿宋" w:hAnsi="仿宋" w:eastAsia="仿宋" w:cs="仿宋"/>
          <w:b/>
          <w:bCs/>
          <w:color w:val="000000" w:themeColor="text1"/>
          <w:sz w:val="24"/>
          <w:highlight w:val="none"/>
        </w:rPr>
        <w:t>一、评审依据</w:t>
      </w:r>
    </w:p>
    <w:p w14:paraId="260AA597">
      <w:pPr>
        <w:spacing w:line="400" w:lineRule="exact"/>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 评审依据：磋商小组以磋商文件和响应文件为评审依据，对供应商的响应文件进行评审。</w:t>
      </w:r>
    </w:p>
    <w:p w14:paraId="0C4B45B5">
      <w:pPr>
        <w:spacing w:line="400" w:lineRule="exact"/>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 评审方式：以封闭方式进行评审。</w:t>
      </w:r>
    </w:p>
    <w:p w14:paraId="3B45219D">
      <w:pPr>
        <w:spacing w:line="400" w:lineRule="exact"/>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3.采购人和采购代理机构、竞争性磋商小组成员要严格遵守政府采购相关法律制度，依法履行各自职责，公正、客观、审慎地组织和参与评审工作。</w:t>
      </w:r>
    </w:p>
    <w:p w14:paraId="30538066">
      <w:pPr>
        <w:spacing w:line="400" w:lineRule="exact"/>
        <w:ind w:firstLine="482" w:firstLineChars="200"/>
        <w:rPr>
          <w:rFonts w:ascii="仿宋" w:hAnsi="仿宋" w:eastAsia="仿宋" w:cs="仿宋"/>
          <w:b/>
          <w:bCs/>
          <w:color w:val="000000" w:themeColor="text1"/>
          <w:sz w:val="24"/>
          <w:highlight w:val="none"/>
        </w:rPr>
      </w:pPr>
    </w:p>
    <w:p w14:paraId="523CCBA3">
      <w:pPr>
        <w:spacing w:line="400" w:lineRule="exact"/>
        <w:ind w:firstLine="482" w:firstLineChars="200"/>
        <w:rPr>
          <w:rFonts w:ascii="仿宋" w:hAnsi="仿宋" w:eastAsia="仿宋" w:cs="仿宋"/>
          <w:b/>
          <w:bCs/>
          <w:color w:val="000000" w:themeColor="text1"/>
          <w:sz w:val="24"/>
          <w:highlight w:val="none"/>
        </w:rPr>
      </w:pPr>
      <w:r>
        <w:rPr>
          <w:rFonts w:hint="eastAsia" w:ascii="仿宋" w:hAnsi="仿宋" w:eastAsia="仿宋" w:cs="仿宋"/>
          <w:b/>
          <w:bCs/>
          <w:color w:val="000000" w:themeColor="text1"/>
          <w:sz w:val="24"/>
          <w:highlight w:val="none"/>
        </w:rPr>
        <w:t>二、评审办法</w:t>
      </w:r>
    </w:p>
    <w:p w14:paraId="7EA8735A">
      <w:pPr>
        <w:spacing w:line="400" w:lineRule="exact"/>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（一）对进入详评的，采用</w:t>
      </w:r>
      <w:r>
        <w:rPr>
          <w:rFonts w:hint="eastAsia" w:ascii="仿宋" w:hAnsi="仿宋" w:eastAsia="仿宋" w:cs="仿宋"/>
          <w:b/>
          <w:bCs/>
          <w:color w:val="000000" w:themeColor="text1"/>
          <w:sz w:val="24"/>
          <w:highlight w:val="none"/>
        </w:rPr>
        <w:t>综合评分法</w:t>
      </w:r>
      <w:r>
        <w:rPr>
          <w:rFonts w:hint="eastAsia" w:ascii="仿宋" w:hAnsi="仿宋" w:eastAsia="仿宋" w:cs="仿宋"/>
          <w:color w:val="000000" w:themeColor="text1"/>
          <w:sz w:val="24"/>
          <w:highlight w:val="none"/>
        </w:rPr>
        <w:t>。</w:t>
      </w:r>
    </w:p>
    <w:p w14:paraId="09D754EB">
      <w:pPr>
        <w:spacing w:line="400" w:lineRule="exact"/>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（二）计分办法（按四舍五入取至小数点后二位）</w:t>
      </w:r>
    </w:p>
    <w:p w14:paraId="2B9B2BA3">
      <w:pPr>
        <w:spacing w:line="400" w:lineRule="exact"/>
        <w:jc w:val="left"/>
        <w:rPr>
          <w:rFonts w:ascii="仿宋" w:hAnsi="仿宋" w:eastAsia="仿宋" w:cs="仿宋"/>
          <w:color w:val="000000" w:themeColor="text1"/>
          <w:sz w:val="24"/>
          <w:highlight w:val="none"/>
        </w:rPr>
      </w:pPr>
      <w:r>
        <w:rPr>
          <w:rFonts w:hint="eastAsia" w:ascii="仿宋" w:hAnsi="仿宋" w:eastAsia="仿宋" w:cs="仿宋"/>
          <w:b/>
          <w:bCs/>
          <w:color w:val="000000" w:themeColor="text1"/>
          <w:sz w:val="24"/>
          <w:highlight w:val="none"/>
        </w:rPr>
        <w:t>1、价格分………………………………………………………………………………</w:t>
      </w:r>
      <w:r>
        <w:rPr>
          <w:rFonts w:hint="eastAsia" w:ascii="仿宋" w:hAnsi="仿宋" w:eastAsia="仿宋" w:cs="仿宋"/>
          <w:b/>
          <w:bCs/>
          <w:color w:val="000000" w:themeColor="text1"/>
          <w:sz w:val="24"/>
          <w:highlight w:val="none"/>
          <w:lang w:val="en-US" w:eastAsia="zh-CN"/>
        </w:rPr>
        <w:t>10</w:t>
      </w:r>
      <w:r>
        <w:rPr>
          <w:rFonts w:hint="eastAsia" w:ascii="仿宋" w:hAnsi="仿宋" w:eastAsia="仿宋" w:cs="仿宋"/>
          <w:b/>
          <w:bCs/>
          <w:color w:val="000000" w:themeColor="text1"/>
          <w:sz w:val="24"/>
          <w:highlight w:val="none"/>
        </w:rPr>
        <w:t>分</w:t>
      </w:r>
    </w:p>
    <w:p w14:paraId="0F3FEA2F">
      <w:pPr>
        <w:pStyle w:val="15"/>
        <w:spacing w:line="500" w:lineRule="exact"/>
        <w:ind w:firstLine="420"/>
        <w:rPr>
          <w:rFonts w:hAnsi="宋体"/>
          <w:b/>
          <w:szCs w:val="21"/>
          <w:highlight w:val="none"/>
        </w:rPr>
      </w:pPr>
      <w:r>
        <w:rPr>
          <w:rFonts w:hint="eastAsia" w:hAnsi="宋体"/>
          <w:szCs w:val="21"/>
          <w:highlight w:val="none"/>
        </w:rPr>
        <w:t>（</w:t>
      </w:r>
      <w:r>
        <w:rPr>
          <w:rFonts w:hint="eastAsia" w:hAnsi="宋体"/>
          <w:bCs/>
          <w:szCs w:val="21"/>
          <w:highlight w:val="none"/>
        </w:rPr>
        <w:t>1）本项目为专门面向中小微企业采购的项目（供应商应为中小微企业、监理企业、残疾人福利性单位），不再执行价格评审优惠的扶持政策</w:t>
      </w:r>
      <w:r>
        <w:rPr>
          <w:rFonts w:hint="eastAsia" w:hAnsi="宋体"/>
          <w:b/>
          <w:szCs w:val="21"/>
          <w:highlight w:val="none"/>
        </w:rPr>
        <w:t>，即评审报价=最后磋商报价。</w:t>
      </w:r>
    </w:p>
    <w:p w14:paraId="70235472">
      <w:pPr>
        <w:spacing w:line="500" w:lineRule="exact"/>
        <w:rPr>
          <w:highlight w:val="none"/>
        </w:rPr>
      </w:pPr>
      <w:r>
        <w:rPr>
          <w:rFonts w:hint="eastAsia"/>
          <w:highlight w:val="none"/>
        </w:rPr>
        <w:t xml:space="preserve">    （2）价格分采用低价优先法计算，即满足磋商文件要求且评标报价最低的评标报价为评标基准价，其价格分为</w:t>
      </w:r>
      <w:r>
        <w:rPr>
          <w:rFonts w:hint="eastAsia"/>
          <w:highlight w:val="none"/>
          <w:lang w:val="en-US" w:eastAsia="zh-CN"/>
        </w:rPr>
        <w:t>10</w:t>
      </w:r>
      <w:r>
        <w:rPr>
          <w:rFonts w:hint="eastAsia"/>
          <w:highlight w:val="none"/>
        </w:rPr>
        <w:t>分。</w:t>
      </w:r>
    </w:p>
    <w:p w14:paraId="4E5D9B33">
      <w:pPr>
        <w:pStyle w:val="15"/>
        <w:spacing w:line="500" w:lineRule="exact"/>
        <w:ind w:firstLine="420"/>
        <w:rPr>
          <w:rFonts w:hAnsi="宋体" w:cs="宋体"/>
          <w:kern w:val="0"/>
          <w:szCs w:val="21"/>
          <w:highlight w:val="none"/>
        </w:rPr>
      </w:pPr>
      <w:bookmarkStart w:id="141" w:name="_Toc31722"/>
      <w:r>
        <w:rPr>
          <w:rFonts w:hint="eastAsia" w:hAnsi="宋体" w:cs="宋体"/>
          <w:kern w:val="0"/>
          <w:szCs w:val="21"/>
          <w:highlight w:val="none"/>
        </w:rPr>
        <w:t>（3）价格分计算公式：</w:t>
      </w:r>
    </w:p>
    <w:p w14:paraId="0CDDC5CA">
      <w:pPr>
        <w:pStyle w:val="15"/>
        <w:spacing w:line="360" w:lineRule="auto"/>
        <w:ind w:firstLine="3087" w:firstLineChars="1470"/>
        <w:rPr>
          <w:rFonts w:hAnsi="宋体" w:cs="宋体"/>
          <w:bCs/>
          <w:szCs w:val="21"/>
          <w:highlight w:val="none"/>
        </w:rPr>
      </w:pPr>
      <w:r>
        <w:rPr>
          <w:rFonts w:hint="eastAsia" w:hAnsi="宋体"/>
          <w:szCs w:val="21"/>
          <w:highlight w:val="none"/>
        </w:rPr>
        <w:t>磋商供应商</w:t>
      </w:r>
      <w:r>
        <w:rPr>
          <w:rFonts w:hint="eastAsia" w:hAnsi="宋体"/>
          <w:bCs/>
          <w:szCs w:val="21"/>
          <w:highlight w:val="none"/>
        </w:rPr>
        <w:t>最低</w:t>
      </w:r>
      <w:r>
        <w:rPr>
          <w:rFonts w:hint="eastAsia" w:hAnsi="宋体"/>
          <w:szCs w:val="21"/>
          <w:highlight w:val="none"/>
        </w:rPr>
        <w:t>评审报价</w:t>
      </w:r>
      <w:r>
        <w:rPr>
          <w:rFonts w:hint="eastAsia" w:hAnsi="宋体"/>
          <w:bCs/>
          <w:szCs w:val="21"/>
          <w:highlight w:val="none"/>
        </w:rPr>
        <w:t>金额</w:t>
      </w:r>
    </w:p>
    <w:p w14:paraId="4ED01635">
      <w:pPr>
        <w:pStyle w:val="15"/>
        <w:spacing w:line="360" w:lineRule="auto"/>
        <w:ind w:firstLine="630" w:firstLineChars="300"/>
        <w:rPr>
          <w:rFonts w:hAnsi="宋体" w:cs="宋体"/>
          <w:bCs/>
          <w:szCs w:val="21"/>
          <w:highlight w:val="none"/>
        </w:rPr>
      </w:pPr>
      <w:r>
        <w:rPr>
          <w:rFonts w:hAnsi="宋体" w:cs="宋体"/>
          <w:bCs/>
          <w:szCs w:val="21"/>
          <w:highlight w:val="none"/>
        </w:rPr>
        <w:pict>
          <v:line id="_x0000_s1027" o:spid="_x0000_s1027" o:spt="20" style="position:absolute;left:0pt;margin-left:143.25pt;margin-top:11.75pt;height:0.05pt;width:156pt;z-index:251663360;mso-width-relative:page;mso-height-relative:page;" coordsize="21600,21600" o:gfxdata="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panztYAAAAJAQAADwAAAAAAAAABACAAAAAiAAAAZHJzL2Rvd25yZXYueG1sUEsB&#10;AhQAFAAAAAgAh07iQIKZ16z3AQAA8gMAAA4AAAAAAAAAAQAgAAAAJQEAAGRycy9lMm9Eb2MueG1s&#10;UEsFBgAAAAAGAAYAWQEAAI4FAAAAAA==&#10;">
            <v:path arrowok="t"/>
            <v:fill focussize="0,0"/>
            <v:stroke/>
            <v:imagedata o:title=""/>
            <o:lock v:ext="edit"/>
          </v:line>
        </w:pict>
      </w:r>
      <w:r>
        <w:rPr>
          <w:rFonts w:hint="eastAsia" w:hAnsi="宋体"/>
          <w:szCs w:val="21"/>
          <w:highlight w:val="none"/>
        </w:rPr>
        <w:t>某磋商供应商</w:t>
      </w:r>
      <w:r>
        <w:rPr>
          <w:rFonts w:hint="eastAsia" w:hAnsi="宋体"/>
          <w:bCs/>
          <w:szCs w:val="21"/>
          <w:highlight w:val="none"/>
        </w:rPr>
        <w:t>价格分</w:t>
      </w:r>
      <w:r>
        <w:rPr>
          <w:rFonts w:hint="eastAsia" w:hAnsi="宋体" w:cs="宋体"/>
          <w:bCs/>
          <w:szCs w:val="21"/>
          <w:highlight w:val="none"/>
        </w:rPr>
        <w:t xml:space="preserve">=                                     ×  </w:t>
      </w:r>
      <w:r>
        <w:rPr>
          <w:rFonts w:hint="eastAsia" w:hAnsi="宋体" w:cs="宋体"/>
          <w:bCs/>
          <w:szCs w:val="21"/>
          <w:highlight w:val="none"/>
          <w:lang w:val="en-US" w:eastAsia="zh-CN"/>
        </w:rPr>
        <w:t>10</w:t>
      </w:r>
      <w:r>
        <w:rPr>
          <w:rFonts w:hint="eastAsia" w:hAnsi="宋体" w:cs="宋体"/>
          <w:bCs/>
          <w:szCs w:val="21"/>
          <w:highlight w:val="none"/>
        </w:rPr>
        <w:t>分</w:t>
      </w:r>
    </w:p>
    <w:p w14:paraId="166C3FC6">
      <w:pPr>
        <w:pStyle w:val="15"/>
        <w:spacing w:line="360" w:lineRule="exact"/>
        <w:ind w:firstLine="420"/>
        <w:rPr>
          <w:rFonts w:hAnsi="宋体" w:cs="宋体"/>
          <w:szCs w:val="21"/>
          <w:highlight w:val="none"/>
        </w:rPr>
      </w:pPr>
      <w:r>
        <w:rPr>
          <w:rFonts w:hint="eastAsia" w:hAnsi="宋体" w:cs="宋体"/>
          <w:bCs/>
          <w:szCs w:val="21"/>
          <w:highlight w:val="none"/>
        </w:rPr>
        <w:t xml:space="preserve">                           某</w:t>
      </w:r>
      <w:r>
        <w:rPr>
          <w:rFonts w:hint="eastAsia" w:hAnsi="宋体"/>
          <w:szCs w:val="21"/>
          <w:highlight w:val="none"/>
        </w:rPr>
        <w:t>磋商供应商评审报价</w:t>
      </w:r>
      <w:r>
        <w:rPr>
          <w:rFonts w:hint="eastAsia" w:hAnsi="宋体"/>
          <w:bCs/>
          <w:szCs w:val="21"/>
          <w:highlight w:val="none"/>
        </w:rPr>
        <w:t>金额</w:t>
      </w:r>
    </w:p>
    <w:p w14:paraId="7D8227F5">
      <w:pPr>
        <w:spacing w:line="400" w:lineRule="exact"/>
        <w:jc w:val="left"/>
        <w:rPr>
          <w:rFonts w:ascii="仿宋" w:hAnsi="仿宋" w:eastAsia="仿宋" w:cs="仿宋"/>
          <w:b/>
          <w:bCs/>
          <w:color w:val="000000" w:themeColor="text1"/>
          <w:sz w:val="24"/>
          <w:highlight w:val="none"/>
        </w:rPr>
      </w:pPr>
    </w:p>
    <w:bookmarkEnd w:id="141"/>
    <w:p w14:paraId="49414CDC">
      <w:pPr>
        <w:pStyle w:val="15"/>
        <w:tabs>
          <w:tab w:val="left" w:pos="4214"/>
        </w:tabs>
        <w:spacing w:line="400" w:lineRule="exact"/>
        <w:ind w:firstLine="422"/>
        <w:rPr>
          <w:rFonts w:hAnsi="宋体"/>
          <w:b/>
          <w:color w:val="000000" w:themeColor="text1"/>
          <w:highlight w:val="none"/>
        </w:rPr>
      </w:pPr>
      <w:r>
        <w:rPr>
          <w:rFonts w:hint="eastAsia" w:hAnsi="宋体"/>
          <w:b/>
          <w:color w:val="000000" w:themeColor="text1"/>
          <w:highlight w:val="none"/>
        </w:rPr>
        <w:t>2、服务方案………………………………………………………………………………………</w:t>
      </w:r>
      <w:r>
        <w:rPr>
          <w:rFonts w:hint="eastAsia" w:hAnsi="宋体"/>
          <w:b/>
          <w:color w:val="000000" w:themeColor="text1"/>
          <w:highlight w:val="none"/>
          <w:lang w:val="en-US" w:eastAsia="zh-CN"/>
        </w:rPr>
        <w:t>66</w:t>
      </w:r>
      <w:r>
        <w:rPr>
          <w:rFonts w:hint="eastAsia" w:hAnsi="宋体"/>
          <w:b/>
          <w:color w:val="000000" w:themeColor="text1"/>
          <w:highlight w:val="none"/>
        </w:rPr>
        <w:t>分</w:t>
      </w:r>
    </w:p>
    <w:p w14:paraId="139B087D">
      <w:pPr>
        <w:spacing w:line="440" w:lineRule="exact"/>
        <w:ind w:firstLine="527" w:firstLineChars="250"/>
        <w:rPr>
          <w:rFonts w:ascii="宋体" w:hAnsi="宋体" w:cs="宋体"/>
          <w:color w:val="000000" w:themeColor="text1"/>
          <w:szCs w:val="21"/>
          <w:highlight w:val="none"/>
        </w:rPr>
      </w:pPr>
      <w:r>
        <w:rPr>
          <w:rFonts w:hint="eastAsia"/>
          <w:b/>
          <w:szCs w:val="21"/>
          <w:highlight w:val="none"/>
        </w:rPr>
        <w:t>（1）服务计划方案</w:t>
      </w:r>
      <w:r>
        <w:rPr>
          <w:rFonts w:hint="eastAsia" w:ascii="宋体" w:hAnsi="宋体" w:cs="宋体"/>
          <w:b/>
          <w:szCs w:val="21"/>
          <w:highlight w:val="none"/>
        </w:rPr>
        <w:t>（满分</w:t>
      </w:r>
      <w:r>
        <w:rPr>
          <w:rFonts w:hint="eastAsia" w:ascii="宋体" w:hAnsi="宋体" w:cs="宋体"/>
          <w:b/>
          <w:szCs w:val="21"/>
          <w:highlight w:val="none"/>
          <w:lang w:val="en-US" w:eastAsia="zh-CN"/>
        </w:rPr>
        <w:t>22</w:t>
      </w:r>
      <w:r>
        <w:rPr>
          <w:rFonts w:hint="eastAsia" w:ascii="宋体" w:hAnsi="宋体" w:cs="宋体"/>
          <w:b/>
          <w:szCs w:val="21"/>
          <w:highlight w:val="none"/>
        </w:rPr>
        <w:t>分）</w:t>
      </w:r>
    </w:p>
    <w:p w14:paraId="4EA8E66C">
      <w:pPr>
        <w:spacing w:line="440" w:lineRule="exact"/>
        <w:ind w:firstLine="527" w:firstLineChars="250"/>
        <w:rPr>
          <w:b/>
          <w:szCs w:val="21"/>
          <w:highlight w:val="none"/>
        </w:rPr>
      </w:pPr>
      <w:r>
        <w:rPr>
          <w:rFonts w:hint="eastAsia"/>
          <w:b/>
          <w:szCs w:val="21"/>
          <w:highlight w:val="none"/>
        </w:rPr>
        <w:t>评标小组对各投标人的投标文件中提供的</w:t>
      </w:r>
      <w:r>
        <w:rPr>
          <w:rFonts w:hint="eastAsia" w:ascii="宋体" w:hAnsi="宋体" w:cs="宋体"/>
          <w:b/>
          <w:szCs w:val="21"/>
          <w:highlight w:val="none"/>
        </w:rPr>
        <w:t>服务计划方案，从</w:t>
      </w:r>
      <w:r>
        <w:rPr>
          <w:rFonts w:hint="eastAsia" w:ascii="宋体" w:hAnsi="宋体"/>
          <w:b/>
          <w:bCs/>
          <w:szCs w:val="21"/>
          <w:highlight w:val="none"/>
        </w:rPr>
        <w:t>服务计划安排、服务主要措施、</w:t>
      </w:r>
      <w:r>
        <w:rPr>
          <w:rFonts w:hint="eastAsia" w:hAnsi="宋体"/>
          <w:b/>
          <w:bCs/>
          <w:szCs w:val="21"/>
          <w:highlight w:val="none"/>
        </w:rPr>
        <w:t>服务人员配备</w:t>
      </w:r>
      <w:r>
        <w:rPr>
          <w:rFonts w:hint="eastAsia" w:ascii="宋体" w:hAnsi="宋体" w:cs="宋体"/>
          <w:b/>
          <w:szCs w:val="21"/>
          <w:highlight w:val="none"/>
        </w:rPr>
        <w:t>等方面进行独立评审并打分：</w:t>
      </w:r>
    </w:p>
    <w:p w14:paraId="2B354CF9">
      <w:pPr>
        <w:spacing w:line="440" w:lineRule="exact"/>
        <w:ind w:firstLine="525" w:firstLineChars="250"/>
        <w:rPr>
          <w:rFonts w:ascii="宋体" w:hAnsi="Courier New"/>
          <w:szCs w:val="21"/>
          <w:highlight w:val="none"/>
        </w:rPr>
      </w:pPr>
      <w:r>
        <w:rPr>
          <w:rFonts w:hint="eastAsia" w:ascii="宋体" w:hAnsi="Courier New"/>
          <w:szCs w:val="21"/>
          <w:highlight w:val="none"/>
        </w:rPr>
        <w:t>一档（</w:t>
      </w:r>
      <w:r>
        <w:rPr>
          <w:rFonts w:hint="eastAsia" w:ascii="宋体" w:hAnsi="Courier New"/>
          <w:szCs w:val="21"/>
          <w:highlight w:val="none"/>
          <w:lang w:val="en-US" w:eastAsia="zh-CN"/>
        </w:rPr>
        <w:t>7</w:t>
      </w:r>
      <w:r>
        <w:rPr>
          <w:rFonts w:hint="eastAsia" w:ascii="宋体" w:hAnsi="Courier New"/>
          <w:szCs w:val="21"/>
          <w:highlight w:val="none"/>
        </w:rPr>
        <w:t>分）：</w:t>
      </w:r>
      <w:r>
        <w:rPr>
          <w:rFonts w:hint="eastAsia" w:ascii="宋体" w:hAnsi="宋体" w:cs="宋体"/>
          <w:szCs w:val="21"/>
          <w:highlight w:val="none"/>
        </w:rPr>
        <w:t>服务计划方案的内容</w:t>
      </w:r>
      <w:r>
        <w:rPr>
          <w:rFonts w:hint="eastAsia"/>
          <w:highlight w:val="none"/>
        </w:rPr>
        <w:t>描述简单</w:t>
      </w:r>
      <w:r>
        <w:rPr>
          <w:rFonts w:hint="eastAsia" w:ascii="宋体" w:hAnsi="Courier New"/>
          <w:szCs w:val="21"/>
          <w:highlight w:val="none"/>
        </w:rPr>
        <w:t>，</w:t>
      </w:r>
      <w:r>
        <w:rPr>
          <w:rFonts w:hint="eastAsia" w:ascii="宋体" w:hAnsi="宋体"/>
          <w:bCs/>
          <w:szCs w:val="21"/>
          <w:highlight w:val="none"/>
        </w:rPr>
        <w:t>服务计划安排、服务主要措施、服务人员及设备配备</w:t>
      </w:r>
      <w:r>
        <w:rPr>
          <w:rFonts w:hint="eastAsia" w:hAnsi="宋体"/>
          <w:bCs/>
          <w:szCs w:val="21"/>
          <w:highlight w:val="none"/>
        </w:rPr>
        <w:t>等方面内容不完整或简单描述的</w:t>
      </w:r>
      <w:r>
        <w:rPr>
          <w:rFonts w:hint="eastAsia" w:ascii="宋体" w:hAnsi="Courier New"/>
          <w:szCs w:val="21"/>
          <w:highlight w:val="none"/>
        </w:rPr>
        <w:t>；</w:t>
      </w:r>
    </w:p>
    <w:p w14:paraId="274CB01F">
      <w:pPr>
        <w:spacing w:line="440" w:lineRule="exact"/>
        <w:ind w:firstLine="525" w:firstLineChars="250"/>
        <w:rPr>
          <w:rFonts w:ascii="宋体" w:hAnsi="Courier New"/>
          <w:szCs w:val="21"/>
          <w:highlight w:val="none"/>
        </w:rPr>
      </w:pPr>
      <w:r>
        <w:rPr>
          <w:rFonts w:hint="eastAsia" w:ascii="宋体" w:hAnsi="Courier New"/>
          <w:szCs w:val="21"/>
          <w:highlight w:val="none"/>
        </w:rPr>
        <w:t>二档（</w:t>
      </w:r>
      <w:r>
        <w:rPr>
          <w:rFonts w:hint="eastAsia" w:ascii="宋体" w:hAnsi="Courier New"/>
          <w:szCs w:val="21"/>
          <w:highlight w:val="none"/>
          <w:lang w:val="en-US" w:eastAsia="zh-CN"/>
        </w:rPr>
        <w:t>14</w:t>
      </w:r>
      <w:r>
        <w:rPr>
          <w:rFonts w:hint="eastAsia" w:ascii="宋体" w:hAnsi="Courier New"/>
          <w:szCs w:val="21"/>
          <w:highlight w:val="none"/>
        </w:rPr>
        <w:t>分）：</w:t>
      </w:r>
      <w:r>
        <w:rPr>
          <w:rFonts w:hint="eastAsia" w:ascii="宋体" w:hAnsi="宋体" w:cs="宋体"/>
          <w:szCs w:val="21"/>
          <w:highlight w:val="none"/>
        </w:rPr>
        <w:t>服务计划方案的内容</w:t>
      </w:r>
      <w:r>
        <w:rPr>
          <w:rFonts w:hint="eastAsia"/>
          <w:highlight w:val="none"/>
        </w:rPr>
        <w:t>描述条理清晰</w:t>
      </w:r>
      <w:r>
        <w:rPr>
          <w:rFonts w:hint="eastAsia" w:ascii="宋体" w:hAnsi="宋体" w:cs="宋体"/>
          <w:szCs w:val="21"/>
          <w:highlight w:val="none"/>
        </w:rPr>
        <w:t>，具</w:t>
      </w:r>
      <w:r>
        <w:rPr>
          <w:rFonts w:hint="eastAsia" w:ascii="宋体" w:hAnsi="宋体"/>
          <w:bCs/>
          <w:szCs w:val="21"/>
          <w:highlight w:val="none"/>
        </w:rPr>
        <w:t>有明确的服务计划安排、各季节供应计划；较详细说明服务主要措施；</w:t>
      </w:r>
      <w:r>
        <w:rPr>
          <w:rFonts w:hint="eastAsia" w:hAnsi="宋体"/>
          <w:bCs/>
          <w:szCs w:val="21"/>
          <w:highlight w:val="none"/>
        </w:rPr>
        <w:t>有基本的服务人员和设备配备说明，符合项目需求；</w:t>
      </w:r>
    </w:p>
    <w:p w14:paraId="74EE047C">
      <w:pPr>
        <w:spacing w:line="440" w:lineRule="exact"/>
        <w:ind w:firstLine="525" w:firstLineChars="250"/>
        <w:rPr>
          <w:rFonts w:ascii="宋体" w:hAnsi="Courier New"/>
          <w:szCs w:val="21"/>
          <w:highlight w:val="none"/>
        </w:rPr>
      </w:pPr>
      <w:r>
        <w:rPr>
          <w:rFonts w:hint="eastAsia" w:ascii="宋体" w:hAnsi="Courier New"/>
          <w:szCs w:val="21"/>
          <w:highlight w:val="none"/>
        </w:rPr>
        <w:t>三档（</w:t>
      </w:r>
      <w:r>
        <w:rPr>
          <w:rFonts w:hint="eastAsia" w:ascii="宋体" w:hAnsi="Courier New"/>
          <w:szCs w:val="21"/>
          <w:highlight w:val="none"/>
          <w:lang w:val="en-US" w:eastAsia="zh-CN"/>
        </w:rPr>
        <w:t>22</w:t>
      </w:r>
      <w:r>
        <w:rPr>
          <w:rFonts w:hint="eastAsia" w:ascii="宋体" w:hAnsi="Courier New"/>
          <w:szCs w:val="21"/>
          <w:highlight w:val="none"/>
        </w:rPr>
        <w:t>分）：</w:t>
      </w:r>
      <w:r>
        <w:rPr>
          <w:rFonts w:hint="eastAsia" w:ascii="宋体" w:hAnsi="宋体" w:cs="宋体"/>
          <w:szCs w:val="21"/>
          <w:highlight w:val="none"/>
        </w:rPr>
        <w:t>服务计划方案内容</w:t>
      </w:r>
      <w:r>
        <w:rPr>
          <w:rFonts w:hint="eastAsia"/>
          <w:highlight w:val="none"/>
        </w:rPr>
        <w:t>详细合理</w:t>
      </w:r>
      <w:r>
        <w:rPr>
          <w:rFonts w:hint="eastAsia" w:ascii="宋体" w:hAnsi="宋体" w:cs="宋体"/>
          <w:szCs w:val="21"/>
          <w:highlight w:val="none"/>
        </w:rPr>
        <w:t>，</w:t>
      </w:r>
      <w:r>
        <w:rPr>
          <w:rFonts w:hint="eastAsia" w:ascii="宋体" w:hAnsi="宋体"/>
          <w:bCs/>
          <w:szCs w:val="21"/>
          <w:highlight w:val="none"/>
        </w:rPr>
        <w:t>服务计划安排周全，有针对性的配送服务流程和各季节供应计划；服务主要措施可行性强，同时提出有利于食堂物资定点采购服务的意见和建议；</w:t>
      </w:r>
      <w:r>
        <w:rPr>
          <w:rFonts w:hint="eastAsia" w:hAnsi="宋体"/>
          <w:bCs/>
          <w:szCs w:val="21"/>
          <w:highlight w:val="none"/>
        </w:rPr>
        <w:t>对各环节服务人员、设备的配备合理、分工明确，完全满足项目需求。</w:t>
      </w:r>
    </w:p>
    <w:p w14:paraId="3252FB85">
      <w:pPr>
        <w:pStyle w:val="22"/>
        <w:ind w:firstLine="422"/>
        <w:rPr>
          <w:szCs w:val="21"/>
          <w:highlight w:val="none"/>
        </w:rPr>
      </w:pPr>
      <w:r>
        <w:rPr>
          <w:rFonts w:hint="eastAsia" w:hAnsi="宋体"/>
          <w:bCs/>
          <w:szCs w:val="21"/>
          <w:highlight w:val="none"/>
        </w:rPr>
        <w:t>注：不提供不得分。</w:t>
      </w:r>
    </w:p>
    <w:p w14:paraId="74666D4F">
      <w:pPr>
        <w:spacing w:line="440" w:lineRule="exact"/>
        <w:ind w:firstLine="523" w:firstLineChars="248"/>
        <w:rPr>
          <w:b/>
          <w:szCs w:val="21"/>
          <w:highlight w:val="none"/>
        </w:rPr>
      </w:pPr>
      <w:r>
        <w:rPr>
          <w:rFonts w:hint="eastAsia"/>
          <w:b/>
          <w:szCs w:val="21"/>
          <w:highlight w:val="none"/>
        </w:rPr>
        <w:t>（2）配送实施方案</w:t>
      </w:r>
      <w:r>
        <w:rPr>
          <w:rFonts w:hint="eastAsia" w:ascii="宋体" w:hAnsi="宋体" w:cs="宋体"/>
          <w:b/>
          <w:szCs w:val="21"/>
          <w:highlight w:val="none"/>
        </w:rPr>
        <w:t>（满分</w:t>
      </w:r>
      <w:r>
        <w:rPr>
          <w:rFonts w:hint="eastAsia" w:ascii="宋体" w:hAnsi="宋体" w:cs="宋体"/>
          <w:b/>
          <w:szCs w:val="21"/>
          <w:highlight w:val="none"/>
          <w:lang w:val="en-US" w:eastAsia="zh-CN"/>
        </w:rPr>
        <w:t>22</w:t>
      </w:r>
      <w:r>
        <w:rPr>
          <w:rFonts w:hint="eastAsia" w:ascii="宋体" w:hAnsi="宋体" w:cs="宋体"/>
          <w:b/>
          <w:szCs w:val="21"/>
          <w:highlight w:val="none"/>
        </w:rPr>
        <w:t>分）</w:t>
      </w:r>
    </w:p>
    <w:p w14:paraId="4CFB540B">
      <w:pPr>
        <w:spacing w:line="440" w:lineRule="exact"/>
        <w:ind w:firstLine="527" w:firstLineChars="250"/>
        <w:rPr>
          <w:rFonts w:ascii="宋体" w:hAnsi="宋体" w:cs="宋体"/>
          <w:b/>
          <w:szCs w:val="21"/>
          <w:highlight w:val="none"/>
        </w:rPr>
      </w:pPr>
      <w:r>
        <w:rPr>
          <w:rFonts w:hint="eastAsia"/>
          <w:b/>
          <w:szCs w:val="21"/>
          <w:highlight w:val="none"/>
        </w:rPr>
        <w:t>评标小组对各投标人的投标文件中提供的</w:t>
      </w:r>
      <w:r>
        <w:rPr>
          <w:rFonts w:hint="eastAsia" w:ascii="宋体" w:hAnsi="宋体" w:cs="宋体"/>
          <w:b/>
          <w:szCs w:val="21"/>
          <w:highlight w:val="none"/>
        </w:rPr>
        <w:t>配送实施方案，从</w:t>
      </w:r>
      <w:r>
        <w:rPr>
          <w:rFonts w:hint="eastAsia" w:ascii="宋体" w:hAnsi="宋体"/>
          <w:b/>
          <w:bCs/>
          <w:szCs w:val="21"/>
          <w:highlight w:val="none"/>
        </w:rPr>
        <w:t>配送管理方案、</w:t>
      </w:r>
      <w:r>
        <w:rPr>
          <w:rFonts w:hint="eastAsia" w:hAnsi="宋体"/>
          <w:b/>
          <w:bCs/>
          <w:szCs w:val="21"/>
          <w:highlight w:val="none"/>
        </w:rPr>
        <w:t>配送能力说明、应急配送措施、货源渠道</w:t>
      </w:r>
      <w:r>
        <w:rPr>
          <w:rFonts w:hint="eastAsia" w:ascii="宋体" w:hAnsi="宋体" w:cs="宋体"/>
          <w:b/>
          <w:szCs w:val="21"/>
          <w:highlight w:val="none"/>
        </w:rPr>
        <w:t>等方面进行独立评审并打分：</w:t>
      </w:r>
    </w:p>
    <w:p w14:paraId="18684A33">
      <w:pPr>
        <w:spacing w:line="440" w:lineRule="exact"/>
        <w:ind w:firstLine="525" w:firstLineChars="250"/>
        <w:rPr>
          <w:rFonts w:ascii="宋体" w:hAnsi="宋体" w:cs="宋体"/>
          <w:b/>
          <w:szCs w:val="21"/>
          <w:highlight w:val="none"/>
        </w:rPr>
      </w:pPr>
      <w:r>
        <w:rPr>
          <w:rFonts w:hint="eastAsia" w:ascii="宋体" w:hAnsi="Courier New"/>
          <w:szCs w:val="21"/>
          <w:highlight w:val="none"/>
        </w:rPr>
        <w:t>一档（</w:t>
      </w:r>
      <w:r>
        <w:rPr>
          <w:rFonts w:hint="eastAsia" w:ascii="宋体" w:hAnsi="Courier New"/>
          <w:szCs w:val="21"/>
          <w:highlight w:val="none"/>
          <w:lang w:val="en-US" w:eastAsia="zh-CN"/>
        </w:rPr>
        <w:t>7</w:t>
      </w:r>
      <w:r>
        <w:rPr>
          <w:rFonts w:hint="eastAsia" w:ascii="宋体" w:hAnsi="Courier New"/>
          <w:szCs w:val="21"/>
          <w:highlight w:val="none"/>
        </w:rPr>
        <w:t>分）：</w:t>
      </w:r>
      <w:r>
        <w:rPr>
          <w:rFonts w:hint="eastAsia" w:ascii="宋体" w:hAnsi="宋体" w:cs="宋体"/>
          <w:szCs w:val="21"/>
          <w:highlight w:val="none"/>
        </w:rPr>
        <w:t>配送实施方案内容不够切合实际，</w:t>
      </w:r>
      <w:r>
        <w:rPr>
          <w:rFonts w:hint="eastAsia" w:ascii="宋体" w:hAnsi="宋体"/>
          <w:bCs/>
          <w:szCs w:val="21"/>
          <w:highlight w:val="none"/>
        </w:rPr>
        <w:t>配送管理方案、</w:t>
      </w:r>
      <w:r>
        <w:rPr>
          <w:rFonts w:hint="eastAsia" w:hAnsi="宋体"/>
          <w:bCs/>
          <w:szCs w:val="21"/>
          <w:highlight w:val="none"/>
        </w:rPr>
        <w:t>配送能力说明、应急配送措施</w:t>
      </w:r>
      <w:r>
        <w:rPr>
          <w:rFonts w:hint="eastAsia" w:ascii="宋体" w:hAnsi="宋体" w:cs="宋体"/>
          <w:szCs w:val="21"/>
          <w:highlight w:val="none"/>
        </w:rPr>
        <w:t>等方面不完整或简单描述的；</w:t>
      </w:r>
    </w:p>
    <w:p w14:paraId="4F2D85AF">
      <w:pPr>
        <w:spacing w:line="440" w:lineRule="exact"/>
        <w:ind w:firstLine="525" w:firstLineChars="250"/>
        <w:rPr>
          <w:rFonts w:ascii="宋体" w:hAnsi="宋体" w:cs="宋体"/>
          <w:szCs w:val="21"/>
          <w:highlight w:val="none"/>
        </w:rPr>
      </w:pPr>
      <w:r>
        <w:rPr>
          <w:rFonts w:hint="eastAsia" w:ascii="宋体" w:hAnsi="Courier New"/>
          <w:szCs w:val="21"/>
          <w:highlight w:val="none"/>
        </w:rPr>
        <w:t>二档（</w:t>
      </w:r>
      <w:r>
        <w:rPr>
          <w:rFonts w:hint="eastAsia" w:ascii="宋体" w:hAnsi="Courier New"/>
          <w:szCs w:val="21"/>
          <w:highlight w:val="none"/>
          <w:lang w:val="en-US" w:eastAsia="zh-CN"/>
        </w:rPr>
        <w:t>14</w:t>
      </w:r>
      <w:r>
        <w:rPr>
          <w:rFonts w:hint="eastAsia" w:ascii="宋体" w:hAnsi="Courier New"/>
          <w:szCs w:val="21"/>
          <w:highlight w:val="none"/>
        </w:rPr>
        <w:t>分）：</w:t>
      </w:r>
      <w:r>
        <w:rPr>
          <w:rFonts w:hint="eastAsia" w:ascii="宋体" w:hAnsi="宋体" w:cs="宋体"/>
          <w:szCs w:val="21"/>
          <w:highlight w:val="none"/>
        </w:rPr>
        <w:t>配送实施方案内容较完整，</w:t>
      </w:r>
      <w:r>
        <w:rPr>
          <w:rFonts w:hint="eastAsia" w:hAnsi="宋体"/>
          <w:bCs/>
          <w:szCs w:val="21"/>
          <w:highlight w:val="none"/>
        </w:rPr>
        <w:t>有明确的配送</w:t>
      </w:r>
      <w:r>
        <w:rPr>
          <w:rFonts w:hint="eastAsia" w:ascii="宋体" w:hAnsi="宋体"/>
          <w:bCs/>
          <w:szCs w:val="21"/>
          <w:highlight w:val="none"/>
        </w:rPr>
        <w:t>管理方案及</w:t>
      </w:r>
      <w:r>
        <w:rPr>
          <w:rFonts w:hint="eastAsia" w:hAnsi="宋体"/>
          <w:bCs/>
          <w:szCs w:val="21"/>
          <w:highlight w:val="none"/>
        </w:rPr>
        <w:t>配送能力说明</w:t>
      </w:r>
      <w:r>
        <w:rPr>
          <w:rFonts w:hint="eastAsia" w:ascii="宋体" w:hAnsi="宋体"/>
          <w:bCs/>
          <w:szCs w:val="21"/>
          <w:highlight w:val="none"/>
        </w:rPr>
        <w:t>（</w:t>
      </w:r>
      <w:r>
        <w:rPr>
          <w:rFonts w:hint="eastAsia" w:ascii="宋体" w:hAnsi="宋体" w:cs="宋体"/>
          <w:bCs/>
          <w:szCs w:val="21"/>
          <w:highlight w:val="none"/>
        </w:rPr>
        <w:t>包含商品保存、运输、配送时间等方面</w:t>
      </w:r>
      <w:r>
        <w:rPr>
          <w:rFonts w:hint="eastAsia" w:ascii="宋体" w:hAnsi="宋体"/>
          <w:bCs/>
          <w:szCs w:val="21"/>
          <w:highlight w:val="none"/>
        </w:rPr>
        <w:t>）</w:t>
      </w:r>
      <w:r>
        <w:rPr>
          <w:rFonts w:hint="eastAsia" w:hAnsi="宋体"/>
          <w:bCs/>
          <w:szCs w:val="21"/>
          <w:highlight w:val="none"/>
        </w:rPr>
        <w:t>，有基本的应急配送措施，基本符合项目特殊情况下的应急供给保障的；有明确的货源渠道说明，较好满足采购人对供货时间地点、供货数量、配送、货源质量的要求；</w:t>
      </w:r>
    </w:p>
    <w:p w14:paraId="34298F6C">
      <w:pPr>
        <w:spacing w:line="440" w:lineRule="exact"/>
        <w:ind w:firstLine="525" w:firstLineChars="250"/>
        <w:rPr>
          <w:rFonts w:hAnsi="宋体"/>
          <w:bCs/>
          <w:szCs w:val="21"/>
          <w:highlight w:val="none"/>
        </w:rPr>
      </w:pPr>
      <w:r>
        <w:rPr>
          <w:rFonts w:hint="eastAsia" w:ascii="宋体" w:hAnsi="Courier New"/>
          <w:szCs w:val="21"/>
          <w:highlight w:val="none"/>
        </w:rPr>
        <w:t>三档（</w:t>
      </w:r>
      <w:r>
        <w:rPr>
          <w:rFonts w:hint="eastAsia" w:ascii="宋体" w:hAnsi="Courier New"/>
          <w:szCs w:val="21"/>
          <w:highlight w:val="none"/>
          <w:lang w:val="en-US" w:eastAsia="zh-CN"/>
        </w:rPr>
        <w:t>22</w:t>
      </w:r>
      <w:r>
        <w:rPr>
          <w:rFonts w:hint="eastAsia" w:ascii="宋体" w:hAnsi="Courier New"/>
          <w:szCs w:val="21"/>
          <w:highlight w:val="none"/>
        </w:rPr>
        <w:t>分）：</w:t>
      </w:r>
      <w:r>
        <w:rPr>
          <w:rFonts w:hint="eastAsia" w:ascii="宋体" w:hAnsi="宋体" w:cs="宋体"/>
          <w:szCs w:val="21"/>
          <w:highlight w:val="none"/>
        </w:rPr>
        <w:t>配送实施方案内容详细，有</w:t>
      </w:r>
      <w:r>
        <w:rPr>
          <w:rFonts w:hint="eastAsia" w:hAnsi="宋体"/>
          <w:bCs/>
          <w:szCs w:val="21"/>
          <w:highlight w:val="none"/>
        </w:rPr>
        <w:t>详细</w:t>
      </w:r>
      <w:r>
        <w:rPr>
          <w:rFonts w:hint="eastAsia" w:ascii="宋体" w:hAnsi="宋体" w:cs="宋体"/>
          <w:szCs w:val="21"/>
          <w:highlight w:val="none"/>
        </w:rPr>
        <w:t>合理的</w:t>
      </w:r>
      <w:r>
        <w:rPr>
          <w:rFonts w:hint="eastAsia" w:hAnsi="宋体"/>
          <w:bCs/>
          <w:szCs w:val="21"/>
          <w:highlight w:val="none"/>
        </w:rPr>
        <w:t>配送</w:t>
      </w:r>
      <w:r>
        <w:rPr>
          <w:rFonts w:hint="eastAsia" w:ascii="宋体" w:hAnsi="宋体"/>
          <w:bCs/>
          <w:szCs w:val="21"/>
          <w:highlight w:val="none"/>
        </w:rPr>
        <w:t>管理方案及</w:t>
      </w:r>
      <w:r>
        <w:rPr>
          <w:rFonts w:hint="eastAsia" w:hAnsi="宋体"/>
          <w:bCs/>
          <w:szCs w:val="21"/>
          <w:highlight w:val="none"/>
        </w:rPr>
        <w:t>配送能力说明（</w:t>
      </w:r>
      <w:r>
        <w:rPr>
          <w:rFonts w:hint="eastAsia" w:ascii="宋体" w:hAnsi="宋体" w:cs="宋体"/>
          <w:bCs/>
          <w:szCs w:val="21"/>
          <w:highlight w:val="none"/>
        </w:rPr>
        <w:t>包含配送的商品质量、商品保存、运输、配送时间等方面</w:t>
      </w:r>
      <w:r>
        <w:rPr>
          <w:rFonts w:hint="eastAsia" w:hAnsi="宋体"/>
          <w:bCs/>
          <w:szCs w:val="21"/>
          <w:highlight w:val="none"/>
        </w:rPr>
        <w:t>），应急配送措施合理可行，</w:t>
      </w:r>
      <w:r>
        <w:rPr>
          <w:rFonts w:hint="eastAsia" w:hAnsi="宋体"/>
          <w:szCs w:val="21"/>
          <w:highlight w:val="none"/>
        </w:rPr>
        <w:t>能充分满足</w:t>
      </w:r>
      <w:r>
        <w:rPr>
          <w:rFonts w:hint="eastAsia" w:hAnsi="宋体"/>
          <w:bCs/>
          <w:szCs w:val="21"/>
          <w:highlight w:val="none"/>
        </w:rPr>
        <w:t>项目特殊情况下的应急供给保障的；货源渠道多样，能充分满足采购人对供货时间地点、供货数量、配送、货源质量的要求以及在特殊情况下的供给保障。</w:t>
      </w:r>
    </w:p>
    <w:p w14:paraId="6DE10F6E">
      <w:pPr>
        <w:pStyle w:val="22"/>
        <w:ind w:firstLine="422"/>
        <w:rPr>
          <w:highlight w:val="none"/>
        </w:rPr>
      </w:pPr>
      <w:r>
        <w:rPr>
          <w:rFonts w:hint="eastAsia" w:hAnsi="宋体"/>
          <w:bCs/>
          <w:szCs w:val="21"/>
          <w:highlight w:val="none"/>
        </w:rPr>
        <w:t>注：不提供不得分。</w:t>
      </w:r>
    </w:p>
    <w:p w14:paraId="1F75624E">
      <w:pPr>
        <w:spacing w:line="440" w:lineRule="exact"/>
        <w:rPr>
          <w:rFonts w:ascii="宋体" w:hAnsi="Courier New"/>
          <w:szCs w:val="21"/>
          <w:highlight w:val="none"/>
        </w:rPr>
      </w:pPr>
      <w:r>
        <w:rPr>
          <w:rFonts w:hint="eastAsia" w:ascii="宋体" w:hAnsi="宋体" w:cs="宋体"/>
          <w:b/>
          <w:bCs/>
          <w:szCs w:val="21"/>
          <w:highlight w:val="none"/>
        </w:rPr>
        <w:t>（3）食材质量安全保障措施</w:t>
      </w:r>
      <w:r>
        <w:rPr>
          <w:rFonts w:hint="eastAsia" w:ascii="宋体" w:hAnsi="宋体" w:cs="宋体"/>
          <w:b/>
          <w:szCs w:val="21"/>
          <w:highlight w:val="none"/>
        </w:rPr>
        <w:t>（满分</w:t>
      </w:r>
      <w:r>
        <w:rPr>
          <w:rFonts w:hint="eastAsia" w:ascii="宋体" w:hAnsi="宋体" w:cs="宋体"/>
          <w:b/>
          <w:szCs w:val="21"/>
          <w:highlight w:val="none"/>
          <w:lang w:val="en-US" w:eastAsia="zh-CN"/>
        </w:rPr>
        <w:t>22</w:t>
      </w:r>
      <w:r>
        <w:rPr>
          <w:rFonts w:hint="eastAsia" w:ascii="宋体" w:hAnsi="宋体" w:cs="宋体"/>
          <w:b/>
          <w:szCs w:val="21"/>
          <w:highlight w:val="none"/>
        </w:rPr>
        <w:t>分）</w:t>
      </w:r>
    </w:p>
    <w:p w14:paraId="4AB2F170">
      <w:pPr>
        <w:spacing w:line="440" w:lineRule="exact"/>
        <w:ind w:firstLine="527" w:firstLineChars="250"/>
        <w:rPr>
          <w:rFonts w:ascii="宋体" w:hAnsi="宋体" w:cs="宋体"/>
          <w:b/>
          <w:szCs w:val="21"/>
          <w:highlight w:val="none"/>
        </w:rPr>
      </w:pPr>
      <w:r>
        <w:rPr>
          <w:rFonts w:hint="eastAsia"/>
          <w:b/>
          <w:szCs w:val="21"/>
          <w:highlight w:val="none"/>
        </w:rPr>
        <w:t>评标小组对各投标人的投标文件中提供的</w:t>
      </w:r>
      <w:r>
        <w:rPr>
          <w:rFonts w:hint="eastAsia" w:ascii="宋体" w:hAnsi="宋体" w:cs="宋体"/>
          <w:b/>
          <w:bCs/>
          <w:szCs w:val="21"/>
          <w:highlight w:val="none"/>
        </w:rPr>
        <w:t>食材质量安全保障措施</w:t>
      </w:r>
      <w:r>
        <w:rPr>
          <w:rFonts w:hint="eastAsia" w:ascii="宋体" w:hAnsi="宋体" w:cs="宋体"/>
          <w:b/>
          <w:szCs w:val="21"/>
          <w:highlight w:val="none"/>
        </w:rPr>
        <w:t>，</w:t>
      </w:r>
      <w:r>
        <w:rPr>
          <w:rFonts w:hint="eastAsia" w:ascii="宋体" w:hAnsi="宋体"/>
          <w:b/>
          <w:bCs/>
          <w:szCs w:val="21"/>
          <w:highlight w:val="none"/>
        </w:rPr>
        <w:t>食材质量标准、</w:t>
      </w:r>
      <w:r>
        <w:rPr>
          <w:rFonts w:hint="eastAsia" w:hAnsi="宋体"/>
          <w:b/>
          <w:bCs/>
          <w:szCs w:val="21"/>
          <w:highlight w:val="none"/>
        </w:rPr>
        <w:t>食材质量管理措施、检验措施</w:t>
      </w:r>
      <w:r>
        <w:rPr>
          <w:rFonts w:hint="eastAsia" w:ascii="宋体" w:hAnsi="宋体" w:cs="宋体"/>
          <w:b/>
          <w:szCs w:val="21"/>
          <w:highlight w:val="none"/>
        </w:rPr>
        <w:t>等方面进行独立评审并打分：</w:t>
      </w:r>
    </w:p>
    <w:p w14:paraId="2D572C45">
      <w:pPr>
        <w:spacing w:line="440" w:lineRule="exact"/>
        <w:ind w:firstLine="525" w:firstLineChars="250"/>
        <w:rPr>
          <w:rFonts w:ascii="宋体" w:hAnsi="宋体" w:cs="宋体"/>
          <w:b/>
          <w:szCs w:val="21"/>
          <w:highlight w:val="none"/>
        </w:rPr>
      </w:pPr>
      <w:r>
        <w:rPr>
          <w:rFonts w:hint="eastAsia" w:ascii="宋体" w:hAnsi="Courier New"/>
          <w:szCs w:val="21"/>
          <w:highlight w:val="none"/>
        </w:rPr>
        <w:t>一档（</w:t>
      </w:r>
      <w:r>
        <w:rPr>
          <w:rFonts w:hint="eastAsia" w:ascii="宋体" w:hAnsi="Courier New"/>
          <w:szCs w:val="21"/>
          <w:highlight w:val="none"/>
          <w:lang w:val="en-US" w:eastAsia="zh-CN"/>
        </w:rPr>
        <w:t>7</w:t>
      </w:r>
      <w:r>
        <w:rPr>
          <w:rFonts w:hint="eastAsia" w:ascii="宋体" w:hAnsi="Courier New"/>
          <w:szCs w:val="21"/>
          <w:highlight w:val="none"/>
        </w:rPr>
        <w:t>分）：有简单的</w:t>
      </w:r>
      <w:r>
        <w:rPr>
          <w:rFonts w:hint="eastAsia" w:ascii="宋体" w:hAnsi="宋体" w:cs="宋体"/>
          <w:szCs w:val="21"/>
          <w:highlight w:val="none"/>
        </w:rPr>
        <w:t>食材质量安全保障措施，</w:t>
      </w:r>
      <w:r>
        <w:rPr>
          <w:rFonts w:hint="eastAsia" w:ascii="宋体" w:hAnsi="宋体"/>
          <w:bCs/>
          <w:szCs w:val="21"/>
          <w:highlight w:val="none"/>
        </w:rPr>
        <w:t>食材质量标准、食材质量管理措施、检验措施等方面</w:t>
      </w:r>
      <w:r>
        <w:rPr>
          <w:rFonts w:hint="eastAsia" w:ascii="宋体" w:hAnsi="宋体" w:cs="宋体"/>
          <w:szCs w:val="21"/>
          <w:highlight w:val="none"/>
        </w:rPr>
        <w:t>不完整或简单描述的；</w:t>
      </w:r>
    </w:p>
    <w:p w14:paraId="3307D581">
      <w:pPr>
        <w:spacing w:line="440" w:lineRule="exact"/>
        <w:ind w:firstLine="525" w:firstLineChars="250"/>
        <w:rPr>
          <w:rFonts w:ascii="宋体" w:hAnsi="宋体" w:cs="宋体"/>
          <w:szCs w:val="21"/>
          <w:highlight w:val="none"/>
        </w:rPr>
      </w:pPr>
      <w:r>
        <w:rPr>
          <w:rFonts w:hint="eastAsia" w:ascii="宋体" w:hAnsi="Courier New"/>
          <w:szCs w:val="21"/>
          <w:highlight w:val="none"/>
        </w:rPr>
        <w:t>二档（</w:t>
      </w:r>
      <w:r>
        <w:rPr>
          <w:rFonts w:hint="eastAsia" w:ascii="宋体" w:hAnsi="Courier New"/>
          <w:szCs w:val="21"/>
          <w:highlight w:val="none"/>
          <w:lang w:val="en-US" w:eastAsia="zh-CN"/>
        </w:rPr>
        <w:t>14</w:t>
      </w:r>
      <w:r>
        <w:rPr>
          <w:rFonts w:hint="eastAsia" w:ascii="宋体" w:hAnsi="Courier New"/>
          <w:szCs w:val="21"/>
          <w:highlight w:val="none"/>
        </w:rPr>
        <w:t>分）：</w:t>
      </w:r>
      <w:r>
        <w:rPr>
          <w:rFonts w:hint="eastAsia" w:ascii="宋体" w:hAnsi="宋体" w:cs="宋体"/>
          <w:szCs w:val="21"/>
          <w:highlight w:val="none"/>
        </w:rPr>
        <w:t>食材质量安全保障措施各项内容较完整，</w:t>
      </w:r>
      <w:r>
        <w:rPr>
          <w:rFonts w:hint="eastAsia" w:hAnsi="宋体"/>
          <w:bCs/>
          <w:szCs w:val="21"/>
          <w:highlight w:val="none"/>
        </w:rPr>
        <w:t>有明确的食材质量标准、食材质量管理措施、检验措施，</w:t>
      </w:r>
      <w:r>
        <w:rPr>
          <w:rFonts w:hint="eastAsia" w:hAnsi="宋体"/>
          <w:highlight w:val="none"/>
        </w:rPr>
        <w:t>具有可行性</w:t>
      </w:r>
      <w:r>
        <w:rPr>
          <w:rFonts w:hint="eastAsia" w:hAnsi="宋体"/>
          <w:bCs/>
          <w:szCs w:val="21"/>
          <w:highlight w:val="none"/>
        </w:rPr>
        <w:t>；</w:t>
      </w:r>
    </w:p>
    <w:p w14:paraId="57E11C86">
      <w:pPr>
        <w:spacing w:line="440" w:lineRule="exact"/>
        <w:ind w:firstLine="525" w:firstLineChars="250"/>
        <w:rPr>
          <w:rFonts w:hAnsi="宋体"/>
          <w:bCs/>
          <w:szCs w:val="21"/>
          <w:highlight w:val="none"/>
        </w:rPr>
      </w:pPr>
      <w:r>
        <w:rPr>
          <w:rFonts w:hint="eastAsia" w:ascii="宋体" w:hAnsi="Courier New"/>
          <w:szCs w:val="21"/>
          <w:highlight w:val="none"/>
        </w:rPr>
        <w:t>三档（</w:t>
      </w:r>
      <w:r>
        <w:rPr>
          <w:rFonts w:hint="eastAsia" w:ascii="宋体" w:hAnsi="Courier New"/>
          <w:szCs w:val="21"/>
          <w:highlight w:val="none"/>
          <w:lang w:val="en-US" w:eastAsia="zh-CN"/>
        </w:rPr>
        <w:t>22</w:t>
      </w:r>
      <w:r>
        <w:rPr>
          <w:rFonts w:hint="eastAsia" w:ascii="宋体" w:hAnsi="Courier New"/>
          <w:szCs w:val="21"/>
          <w:highlight w:val="none"/>
        </w:rPr>
        <w:t>分）：</w:t>
      </w:r>
      <w:r>
        <w:rPr>
          <w:rFonts w:hint="eastAsia" w:ascii="宋体" w:hAnsi="宋体" w:cs="宋体"/>
          <w:szCs w:val="21"/>
          <w:highlight w:val="none"/>
        </w:rPr>
        <w:t>食材质量安全保障措施各项内容详细，有</w:t>
      </w:r>
      <w:r>
        <w:rPr>
          <w:rFonts w:hint="eastAsia" w:hAnsi="宋体"/>
          <w:bCs/>
          <w:szCs w:val="21"/>
          <w:highlight w:val="none"/>
        </w:rPr>
        <w:t>明确的食材质量标准，针对本项目的食材质量管理措施、检验措施合理，可行</w:t>
      </w:r>
      <w:r>
        <w:rPr>
          <w:rFonts w:hint="eastAsia" w:hAnsi="宋体"/>
          <w:highlight w:val="none"/>
        </w:rPr>
        <w:t>性强</w:t>
      </w:r>
      <w:r>
        <w:rPr>
          <w:rFonts w:hint="eastAsia" w:hAnsi="宋体"/>
          <w:bCs/>
          <w:szCs w:val="21"/>
          <w:highlight w:val="none"/>
        </w:rPr>
        <w:t>，有力</w:t>
      </w:r>
      <w:r>
        <w:rPr>
          <w:rFonts w:hint="eastAsia" w:hAnsi="宋体"/>
          <w:highlight w:val="none"/>
        </w:rPr>
        <w:t>确保</w:t>
      </w:r>
      <w:r>
        <w:rPr>
          <w:rFonts w:hint="eastAsia" w:hAnsi="宋体"/>
          <w:bCs/>
          <w:szCs w:val="21"/>
          <w:highlight w:val="none"/>
        </w:rPr>
        <w:t>食材质量安全供应。</w:t>
      </w:r>
    </w:p>
    <w:p w14:paraId="34B5AC10">
      <w:pPr>
        <w:pStyle w:val="22"/>
        <w:ind w:firstLine="422"/>
        <w:rPr>
          <w:rFonts w:ascii="宋体" w:hAnsi="宋体" w:cs="宋体"/>
          <w:bCs/>
          <w:szCs w:val="21"/>
          <w:highlight w:val="none"/>
        </w:rPr>
      </w:pPr>
      <w:r>
        <w:rPr>
          <w:rFonts w:hint="eastAsia" w:hAnsi="宋体"/>
          <w:bCs/>
          <w:szCs w:val="21"/>
          <w:highlight w:val="none"/>
        </w:rPr>
        <w:t>注：不提供不得分。</w:t>
      </w:r>
    </w:p>
    <w:p w14:paraId="4FEBD8AB">
      <w:pPr>
        <w:spacing w:line="380" w:lineRule="exact"/>
        <w:ind w:firstLine="211" w:firstLineChars="100"/>
        <w:rPr>
          <w:rFonts w:ascii="宋体" w:hAnsi="宋体" w:cs="宋体"/>
          <w:b/>
          <w:bCs/>
          <w:szCs w:val="21"/>
          <w:highlight w:val="none"/>
        </w:rPr>
      </w:pPr>
      <w:r>
        <w:rPr>
          <w:rFonts w:hint="eastAsia" w:ascii="宋体" w:hAnsi="宋体" w:cs="宋体"/>
          <w:b/>
          <w:bCs/>
          <w:szCs w:val="21"/>
          <w:highlight w:val="none"/>
        </w:rPr>
        <w:t>3、售后服务承诺</w:t>
      </w:r>
      <w:r>
        <w:rPr>
          <w:rFonts w:hint="eastAsia" w:ascii="宋体" w:hAnsi="宋体" w:cs="宋体"/>
          <w:b/>
          <w:szCs w:val="21"/>
          <w:highlight w:val="none"/>
        </w:rPr>
        <w:t>……………………………………………………………………………………</w:t>
      </w:r>
      <w:r>
        <w:rPr>
          <w:rFonts w:hint="eastAsia" w:ascii="宋体" w:hAnsi="宋体" w:cs="宋体"/>
          <w:b/>
          <w:szCs w:val="21"/>
          <w:highlight w:val="none"/>
          <w:lang w:val="en-US" w:eastAsia="zh-CN"/>
        </w:rPr>
        <w:t>22</w:t>
      </w:r>
      <w:r>
        <w:rPr>
          <w:rFonts w:hint="eastAsia" w:ascii="宋体" w:hAnsi="宋体" w:cs="宋体"/>
          <w:b/>
          <w:szCs w:val="21"/>
          <w:highlight w:val="none"/>
        </w:rPr>
        <w:t>分</w:t>
      </w:r>
    </w:p>
    <w:p w14:paraId="7D28A713">
      <w:pPr>
        <w:spacing w:line="380" w:lineRule="exact"/>
        <w:ind w:firstLine="632" w:firstLineChars="300"/>
        <w:rPr>
          <w:rFonts w:hAnsi="宋体"/>
          <w:b/>
          <w:szCs w:val="21"/>
          <w:highlight w:val="none"/>
          <w:shd w:val="clear" w:color="auto" w:fill="FFFFFF"/>
        </w:rPr>
      </w:pPr>
      <w:r>
        <w:rPr>
          <w:rFonts w:hint="eastAsia"/>
          <w:b/>
          <w:szCs w:val="21"/>
          <w:highlight w:val="none"/>
        </w:rPr>
        <w:t>评标小组对各投标人的投标文件中提供的售后服务承诺书，对于</w:t>
      </w:r>
      <w:r>
        <w:rPr>
          <w:rFonts w:hint="eastAsia" w:hAnsi="宋体"/>
          <w:b/>
          <w:szCs w:val="21"/>
          <w:highlight w:val="none"/>
          <w:shd w:val="clear" w:color="auto" w:fill="FFFFFF"/>
        </w:rPr>
        <w:t>问题货品处理方案，从出现问题解决承诺、</w:t>
      </w:r>
      <w:r>
        <w:rPr>
          <w:rFonts w:hint="eastAsia" w:ascii="宋体" w:hAnsi="宋体" w:cs="宋体"/>
          <w:b/>
          <w:bCs/>
          <w:szCs w:val="21"/>
          <w:highlight w:val="none"/>
        </w:rPr>
        <w:t>问题货品的</w:t>
      </w:r>
      <w:r>
        <w:rPr>
          <w:rFonts w:hint="eastAsia" w:hAnsi="宋体"/>
          <w:b/>
          <w:szCs w:val="21"/>
          <w:highlight w:val="none"/>
          <w:shd w:val="clear" w:color="auto" w:fill="FFFFFF"/>
        </w:rPr>
        <w:t>退换范围、退换时间、本地化售后服务保障承诺等方面进行独立评审并打分：</w:t>
      </w:r>
    </w:p>
    <w:p w14:paraId="141B519E">
      <w:pPr>
        <w:spacing w:line="440" w:lineRule="exact"/>
        <w:ind w:firstLine="525" w:firstLineChars="250"/>
        <w:rPr>
          <w:rFonts w:ascii="宋体" w:hAnsi="Courier New"/>
          <w:szCs w:val="21"/>
          <w:highlight w:val="none"/>
        </w:rPr>
      </w:pPr>
      <w:r>
        <w:rPr>
          <w:rFonts w:hint="eastAsia" w:ascii="宋体" w:hAnsi="Courier New"/>
          <w:szCs w:val="21"/>
          <w:highlight w:val="none"/>
        </w:rPr>
        <w:t>一档（</w:t>
      </w:r>
      <w:r>
        <w:rPr>
          <w:rFonts w:hint="eastAsia" w:ascii="宋体" w:hAnsi="Courier New"/>
          <w:szCs w:val="21"/>
          <w:highlight w:val="none"/>
          <w:lang w:val="en-US" w:eastAsia="zh-CN"/>
        </w:rPr>
        <w:t>7</w:t>
      </w:r>
      <w:r>
        <w:rPr>
          <w:rFonts w:hint="eastAsia" w:ascii="宋体" w:hAnsi="Courier New"/>
          <w:szCs w:val="21"/>
          <w:highlight w:val="none"/>
        </w:rPr>
        <w:t>分）：有简单的问题货品的处理方案，出现问题解决承诺、问题货品的退换范围、退换时间、本地化售后服务保障承诺等</w:t>
      </w:r>
      <w:r>
        <w:rPr>
          <w:rFonts w:hint="eastAsia" w:ascii="宋体" w:hAnsi="宋体"/>
          <w:bCs/>
          <w:szCs w:val="21"/>
          <w:highlight w:val="none"/>
        </w:rPr>
        <w:t>方面</w:t>
      </w:r>
      <w:r>
        <w:rPr>
          <w:rFonts w:hint="eastAsia" w:ascii="宋体" w:hAnsi="宋体" w:cs="宋体"/>
          <w:szCs w:val="21"/>
          <w:highlight w:val="none"/>
        </w:rPr>
        <w:t>不完整或简单描述的</w:t>
      </w:r>
      <w:r>
        <w:rPr>
          <w:rFonts w:hint="eastAsia" w:ascii="宋体" w:hAnsi="Courier New"/>
          <w:szCs w:val="21"/>
          <w:highlight w:val="none"/>
        </w:rPr>
        <w:t>；</w:t>
      </w:r>
    </w:p>
    <w:p w14:paraId="07777089">
      <w:pPr>
        <w:spacing w:line="440" w:lineRule="exact"/>
        <w:ind w:firstLine="525" w:firstLineChars="250"/>
        <w:rPr>
          <w:rFonts w:ascii="宋体" w:hAnsi="Courier New"/>
          <w:szCs w:val="21"/>
          <w:highlight w:val="none"/>
        </w:rPr>
      </w:pPr>
      <w:r>
        <w:rPr>
          <w:rFonts w:hint="eastAsia" w:ascii="宋体" w:hAnsi="Courier New"/>
          <w:szCs w:val="21"/>
          <w:highlight w:val="none"/>
        </w:rPr>
        <w:t>二档（</w:t>
      </w:r>
      <w:r>
        <w:rPr>
          <w:rFonts w:hint="eastAsia" w:ascii="宋体" w:hAnsi="Courier New"/>
          <w:szCs w:val="21"/>
          <w:highlight w:val="none"/>
          <w:lang w:val="en-US" w:eastAsia="zh-CN"/>
        </w:rPr>
        <w:t>14</w:t>
      </w:r>
      <w:r>
        <w:rPr>
          <w:rFonts w:hint="eastAsia" w:ascii="宋体" w:hAnsi="Courier New"/>
          <w:szCs w:val="21"/>
          <w:highlight w:val="none"/>
        </w:rPr>
        <w:t>分）：问题货品的处理方案</w:t>
      </w:r>
      <w:r>
        <w:rPr>
          <w:rFonts w:hint="eastAsia" w:ascii="宋体" w:hAnsi="宋体" w:cs="宋体"/>
          <w:szCs w:val="21"/>
          <w:highlight w:val="none"/>
        </w:rPr>
        <w:t>较完整</w:t>
      </w:r>
      <w:r>
        <w:rPr>
          <w:rFonts w:hint="eastAsia" w:ascii="宋体" w:hAnsi="Courier New"/>
          <w:szCs w:val="21"/>
          <w:highlight w:val="none"/>
        </w:rPr>
        <w:t>，出现问题解决承诺较详细，有基本的问题货品的退换范围、退换时间，本地化售后服务保障承诺符合项目实际；</w:t>
      </w:r>
    </w:p>
    <w:p w14:paraId="11C367D8">
      <w:pPr>
        <w:spacing w:line="440" w:lineRule="exact"/>
        <w:ind w:firstLine="525" w:firstLineChars="250"/>
        <w:rPr>
          <w:rFonts w:hint="eastAsia" w:ascii="宋体" w:hAnsi="Courier New"/>
          <w:szCs w:val="21"/>
          <w:highlight w:val="none"/>
        </w:rPr>
      </w:pPr>
      <w:r>
        <w:rPr>
          <w:rFonts w:hint="eastAsia" w:ascii="宋体" w:hAnsi="Courier New"/>
          <w:szCs w:val="21"/>
          <w:highlight w:val="none"/>
        </w:rPr>
        <w:t>三档（</w:t>
      </w:r>
      <w:r>
        <w:rPr>
          <w:rFonts w:hint="eastAsia" w:ascii="宋体" w:hAnsi="Courier New"/>
          <w:szCs w:val="21"/>
          <w:highlight w:val="none"/>
          <w:lang w:val="en-US" w:eastAsia="zh-CN"/>
        </w:rPr>
        <w:t>22</w:t>
      </w:r>
      <w:r>
        <w:rPr>
          <w:rFonts w:hint="eastAsia" w:ascii="宋体" w:hAnsi="Courier New"/>
          <w:szCs w:val="21"/>
          <w:highlight w:val="none"/>
        </w:rPr>
        <w:t>分）：问题货品的处理方案</w:t>
      </w:r>
      <w:r>
        <w:rPr>
          <w:rFonts w:hint="eastAsia" w:ascii="宋体" w:hAnsi="宋体" w:cs="宋体"/>
          <w:szCs w:val="21"/>
          <w:highlight w:val="none"/>
        </w:rPr>
        <w:t>各项内容</w:t>
      </w:r>
      <w:r>
        <w:rPr>
          <w:rFonts w:hint="eastAsia" w:ascii="宋体" w:hAnsi="Courier New"/>
          <w:szCs w:val="21"/>
          <w:highlight w:val="none"/>
        </w:rPr>
        <w:t>详细，出现问题解决承诺合理可行，</w:t>
      </w:r>
      <w:r>
        <w:rPr>
          <w:rFonts w:hint="eastAsia" w:ascii="宋体" w:hAnsi="宋体" w:cs="宋体"/>
          <w:szCs w:val="21"/>
          <w:highlight w:val="none"/>
        </w:rPr>
        <w:t>有</w:t>
      </w:r>
      <w:r>
        <w:rPr>
          <w:rFonts w:hint="eastAsia" w:hAnsi="宋体"/>
          <w:bCs/>
          <w:szCs w:val="21"/>
          <w:highlight w:val="none"/>
        </w:rPr>
        <w:t>明确的</w:t>
      </w:r>
      <w:r>
        <w:rPr>
          <w:rFonts w:hint="eastAsia" w:ascii="宋体" w:hAnsi="Courier New"/>
          <w:szCs w:val="21"/>
          <w:highlight w:val="none"/>
        </w:rPr>
        <w:t>问题货品的退换范围，退换时间及时，有针对性的本地化售后服务保障措施，充分为采购人考虑，完全满足项目需求。</w:t>
      </w:r>
    </w:p>
    <w:p w14:paraId="3AFAE7EF">
      <w:pPr>
        <w:spacing w:line="440" w:lineRule="exact"/>
        <w:ind w:firstLine="527" w:firstLineChars="250"/>
        <w:rPr>
          <w:rFonts w:hint="eastAsia" w:ascii="宋体" w:hAnsi="Courier New"/>
          <w:b/>
          <w:bCs w:val="0"/>
          <w:szCs w:val="21"/>
          <w:highlight w:val="none"/>
        </w:rPr>
      </w:pPr>
      <w:r>
        <w:rPr>
          <w:rFonts w:hint="eastAsia" w:hAnsi="宋体"/>
          <w:b/>
          <w:bCs w:val="0"/>
          <w:szCs w:val="21"/>
          <w:highlight w:val="none"/>
        </w:rPr>
        <w:t>注：不提供不得分。</w:t>
      </w:r>
    </w:p>
    <w:p w14:paraId="0B948187">
      <w:pPr>
        <w:pStyle w:val="15"/>
        <w:spacing w:line="360" w:lineRule="auto"/>
        <w:ind w:firstLine="207" w:firstLineChars="98"/>
        <w:rPr>
          <w:rFonts w:cs="Courier New"/>
          <w:b/>
          <w:color w:val="000000" w:themeColor="text1"/>
          <w:kern w:val="0"/>
          <w:szCs w:val="21"/>
          <w:highlight w:val="none"/>
        </w:rPr>
      </w:pPr>
      <w:r>
        <w:rPr>
          <w:rFonts w:hint="eastAsia" w:cs="Courier New"/>
          <w:b/>
          <w:color w:val="000000" w:themeColor="text1"/>
          <w:kern w:val="0"/>
          <w:szCs w:val="21"/>
          <w:highlight w:val="none"/>
        </w:rPr>
        <w:t>4、</w:t>
      </w:r>
      <w:r>
        <w:rPr>
          <w:rFonts w:hint="eastAsia" w:hAnsi="宋体"/>
          <w:b/>
          <w:szCs w:val="21"/>
          <w:highlight w:val="none"/>
        </w:rPr>
        <w:t>履约能力</w:t>
      </w:r>
      <w:r>
        <w:rPr>
          <w:rFonts w:hAnsi="宋体"/>
          <w:b/>
          <w:szCs w:val="21"/>
          <w:highlight w:val="none"/>
        </w:rPr>
        <w:t>分</w:t>
      </w:r>
      <w:r>
        <w:rPr>
          <w:rFonts w:hint="eastAsia" w:hAnsi="宋体" w:cs="宋体"/>
          <w:b/>
          <w:szCs w:val="21"/>
          <w:highlight w:val="none"/>
        </w:rPr>
        <w:t>…………………………………………………………………………………………2分</w:t>
      </w:r>
    </w:p>
    <w:p w14:paraId="6197D298">
      <w:pPr>
        <w:pStyle w:val="7"/>
        <w:spacing w:line="500" w:lineRule="exact"/>
        <w:ind w:left="0" w:firstLine="315" w:firstLineChars="150"/>
        <w:rPr>
          <w:rFonts w:ascii="宋体" w:hAnsi="Courier New"/>
          <w:szCs w:val="21"/>
          <w:highlight w:val="none"/>
        </w:rPr>
      </w:pPr>
      <w:r>
        <w:rPr>
          <w:rFonts w:hint="eastAsia" w:ascii="宋体" w:hAnsi="Courier New"/>
          <w:szCs w:val="21"/>
          <w:highlight w:val="none"/>
        </w:rPr>
        <w:t>投标人</w:t>
      </w:r>
      <w:r>
        <w:rPr>
          <w:rFonts w:hint="eastAsia" w:ascii="宋体" w:hAnsi="Courier New"/>
          <w:szCs w:val="21"/>
          <w:highlight w:val="none"/>
          <w:lang w:eastAsia="zh-CN"/>
        </w:rPr>
        <w:t>2022 年1月1日</w:t>
      </w:r>
      <w:r>
        <w:rPr>
          <w:rFonts w:hint="eastAsia" w:ascii="宋体" w:hAnsi="Courier New"/>
          <w:szCs w:val="21"/>
          <w:highlight w:val="none"/>
        </w:rPr>
        <w:t>以来类似项目业绩[无不良记录，以中标（成交）通知书或签订的项目合同为准，并能清晰反映项目的名称、种类、金额，否则将不予评审，同一个编号的项目有两个或两个以上的分标中标的只算一次]每个得1分， 满分2分。</w:t>
      </w:r>
    </w:p>
    <w:p w14:paraId="7B3D334C">
      <w:pPr>
        <w:rPr>
          <w:highlight w:val="none"/>
        </w:rPr>
      </w:pPr>
    </w:p>
    <w:p w14:paraId="534F1073">
      <w:pPr>
        <w:pStyle w:val="7"/>
        <w:ind w:left="0"/>
        <w:rPr>
          <w:rFonts w:ascii="仿宋" w:hAnsi="仿宋" w:eastAsia="仿宋" w:cs="仿宋"/>
          <w:b/>
          <w:color w:val="000000"/>
          <w:sz w:val="24"/>
          <w:highlight w:val="none"/>
        </w:rPr>
      </w:pPr>
      <w:r>
        <w:rPr>
          <w:rFonts w:hint="eastAsia" w:ascii="仿宋" w:hAnsi="仿宋" w:eastAsia="仿宋" w:cs="仿宋"/>
          <w:b/>
          <w:bCs/>
          <w:color w:val="000000" w:themeColor="text1"/>
          <w:sz w:val="24"/>
          <w:highlight w:val="none"/>
        </w:rPr>
        <w:t xml:space="preserve"> 5、综合得分＝1+2+3+4</w:t>
      </w:r>
    </w:p>
    <w:p w14:paraId="1CE8F92D">
      <w:pPr>
        <w:pStyle w:val="15"/>
        <w:tabs>
          <w:tab w:val="left" w:pos="4214"/>
        </w:tabs>
        <w:spacing w:line="440" w:lineRule="exact"/>
        <w:rPr>
          <w:rFonts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三、推荐成交候选供应商原则</w:t>
      </w:r>
    </w:p>
    <w:p w14:paraId="69C6DBC2">
      <w:pPr>
        <w:pStyle w:val="15"/>
        <w:spacing w:line="360" w:lineRule="auto"/>
        <w:rPr>
          <w:rFonts w:hAnsi="宋体"/>
          <w:color w:val="000000" w:themeColor="text1"/>
          <w:szCs w:val="21"/>
          <w:highlight w:val="none"/>
        </w:rPr>
      </w:pPr>
      <w:bookmarkStart w:id="142" w:name="_Toc4774"/>
      <w:bookmarkStart w:id="143" w:name="_Toc32362"/>
      <w:bookmarkStart w:id="144" w:name="_Toc8466"/>
      <w:r>
        <w:rPr>
          <w:rFonts w:hint="eastAsia" w:hAnsi="宋体"/>
          <w:color w:val="000000" w:themeColor="text1"/>
          <w:szCs w:val="21"/>
          <w:highlight w:val="none"/>
        </w:rPr>
        <w:t>（1）磋商小组应当根据综合得分由高到低排列次序，若得分相同时，以最后报价由低到高顺序排列；若仍相同的，依次按</w:t>
      </w:r>
      <w:r>
        <w:rPr>
          <w:rFonts w:hint="eastAsia" w:hAnsi="宋体"/>
          <w:color w:val="000000" w:themeColor="text1"/>
          <w:highlight w:val="none"/>
        </w:rPr>
        <w:t>服务方案、售后服务承诺、履约能力</w:t>
      </w:r>
      <w:r>
        <w:rPr>
          <w:rFonts w:hAnsi="宋体"/>
          <w:color w:val="000000" w:themeColor="text1"/>
          <w:highlight w:val="none"/>
        </w:rPr>
        <w:t>分</w:t>
      </w:r>
      <w:r>
        <w:rPr>
          <w:rFonts w:hint="eastAsia" w:hAnsi="宋体"/>
          <w:color w:val="000000" w:themeColor="text1"/>
          <w:szCs w:val="21"/>
          <w:highlight w:val="none"/>
        </w:rPr>
        <w:t>由高到低顺序排列并推荐成交候选供应商。</w:t>
      </w:r>
    </w:p>
    <w:p w14:paraId="6B7318E9">
      <w:pPr>
        <w:pStyle w:val="15"/>
        <w:spacing w:line="360" w:lineRule="auto"/>
        <w:rPr>
          <w:rFonts w:hAnsi="宋体"/>
          <w:color w:val="000000" w:themeColor="text1"/>
          <w:szCs w:val="21"/>
          <w:highlight w:val="none"/>
        </w:rPr>
      </w:pPr>
      <w:r>
        <w:rPr>
          <w:rFonts w:hint="eastAsia" w:hAnsi="宋体"/>
          <w:color w:val="000000" w:themeColor="text1"/>
          <w:szCs w:val="21"/>
          <w:highlight w:val="none"/>
        </w:rPr>
        <w:t>（2）采购人应当确定磋商小组推荐排名第一的成交候选供应商为成交供应商。</w:t>
      </w:r>
    </w:p>
    <w:p w14:paraId="61F391B6">
      <w:pPr>
        <w:pStyle w:val="15"/>
        <w:spacing w:line="360" w:lineRule="auto"/>
        <w:rPr>
          <w:rFonts w:hAnsi="宋体"/>
          <w:color w:val="000000" w:themeColor="text1"/>
          <w:szCs w:val="21"/>
          <w:highlight w:val="none"/>
        </w:rPr>
      </w:pPr>
      <w:r>
        <w:rPr>
          <w:rFonts w:hint="eastAsia" w:hAnsi="宋体"/>
          <w:color w:val="000000" w:themeColor="text1"/>
          <w:szCs w:val="21"/>
          <w:highlight w:val="none"/>
        </w:rPr>
        <w:t>（3）排名第一的成交候选供应商放弃成交、因不可抗力提出不能履行合同，或因失信行为被取消成交候选人资格的，采购单位可以确定排名第二的成交候选供应商为成交供应商。</w:t>
      </w:r>
    </w:p>
    <w:p w14:paraId="6DC74946">
      <w:pPr>
        <w:pStyle w:val="15"/>
        <w:spacing w:line="360" w:lineRule="auto"/>
        <w:rPr>
          <w:rFonts w:hAnsi="宋体"/>
          <w:color w:val="000000" w:themeColor="text1"/>
          <w:szCs w:val="21"/>
          <w:highlight w:val="none"/>
        </w:rPr>
      </w:pPr>
      <w:r>
        <w:rPr>
          <w:rFonts w:hint="eastAsia" w:hAnsi="宋体"/>
          <w:color w:val="000000" w:themeColor="text1"/>
          <w:szCs w:val="21"/>
          <w:highlight w:val="none"/>
        </w:rPr>
        <w:t>（4</w:t>
      </w:r>
      <w:r>
        <w:rPr>
          <w:rFonts w:hAnsi="宋体"/>
          <w:color w:val="000000" w:themeColor="text1"/>
          <w:szCs w:val="21"/>
          <w:highlight w:val="none"/>
        </w:rPr>
        <w:t>）</w:t>
      </w:r>
      <w:r>
        <w:rPr>
          <w:rFonts w:hint="eastAsia" w:hAnsi="宋体"/>
          <w:color w:val="000000" w:themeColor="text1"/>
          <w:szCs w:val="21"/>
          <w:highlight w:val="none"/>
        </w:rPr>
        <w:t>排名第二的成交候选供应商因前款规定的同样原因不能签订合同的，采购单位可以确定排名第三的成交候选人为成交供应商。以此类推。</w:t>
      </w:r>
    </w:p>
    <w:p w14:paraId="4EA152E9">
      <w:pPr>
        <w:pStyle w:val="2"/>
        <w:keepNext w:val="0"/>
        <w:keepLines w:val="0"/>
        <w:pageBreakBefore/>
        <w:tabs>
          <w:tab w:val="left" w:pos="0"/>
        </w:tabs>
        <w:autoSpaceDE w:val="0"/>
        <w:autoSpaceDN w:val="0"/>
        <w:adjustRightInd w:val="0"/>
        <w:spacing w:before="0" w:after="0" w:line="360" w:lineRule="auto"/>
        <w:jc w:val="center"/>
        <w:rPr>
          <w:rFonts w:ascii="仿宋" w:hAnsi="仿宋" w:eastAsia="仿宋" w:cs="仿宋"/>
          <w:sz w:val="32"/>
          <w:szCs w:val="32"/>
          <w:highlight w:val="none"/>
        </w:rPr>
      </w:pPr>
      <w:r>
        <w:rPr>
          <w:rFonts w:hint="eastAsia" w:ascii="仿宋" w:hAnsi="仿宋" w:eastAsia="仿宋" w:cs="仿宋"/>
          <w:sz w:val="32"/>
          <w:szCs w:val="32"/>
          <w:highlight w:val="none"/>
        </w:rPr>
        <w:t>第五章 采购合同（合同主要条款及格式）</w:t>
      </w:r>
      <w:bookmarkEnd w:id="142"/>
      <w:bookmarkEnd w:id="143"/>
      <w:bookmarkEnd w:id="144"/>
    </w:p>
    <w:p w14:paraId="0EE08BB9">
      <w:pPr>
        <w:spacing w:line="360" w:lineRule="auto"/>
        <w:rPr>
          <w:rFonts w:ascii="宋体" w:hAnsi="宋体" w:cs="宋体"/>
          <w:szCs w:val="21"/>
          <w:highlight w:val="none"/>
        </w:rPr>
      </w:pPr>
      <w:r>
        <w:rPr>
          <w:rFonts w:hint="eastAsia" w:ascii="宋体" w:hAnsi="宋体" w:cs="宋体"/>
          <w:szCs w:val="21"/>
          <w:highlight w:val="none"/>
        </w:rPr>
        <w:t xml:space="preserve">项目名称： </w:t>
      </w:r>
    </w:p>
    <w:p w14:paraId="763D8061">
      <w:pPr>
        <w:spacing w:line="360" w:lineRule="auto"/>
        <w:rPr>
          <w:rFonts w:ascii="宋体" w:hAnsi="宋体" w:cs="宋体"/>
          <w:szCs w:val="21"/>
          <w:highlight w:val="none"/>
        </w:rPr>
      </w:pPr>
      <w:r>
        <w:rPr>
          <w:rFonts w:hint="eastAsia" w:ascii="宋体" w:hAnsi="宋体" w:cs="宋体"/>
          <w:szCs w:val="21"/>
          <w:highlight w:val="none"/>
        </w:rPr>
        <w:t xml:space="preserve">项目编号：      </w:t>
      </w:r>
    </w:p>
    <w:p w14:paraId="28F814DD">
      <w:pPr>
        <w:tabs>
          <w:tab w:val="left" w:pos="8767"/>
        </w:tabs>
        <w:spacing w:line="360" w:lineRule="auto"/>
        <w:rPr>
          <w:rFonts w:ascii="宋体" w:cs="宋体"/>
          <w:highlight w:val="none"/>
        </w:rPr>
      </w:pPr>
      <w:r>
        <w:rPr>
          <w:rFonts w:hint="eastAsia" w:ascii="宋体" w:hAnsi="宋体" w:cs="宋体"/>
          <w:highlight w:val="none"/>
        </w:rPr>
        <w:t>甲方：</w:t>
      </w:r>
      <w:r>
        <w:rPr>
          <w:rFonts w:hint="eastAsia" w:ascii="宋体" w:hAnsi="宋体" w:cs="宋体"/>
          <w:szCs w:val="21"/>
          <w:highlight w:val="none"/>
          <w:u w:val="single"/>
        </w:rPr>
        <w:t>桂林市雁山区后勤服务中心</w:t>
      </w:r>
      <w:r>
        <w:rPr>
          <w:rFonts w:hint="eastAsia" w:ascii="宋体" w:hAnsi="宋体" w:cs="宋体"/>
          <w:highlight w:val="none"/>
        </w:rPr>
        <w:t>（采购人）</w:t>
      </w:r>
      <w:r>
        <w:rPr>
          <w:rFonts w:hint="eastAsia" w:ascii="宋体" w:hAnsi="宋体" w:cs="宋体"/>
          <w:highlight w:val="none"/>
        </w:rPr>
        <w:tab/>
      </w:r>
    </w:p>
    <w:p w14:paraId="69E36799">
      <w:pPr>
        <w:spacing w:line="360" w:lineRule="auto"/>
        <w:rPr>
          <w:rFonts w:ascii="宋体" w:cs="宋体"/>
          <w:highlight w:val="none"/>
        </w:rPr>
      </w:pPr>
      <w:r>
        <w:rPr>
          <w:rFonts w:hint="eastAsia" w:ascii="宋体" w:hAnsi="宋体" w:cs="宋体"/>
          <w:highlight w:val="none"/>
        </w:rPr>
        <w:t>乙方：（成交供应商）</w:t>
      </w:r>
    </w:p>
    <w:p w14:paraId="2E4AE08D">
      <w:pPr>
        <w:spacing w:line="360" w:lineRule="auto"/>
        <w:ind w:firstLine="420" w:firstLineChars="200"/>
        <w:rPr>
          <w:rFonts w:ascii="宋体" w:cs="宋体"/>
          <w:highlight w:val="none"/>
        </w:rPr>
      </w:pPr>
      <w:r>
        <w:rPr>
          <w:rFonts w:hint="eastAsia" w:ascii="宋体" w:hAnsi="宋体" w:cs="宋体"/>
          <w:highlight w:val="none"/>
        </w:rPr>
        <w:t>根据《中华人民共和国政府采购法》《中华人民共和国政府采购法实施条例》《中华人民共和国民法典》等法律、法规规定，按照竞争性谈判文件（以下简称谈判文件）、响应文件规定条款和乙方的承诺、甲乙双方签订本采购合同。</w:t>
      </w:r>
    </w:p>
    <w:p w14:paraId="74383D6C">
      <w:pPr>
        <w:pStyle w:val="3"/>
        <w:widowControl/>
        <w:ind w:left="568" w:leftChars="200" w:hanging="148" w:hangingChars="70"/>
        <w:rPr>
          <w:b/>
          <w:bCs w:val="0"/>
          <w:color w:val="auto"/>
          <w:sz w:val="21"/>
          <w:szCs w:val="21"/>
          <w:highlight w:val="none"/>
        </w:rPr>
      </w:pPr>
      <w:bookmarkStart w:id="145" w:name="_Toc28183"/>
      <w:bookmarkStart w:id="146" w:name="_Toc20217"/>
      <w:bookmarkStart w:id="147" w:name="_Toc30275"/>
      <w:bookmarkStart w:id="148" w:name="_Toc21697"/>
      <w:r>
        <w:rPr>
          <w:rFonts w:hint="eastAsia" w:cs="宋体"/>
          <w:b/>
          <w:bCs w:val="0"/>
          <w:color w:val="auto"/>
          <w:sz w:val="21"/>
          <w:szCs w:val="21"/>
          <w:highlight w:val="none"/>
        </w:rPr>
        <w:t>第一条合同文件</w:t>
      </w:r>
      <w:bookmarkEnd w:id="145"/>
      <w:bookmarkEnd w:id="146"/>
      <w:bookmarkEnd w:id="147"/>
      <w:bookmarkEnd w:id="148"/>
    </w:p>
    <w:p w14:paraId="6C9A4FDF">
      <w:pPr>
        <w:spacing w:line="360" w:lineRule="auto"/>
        <w:ind w:firstLine="420" w:firstLineChars="200"/>
        <w:rPr>
          <w:rFonts w:ascii="宋体" w:hAnsi="宋体" w:cs="宋体"/>
          <w:highlight w:val="none"/>
        </w:rPr>
      </w:pPr>
      <w:r>
        <w:rPr>
          <w:rFonts w:hint="eastAsia" w:ascii="宋体" w:hAnsi="宋体" w:cs="宋体"/>
          <w:highlight w:val="none"/>
        </w:rPr>
        <w:t>1、本合同所附下列文件是构成本合同不可分割的部分：</w:t>
      </w:r>
    </w:p>
    <w:p w14:paraId="3D4CA482">
      <w:pPr>
        <w:spacing w:line="360" w:lineRule="auto"/>
        <w:ind w:firstLine="315" w:firstLineChars="150"/>
        <w:rPr>
          <w:rFonts w:ascii="宋体" w:hAnsi="宋体" w:cs="宋体"/>
          <w:highlight w:val="none"/>
        </w:rPr>
      </w:pPr>
      <w:r>
        <w:rPr>
          <w:rFonts w:hint="eastAsia" w:ascii="宋体" w:hAnsi="宋体" w:cs="宋体"/>
          <w:highlight w:val="none"/>
        </w:rPr>
        <w:t>（1）乙方提交的</w:t>
      </w:r>
      <w:r>
        <w:rPr>
          <w:rFonts w:hint="eastAsia" w:ascii="宋体" w:hAnsi="宋体" w:cs="宋体"/>
          <w:szCs w:val="21"/>
          <w:highlight w:val="none"/>
        </w:rPr>
        <w:t>谈判</w:t>
      </w:r>
      <w:r>
        <w:rPr>
          <w:rFonts w:hint="eastAsia" w:ascii="宋体" w:hAnsi="宋体" w:cs="宋体"/>
          <w:highlight w:val="none"/>
        </w:rPr>
        <w:t>报价表；</w:t>
      </w:r>
    </w:p>
    <w:p w14:paraId="51621948">
      <w:pPr>
        <w:spacing w:line="360" w:lineRule="auto"/>
        <w:ind w:firstLine="315" w:firstLineChars="150"/>
        <w:rPr>
          <w:rFonts w:ascii="宋体" w:hAnsi="宋体" w:cs="宋体"/>
          <w:highlight w:val="none"/>
        </w:rPr>
      </w:pPr>
      <w:r>
        <w:rPr>
          <w:rFonts w:hint="eastAsia" w:ascii="宋体" w:hAnsi="宋体" w:cs="宋体"/>
          <w:highlight w:val="none"/>
        </w:rPr>
        <w:t>（2）成交通知书；</w:t>
      </w:r>
    </w:p>
    <w:p w14:paraId="743D8E6E">
      <w:pPr>
        <w:spacing w:line="360" w:lineRule="auto"/>
        <w:ind w:firstLine="315" w:firstLineChars="150"/>
        <w:rPr>
          <w:rFonts w:ascii="宋体" w:hAnsi="宋体" w:cs="宋体"/>
          <w:highlight w:val="none"/>
        </w:rPr>
      </w:pPr>
      <w:r>
        <w:rPr>
          <w:rFonts w:hint="eastAsia" w:ascii="宋体" w:hAnsi="宋体" w:cs="宋体"/>
          <w:highlight w:val="none"/>
        </w:rPr>
        <w:t>（3）本合同协议书及有关补充资料；</w:t>
      </w:r>
    </w:p>
    <w:p w14:paraId="2B072B57">
      <w:pPr>
        <w:spacing w:line="360" w:lineRule="auto"/>
        <w:ind w:firstLine="315" w:firstLineChars="150"/>
        <w:rPr>
          <w:rFonts w:ascii="宋体" w:hAnsi="宋体" w:cs="宋体"/>
          <w:highlight w:val="none"/>
        </w:rPr>
      </w:pPr>
      <w:r>
        <w:rPr>
          <w:rFonts w:hint="eastAsia" w:ascii="宋体" w:hAnsi="宋体" w:cs="宋体"/>
          <w:highlight w:val="none"/>
        </w:rPr>
        <w:t>（4）谈判文件的条款要求。</w:t>
      </w:r>
    </w:p>
    <w:p w14:paraId="00CFE739">
      <w:pPr>
        <w:tabs>
          <w:tab w:val="left" w:pos="1305"/>
        </w:tabs>
        <w:spacing w:line="360" w:lineRule="auto"/>
        <w:ind w:firstLine="420" w:firstLineChars="200"/>
        <w:rPr>
          <w:rFonts w:ascii="宋体" w:hAnsi="宋体" w:cs="宋体"/>
          <w:szCs w:val="21"/>
          <w:highlight w:val="none"/>
        </w:rPr>
      </w:pPr>
      <w:r>
        <w:rPr>
          <w:rFonts w:hint="eastAsia" w:ascii="宋体" w:hAnsi="宋体" w:cs="宋体"/>
          <w:szCs w:val="21"/>
          <w:highlight w:val="none"/>
        </w:rPr>
        <w:t>2、合同价金额包括：服务过程中相关的一切费用。</w:t>
      </w:r>
    </w:p>
    <w:p w14:paraId="634CA3B5">
      <w:pPr>
        <w:pStyle w:val="3"/>
        <w:widowControl/>
        <w:ind w:left="568" w:leftChars="200" w:hanging="148" w:hangingChars="70"/>
        <w:rPr>
          <w:b/>
          <w:bCs w:val="0"/>
          <w:color w:val="auto"/>
          <w:sz w:val="21"/>
          <w:szCs w:val="21"/>
          <w:highlight w:val="none"/>
        </w:rPr>
      </w:pPr>
      <w:bookmarkStart w:id="149" w:name="_Toc17282"/>
      <w:bookmarkStart w:id="150" w:name="_Toc6972"/>
      <w:bookmarkStart w:id="151" w:name="_Toc28710"/>
      <w:bookmarkStart w:id="152" w:name="_Toc11281"/>
      <w:r>
        <w:rPr>
          <w:rFonts w:hint="eastAsia" w:cs="宋体"/>
          <w:b/>
          <w:bCs w:val="0"/>
          <w:color w:val="auto"/>
          <w:sz w:val="21"/>
          <w:szCs w:val="21"/>
          <w:highlight w:val="none"/>
        </w:rPr>
        <w:t>第二条　合同金额</w:t>
      </w:r>
      <w:bookmarkEnd w:id="149"/>
      <w:bookmarkEnd w:id="150"/>
      <w:bookmarkEnd w:id="151"/>
      <w:bookmarkEnd w:id="152"/>
    </w:p>
    <w:p w14:paraId="00CAFF37">
      <w:pPr>
        <w:spacing w:line="360" w:lineRule="auto"/>
        <w:ind w:firstLine="411" w:firstLineChars="196"/>
        <w:rPr>
          <w:rFonts w:ascii="宋体" w:hAnsi="宋体" w:cs="宋体"/>
          <w:szCs w:val="21"/>
          <w:highlight w:val="none"/>
          <w:u w:val="single" w:color="FFFFFF"/>
        </w:rPr>
      </w:pPr>
      <w:r>
        <w:rPr>
          <w:rFonts w:hint="eastAsia" w:ascii="宋体" w:hAnsi="宋体" w:cs="宋体"/>
          <w:szCs w:val="21"/>
          <w:highlight w:val="none"/>
        </w:rPr>
        <w:t>根据《成交通知书》的成交内容，合同的综合折扣率为:</w:t>
      </w:r>
      <w:r>
        <w:rPr>
          <w:rFonts w:hint="eastAsia" w:ascii="宋体" w:hAnsi="宋体" w:cs="宋体"/>
          <w:szCs w:val="21"/>
          <w:highlight w:val="none"/>
          <w:u w:val="single"/>
          <w:lang w:val="en-US" w:eastAsia="zh-CN"/>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u w:val="single" w:color="FFFFFF"/>
        </w:rPr>
        <w:t>，最终结算以实际供货金额为准。配送折扣费用每月转账至雁山区后勤服务中心对公账户。</w:t>
      </w:r>
    </w:p>
    <w:p w14:paraId="204F08BD">
      <w:pPr>
        <w:spacing w:line="360" w:lineRule="auto"/>
        <w:rPr>
          <w:rFonts w:ascii="宋体" w:hAnsi="宋体" w:cs="宋体"/>
          <w:szCs w:val="21"/>
          <w:highlight w:val="none"/>
          <w:u w:val="single" w:color="FFFFFF"/>
        </w:rPr>
      </w:pPr>
      <w:r>
        <w:rPr>
          <w:rFonts w:hint="eastAsia" w:ascii="宋体" w:hAnsi="宋体" w:cs="宋体"/>
          <w:szCs w:val="21"/>
          <w:highlight w:val="none"/>
          <w:u w:val="single" w:color="FFFFFF"/>
        </w:rPr>
        <w:t xml:space="preserve">户名：桂林市雁山区后勤服务中心       账号：621061760867                   </w:t>
      </w:r>
    </w:p>
    <w:p w14:paraId="3A35508E">
      <w:pPr>
        <w:spacing w:line="360" w:lineRule="auto"/>
        <w:rPr>
          <w:rFonts w:ascii="宋体" w:hAnsi="宋体" w:cs="宋体"/>
          <w:szCs w:val="21"/>
          <w:highlight w:val="none"/>
          <w:u w:val="single" w:color="FFFFFF"/>
        </w:rPr>
      </w:pPr>
      <w:r>
        <w:rPr>
          <w:rFonts w:hint="eastAsia" w:ascii="宋体" w:hAnsi="宋体" w:cs="宋体"/>
          <w:szCs w:val="21"/>
          <w:highlight w:val="none"/>
          <w:u w:val="single" w:color="FFFFFF"/>
        </w:rPr>
        <w:t xml:space="preserve">开户行：中国银行雁山支行             备注中请注明转后勤服务中心（4069）    </w:t>
      </w:r>
    </w:p>
    <w:p w14:paraId="7F2F1A91">
      <w:pPr>
        <w:pStyle w:val="3"/>
        <w:widowControl/>
        <w:ind w:left="568" w:leftChars="200" w:hanging="148" w:hangingChars="70"/>
        <w:rPr>
          <w:b/>
          <w:bCs w:val="0"/>
          <w:color w:val="auto"/>
          <w:sz w:val="21"/>
          <w:szCs w:val="21"/>
          <w:highlight w:val="none"/>
        </w:rPr>
      </w:pPr>
      <w:bookmarkStart w:id="153" w:name="_Toc30480"/>
      <w:bookmarkStart w:id="154" w:name="_Toc9581"/>
      <w:bookmarkStart w:id="155" w:name="_Toc19508"/>
      <w:bookmarkStart w:id="156" w:name="_Toc16138"/>
      <w:r>
        <w:rPr>
          <w:rFonts w:hint="eastAsia" w:cs="宋体"/>
          <w:b/>
          <w:bCs w:val="0"/>
          <w:color w:val="auto"/>
          <w:sz w:val="21"/>
          <w:szCs w:val="21"/>
          <w:highlight w:val="none"/>
        </w:rPr>
        <w:t>第三条服务保证</w:t>
      </w:r>
      <w:bookmarkEnd w:id="153"/>
      <w:bookmarkEnd w:id="154"/>
      <w:bookmarkEnd w:id="155"/>
      <w:bookmarkEnd w:id="156"/>
    </w:p>
    <w:p w14:paraId="6AF04485">
      <w:pPr>
        <w:snapToGrid w:val="0"/>
        <w:spacing w:line="360" w:lineRule="auto"/>
        <w:ind w:firstLine="420" w:firstLineChars="200"/>
        <w:rPr>
          <w:rFonts w:ascii="宋体" w:cs="宋体"/>
          <w:szCs w:val="21"/>
          <w:highlight w:val="none"/>
        </w:rPr>
      </w:pPr>
      <w:r>
        <w:rPr>
          <w:rFonts w:hint="eastAsia" w:ascii="宋体" w:hAnsi="宋体" w:cs="宋体"/>
          <w:szCs w:val="21"/>
          <w:highlight w:val="none"/>
        </w:rPr>
        <w:t>乙方应按谈判文件、响应文件和承诺规定的服务内容向甲方提供相应服务。</w:t>
      </w:r>
    </w:p>
    <w:p w14:paraId="647D109F">
      <w:pPr>
        <w:pStyle w:val="3"/>
        <w:widowControl/>
        <w:ind w:left="568" w:leftChars="200" w:hanging="148" w:hangingChars="70"/>
        <w:rPr>
          <w:b/>
          <w:bCs w:val="0"/>
          <w:color w:val="auto"/>
          <w:sz w:val="21"/>
          <w:szCs w:val="21"/>
          <w:highlight w:val="none"/>
        </w:rPr>
      </w:pPr>
      <w:bookmarkStart w:id="157" w:name="_Toc25056"/>
      <w:bookmarkStart w:id="158" w:name="_Toc31657"/>
      <w:bookmarkStart w:id="159" w:name="_Toc8669"/>
      <w:bookmarkStart w:id="160" w:name="_Toc8771"/>
      <w:r>
        <w:rPr>
          <w:rFonts w:hint="eastAsia" w:cs="宋体"/>
          <w:b/>
          <w:bCs w:val="0"/>
          <w:color w:val="auto"/>
          <w:sz w:val="21"/>
          <w:szCs w:val="21"/>
          <w:highlight w:val="none"/>
        </w:rPr>
        <w:t>第四条服务期限</w:t>
      </w:r>
      <w:bookmarkEnd w:id="157"/>
      <w:bookmarkEnd w:id="158"/>
      <w:bookmarkEnd w:id="159"/>
      <w:bookmarkEnd w:id="160"/>
    </w:p>
    <w:p w14:paraId="11314450">
      <w:pPr>
        <w:spacing w:line="360" w:lineRule="auto"/>
        <w:ind w:firstLine="411" w:firstLineChars="196"/>
        <w:rPr>
          <w:rFonts w:hint="eastAsia" w:ascii="宋体" w:hAnsi="宋体" w:eastAsia="宋体" w:cs="宋体"/>
          <w:szCs w:val="21"/>
          <w:highlight w:val="none"/>
          <w:u w:val="single"/>
          <w:lang w:eastAsia="zh-CN"/>
        </w:rPr>
      </w:pPr>
      <w:r>
        <w:rPr>
          <w:rFonts w:hint="eastAsia" w:ascii="宋体" w:hAnsi="宋体" w:cs="宋体"/>
          <w:szCs w:val="21"/>
          <w:highlight w:val="none"/>
        </w:rPr>
        <w:t xml:space="preserve">服务期限: </w:t>
      </w:r>
      <w:r>
        <w:rPr>
          <w:rFonts w:hint="eastAsia" w:ascii="宋体" w:hAnsi="宋体" w:cs="宋体"/>
          <w:szCs w:val="21"/>
          <w:highlight w:val="none"/>
          <w:u w:val="single"/>
        </w:rPr>
        <w:t>自合同签订之日起2年</w:t>
      </w:r>
      <w:r>
        <w:rPr>
          <w:rFonts w:hint="eastAsia" w:ascii="宋体" w:hAnsi="宋体" w:cs="宋体"/>
          <w:szCs w:val="21"/>
          <w:highlight w:val="none"/>
          <w:u w:val="single"/>
          <w:lang w:eastAsia="zh-CN"/>
        </w:rPr>
        <w:t>。</w:t>
      </w:r>
    </w:p>
    <w:p w14:paraId="60537D8B">
      <w:pPr>
        <w:pStyle w:val="3"/>
        <w:widowControl/>
        <w:ind w:left="568" w:leftChars="200" w:hanging="148" w:hangingChars="70"/>
        <w:rPr>
          <w:b/>
          <w:bCs w:val="0"/>
          <w:color w:val="auto"/>
          <w:sz w:val="21"/>
          <w:szCs w:val="21"/>
          <w:highlight w:val="none"/>
        </w:rPr>
      </w:pPr>
      <w:bookmarkStart w:id="161" w:name="_Toc25521"/>
      <w:bookmarkStart w:id="162" w:name="_Toc17053"/>
      <w:bookmarkStart w:id="163" w:name="_Toc15179"/>
      <w:bookmarkStart w:id="164" w:name="_Toc8196"/>
      <w:r>
        <w:rPr>
          <w:rFonts w:hint="eastAsia" w:cs="宋体"/>
          <w:b/>
          <w:bCs w:val="0"/>
          <w:color w:val="auto"/>
          <w:sz w:val="21"/>
          <w:szCs w:val="21"/>
          <w:highlight w:val="none"/>
        </w:rPr>
        <w:t>第五条交付</w:t>
      </w:r>
      <w:bookmarkEnd w:id="161"/>
      <w:bookmarkEnd w:id="162"/>
      <w:bookmarkEnd w:id="163"/>
      <w:bookmarkEnd w:id="164"/>
    </w:p>
    <w:p w14:paraId="6476FA7E">
      <w:pPr>
        <w:spacing w:line="360" w:lineRule="auto"/>
        <w:ind w:firstLine="420" w:firstLineChars="200"/>
        <w:rPr>
          <w:rFonts w:ascii="宋体" w:hAnsi="宋体" w:cs="宋体"/>
          <w:szCs w:val="21"/>
          <w:highlight w:val="none"/>
        </w:rPr>
      </w:pPr>
      <w:r>
        <w:rPr>
          <w:rFonts w:hint="eastAsia" w:ascii="宋体" w:hAnsi="宋体" w:cs="宋体"/>
          <w:szCs w:val="21"/>
          <w:highlight w:val="none"/>
        </w:rPr>
        <w:t>1、服务时间：</w:t>
      </w:r>
      <w:r>
        <w:rPr>
          <w:rFonts w:hint="eastAsia" w:ascii="宋体" w:hAnsi="宋体" w:cs="宋体"/>
          <w:szCs w:val="21"/>
          <w:highlight w:val="none"/>
          <w:u w:val="single"/>
        </w:rPr>
        <w:t xml:space="preserve"> 每天早上8点30分之前送到 </w:t>
      </w:r>
      <w:r>
        <w:rPr>
          <w:rFonts w:hint="eastAsia" w:ascii="宋体" w:hAnsi="宋体" w:cs="宋体"/>
          <w:szCs w:val="21"/>
          <w:highlight w:val="none"/>
        </w:rPr>
        <w:t>、地点：</w:t>
      </w:r>
      <w:r>
        <w:rPr>
          <w:rFonts w:hint="eastAsia" w:ascii="宋体" w:hAnsi="宋体" w:cs="宋体"/>
          <w:szCs w:val="21"/>
          <w:highlight w:val="none"/>
          <w:u w:val="single"/>
        </w:rPr>
        <w:t xml:space="preserve">    雁山区机关食堂    </w:t>
      </w:r>
      <w:r>
        <w:rPr>
          <w:rFonts w:hint="eastAsia" w:ascii="宋体" w:hAnsi="宋体" w:cs="宋体"/>
          <w:szCs w:val="21"/>
          <w:highlight w:val="none"/>
        </w:rPr>
        <w:t>。</w:t>
      </w:r>
    </w:p>
    <w:p w14:paraId="039817A9">
      <w:pPr>
        <w:spacing w:line="360" w:lineRule="auto"/>
        <w:ind w:firstLine="420" w:firstLineChars="200"/>
        <w:rPr>
          <w:rFonts w:ascii="宋体" w:hAnsi="宋体" w:cs="宋体"/>
          <w:szCs w:val="21"/>
          <w:highlight w:val="none"/>
        </w:rPr>
      </w:pPr>
      <w:r>
        <w:rPr>
          <w:rFonts w:hint="eastAsia" w:ascii="宋体" w:hAnsi="宋体" w:cs="宋体"/>
          <w:szCs w:val="21"/>
          <w:highlight w:val="none"/>
        </w:rPr>
        <w:t>2、乙方提供不符合谈判文件、响应文件和本合同规定的服务，甲方有权拒绝接受。</w:t>
      </w:r>
    </w:p>
    <w:p w14:paraId="122C2ADA">
      <w:pPr>
        <w:pStyle w:val="3"/>
        <w:widowControl/>
        <w:ind w:left="568" w:leftChars="200" w:hanging="148" w:hangingChars="70"/>
        <w:rPr>
          <w:b/>
          <w:bCs w:val="0"/>
          <w:color w:val="auto"/>
          <w:sz w:val="21"/>
          <w:szCs w:val="21"/>
          <w:highlight w:val="none"/>
        </w:rPr>
      </w:pPr>
      <w:bookmarkStart w:id="165" w:name="_Toc8253"/>
      <w:bookmarkStart w:id="166" w:name="_Toc11438"/>
      <w:bookmarkStart w:id="167" w:name="_Toc22519"/>
      <w:bookmarkStart w:id="168" w:name="_Toc26669"/>
      <w:r>
        <w:rPr>
          <w:rFonts w:hint="eastAsia" w:cs="宋体"/>
          <w:b/>
          <w:bCs w:val="0"/>
          <w:color w:val="auto"/>
          <w:sz w:val="21"/>
          <w:szCs w:val="21"/>
          <w:highlight w:val="none"/>
        </w:rPr>
        <w:t>第六条税费</w:t>
      </w:r>
      <w:bookmarkEnd w:id="165"/>
      <w:bookmarkEnd w:id="166"/>
      <w:bookmarkEnd w:id="167"/>
      <w:bookmarkEnd w:id="168"/>
    </w:p>
    <w:p w14:paraId="23D0F99E">
      <w:pPr>
        <w:spacing w:line="360" w:lineRule="auto"/>
        <w:ind w:firstLine="411" w:firstLineChars="196"/>
        <w:rPr>
          <w:rFonts w:ascii="宋体" w:hAnsi="宋体" w:cs="宋体"/>
          <w:szCs w:val="21"/>
          <w:highlight w:val="none"/>
        </w:rPr>
      </w:pPr>
      <w:r>
        <w:rPr>
          <w:rFonts w:hint="eastAsia" w:ascii="宋体" w:hAnsi="宋体" w:cs="宋体"/>
          <w:szCs w:val="21"/>
          <w:highlight w:val="none"/>
        </w:rPr>
        <w:t>本合同执行中相关的一切税费均由乙方负担。</w:t>
      </w:r>
    </w:p>
    <w:p w14:paraId="12B84BCD">
      <w:pPr>
        <w:pStyle w:val="3"/>
        <w:widowControl/>
        <w:ind w:left="568" w:leftChars="200" w:hanging="148" w:hangingChars="70"/>
        <w:rPr>
          <w:b/>
          <w:bCs w:val="0"/>
          <w:color w:val="auto"/>
          <w:sz w:val="21"/>
          <w:szCs w:val="21"/>
          <w:highlight w:val="none"/>
        </w:rPr>
      </w:pPr>
      <w:bookmarkStart w:id="169" w:name="_Toc11829"/>
      <w:bookmarkStart w:id="170" w:name="_Toc22803"/>
      <w:bookmarkStart w:id="171" w:name="_Toc10473"/>
      <w:bookmarkStart w:id="172" w:name="_Toc31516"/>
      <w:r>
        <w:rPr>
          <w:rFonts w:hint="eastAsia" w:cs="宋体"/>
          <w:b/>
          <w:bCs w:val="0"/>
          <w:color w:val="auto"/>
          <w:sz w:val="21"/>
          <w:szCs w:val="21"/>
          <w:highlight w:val="none"/>
        </w:rPr>
        <w:t>第七条付款方式</w:t>
      </w:r>
      <w:bookmarkEnd w:id="169"/>
      <w:bookmarkEnd w:id="170"/>
      <w:bookmarkEnd w:id="171"/>
      <w:bookmarkEnd w:id="172"/>
    </w:p>
    <w:p w14:paraId="7368D886">
      <w:pPr>
        <w:snapToGrid w:val="0"/>
        <w:spacing w:line="360" w:lineRule="auto"/>
        <w:ind w:firstLine="420" w:firstLineChars="200"/>
        <w:rPr>
          <w:rFonts w:ascii="宋体" w:hAnsi="宋体" w:cs="宋体"/>
          <w:szCs w:val="21"/>
          <w:highlight w:val="none"/>
        </w:rPr>
      </w:pPr>
      <w:bookmarkStart w:id="173" w:name="_Toc16722"/>
      <w:bookmarkStart w:id="174" w:name="_Toc2652"/>
      <w:bookmarkStart w:id="175" w:name="_Toc7272"/>
      <w:r>
        <w:rPr>
          <w:rFonts w:hint="eastAsia" w:ascii="宋体" w:hAnsi="宋体" w:cs="宋体"/>
          <w:szCs w:val="21"/>
          <w:highlight w:val="none"/>
        </w:rPr>
        <w:t>1.采用先供货后对账再结算方式，甲方无须预付款。</w:t>
      </w:r>
    </w:p>
    <w:p w14:paraId="61355983">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合同期内每月10日前，甲方按照供应商上月已交付的产品数量乘以对应产品单价，计算本次应付款额，供应商须向甲方提供该批货物等额发票及供货单据，作为甲方付款依据，甲方收到发票及相关票据后25日内，以银行转账方式向供应商支付货款。供应商须按时足额提供发票及相关票据，否则甲方有权拒绝付款而不构成违约。供应商开具的发票必须真实、合法、有效，如供应商提供虚假发票，由此引发的一切责任由供应商负责。</w:t>
      </w:r>
    </w:p>
    <w:p w14:paraId="28D7C374">
      <w:pPr>
        <w:pStyle w:val="3"/>
        <w:widowControl/>
        <w:ind w:left="568" w:leftChars="200" w:hanging="148" w:hangingChars="70"/>
        <w:rPr>
          <w:b/>
          <w:bCs w:val="0"/>
          <w:color w:val="auto"/>
          <w:sz w:val="21"/>
          <w:szCs w:val="21"/>
          <w:highlight w:val="none"/>
        </w:rPr>
      </w:pPr>
      <w:bookmarkStart w:id="176" w:name="_Toc24383"/>
      <w:r>
        <w:rPr>
          <w:rFonts w:hint="eastAsia" w:cs="宋体"/>
          <w:b/>
          <w:bCs w:val="0"/>
          <w:color w:val="auto"/>
          <w:sz w:val="21"/>
          <w:szCs w:val="21"/>
          <w:highlight w:val="none"/>
        </w:rPr>
        <w:t>第八条违约责任</w:t>
      </w:r>
      <w:bookmarkEnd w:id="173"/>
      <w:bookmarkEnd w:id="174"/>
      <w:bookmarkEnd w:id="175"/>
      <w:bookmarkEnd w:id="176"/>
    </w:p>
    <w:p w14:paraId="1269E72E">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1.甲方延迟付款，造成乙方损失的，应按《中华人民共和国民法典》有关规定赔偿损失。</w:t>
      </w:r>
    </w:p>
    <w:p w14:paraId="74BCB607">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供应商存在提高价格、质量下降、以次充好、服务质量不达标等问题，甲方视供应商违约情况可要求供应商赔偿损失。供应商在供应的货物中存在下列情形的，甲方可直接单方终止合同，供应商还需承担由此造成的经济责任和法律责任:</w:t>
      </w:r>
    </w:p>
    <w:p w14:paraId="518229CD">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(1)腐败变质、油脂酸败、霉变、生虫、污秽不洁、混有异物或者其他感官性状异常，对人体健康有害的；</w:t>
      </w:r>
    </w:p>
    <w:p w14:paraId="76E919CF">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(2)含有毒、有害物质或者被有害物质污染，对人体健康有害的；</w:t>
      </w:r>
    </w:p>
    <w:p w14:paraId="51EC24D8">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(3)含有致病性寄生虫、微生物或者微生物含量超过国家限定标准的；</w:t>
      </w:r>
    </w:p>
    <w:p w14:paraId="71D7A43E">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(4)掺假、掺杂、伪造，影响营养、卫生的；</w:t>
      </w:r>
    </w:p>
    <w:p w14:paraId="78D272EE">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(5)用非食品原料加工的，加入非食品用化学物质或者将非食品当作食品的；</w:t>
      </w:r>
    </w:p>
    <w:p w14:paraId="6212AC6A">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(6)超过保质期限的。</w:t>
      </w:r>
    </w:p>
    <w:p w14:paraId="2BB2CE83">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3.供应商在合同有效期内，被国家、行业管理部门通报批评并取消经营资格，或无正当理由中断向甲方供货的，甲方将终止合同。</w:t>
      </w:r>
    </w:p>
    <w:p w14:paraId="75F8ADB6">
      <w:pPr>
        <w:pStyle w:val="3"/>
        <w:widowControl/>
        <w:ind w:left="568" w:leftChars="200" w:hanging="148" w:hangingChars="70"/>
        <w:rPr>
          <w:b/>
          <w:bCs w:val="0"/>
          <w:color w:val="auto"/>
          <w:sz w:val="21"/>
          <w:szCs w:val="21"/>
          <w:highlight w:val="none"/>
        </w:rPr>
      </w:pPr>
      <w:bookmarkStart w:id="177" w:name="_Toc30891"/>
      <w:bookmarkStart w:id="178" w:name="_Toc17947"/>
      <w:bookmarkStart w:id="179" w:name="_Toc8363"/>
      <w:bookmarkStart w:id="180" w:name="_Toc1538"/>
      <w:r>
        <w:rPr>
          <w:rFonts w:hint="eastAsia" w:cs="宋体"/>
          <w:b/>
          <w:bCs w:val="0"/>
          <w:color w:val="auto"/>
          <w:sz w:val="21"/>
          <w:szCs w:val="21"/>
          <w:highlight w:val="none"/>
        </w:rPr>
        <w:t>第九条不可抗力事件处理</w:t>
      </w:r>
      <w:bookmarkEnd w:id="177"/>
      <w:bookmarkEnd w:id="178"/>
      <w:bookmarkEnd w:id="179"/>
      <w:bookmarkEnd w:id="180"/>
    </w:p>
    <w:p w14:paraId="4B6516B1">
      <w:pPr>
        <w:spacing w:line="360" w:lineRule="auto"/>
        <w:ind w:firstLine="420" w:firstLineChars="200"/>
        <w:rPr>
          <w:rFonts w:ascii="宋体" w:hAnsi="宋体" w:cs="宋体"/>
          <w:szCs w:val="21"/>
          <w:highlight w:val="none"/>
        </w:rPr>
      </w:pPr>
      <w:r>
        <w:rPr>
          <w:rFonts w:hint="eastAsia" w:ascii="宋体" w:hAnsi="宋体" w:cs="宋体"/>
          <w:szCs w:val="21"/>
          <w:highlight w:val="none"/>
        </w:rPr>
        <w:t>1、在合同有效期内，乙方因不可抗力事件导致不能履行合同，则合同履行期可延长，其延长期与不可抗力影响期相同。</w:t>
      </w:r>
    </w:p>
    <w:p w14:paraId="0A827173">
      <w:pPr>
        <w:numPr>
          <w:ilvl w:val="0"/>
          <w:numId w:val="11"/>
        </w:numPr>
        <w:spacing w:line="360" w:lineRule="auto"/>
        <w:rPr>
          <w:rFonts w:ascii="宋体" w:hAnsi="宋体" w:cs="宋体"/>
          <w:szCs w:val="21"/>
          <w:highlight w:val="none"/>
        </w:rPr>
      </w:pPr>
      <w:r>
        <w:rPr>
          <w:rFonts w:hint="eastAsia" w:ascii="宋体" w:hAnsi="宋体" w:cs="宋体"/>
          <w:szCs w:val="21"/>
          <w:highlight w:val="none"/>
        </w:rPr>
        <w:t>不可抗力事件发生后，应立即通知对方，并寄送有关权威机构出具的证明。</w:t>
      </w:r>
    </w:p>
    <w:p w14:paraId="08408F36">
      <w:pPr>
        <w:numPr>
          <w:ilvl w:val="0"/>
          <w:numId w:val="11"/>
        </w:numPr>
        <w:spacing w:line="360" w:lineRule="auto"/>
        <w:rPr>
          <w:rFonts w:ascii="宋体" w:hAnsi="宋体" w:cs="宋体"/>
          <w:szCs w:val="21"/>
          <w:highlight w:val="none"/>
        </w:rPr>
      </w:pPr>
      <w:r>
        <w:rPr>
          <w:rFonts w:hint="eastAsia" w:ascii="宋体" w:hAnsi="宋体" w:cs="宋体"/>
          <w:szCs w:val="21"/>
          <w:highlight w:val="none"/>
        </w:rPr>
        <w:t>不可抗力事件延续一百二十天以上，双方应通过友好协商，确定是否继续履行合同。</w:t>
      </w:r>
    </w:p>
    <w:p w14:paraId="52E14A6B">
      <w:pPr>
        <w:pStyle w:val="3"/>
        <w:widowControl/>
        <w:ind w:left="568" w:leftChars="200" w:hanging="148" w:hangingChars="70"/>
        <w:rPr>
          <w:b/>
          <w:bCs w:val="0"/>
          <w:color w:val="auto"/>
          <w:sz w:val="21"/>
          <w:szCs w:val="21"/>
          <w:highlight w:val="none"/>
        </w:rPr>
      </w:pPr>
      <w:bookmarkStart w:id="181" w:name="_Toc7311"/>
      <w:bookmarkStart w:id="182" w:name="_Toc4892"/>
      <w:bookmarkStart w:id="183" w:name="_Toc8638"/>
      <w:bookmarkStart w:id="184" w:name="_Toc24465"/>
      <w:r>
        <w:rPr>
          <w:rFonts w:hint="eastAsia" w:cs="宋体"/>
          <w:b/>
          <w:bCs w:val="0"/>
          <w:color w:val="auto"/>
          <w:sz w:val="21"/>
          <w:szCs w:val="21"/>
          <w:highlight w:val="none"/>
        </w:rPr>
        <w:t>第十条合同争议解决</w:t>
      </w:r>
      <w:bookmarkEnd w:id="181"/>
      <w:bookmarkEnd w:id="182"/>
      <w:bookmarkEnd w:id="183"/>
      <w:bookmarkEnd w:id="184"/>
    </w:p>
    <w:p w14:paraId="04E1E9E7">
      <w:pPr>
        <w:spacing w:line="360" w:lineRule="auto"/>
        <w:ind w:firstLine="420" w:firstLineChars="200"/>
        <w:rPr>
          <w:rFonts w:ascii="宋体" w:hAnsi="宋体" w:cs="宋体"/>
          <w:szCs w:val="21"/>
          <w:highlight w:val="none"/>
        </w:rPr>
      </w:pPr>
      <w:r>
        <w:rPr>
          <w:rFonts w:hint="eastAsia" w:ascii="宋体" w:hAnsi="宋体" w:cs="宋体"/>
          <w:szCs w:val="21"/>
          <w:highlight w:val="none"/>
        </w:rPr>
        <w:t>1、因服务问题发生争议的，应邀请国家认可的相关机构进行鉴定。服务符合要求的，鉴定费由甲方承担；服务不符合要求的，鉴定费由乙方承担。</w:t>
      </w:r>
    </w:p>
    <w:p w14:paraId="34BBDDF4">
      <w:pPr>
        <w:spacing w:line="360" w:lineRule="auto"/>
        <w:ind w:firstLine="420" w:firstLineChars="200"/>
        <w:rPr>
          <w:rFonts w:ascii="宋体" w:hAnsi="宋体" w:cs="宋体"/>
          <w:szCs w:val="21"/>
          <w:highlight w:val="none"/>
        </w:rPr>
      </w:pPr>
      <w:r>
        <w:rPr>
          <w:rFonts w:hint="eastAsia" w:ascii="宋体" w:hAnsi="宋体" w:cs="宋体"/>
          <w:szCs w:val="21"/>
          <w:highlight w:val="none"/>
        </w:rPr>
        <w:t>2、因履行本合同引起的或与本合同有关的争议，甲乙双方应首先通过友好协商解决，如果协商不能解决，可向</w:t>
      </w:r>
      <w:r>
        <w:rPr>
          <w:rFonts w:hint="eastAsia" w:ascii="宋体" w:hAnsi="宋体" w:cs="宋体"/>
          <w:highlight w:val="none"/>
        </w:rPr>
        <w:t>雁山区人民法院</w:t>
      </w:r>
      <w:r>
        <w:rPr>
          <w:rFonts w:hint="eastAsia" w:ascii="宋体" w:hAnsi="宋体" w:cs="宋体"/>
          <w:szCs w:val="21"/>
          <w:highlight w:val="none"/>
        </w:rPr>
        <w:t>提起诉讼。</w:t>
      </w:r>
    </w:p>
    <w:p w14:paraId="6515F944">
      <w:pPr>
        <w:spacing w:line="360" w:lineRule="auto"/>
        <w:ind w:left="435"/>
        <w:rPr>
          <w:rFonts w:ascii="宋体" w:hAnsi="宋体" w:cs="宋体"/>
          <w:szCs w:val="21"/>
          <w:highlight w:val="none"/>
        </w:rPr>
      </w:pPr>
      <w:r>
        <w:rPr>
          <w:rFonts w:hint="eastAsia" w:ascii="宋体" w:hAnsi="宋体" w:cs="宋体"/>
          <w:szCs w:val="21"/>
          <w:highlight w:val="none"/>
        </w:rPr>
        <w:t>3、诉讼期间，本合同继续履行。</w:t>
      </w:r>
    </w:p>
    <w:p w14:paraId="597A84FF">
      <w:pPr>
        <w:pStyle w:val="3"/>
        <w:widowControl/>
        <w:ind w:left="568" w:leftChars="200" w:hanging="148" w:hangingChars="70"/>
        <w:rPr>
          <w:b/>
          <w:bCs w:val="0"/>
          <w:color w:val="auto"/>
          <w:sz w:val="21"/>
          <w:szCs w:val="21"/>
          <w:highlight w:val="none"/>
        </w:rPr>
      </w:pPr>
      <w:bookmarkStart w:id="185" w:name="_Toc2504"/>
      <w:bookmarkStart w:id="186" w:name="_Toc17823"/>
      <w:bookmarkStart w:id="187" w:name="_Toc27483"/>
      <w:bookmarkStart w:id="188" w:name="_Toc11392"/>
      <w:r>
        <w:rPr>
          <w:rFonts w:hint="eastAsia" w:cs="宋体"/>
          <w:b/>
          <w:bCs w:val="0"/>
          <w:color w:val="auto"/>
          <w:sz w:val="21"/>
          <w:szCs w:val="21"/>
          <w:highlight w:val="none"/>
        </w:rPr>
        <w:t>第十一条合同生效及其它</w:t>
      </w:r>
      <w:bookmarkEnd w:id="185"/>
      <w:bookmarkEnd w:id="186"/>
      <w:bookmarkEnd w:id="187"/>
      <w:bookmarkEnd w:id="188"/>
    </w:p>
    <w:p w14:paraId="53E735C1">
      <w:pPr>
        <w:spacing w:line="360" w:lineRule="auto"/>
        <w:ind w:firstLine="420" w:firstLineChars="200"/>
        <w:rPr>
          <w:rFonts w:ascii="宋体" w:hAnsi="宋体" w:cs="宋体"/>
          <w:szCs w:val="21"/>
          <w:highlight w:val="none"/>
        </w:rPr>
      </w:pPr>
      <w:r>
        <w:rPr>
          <w:rFonts w:hint="eastAsia" w:ascii="宋体" w:hAnsi="宋体" w:cs="宋体"/>
          <w:szCs w:val="21"/>
          <w:highlight w:val="none"/>
        </w:rPr>
        <w:t>1、合同经甲乙双方法定代表人或授权代表签字并加盖单位公章后生效。</w:t>
      </w:r>
    </w:p>
    <w:p w14:paraId="74F56AB2">
      <w:pPr>
        <w:spacing w:line="360" w:lineRule="auto"/>
        <w:ind w:firstLine="420" w:firstLineChars="200"/>
        <w:rPr>
          <w:rFonts w:ascii="宋体" w:hAnsi="宋体" w:cs="宋体"/>
          <w:szCs w:val="21"/>
          <w:highlight w:val="none"/>
        </w:rPr>
      </w:pPr>
      <w:r>
        <w:rPr>
          <w:rFonts w:hint="eastAsia" w:ascii="宋体" w:hAnsi="宋体" w:cs="宋体"/>
          <w:szCs w:val="21"/>
          <w:highlight w:val="none"/>
        </w:rPr>
        <w:t>2、合同执行中涉及采购资金和采购内容修改或补充的，需雁山区财政局审批，并签订书面补充协议报</w:t>
      </w:r>
      <w:r>
        <w:rPr>
          <w:rFonts w:hint="eastAsia" w:ascii="宋体" w:hAnsi="宋体" w:cs="宋体"/>
          <w:highlight w:val="none"/>
        </w:rPr>
        <w:t>雁山区财政局</w:t>
      </w:r>
      <w:r>
        <w:rPr>
          <w:rFonts w:hint="eastAsia" w:ascii="宋体" w:hAnsi="宋体" w:cs="宋体"/>
          <w:szCs w:val="21"/>
          <w:highlight w:val="none"/>
        </w:rPr>
        <w:t>备案，方可作为主合同不可分割的一部分。</w:t>
      </w:r>
    </w:p>
    <w:p w14:paraId="2E052B77">
      <w:pPr>
        <w:spacing w:line="360" w:lineRule="auto"/>
        <w:ind w:left="435"/>
        <w:rPr>
          <w:rFonts w:ascii="宋体" w:hAnsi="宋体" w:cs="宋体"/>
          <w:szCs w:val="21"/>
          <w:highlight w:val="none"/>
        </w:rPr>
      </w:pPr>
      <w:r>
        <w:rPr>
          <w:rFonts w:hint="eastAsia" w:ascii="宋体" w:hAnsi="宋体" w:cs="宋体"/>
          <w:szCs w:val="21"/>
          <w:highlight w:val="none"/>
        </w:rPr>
        <w:t>3、本合同未尽事宜，遵照《中华人民共和国民法典》有关条文执行。</w:t>
      </w:r>
    </w:p>
    <w:p w14:paraId="53E3AD80">
      <w:pPr>
        <w:pStyle w:val="3"/>
        <w:widowControl/>
        <w:ind w:left="568" w:leftChars="200" w:hanging="148" w:hangingChars="70"/>
        <w:rPr>
          <w:b/>
          <w:bCs w:val="0"/>
          <w:color w:val="auto"/>
          <w:sz w:val="21"/>
          <w:szCs w:val="21"/>
          <w:highlight w:val="none"/>
        </w:rPr>
      </w:pPr>
      <w:bookmarkStart w:id="189" w:name="_Toc12956"/>
      <w:bookmarkStart w:id="190" w:name="_Toc9577"/>
      <w:bookmarkStart w:id="191" w:name="_Toc1917"/>
      <w:bookmarkStart w:id="192" w:name="_Toc31438"/>
      <w:r>
        <w:rPr>
          <w:rFonts w:hint="eastAsia" w:cs="宋体"/>
          <w:b/>
          <w:bCs w:val="0"/>
          <w:color w:val="auto"/>
          <w:sz w:val="21"/>
          <w:szCs w:val="21"/>
          <w:highlight w:val="none"/>
        </w:rPr>
        <w:t>第十二条合同的变更、终止与转让</w:t>
      </w:r>
      <w:bookmarkEnd w:id="189"/>
      <w:bookmarkEnd w:id="190"/>
      <w:bookmarkEnd w:id="191"/>
      <w:bookmarkEnd w:id="192"/>
    </w:p>
    <w:p w14:paraId="1444E14A">
      <w:pPr>
        <w:spacing w:line="360" w:lineRule="auto"/>
        <w:ind w:firstLine="420" w:firstLineChars="200"/>
        <w:rPr>
          <w:rFonts w:ascii="宋体" w:hAnsi="宋体" w:cs="宋体"/>
          <w:szCs w:val="21"/>
          <w:highlight w:val="none"/>
        </w:rPr>
      </w:pPr>
      <w:r>
        <w:rPr>
          <w:rFonts w:hint="eastAsia" w:ascii="宋体" w:hAnsi="宋体" w:cs="宋体"/>
          <w:szCs w:val="21"/>
          <w:highlight w:val="none"/>
        </w:rPr>
        <w:t>1、除《中华人民共和国政府采购法》第五十条规定的情形外，本合同一经签订，甲乙双方不得擅自变更，中止或终止。</w:t>
      </w:r>
    </w:p>
    <w:p w14:paraId="778F323E">
      <w:pPr>
        <w:numPr>
          <w:ilvl w:val="0"/>
          <w:numId w:val="12"/>
        </w:numPr>
        <w:spacing w:line="360" w:lineRule="auto"/>
        <w:rPr>
          <w:rFonts w:ascii="宋体" w:hAnsi="宋体" w:cs="宋体"/>
          <w:szCs w:val="21"/>
          <w:highlight w:val="none"/>
        </w:rPr>
      </w:pPr>
      <w:r>
        <w:rPr>
          <w:rFonts w:hint="eastAsia" w:ascii="宋体" w:hAnsi="宋体" w:cs="宋体"/>
          <w:szCs w:val="21"/>
          <w:highlight w:val="none"/>
        </w:rPr>
        <w:t>乙方不得擅自转让其应履行的合同义务。</w:t>
      </w:r>
    </w:p>
    <w:p w14:paraId="0E5D8B1E">
      <w:pPr>
        <w:pStyle w:val="3"/>
        <w:widowControl/>
        <w:ind w:left="568" w:leftChars="200" w:hanging="148" w:hangingChars="70"/>
        <w:rPr>
          <w:b/>
          <w:bCs w:val="0"/>
          <w:color w:val="auto"/>
          <w:sz w:val="21"/>
          <w:szCs w:val="21"/>
          <w:highlight w:val="none"/>
        </w:rPr>
      </w:pPr>
      <w:bookmarkStart w:id="193" w:name="_Toc7447"/>
      <w:bookmarkStart w:id="194" w:name="_Toc14327"/>
      <w:bookmarkStart w:id="195" w:name="_Toc32608"/>
      <w:bookmarkStart w:id="196" w:name="_Toc18823"/>
      <w:r>
        <w:rPr>
          <w:rFonts w:hint="eastAsia" w:cs="宋体"/>
          <w:b/>
          <w:bCs w:val="0"/>
          <w:color w:val="auto"/>
          <w:sz w:val="21"/>
          <w:szCs w:val="21"/>
          <w:highlight w:val="none"/>
        </w:rPr>
        <w:t>第十三条签订本合同依据</w:t>
      </w:r>
      <w:bookmarkEnd w:id="193"/>
      <w:bookmarkEnd w:id="194"/>
      <w:bookmarkEnd w:id="195"/>
      <w:bookmarkEnd w:id="196"/>
    </w:p>
    <w:p w14:paraId="49E72EE0">
      <w:pPr>
        <w:spacing w:line="360" w:lineRule="auto"/>
        <w:ind w:left="420"/>
        <w:rPr>
          <w:rFonts w:ascii="宋体" w:hAnsi="宋体" w:cs="宋体"/>
          <w:szCs w:val="21"/>
          <w:highlight w:val="none"/>
        </w:rPr>
      </w:pPr>
      <w:r>
        <w:rPr>
          <w:rFonts w:hint="eastAsia" w:ascii="宋体" w:hAnsi="宋体" w:cs="宋体"/>
          <w:szCs w:val="21"/>
          <w:highlight w:val="none"/>
        </w:rPr>
        <w:t>1、竞争性</w:t>
      </w:r>
      <w:r>
        <w:rPr>
          <w:rFonts w:hint="eastAsia" w:ascii="宋体" w:hAnsi="宋体" w:cs="宋体"/>
          <w:szCs w:val="21"/>
          <w:highlight w:val="none"/>
          <w:lang w:val="en-US" w:eastAsia="zh-CN"/>
        </w:rPr>
        <w:t>磋商</w:t>
      </w:r>
      <w:r>
        <w:rPr>
          <w:rFonts w:hint="eastAsia" w:ascii="宋体" w:hAnsi="宋体" w:cs="宋体"/>
          <w:szCs w:val="21"/>
          <w:highlight w:val="none"/>
        </w:rPr>
        <w:t>文件；</w:t>
      </w:r>
    </w:p>
    <w:p w14:paraId="56236969">
      <w:pPr>
        <w:spacing w:line="360" w:lineRule="auto"/>
        <w:ind w:left="225" w:leftChars="107" w:firstLine="210" w:firstLineChars="100"/>
        <w:rPr>
          <w:rFonts w:ascii="宋体" w:hAnsi="宋体" w:cs="宋体"/>
          <w:szCs w:val="21"/>
          <w:highlight w:val="none"/>
        </w:rPr>
      </w:pPr>
      <w:r>
        <w:rPr>
          <w:rFonts w:hint="eastAsia" w:ascii="宋体" w:hAnsi="宋体" w:cs="宋体"/>
          <w:szCs w:val="21"/>
          <w:highlight w:val="none"/>
        </w:rPr>
        <w:t>2、乙方的响应（或应答）文件；</w:t>
      </w:r>
    </w:p>
    <w:p w14:paraId="08407E66">
      <w:pPr>
        <w:spacing w:line="360" w:lineRule="auto"/>
        <w:ind w:left="225" w:leftChars="107" w:firstLine="210" w:firstLineChars="100"/>
        <w:rPr>
          <w:rFonts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val="en-US" w:eastAsia="zh-CN"/>
        </w:rPr>
        <w:t>磋商</w:t>
      </w:r>
      <w:r>
        <w:rPr>
          <w:rFonts w:hint="eastAsia" w:ascii="宋体" w:hAnsi="宋体" w:cs="宋体"/>
          <w:szCs w:val="21"/>
          <w:highlight w:val="none"/>
        </w:rPr>
        <w:t>中的谈判记录；</w:t>
      </w:r>
    </w:p>
    <w:p w14:paraId="29CF420F">
      <w:pPr>
        <w:spacing w:line="360" w:lineRule="auto"/>
        <w:ind w:left="225" w:leftChars="107" w:firstLine="210" w:firstLineChars="100"/>
        <w:rPr>
          <w:rFonts w:ascii="宋体" w:hAnsi="宋体" w:cs="宋体"/>
          <w:szCs w:val="21"/>
          <w:highlight w:val="none"/>
        </w:rPr>
      </w:pPr>
      <w:r>
        <w:rPr>
          <w:rFonts w:hint="eastAsia" w:ascii="宋体" w:hAnsi="宋体" w:cs="宋体"/>
          <w:szCs w:val="21"/>
          <w:highlight w:val="none"/>
        </w:rPr>
        <w:t>4、成交通知书。</w:t>
      </w:r>
    </w:p>
    <w:p w14:paraId="6120D419">
      <w:pPr>
        <w:spacing w:line="400" w:lineRule="exact"/>
        <w:ind w:firstLine="422" w:firstLineChars="200"/>
        <w:rPr>
          <w:rFonts w:ascii="宋体" w:hAnsi="宋体" w:cs="宋体"/>
          <w:b/>
          <w:color w:val="0D0D0D"/>
          <w:szCs w:val="21"/>
          <w:highlight w:val="none"/>
        </w:rPr>
      </w:pPr>
      <w:r>
        <w:rPr>
          <w:rFonts w:hint="eastAsia" w:ascii="宋体" w:hAnsi="宋体" w:cs="宋体"/>
          <w:b/>
          <w:color w:val="0D0D0D"/>
          <w:szCs w:val="21"/>
          <w:highlight w:val="none"/>
        </w:rPr>
        <w:t xml:space="preserve">第十四条  </w:t>
      </w:r>
    </w:p>
    <w:p w14:paraId="46F02C69">
      <w:pPr>
        <w:spacing w:line="586" w:lineRule="exact"/>
        <w:ind w:firstLine="210" w:firstLineChars="100"/>
        <w:rPr>
          <w:rFonts w:hint="eastAsia" w:ascii="宋体" w:hAnsi="宋体" w:cs="宋体"/>
          <w:bCs/>
          <w:color w:val="0D0D0D"/>
          <w:szCs w:val="21"/>
          <w:highlight w:val="none"/>
        </w:rPr>
      </w:pPr>
      <w:r>
        <w:rPr>
          <w:rFonts w:hint="eastAsia" w:ascii="宋体" w:hAnsi="宋体" w:cs="宋体"/>
          <w:bCs/>
          <w:color w:val="0D0D0D"/>
          <w:szCs w:val="21"/>
          <w:highlight w:val="none"/>
        </w:rPr>
        <w:t>乙方在市场同等价格、质量条件下优先采购贫困地区、雁山区农副产品，</w:t>
      </w:r>
    </w:p>
    <w:p w14:paraId="4D27408C">
      <w:pPr>
        <w:pStyle w:val="22"/>
        <w:rPr>
          <w:rFonts w:hint="eastAsia" w:ascii="宋体" w:hAnsi="宋体" w:cs="宋体"/>
          <w:bCs/>
          <w:color w:val="0D0D0D"/>
          <w:szCs w:val="21"/>
          <w:highlight w:val="none"/>
          <w:lang w:val="en-US" w:eastAsia="zh-CN"/>
        </w:rPr>
      </w:pPr>
      <w:r>
        <w:rPr>
          <w:rFonts w:hint="eastAsia" w:ascii="宋体" w:hAnsi="宋体" w:cs="宋体"/>
          <w:bCs/>
          <w:color w:val="0D0D0D"/>
          <w:szCs w:val="21"/>
          <w:highlight w:val="none"/>
          <w:lang w:val="en-US" w:eastAsia="zh-CN"/>
        </w:rPr>
        <w:t>第十五条</w:t>
      </w:r>
    </w:p>
    <w:p w14:paraId="61BAC16E">
      <w:pPr>
        <w:ind w:firstLine="211" w:firstLineChars="100"/>
        <w:rPr>
          <w:rFonts w:hint="default"/>
          <w:b/>
          <w:bCs/>
          <w:highlight w:val="none"/>
          <w:lang w:val="en-US" w:eastAsia="zh-CN"/>
        </w:rPr>
      </w:pPr>
      <w:r>
        <w:rPr>
          <w:rFonts w:hint="default"/>
          <w:b/>
          <w:bCs/>
          <w:highlight w:val="none"/>
          <w:lang w:val="en-US" w:eastAsia="zh-CN"/>
        </w:rPr>
        <w:t>为明确供应商的食品质量责任，避免各类因食品质量发生的问题，保障食品安全，保护甲方的合法权益，甲乙双方特签订本采购配送服务补充协议合同。</w:t>
      </w:r>
    </w:p>
    <w:p w14:paraId="2E3EB826">
      <w:pPr>
        <w:ind w:firstLine="211" w:firstLineChars="100"/>
        <w:rPr>
          <w:rFonts w:hint="default"/>
          <w:b/>
          <w:bCs/>
          <w:highlight w:val="none"/>
          <w:lang w:val="en-US" w:eastAsia="zh-CN"/>
        </w:rPr>
      </w:pPr>
      <w:r>
        <w:rPr>
          <w:rFonts w:hint="default"/>
          <w:b/>
          <w:bCs/>
          <w:highlight w:val="none"/>
          <w:lang w:val="en-US" w:eastAsia="zh-CN"/>
        </w:rPr>
        <w:t>1、应按照《中华人民共和国食品安全法》保证食品质量。</w:t>
      </w:r>
    </w:p>
    <w:p w14:paraId="54BF2831">
      <w:pPr>
        <w:ind w:firstLine="211" w:firstLineChars="100"/>
        <w:rPr>
          <w:rFonts w:hint="default"/>
          <w:b/>
          <w:bCs/>
          <w:highlight w:val="none"/>
          <w:lang w:val="en-US" w:eastAsia="zh-CN"/>
        </w:rPr>
      </w:pPr>
      <w:r>
        <w:rPr>
          <w:rFonts w:hint="default"/>
          <w:b/>
          <w:bCs/>
          <w:highlight w:val="none"/>
          <w:lang w:val="en-US" w:eastAsia="zh-CN"/>
        </w:rPr>
        <w:t>2、供应商提供当天食堂采购的所有食品质量检验检测报告。</w:t>
      </w:r>
    </w:p>
    <w:p w14:paraId="0245CD32">
      <w:pPr>
        <w:ind w:firstLine="211" w:firstLineChars="100"/>
        <w:rPr>
          <w:rFonts w:hint="default"/>
          <w:b/>
          <w:bCs/>
          <w:highlight w:val="none"/>
          <w:lang w:val="en-US" w:eastAsia="zh-CN"/>
        </w:rPr>
      </w:pPr>
      <w:r>
        <w:rPr>
          <w:rFonts w:hint="default"/>
          <w:b/>
          <w:bCs/>
          <w:highlight w:val="none"/>
          <w:lang w:val="en-US" w:eastAsia="zh-CN"/>
        </w:rPr>
        <w:t>3、提供的食品必须符合《食品安全法》等法律法规的规定或归家或行业的相关标准。</w:t>
      </w:r>
    </w:p>
    <w:p w14:paraId="74F5E893">
      <w:pPr>
        <w:rPr>
          <w:rFonts w:hint="default"/>
          <w:b/>
          <w:bCs/>
          <w:highlight w:val="none"/>
          <w:lang w:val="en-US" w:eastAsia="zh-CN"/>
        </w:rPr>
      </w:pPr>
      <w:r>
        <w:rPr>
          <w:rFonts w:hint="default"/>
          <w:b/>
          <w:bCs/>
          <w:highlight w:val="none"/>
          <w:lang w:val="en-US" w:eastAsia="zh-CN"/>
        </w:rPr>
        <w:t xml:space="preserve">  4、供应商提供的调味料等商品包装必须要有产品名称、生产厂家地址、规格、登记、采用的产品标准、质量检验合格证明、使用说明、生产日期和有效期及其他说明等。</w:t>
      </w:r>
    </w:p>
    <w:p w14:paraId="6F82A8F0">
      <w:pPr>
        <w:ind w:left="210" w:leftChars="100" w:firstLine="0" w:firstLineChars="0"/>
        <w:rPr>
          <w:rFonts w:hint="default"/>
          <w:b/>
          <w:bCs/>
          <w:highlight w:val="none"/>
          <w:lang w:val="en-US" w:eastAsia="zh-CN"/>
        </w:rPr>
      </w:pPr>
      <w:r>
        <w:rPr>
          <w:rFonts w:hint="default"/>
          <w:b/>
          <w:bCs/>
          <w:highlight w:val="none"/>
          <w:lang w:val="en-US" w:eastAsia="zh-CN"/>
        </w:rPr>
        <w:t>5、供应商存在提高价格、质量下降、以次充好、缺斤少两、服务质量不达标等问题，甲方视供应商违约情况可要求供应商赔偿损失。供应商在供应的货物中存在下列情形的，甲方可直接单方终止合同，供应商还需承担由此造成的经济责任和法律责任:</w:t>
      </w:r>
    </w:p>
    <w:p w14:paraId="21BDD237">
      <w:pPr>
        <w:ind w:firstLine="211" w:firstLineChars="100"/>
        <w:rPr>
          <w:rFonts w:hint="default"/>
          <w:b/>
          <w:bCs/>
          <w:highlight w:val="none"/>
          <w:lang w:val="en-US" w:eastAsia="zh-CN"/>
        </w:rPr>
      </w:pPr>
      <w:r>
        <w:rPr>
          <w:rFonts w:hint="default"/>
          <w:b/>
          <w:bCs/>
          <w:highlight w:val="none"/>
          <w:lang w:val="en-US" w:eastAsia="zh-CN"/>
        </w:rPr>
        <w:t>(1)腐败变质、油脂酸败、霉变、生虫、污秽不洁、混有异物或者其他感官性状异常，对人体健康有害的；</w:t>
      </w:r>
    </w:p>
    <w:p w14:paraId="5BCEF500">
      <w:pPr>
        <w:ind w:firstLine="211" w:firstLineChars="100"/>
        <w:rPr>
          <w:rFonts w:hint="default"/>
          <w:b/>
          <w:bCs/>
          <w:highlight w:val="none"/>
          <w:lang w:val="en-US" w:eastAsia="zh-CN"/>
        </w:rPr>
      </w:pPr>
      <w:r>
        <w:rPr>
          <w:rFonts w:hint="default"/>
          <w:b/>
          <w:bCs/>
          <w:highlight w:val="none"/>
          <w:lang w:val="en-US" w:eastAsia="zh-CN"/>
        </w:rPr>
        <w:t>(2)含有毒、有害物质或者被有害物质污染，对人体健康有害的；</w:t>
      </w:r>
    </w:p>
    <w:p w14:paraId="2E54A1A5">
      <w:pPr>
        <w:ind w:firstLine="211" w:firstLineChars="100"/>
        <w:rPr>
          <w:rFonts w:hint="default"/>
          <w:b/>
          <w:bCs/>
          <w:highlight w:val="none"/>
          <w:lang w:val="en-US" w:eastAsia="zh-CN"/>
        </w:rPr>
      </w:pPr>
      <w:r>
        <w:rPr>
          <w:rFonts w:hint="default"/>
          <w:b/>
          <w:bCs/>
          <w:highlight w:val="none"/>
          <w:lang w:val="en-US" w:eastAsia="zh-CN"/>
        </w:rPr>
        <w:t>(3)含有致病性寄生虫、微生物或者微生物含量超过国家限定标准的；</w:t>
      </w:r>
    </w:p>
    <w:p w14:paraId="6ACF9C3D">
      <w:pPr>
        <w:ind w:firstLine="211" w:firstLineChars="100"/>
        <w:rPr>
          <w:rFonts w:hint="default"/>
          <w:b/>
          <w:bCs/>
          <w:highlight w:val="none"/>
          <w:lang w:val="en-US" w:eastAsia="zh-CN"/>
        </w:rPr>
      </w:pPr>
      <w:r>
        <w:rPr>
          <w:rFonts w:hint="default"/>
          <w:b/>
          <w:bCs/>
          <w:highlight w:val="none"/>
          <w:lang w:val="en-US" w:eastAsia="zh-CN"/>
        </w:rPr>
        <w:t>(4)掺假、掺杂、伪造，影响营养、卫生的；</w:t>
      </w:r>
    </w:p>
    <w:p w14:paraId="38CA937F">
      <w:pPr>
        <w:ind w:firstLine="211" w:firstLineChars="100"/>
        <w:rPr>
          <w:rFonts w:hint="default"/>
          <w:b/>
          <w:bCs/>
          <w:highlight w:val="none"/>
          <w:lang w:val="en-US" w:eastAsia="zh-CN"/>
        </w:rPr>
      </w:pPr>
      <w:r>
        <w:rPr>
          <w:rFonts w:hint="default"/>
          <w:b/>
          <w:bCs/>
          <w:highlight w:val="none"/>
          <w:lang w:val="en-US" w:eastAsia="zh-CN"/>
        </w:rPr>
        <w:t>(5)用非食品原料加工的，加入非食品用化学物质或者将非食品当作食品的；</w:t>
      </w:r>
    </w:p>
    <w:p w14:paraId="4417F62D">
      <w:pPr>
        <w:ind w:firstLine="211" w:firstLineChars="100"/>
        <w:rPr>
          <w:rFonts w:hint="default"/>
          <w:b/>
          <w:bCs/>
          <w:highlight w:val="none"/>
          <w:lang w:val="en-US" w:eastAsia="zh-CN"/>
        </w:rPr>
      </w:pPr>
      <w:r>
        <w:rPr>
          <w:rFonts w:hint="default"/>
          <w:b/>
          <w:bCs/>
          <w:highlight w:val="none"/>
          <w:lang w:val="en-US" w:eastAsia="zh-CN"/>
        </w:rPr>
        <w:t>(6)超过保质期限的。</w:t>
      </w:r>
    </w:p>
    <w:p w14:paraId="28AF4304">
      <w:pPr>
        <w:rPr>
          <w:rFonts w:hint="default"/>
          <w:b/>
          <w:bCs/>
          <w:highlight w:val="none"/>
          <w:lang w:val="en-US" w:eastAsia="zh-CN"/>
        </w:rPr>
      </w:pPr>
      <w:r>
        <w:rPr>
          <w:rFonts w:hint="default"/>
          <w:b/>
          <w:bCs/>
          <w:highlight w:val="none"/>
          <w:lang w:val="en-US" w:eastAsia="zh-CN"/>
        </w:rPr>
        <w:t>供应商在合同有效期内，被国家、行业管理部门通报批评并取消经营资格，或无正当理由中断向甲方供货的，甲方将终止合同。</w:t>
      </w:r>
    </w:p>
    <w:p w14:paraId="3D532AFD">
      <w:pPr>
        <w:rPr>
          <w:rFonts w:hint="default"/>
          <w:highlight w:val="none"/>
          <w:lang w:val="en-US" w:eastAsia="zh-CN"/>
        </w:rPr>
      </w:pPr>
      <w:r>
        <w:rPr>
          <w:rFonts w:hint="default"/>
          <w:b/>
          <w:bCs/>
          <w:highlight w:val="none"/>
          <w:lang w:val="en-US" w:eastAsia="zh-CN"/>
        </w:rPr>
        <w:t>供应商供货过程中如出现上述情形的，甲方有权扣留处置乙方提供的不合格货物 ，并责令乙方重新采购符合食品安全的新鲜食材，第一次处罚金人民币伍仟元整（￥5000元），第二次如在出现此类情况，处罚金壹万元整（￥10000元）。第三次则无条件解除乙方配送服务合同。</w:t>
      </w:r>
    </w:p>
    <w:p w14:paraId="2C36B4C4">
      <w:pPr>
        <w:spacing w:line="360" w:lineRule="auto"/>
        <w:ind w:firstLine="420" w:firstLineChars="200"/>
        <w:rPr>
          <w:rFonts w:ascii="宋体" w:hAnsi="宋体" w:cs="宋体"/>
          <w:highlight w:val="none"/>
        </w:rPr>
      </w:pPr>
      <w:r>
        <w:rPr>
          <w:rFonts w:hint="eastAsia" w:ascii="宋体" w:hAnsi="宋体" w:cs="宋体"/>
          <w:highlight w:val="none"/>
        </w:rPr>
        <w:t>本合同甲乙双方签字盖章后生效，一式四份，具有同等法律效力，甲乙双方各持一份。双方自签订之日起一个工作日内，乙方将合同原件一份交采购代理机构。甲方于合同签订之日起七个工作日内将一份合同原件送雁山区财政局备案。</w:t>
      </w:r>
    </w:p>
    <w:p w14:paraId="50A7BBDD">
      <w:pPr>
        <w:spacing w:line="360" w:lineRule="auto"/>
        <w:ind w:firstLine="420" w:firstLineChars="200"/>
        <w:rPr>
          <w:rFonts w:ascii="宋体" w:cs="宋体"/>
          <w:szCs w:val="21"/>
          <w:highlight w:val="none"/>
          <w:u w:val="single"/>
        </w:rPr>
      </w:pPr>
      <w:r>
        <w:rPr>
          <w:rFonts w:hint="eastAsia" w:ascii="宋体" w:hAnsi="宋体" w:cs="宋体"/>
          <w:szCs w:val="21"/>
          <w:highlight w:val="none"/>
        </w:rPr>
        <w:t xml:space="preserve"> 甲方名称（公章）：     乙方（公章，自然人除外）：</w:t>
      </w:r>
    </w:p>
    <w:p w14:paraId="2DAFA404">
      <w:pPr>
        <w:spacing w:line="360" w:lineRule="auto"/>
        <w:ind w:left="4620" w:hanging="4620" w:hangingChars="2200"/>
        <w:rPr>
          <w:rFonts w:hAnsi="宋体"/>
          <w:highlight w:val="none"/>
        </w:rPr>
      </w:pPr>
      <w:r>
        <w:rPr>
          <w:rFonts w:hint="eastAsia" w:ascii="宋体" w:hAnsi="宋体" w:cs="宋体"/>
          <w:szCs w:val="21"/>
          <w:highlight w:val="none"/>
        </w:rPr>
        <w:t>法定代表人：</w:t>
      </w:r>
      <w:r>
        <w:rPr>
          <w:rFonts w:hint="eastAsia" w:hAnsi="宋体" w:cs="宋体"/>
          <w:highlight w:val="none"/>
        </w:rPr>
        <w:t>法定代表人（负责人、自然人）签字</w:t>
      </w:r>
    </w:p>
    <w:p w14:paraId="293ECCD4">
      <w:pPr>
        <w:spacing w:line="360" w:lineRule="auto"/>
        <w:ind w:left="4620" w:leftChars="2150" w:hanging="105" w:hangingChars="50"/>
        <w:rPr>
          <w:rFonts w:ascii="宋体" w:cs="宋体"/>
          <w:szCs w:val="21"/>
          <w:highlight w:val="none"/>
          <w:u w:val="single"/>
        </w:rPr>
      </w:pPr>
      <w:r>
        <w:rPr>
          <w:rFonts w:hint="eastAsia" w:hAnsi="宋体" w:cs="宋体"/>
          <w:highlight w:val="none"/>
        </w:rPr>
        <w:t>（属自然人的应在签名处加盖大拇指指印）</w:t>
      </w:r>
      <w:r>
        <w:rPr>
          <w:rFonts w:hint="eastAsia" w:ascii="宋体" w:hAnsi="宋体" w:cs="宋体"/>
          <w:szCs w:val="21"/>
          <w:highlight w:val="none"/>
        </w:rPr>
        <w:t>：</w:t>
      </w:r>
    </w:p>
    <w:p w14:paraId="4ECBA39E">
      <w:pPr>
        <w:tabs>
          <w:tab w:val="left" w:pos="4680"/>
        </w:tabs>
        <w:spacing w:line="360" w:lineRule="auto"/>
        <w:rPr>
          <w:rFonts w:ascii="宋体" w:cs="宋体"/>
          <w:szCs w:val="21"/>
          <w:highlight w:val="none"/>
          <w:u w:val="single"/>
        </w:rPr>
      </w:pPr>
      <w:r>
        <w:rPr>
          <w:rFonts w:hint="eastAsia" w:ascii="宋体" w:hAnsi="宋体" w:cs="宋体"/>
          <w:szCs w:val="21"/>
          <w:highlight w:val="none"/>
        </w:rPr>
        <w:t>委托代理人：     委托代理人：</w:t>
      </w:r>
    </w:p>
    <w:p w14:paraId="0D269131">
      <w:pPr>
        <w:tabs>
          <w:tab w:val="left" w:pos="5040"/>
        </w:tabs>
        <w:spacing w:line="360" w:lineRule="auto"/>
        <w:rPr>
          <w:rFonts w:ascii="宋体" w:cs="宋体"/>
          <w:szCs w:val="21"/>
          <w:highlight w:val="none"/>
          <w:u w:val="single"/>
        </w:rPr>
      </w:pPr>
      <w:r>
        <w:rPr>
          <w:rFonts w:hint="eastAsia" w:ascii="宋体" w:hAnsi="宋体" w:cs="宋体"/>
          <w:szCs w:val="21"/>
          <w:highlight w:val="none"/>
        </w:rPr>
        <w:t xml:space="preserve">电  话：     电   话： </w:t>
      </w:r>
    </w:p>
    <w:p w14:paraId="2689A406">
      <w:pPr>
        <w:tabs>
          <w:tab w:val="left" w:pos="5040"/>
        </w:tabs>
        <w:spacing w:line="360" w:lineRule="auto"/>
        <w:rPr>
          <w:rFonts w:ascii="宋体" w:cs="宋体"/>
          <w:szCs w:val="21"/>
          <w:highlight w:val="none"/>
        </w:rPr>
      </w:pPr>
      <w:r>
        <w:rPr>
          <w:rFonts w:hint="eastAsia" w:ascii="宋体" w:hAnsi="宋体" w:cs="宋体"/>
          <w:szCs w:val="21"/>
          <w:highlight w:val="none"/>
        </w:rPr>
        <w:t>开户名称：     开户名称：</w:t>
      </w:r>
    </w:p>
    <w:p w14:paraId="21DC34AE">
      <w:pPr>
        <w:tabs>
          <w:tab w:val="left" w:pos="5040"/>
        </w:tabs>
        <w:spacing w:line="360" w:lineRule="auto"/>
        <w:rPr>
          <w:rFonts w:ascii="宋体" w:cs="宋体"/>
          <w:szCs w:val="21"/>
          <w:highlight w:val="none"/>
        </w:rPr>
      </w:pPr>
      <w:r>
        <w:rPr>
          <w:rFonts w:hint="eastAsia" w:ascii="宋体" w:hAnsi="宋体" w:cs="宋体"/>
          <w:szCs w:val="21"/>
          <w:highlight w:val="none"/>
        </w:rPr>
        <w:t>开户银行：     开户银行：</w:t>
      </w:r>
    </w:p>
    <w:p w14:paraId="654784E9">
      <w:pPr>
        <w:tabs>
          <w:tab w:val="left" w:pos="5040"/>
        </w:tabs>
        <w:spacing w:line="360" w:lineRule="auto"/>
        <w:rPr>
          <w:rFonts w:ascii="宋体" w:cs="宋体"/>
          <w:szCs w:val="21"/>
          <w:highlight w:val="none"/>
        </w:rPr>
      </w:pPr>
      <w:r>
        <w:rPr>
          <w:rFonts w:hint="eastAsia" w:ascii="宋体" w:hAnsi="宋体" w:cs="宋体"/>
          <w:szCs w:val="21"/>
          <w:highlight w:val="none"/>
        </w:rPr>
        <w:t>银行账号：     银行账号：</w:t>
      </w:r>
    </w:p>
    <w:p w14:paraId="39744BE9">
      <w:pPr>
        <w:tabs>
          <w:tab w:val="left" w:pos="5040"/>
        </w:tabs>
        <w:spacing w:line="360" w:lineRule="auto"/>
        <w:rPr>
          <w:rFonts w:ascii="宋体" w:cs="宋体"/>
          <w:szCs w:val="21"/>
          <w:highlight w:val="none"/>
        </w:rPr>
      </w:pPr>
      <w:r>
        <w:rPr>
          <w:rFonts w:hint="eastAsia" w:ascii="宋体" w:hAnsi="宋体" w:cs="宋体"/>
          <w:szCs w:val="21"/>
          <w:highlight w:val="none"/>
        </w:rPr>
        <w:t>日    期：     日    期：</w:t>
      </w:r>
    </w:p>
    <w:p w14:paraId="051EC330">
      <w:pPr>
        <w:pStyle w:val="31"/>
        <w:rPr>
          <w:rFonts w:ascii="仿宋" w:hAnsi="仿宋" w:eastAsia="仿宋" w:cs="仿宋"/>
          <w:color w:val="auto"/>
          <w:highlight w:val="none"/>
        </w:rPr>
      </w:pPr>
    </w:p>
    <w:p w14:paraId="47A482F3">
      <w:pPr>
        <w:pStyle w:val="31"/>
        <w:rPr>
          <w:rFonts w:ascii="仿宋" w:hAnsi="仿宋" w:eastAsia="仿宋" w:cs="仿宋"/>
          <w:color w:val="auto"/>
          <w:highlight w:val="none"/>
        </w:rPr>
      </w:pPr>
    </w:p>
    <w:p w14:paraId="7D26F971">
      <w:pPr>
        <w:pStyle w:val="3"/>
        <w:keepNext w:val="0"/>
        <w:keepLines w:val="0"/>
        <w:pageBreakBefore/>
        <w:ind w:left="0" w:firstLine="0"/>
        <w:jc w:val="center"/>
        <w:rPr>
          <w:rFonts w:ascii="仿宋" w:hAnsi="仿宋" w:eastAsia="仿宋" w:cs="仿宋"/>
          <w:b/>
          <w:highlight w:val="none"/>
        </w:rPr>
      </w:pPr>
      <w:bookmarkStart w:id="197" w:name="_Toc24269"/>
      <w:bookmarkStart w:id="198" w:name="_Toc10014"/>
      <w:bookmarkStart w:id="199" w:name="_Toc31669"/>
      <w:r>
        <w:rPr>
          <w:rFonts w:hint="eastAsia" w:ascii="仿宋" w:hAnsi="仿宋" w:eastAsia="仿宋" w:cs="仿宋"/>
          <w:b/>
          <w:color w:val="auto"/>
          <w:kern w:val="44"/>
          <w:sz w:val="32"/>
          <w:highlight w:val="none"/>
        </w:rPr>
        <w:t xml:space="preserve">第六章  </w:t>
      </w:r>
      <w:bookmarkEnd w:id="197"/>
      <w:bookmarkEnd w:id="198"/>
      <w:bookmarkStart w:id="200" w:name="_Toc13185"/>
      <w:r>
        <w:rPr>
          <w:rFonts w:hint="eastAsia" w:ascii="仿宋" w:hAnsi="仿宋" w:eastAsia="仿宋" w:cs="仿宋"/>
          <w:b/>
          <w:color w:val="auto"/>
          <w:sz w:val="32"/>
          <w:highlight w:val="none"/>
        </w:rPr>
        <w:t>响应文件（格式）</w:t>
      </w:r>
      <w:bookmarkEnd w:id="199"/>
      <w:bookmarkEnd w:id="200"/>
    </w:p>
    <w:p w14:paraId="7BA616C3">
      <w:pPr>
        <w:rPr>
          <w:rFonts w:ascii="仿宋" w:hAnsi="仿宋" w:eastAsia="仿宋" w:cs="仿宋"/>
          <w:highlight w:val="none"/>
        </w:rPr>
      </w:pPr>
    </w:p>
    <w:p w14:paraId="0D655968">
      <w:pPr>
        <w:pStyle w:val="15"/>
        <w:rPr>
          <w:rFonts w:ascii="仿宋" w:hAnsi="仿宋" w:eastAsia="仿宋" w:cs="仿宋"/>
          <w:b/>
          <w:sz w:val="32"/>
          <w:highlight w:val="none"/>
        </w:rPr>
      </w:pPr>
      <w:bookmarkStart w:id="201" w:name="_Toc497927069"/>
      <w:bookmarkStart w:id="202" w:name="_Toc18351"/>
      <w:bookmarkStart w:id="203" w:name="_Toc21496"/>
      <w:r>
        <w:rPr>
          <w:rFonts w:hint="eastAsia" w:ascii="仿宋" w:hAnsi="仿宋" w:eastAsia="仿宋" w:cs="仿宋"/>
          <w:b/>
          <w:sz w:val="32"/>
          <w:highlight w:val="none"/>
        </w:rPr>
        <w:t>一、响应文件袋（盒、箱）标记</w:t>
      </w:r>
      <w:bookmarkEnd w:id="201"/>
      <w:bookmarkEnd w:id="202"/>
      <w:bookmarkEnd w:id="203"/>
    </w:p>
    <w:p w14:paraId="735D6347">
      <w:pPr>
        <w:adjustRightInd w:val="0"/>
        <w:snapToGrid w:val="0"/>
        <w:rPr>
          <w:rFonts w:ascii="仿宋" w:hAnsi="仿宋" w:eastAsia="仿宋" w:cs="仿宋"/>
          <w:b/>
          <w:sz w:val="44"/>
          <w:szCs w:val="44"/>
          <w:highlight w:val="none"/>
        </w:rPr>
      </w:pPr>
    </w:p>
    <w:p w14:paraId="34FF1C6E">
      <w:pPr>
        <w:pStyle w:val="31"/>
        <w:rPr>
          <w:rFonts w:ascii="仿宋" w:hAnsi="仿宋" w:eastAsia="仿宋" w:cs="仿宋"/>
          <w:highlight w:val="none"/>
        </w:rPr>
      </w:pPr>
    </w:p>
    <w:p w14:paraId="6C35F777">
      <w:pPr>
        <w:snapToGrid w:val="0"/>
        <w:spacing w:beforeLines="50" w:after="50"/>
        <w:jc w:val="center"/>
        <w:rPr>
          <w:rFonts w:ascii="仿宋" w:hAnsi="仿宋" w:eastAsia="仿宋" w:cs="仿宋"/>
          <w:b/>
          <w:sz w:val="36"/>
          <w:szCs w:val="36"/>
          <w:highlight w:val="none"/>
        </w:rPr>
      </w:pPr>
      <w:r>
        <w:rPr>
          <w:rFonts w:hint="eastAsia" w:ascii="仿宋" w:hAnsi="仿宋" w:eastAsia="仿宋" w:cs="仿宋"/>
          <w:b/>
          <w:sz w:val="36"/>
          <w:szCs w:val="36"/>
          <w:highlight w:val="none"/>
        </w:rPr>
        <w:t>响 应 文 件</w:t>
      </w:r>
    </w:p>
    <w:p w14:paraId="736A3D55">
      <w:pPr>
        <w:snapToGrid w:val="0"/>
        <w:spacing w:beforeLines="50" w:after="50"/>
        <w:ind w:firstLine="422" w:firstLineChars="150"/>
        <w:rPr>
          <w:rFonts w:ascii="仿宋" w:hAnsi="仿宋" w:eastAsia="仿宋" w:cs="仿宋"/>
          <w:b/>
          <w:sz w:val="28"/>
          <w:szCs w:val="28"/>
          <w:highlight w:val="none"/>
        </w:rPr>
      </w:pPr>
    </w:p>
    <w:p w14:paraId="0BCF747F">
      <w:pPr>
        <w:snapToGrid w:val="0"/>
        <w:spacing w:beforeLines="50" w:after="50"/>
        <w:ind w:firstLine="422" w:firstLineChars="150"/>
        <w:rPr>
          <w:rFonts w:ascii="仿宋" w:hAnsi="仿宋" w:eastAsia="仿宋" w:cs="仿宋"/>
          <w:b/>
          <w:sz w:val="28"/>
          <w:szCs w:val="28"/>
          <w:highlight w:val="none"/>
        </w:rPr>
      </w:pPr>
    </w:p>
    <w:p w14:paraId="655F6FF7">
      <w:pPr>
        <w:snapToGrid w:val="0"/>
        <w:spacing w:beforeLines="50" w:after="50"/>
        <w:ind w:firstLine="422" w:firstLineChars="150"/>
        <w:rPr>
          <w:rFonts w:ascii="仿宋" w:hAnsi="仿宋" w:eastAsia="仿宋" w:cs="仿宋"/>
          <w:b/>
          <w:sz w:val="28"/>
          <w:szCs w:val="28"/>
          <w:highlight w:val="none"/>
        </w:rPr>
      </w:pPr>
    </w:p>
    <w:p w14:paraId="4AA62891">
      <w:pPr>
        <w:snapToGrid w:val="0"/>
        <w:spacing w:beforeLines="50" w:after="50"/>
        <w:ind w:left="4317" w:leftChars="1330" w:hanging="1524" w:hangingChars="542"/>
        <w:rPr>
          <w:rFonts w:ascii="仿宋" w:hAnsi="仿宋" w:eastAsia="仿宋" w:cs="仿宋"/>
          <w:b/>
          <w:sz w:val="28"/>
          <w:szCs w:val="28"/>
          <w:highlight w:val="none"/>
          <w:u w:val="single"/>
        </w:rPr>
      </w:pPr>
      <w:r>
        <w:rPr>
          <w:rFonts w:hint="eastAsia" w:ascii="仿宋" w:hAnsi="仿宋" w:eastAsia="仿宋" w:cs="仿宋"/>
          <w:b/>
          <w:sz w:val="28"/>
          <w:szCs w:val="28"/>
          <w:highlight w:val="none"/>
        </w:rPr>
        <w:t>项目名称：</w:t>
      </w:r>
    </w:p>
    <w:p w14:paraId="31567CA5">
      <w:pPr>
        <w:snapToGrid w:val="0"/>
        <w:spacing w:beforeLines="50" w:after="50"/>
        <w:ind w:firstLine="2704" w:firstLineChars="962"/>
        <w:rPr>
          <w:rFonts w:ascii="仿宋" w:hAnsi="仿宋" w:eastAsia="仿宋" w:cs="仿宋"/>
          <w:b/>
          <w:sz w:val="28"/>
          <w:szCs w:val="28"/>
          <w:highlight w:val="none"/>
        </w:rPr>
      </w:pPr>
    </w:p>
    <w:p w14:paraId="1E3CFD1C">
      <w:pPr>
        <w:snapToGrid w:val="0"/>
        <w:spacing w:beforeLines="50" w:after="50"/>
        <w:ind w:firstLine="2811" w:firstLineChars="1000"/>
        <w:rPr>
          <w:rFonts w:ascii="仿宋" w:hAnsi="仿宋" w:eastAsia="仿宋" w:cs="仿宋"/>
          <w:b/>
          <w:sz w:val="28"/>
          <w:szCs w:val="28"/>
          <w:highlight w:val="none"/>
        </w:rPr>
      </w:pPr>
      <w:r>
        <w:rPr>
          <w:rFonts w:hint="eastAsia" w:ascii="仿宋" w:hAnsi="仿宋" w:eastAsia="仿宋" w:cs="仿宋"/>
          <w:b/>
          <w:sz w:val="28"/>
          <w:szCs w:val="28"/>
          <w:highlight w:val="none"/>
        </w:rPr>
        <w:t>项目编号：</w:t>
      </w:r>
    </w:p>
    <w:p w14:paraId="11F153AA">
      <w:pPr>
        <w:rPr>
          <w:rFonts w:ascii="仿宋" w:hAnsi="仿宋" w:eastAsia="仿宋" w:cs="仿宋"/>
          <w:b/>
          <w:highlight w:val="none"/>
        </w:rPr>
      </w:pPr>
    </w:p>
    <w:p w14:paraId="30C67091">
      <w:pPr>
        <w:spacing w:line="400" w:lineRule="exact"/>
        <w:ind w:firstLine="2704" w:firstLineChars="962"/>
        <w:rPr>
          <w:rFonts w:ascii="仿宋" w:hAnsi="仿宋" w:eastAsia="仿宋" w:cs="仿宋"/>
          <w:b/>
          <w:sz w:val="28"/>
          <w:szCs w:val="28"/>
          <w:highlight w:val="none"/>
        </w:rPr>
      </w:pPr>
    </w:p>
    <w:p w14:paraId="5F764199">
      <w:pPr>
        <w:pStyle w:val="31"/>
        <w:rPr>
          <w:rFonts w:ascii="仿宋" w:hAnsi="仿宋" w:eastAsia="仿宋" w:cs="仿宋"/>
          <w:b/>
          <w:color w:val="auto"/>
          <w:sz w:val="28"/>
          <w:szCs w:val="28"/>
          <w:highlight w:val="none"/>
        </w:rPr>
      </w:pPr>
    </w:p>
    <w:p w14:paraId="3F21AAB4">
      <w:pPr>
        <w:pStyle w:val="31"/>
        <w:rPr>
          <w:rFonts w:ascii="仿宋" w:hAnsi="仿宋" w:eastAsia="仿宋" w:cs="仿宋"/>
          <w:b/>
          <w:color w:val="auto"/>
          <w:sz w:val="28"/>
          <w:szCs w:val="28"/>
          <w:highlight w:val="none"/>
        </w:rPr>
      </w:pPr>
    </w:p>
    <w:p w14:paraId="47D0D3A2">
      <w:pPr>
        <w:pStyle w:val="31"/>
        <w:rPr>
          <w:rFonts w:ascii="仿宋" w:hAnsi="仿宋" w:eastAsia="仿宋" w:cs="仿宋"/>
          <w:b/>
          <w:color w:val="auto"/>
          <w:sz w:val="28"/>
          <w:szCs w:val="28"/>
          <w:highlight w:val="none"/>
        </w:rPr>
      </w:pPr>
    </w:p>
    <w:p w14:paraId="0906508D">
      <w:pPr>
        <w:snapToGrid w:val="0"/>
        <w:spacing w:beforeLines="50" w:after="50"/>
        <w:ind w:firstLine="2704" w:firstLineChars="962"/>
        <w:rPr>
          <w:rFonts w:hint="eastAsia" w:ascii="仿宋" w:hAnsi="仿宋" w:eastAsia="仿宋" w:cs="仿宋"/>
          <w:b/>
          <w:sz w:val="28"/>
          <w:szCs w:val="28"/>
          <w:highlight w:val="none"/>
          <w:u w:val="single"/>
          <w:lang w:eastAsia="zh-CN"/>
        </w:rPr>
      </w:pPr>
      <w:r>
        <w:rPr>
          <w:rFonts w:hint="eastAsia" w:ascii="仿宋" w:hAnsi="仿宋" w:eastAsia="仿宋" w:cs="仿宋"/>
          <w:b/>
          <w:sz w:val="28"/>
          <w:szCs w:val="28"/>
          <w:highlight w:val="none"/>
        </w:rPr>
        <w:t>采购代理机构：</w:t>
      </w:r>
      <w:r>
        <w:rPr>
          <w:rFonts w:hint="eastAsia" w:ascii="仿宋" w:hAnsi="仿宋" w:eastAsia="仿宋" w:cs="仿宋"/>
          <w:b/>
          <w:sz w:val="28"/>
          <w:szCs w:val="28"/>
          <w:highlight w:val="none"/>
          <w:u w:val="single"/>
          <w:lang w:eastAsia="zh-CN"/>
        </w:rPr>
        <w:t>广西鸿墨项目管理有限公司</w:t>
      </w:r>
    </w:p>
    <w:p w14:paraId="6222F5E2">
      <w:pPr>
        <w:pStyle w:val="5"/>
        <w:rPr>
          <w:rFonts w:ascii="仿宋" w:hAnsi="仿宋" w:eastAsia="仿宋" w:cs="仿宋"/>
          <w:highlight w:val="none"/>
        </w:rPr>
      </w:pPr>
    </w:p>
    <w:p w14:paraId="25F3A0A8">
      <w:pPr>
        <w:pStyle w:val="11"/>
        <w:spacing w:line="440" w:lineRule="exact"/>
        <w:ind w:left="900" w:hanging="480" w:hangingChars="200"/>
        <w:rPr>
          <w:rFonts w:ascii="仿宋" w:hAnsi="仿宋" w:eastAsia="仿宋" w:cs="仿宋"/>
          <w:bCs/>
          <w:sz w:val="24"/>
          <w:highlight w:val="none"/>
        </w:rPr>
      </w:pPr>
      <w:bookmarkStart w:id="204" w:name="_Toc4932_WPSOffice_Level2"/>
      <w:bookmarkStart w:id="205" w:name="_Toc20319_WPSOffice_Level2"/>
      <w:r>
        <w:rPr>
          <w:rFonts w:hint="eastAsia" w:ascii="仿宋" w:hAnsi="仿宋" w:eastAsia="仿宋" w:cs="仿宋"/>
          <w:bCs/>
          <w:sz w:val="24"/>
          <w:highlight w:val="none"/>
        </w:rPr>
        <w:t>磋商供应商[公章(CA签章)、自然人除外]：</w:t>
      </w:r>
      <w:bookmarkEnd w:id="204"/>
      <w:bookmarkEnd w:id="205"/>
    </w:p>
    <w:p w14:paraId="19F0D25B">
      <w:pPr>
        <w:pStyle w:val="15"/>
        <w:spacing w:line="440" w:lineRule="exact"/>
        <w:ind w:firstLine="420"/>
        <w:rPr>
          <w:rFonts w:ascii="仿宋" w:hAnsi="仿宋" w:eastAsia="仿宋" w:cs="仿宋"/>
          <w:sz w:val="24"/>
          <w:szCs w:val="24"/>
          <w:highlight w:val="none"/>
        </w:rPr>
      </w:pPr>
      <w:bookmarkStart w:id="206" w:name="_Toc9622_WPSOffice_Level2"/>
      <w:bookmarkStart w:id="207" w:name="_Toc32056_WPSOffice_Level2"/>
      <w:r>
        <w:rPr>
          <w:rFonts w:hint="eastAsia" w:ascii="仿宋" w:hAnsi="仿宋" w:eastAsia="仿宋" w:cs="仿宋"/>
          <w:sz w:val="24"/>
          <w:szCs w:val="24"/>
          <w:highlight w:val="none"/>
        </w:rPr>
        <w:t>法定代表人、负责人、自然人或相应的委托代理人签字[或盖章(CA签章)]</w:t>
      </w:r>
    </w:p>
    <w:p w14:paraId="61EC8BF1">
      <w:pPr>
        <w:pStyle w:val="11"/>
        <w:spacing w:line="440" w:lineRule="exact"/>
        <w:ind w:left="900" w:hanging="480" w:hangingChars="200"/>
        <w:rPr>
          <w:rFonts w:ascii="仿宋" w:hAnsi="仿宋" w:eastAsia="仿宋" w:cs="仿宋"/>
          <w:sz w:val="24"/>
          <w:highlight w:val="none"/>
          <w:u w:val="single"/>
        </w:rPr>
      </w:pPr>
      <w:r>
        <w:rPr>
          <w:rFonts w:hint="eastAsia" w:ascii="仿宋" w:hAnsi="仿宋" w:eastAsia="仿宋" w:cs="仿宋"/>
          <w:sz w:val="24"/>
          <w:highlight w:val="none"/>
        </w:rPr>
        <w:t>（属自然人的应在签名处加盖大拇指指印或个人CA签章）：</w:t>
      </w:r>
    </w:p>
    <w:p w14:paraId="38DE2C2C">
      <w:pPr>
        <w:pStyle w:val="11"/>
        <w:spacing w:line="440" w:lineRule="exact"/>
        <w:ind w:left="900" w:hanging="480" w:hangingChars="200"/>
        <w:rPr>
          <w:rFonts w:ascii="仿宋" w:hAnsi="仿宋" w:eastAsia="仿宋" w:cs="仿宋"/>
          <w:bCs/>
          <w:sz w:val="24"/>
          <w:highlight w:val="none"/>
          <w:u w:val="single"/>
        </w:rPr>
      </w:pPr>
      <w:r>
        <w:rPr>
          <w:rFonts w:hint="eastAsia" w:ascii="仿宋" w:hAnsi="仿宋" w:eastAsia="仿宋" w:cs="仿宋"/>
          <w:bCs/>
          <w:sz w:val="24"/>
          <w:highlight w:val="none"/>
        </w:rPr>
        <w:t>联系电话：</w:t>
      </w:r>
      <w:bookmarkEnd w:id="206"/>
      <w:bookmarkEnd w:id="207"/>
    </w:p>
    <w:p w14:paraId="13E50D4B">
      <w:pPr>
        <w:pStyle w:val="11"/>
        <w:spacing w:line="440" w:lineRule="exact"/>
        <w:ind w:left="900" w:hanging="480" w:hangingChars="200"/>
        <w:rPr>
          <w:rFonts w:ascii="仿宋" w:hAnsi="仿宋" w:eastAsia="仿宋" w:cs="仿宋"/>
          <w:bCs/>
          <w:sz w:val="24"/>
          <w:highlight w:val="none"/>
        </w:rPr>
      </w:pPr>
      <w:bookmarkStart w:id="208" w:name="_Toc15933_WPSOffice_Level2"/>
      <w:bookmarkStart w:id="209" w:name="_Toc26465_WPSOffice_Level2"/>
      <w:r>
        <w:rPr>
          <w:rFonts w:hint="eastAsia" w:ascii="仿宋" w:hAnsi="仿宋" w:eastAsia="仿宋" w:cs="仿宋"/>
          <w:bCs/>
          <w:sz w:val="24"/>
          <w:highlight w:val="none"/>
        </w:rPr>
        <w:t>日期：年月日</w:t>
      </w:r>
      <w:bookmarkEnd w:id="208"/>
      <w:bookmarkEnd w:id="209"/>
    </w:p>
    <w:p w14:paraId="4AA1B4AE">
      <w:pPr>
        <w:pStyle w:val="11"/>
        <w:spacing w:line="440" w:lineRule="exact"/>
        <w:ind w:left="900" w:hanging="480" w:hangingChars="200"/>
        <w:rPr>
          <w:rFonts w:ascii="仿宋" w:hAnsi="仿宋" w:eastAsia="仿宋" w:cs="仿宋"/>
          <w:bCs/>
          <w:sz w:val="24"/>
          <w:highlight w:val="none"/>
        </w:rPr>
      </w:pPr>
    </w:p>
    <w:p w14:paraId="7E89DE2A">
      <w:pPr>
        <w:numPr>
          <w:ilvl w:val="0"/>
          <w:numId w:val="13"/>
        </w:numPr>
        <w:rPr>
          <w:rFonts w:ascii="仿宋" w:hAnsi="仿宋" w:eastAsia="仿宋" w:cs="仿宋"/>
          <w:b/>
          <w:bCs/>
          <w:sz w:val="32"/>
          <w:szCs w:val="32"/>
          <w:highlight w:val="none"/>
        </w:rPr>
      </w:pPr>
      <w:bookmarkStart w:id="210" w:name="_Toc19430"/>
      <w:bookmarkStart w:id="211" w:name="_Toc21615"/>
      <w:bookmarkStart w:id="212" w:name="_Toc497927070"/>
      <w:r>
        <w:rPr>
          <w:rFonts w:hint="eastAsia" w:ascii="仿宋" w:hAnsi="仿宋" w:eastAsia="仿宋" w:cs="仿宋"/>
          <w:b/>
          <w:bCs/>
          <w:sz w:val="32"/>
          <w:szCs w:val="32"/>
          <w:highlight w:val="none"/>
        </w:rPr>
        <w:t>响应文件组成</w:t>
      </w:r>
      <w:bookmarkEnd w:id="210"/>
      <w:bookmarkEnd w:id="211"/>
      <w:bookmarkEnd w:id="212"/>
    </w:p>
    <w:p w14:paraId="16D9F23D">
      <w:pPr>
        <w:pStyle w:val="10"/>
        <w:rPr>
          <w:rFonts w:ascii="仿宋" w:hAnsi="仿宋" w:eastAsia="仿宋" w:cs="仿宋"/>
          <w:highlight w:val="none"/>
        </w:rPr>
      </w:pPr>
    </w:p>
    <w:p w14:paraId="5071CABE">
      <w:pPr>
        <w:pStyle w:val="10"/>
        <w:rPr>
          <w:rFonts w:ascii="仿宋" w:hAnsi="仿宋" w:eastAsia="仿宋" w:cs="仿宋"/>
          <w:highlight w:val="none"/>
        </w:rPr>
      </w:pPr>
    </w:p>
    <w:p w14:paraId="5FF0667A">
      <w:pPr>
        <w:spacing w:line="400" w:lineRule="exact"/>
        <w:rPr>
          <w:rFonts w:ascii="仿宋" w:hAnsi="仿宋" w:eastAsia="仿宋" w:cs="仿宋"/>
          <w:b/>
          <w:bCs/>
          <w:sz w:val="28"/>
          <w:szCs w:val="28"/>
          <w:highlight w:val="none"/>
        </w:rPr>
      </w:pPr>
    </w:p>
    <w:p w14:paraId="214456B3">
      <w:pPr>
        <w:pStyle w:val="10"/>
        <w:rPr>
          <w:rFonts w:ascii="仿宋" w:hAnsi="仿宋" w:eastAsia="仿宋" w:cs="仿宋"/>
          <w:b/>
          <w:bCs/>
          <w:sz w:val="28"/>
          <w:szCs w:val="28"/>
          <w:highlight w:val="none"/>
        </w:rPr>
      </w:pPr>
    </w:p>
    <w:p w14:paraId="78BF7DD8">
      <w:pPr>
        <w:numPr>
          <w:ilvl w:val="0"/>
          <w:numId w:val="14"/>
        </w:numPr>
        <w:spacing w:line="400" w:lineRule="exact"/>
        <w:ind w:firstLine="568" w:firstLineChars="202"/>
        <w:rPr>
          <w:rFonts w:ascii="仿宋" w:hAnsi="仿宋" w:eastAsia="仿宋" w:cs="仿宋"/>
          <w:b/>
          <w:bCs/>
          <w:sz w:val="28"/>
          <w:szCs w:val="28"/>
          <w:highlight w:val="none"/>
        </w:rPr>
      </w:pPr>
      <w:r>
        <w:rPr>
          <w:rFonts w:hint="eastAsia" w:ascii="仿宋" w:hAnsi="仿宋" w:eastAsia="仿宋" w:cs="仿宋"/>
          <w:b/>
          <w:bCs/>
          <w:sz w:val="28"/>
          <w:szCs w:val="28"/>
          <w:highlight w:val="none"/>
        </w:rPr>
        <w:t>资格性响应证明材料</w:t>
      </w:r>
    </w:p>
    <w:p w14:paraId="397202D5">
      <w:pPr>
        <w:pStyle w:val="10"/>
        <w:rPr>
          <w:rFonts w:ascii="仿宋" w:hAnsi="仿宋" w:eastAsia="仿宋" w:cs="仿宋"/>
          <w:b/>
          <w:bCs/>
          <w:sz w:val="28"/>
          <w:szCs w:val="28"/>
          <w:highlight w:val="none"/>
        </w:rPr>
      </w:pPr>
    </w:p>
    <w:p w14:paraId="5AB18C93">
      <w:pPr>
        <w:pStyle w:val="10"/>
        <w:rPr>
          <w:rFonts w:ascii="仿宋" w:hAnsi="仿宋" w:eastAsia="仿宋" w:cs="仿宋"/>
          <w:b/>
          <w:bCs/>
          <w:sz w:val="28"/>
          <w:szCs w:val="28"/>
          <w:highlight w:val="none"/>
        </w:rPr>
      </w:pPr>
    </w:p>
    <w:p w14:paraId="4F82AB05">
      <w:pPr>
        <w:numPr>
          <w:ilvl w:val="0"/>
          <w:numId w:val="14"/>
        </w:numPr>
        <w:spacing w:line="400" w:lineRule="exact"/>
        <w:ind w:firstLine="568" w:firstLineChars="202"/>
        <w:rPr>
          <w:rFonts w:ascii="仿宋" w:hAnsi="仿宋" w:eastAsia="仿宋" w:cs="仿宋"/>
          <w:b/>
          <w:bCs/>
          <w:sz w:val="28"/>
          <w:szCs w:val="28"/>
          <w:highlight w:val="none"/>
        </w:rPr>
      </w:pPr>
      <w:r>
        <w:rPr>
          <w:rFonts w:hint="eastAsia" w:ascii="仿宋" w:hAnsi="仿宋" w:eastAsia="仿宋" w:cs="仿宋"/>
          <w:b/>
          <w:bCs/>
          <w:sz w:val="28"/>
          <w:szCs w:val="28"/>
          <w:highlight w:val="none"/>
        </w:rPr>
        <w:t>符合性响应证明材料</w:t>
      </w:r>
    </w:p>
    <w:p w14:paraId="213E0FCE">
      <w:pPr>
        <w:pStyle w:val="10"/>
        <w:rPr>
          <w:rFonts w:ascii="仿宋" w:hAnsi="仿宋" w:eastAsia="仿宋" w:cs="仿宋"/>
          <w:b/>
          <w:bCs/>
          <w:sz w:val="28"/>
          <w:szCs w:val="28"/>
          <w:highlight w:val="none"/>
        </w:rPr>
      </w:pPr>
    </w:p>
    <w:p w14:paraId="282FCDCE">
      <w:pPr>
        <w:pStyle w:val="10"/>
        <w:rPr>
          <w:rFonts w:ascii="仿宋" w:hAnsi="仿宋" w:eastAsia="仿宋" w:cs="仿宋"/>
          <w:b/>
          <w:bCs/>
          <w:sz w:val="28"/>
          <w:szCs w:val="28"/>
          <w:highlight w:val="none"/>
        </w:rPr>
      </w:pPr>
    </w:p>
    <w:p w14:paraId="4E870C01">
      <w:pPr>
        <w:numPr>
          <w:ilvl w:val="0"/>
          <w:numId w:val="14"/>
        </w:numPr>
        <w:spacing w:line="400" w:lineRule="exact"/>
        <w:ind w:firstLine="568" w:firstLineChars="202"/>
        <w:rPr>
          <w:rFonts w:ascii="仿宋" w:hAnsi="仿宋" w:eastAsia="仿宋" w:cs="仿宋"/>
          <w:b/>
          <w:bCs/>
          <w:sz w:val="28"/>
          <w:szCs w:val="28"/>
          <w:highlight w:val="none"/>
        </w:rPr>
      </w:pPr>
      <w:r>
        <w:rPr>
          <w:rFonts w:hint="eastAsia" w:ascii="仿宋" w:hAnsi="仿宋" w:eastAsia="仿宋" w:cs="仿宋"/>
          <w:b/>
          <w:bCs/>
          <w:sz w:val="28"/>
          <w:szCs w:val="28"/>
          <w:highlight w:val="none"/>
        </w:rPr>
        <w:t>其他有效证明材料</w:t>
      </w:r>
    </w:p>
    <w:p w14:paraId="3F8FE6A7">
      <w:pPr>
        <w:pStyle w:val="31"/>
        <w:rPr>
          <w:rFonts w:ascii="仿宋" w:hAnsi="仿宋" w:eastAsia="仿宋" w:cs="仿宋"/>
          <w:color w:val="auto"/>
          <w:highlight w:val="none"/>
        </w:rPr>
      </w:pPr>
    </w:p>
    <w:p w14:paraId="0AAA5AEB">
      <w:pPr>
        <w:tabs>
          <w:tab w:val="left" w:pos="5040"/>
        </w:tabs>
        <w:spacing w:line="400" w:lineRule="exact"/>
        <w:rPr>
          <w:rFonts w:ascii="仿宋" w:hAnsi="仿宋" w:eastAsia="仿宋" w:cs="仿宋"/>
          <w:szCs w:val="21"/>
          <w:highlight w:val="none"/>
        </w:rPr>
      </w:pPr>
    </w:p>
    <w:p w14:paraId="34E99C6B">
      <w:pPr>
        <w:pStyle w:val="10"/>
        <w:rPr>
          <w:rFonts w:ascii="仿宋" w:hAnsi="仿宋" w:eastAsia="仿宋" w:cs="仿宋"/>
          <w:szCs w:val="21"/>
          <w:highlight w:val="none"/>
        </w:rPr>
      </w:pPr>
    </w:p>
    <w:p w14:paraId="764BC33D">
      <w:pPr>
        <w:pStyle w:val="10"/>
        <w:rPr>
          <w:rFonts w:ascii="仿宋" w:hAnsi="仿宋" w:eastAsia="仿宋" w:cs="仿宋"/>
          <w:szCs w:val="21"/>
          <w:highlight w:val="none"/>
        </w:rPr>
      </w:pPr>
    </w:p>
    <w:p w14:paraId="73694912">
      <w:pPr>
        <w:pStyle w:val="10"/>
        <w:rPr>
          <w:rFonts w:ascii="仿宋" w:hAnsi="仿宋" w:eastAsia="仿宋" w:cs="仿宋"/>
          <w:szCs w:val="21"/>
          <w:highlight w:val="none"/>
        </w:rPr>
      </w:pPr>
    </w:p>
    <w:p w14:paraId="3A54F11D">
      <w:pPr>
        <w:pStyle w:val="10"/>
        <w:rPr>
          <w:rFonts w:ascii="仿宋" w:hAnsi="仿宋" w:eastAsia="仿宋" w:cs="仿宋"/>
          <w:szCs w:val="21"/>
          <w:highlight w:val="none"/>
        </w:rPr>
      </w:pPr>
    </w:p>
    <w:p w14:paraId="0D37B32C">
      <w:pPr>
        <w:rPr>
          <w:rFonts w:ascii="仿宋" w:hAnsi="仿宋" w:eastAsia="仿宋" w:cs="仿宋"/>
          <w:szCs w:val="21"/>
          <w:highlight w:val="none"/>
        </w:rPr>
      </w:pPr>
    </w:p>
    <w:p w14:paraId="4312A9A1">
      <w:pPr>
        <w:pStyle w:val="31"/>
        <w:rPr>
          <w:rFonts w:ascii="仿宋" w:hAnsi="仿宋" w:eastAsia="仿宋" w:cs="仿宋"/>
          <w:color w:val="auto"/>
          <w:szCs w:val="21"/>
          <w:highlight w:val="none"/>
        </w:rPr>
      </w:pPr>
    </w:p>
    <w:p w14:paraId="096409AB">
      <w:pPr>
        <w:pStyle w:val="31"/>
        <w:rPr>
          <w:rFonts w:ascii="仿宋" w:hAnsi="仿宋" w:eastAsia="仿宋" w:cs="仿宋"/>
          <w:color w:val="auto"/>
          <w:szCs w:val="21"/>
          <w:highlight w:val="none"/>
        </w:rPr>
      </w:pPr>
    </w:p>
    <w:p w14:paraId="5898C283">
      <w:pPr>
        <w:pStyle w:val="31"/>
        <w:rPr>
          <w:rFonts w:ascii="仿宋" w:hAnsi="仿宋" w:eastAsia="仿宋" w:cs="仿宋"/>
          <w:color w:val="auto"/>
          <w:szCs w:val="21"/>
          <w:highlight w:val="none"/>
        </w:rPr>
      </w:pPr>
    </w:p>
    <w:p w14:paraId="2E3F0817">
      <w:pPr>
        <w:pStyle w:val="31"/>
        <w:rPr>
          <w:rFonts w:ascii="仿宋" w:hAnsi="仿宋" w:eastAsia="仿宋" w:cs="仿宋"/>
          <w:color w:val="auto"/>
          <w:szCs w:val="21"/>
          <w:highlight w:val="none"/>
        </w:rPr>
      </w:pPr>
    </w:p>
    <w:p w14:paraId="1B6A8F73">
      <w:pPr>
        <w:pStyle w:val="31"/>
        <w:rPr>
          <w:rFonts w:ascii="仿宋" w:hAnsi="仿宋" w:eastAsia="仿宋" w:cs="仿宋"/>
          <w:color w:val="auto"/>
          <w:szCs w:val="21"/>
          <w:highlight w:val="none"/>
        </w:rPr>
      </w:pPr>
    </w:p>
    <w:p w14:paraId="5387E7F6">
      <w:pPr>
        <w:pStyle w:val="31"/>
        <w:rPr>
          <w:rFonts w:ascii="仿宋" w:hAnsi="仿宋" w:eastAsia="仿宋" w:cs="仿宋"/>
          <w:color w:val="auto"/>
          <w:szCs w:val="21"/>
          <w:highlight w:val="none"/>
        </w:rPr>
      </w:pPr>
    </w:p>
    <w:p w14:paraId="71893B32">
      <w:pPr>
        <w:pStyle w:val="31"/>
        <w:rPr>
          <w:rFonts w:ascii="仿宋" w:hAnsi="仿宋" w:eastAsia="仿宋" w:cs="仿宋"/>
          <w:color w:val="auto"/>
          <w:szCs w:val="21"/>
          <w:highlight w:val="none"/>
        </w:rPr>
      </w:pPr>
    </w:p>
    <w:p w14:paraId="3F0BC08E">
      <w:pPr>
        <w:pStyle w:val="31"/>
        <w:rPr>
          <w:rFonts w:ascii="仿宋" w:hAnsi="仿宋" w:eastAsia="仿宋" w:cs="仿宋"/>
          <w:color w:val="auto"/>
          <w:szCs w:val="21"/>
          <w:highlight w:val="none"/>
        </w:rPr>
      </w:pPr>
    </w:p>
    <w:p w14:paraId="0897AA1B">
      <w:pPr>
        <w:pStyle w:val="31"/>
        <w:rPr>
          <w:rFonts w:ascii="仿宋" w:hAnsi="仿宋" w:eastAsia="仿宋" w:cs="仿宋"/>
          <w:color w:val="auto"/>
          <w:szCs w:val="21"/>
          <w:highlight w:val="none"/>
        </w:rPr>
      </w:pPr>
    </w:p>
    <w:p w14:paraId="22D11C8B">
      <w:pPr>
        <w:pStyle w:val="31"/>
        <w:rPr>
          <w:rFonts w:ascii="仿宋" w:hAnsi="仿宋" w:eastAsia="仿宋" w:cs="仿宋"/>
          <w:color w:val="auto"/>
          <w:szCs w:val="21"/>
          <w:highlight w:val="none"/>
        </w:rPr>
      </w:pPr>
    </w:p>
    <w:p w14:paraId="4539CA38">
      <w:pPr>
        <w:pStyle w:val="31"/>
        <w:rPr>
          <w:rFonts w:ascii="仿宋" w:hAnsi="仿宋" w:eastAsia="仿宋" w:cs="仿宋"/>
          <w:color w:val="auto"/>
          <w:szCs w:val="21"/>
          <w:highlight w:val="none"/>
        </w:rPr>
      </w:pPr>
    </w:p>
    <w:p w14:paraId="361699AA">
      <w:pPr>
        <w:pStyle w:val="31"/>
        <w:rPr>
          <w:rFonts w:ascii="仿宋" w:hAnsi="仿宋" w:eastAsia="仿宋" w:cs="仿宋"/>
          <w:color w:val="auto"/>
          <w:szCs w:val="21"/>
          <w:highlight w:val="none"/>
        </w:rPr>
      </w:pPr>
    </w:p>
    <w:p w14:paraId="4220128D">
      <w:pPr>
        <w:pStyle w:val="31"/>
        <w:rPr>
          <w:rFonts w:ascii="仿宋" w:hAnsi="仿宋" w:eastAsia="仿宋" w:cs="仿宋"/>
          <w:color w:val="auto"/>
          <w:szCs w:val="21"/>
          <w:highlight w:val="none"/>
        </w:rPr>
      </w:pPr>
    </w:p>
    <w:p w14:paraId="4C25AAB8">
      <w:pPr>
        <w:pStyle w:val="31"/>
        <w:rPr>
          <w:rFonts w:ascii="仿宋" w:hAnsi="仿宋" w:eastAsia="仿宋" w:cs="仿宋"/>
          <w:color w:val="auto"/>
          <w:szCs w:val="21"/>
          <w:highlight w:val="none"/>
        </w:rPr>
      </w:pPr>
    </w:p>
    <w:p w14:paraId="6A30EE64">
      <w:pPr>
        <w:rPr>
          <w:rFonts w:ascii="仿宋" w:hAnsi="仿宋" w:eastAsia="仿宋" w:cs="仿宋"/>
          <w:highlight w:val="none"/>
        </w:rPr>
      </w:pPr>
      <w:bookmarkStart w:id="213" w:name="_Toc11067"/>
      <w:bookmarkStart w:id="214" w:name="_Toc497927071"/>
      <w:bookmarkStart w:id="215" w:name="_Toc7185"/>
    </w:p>
    <w:p w14:paraId="176625E0">
      <w:pPr>
        <w:pStyle w:val="5"/>
        <w:jc w:val="center"/>
        <w:rPr>
          <w:rFonts w:ascii="仿宋" w:hAnsi="仿宋" w:eastAsia="仿宋" w:cs="仿宋"/>
          <w:sz w:val="32"/>
          <w:szCs w:val="32"/>
          <w:highlight w:val="none"/>
        </w:rPr>
      </w:pPr>
      <w:r>
        <w:rPr>
          <w:rFonts w:hint="eastAsia" w:ascii="仿宋" w:hAnsi="仿宋" w:eastAsia="仿宋" w:cs="仿宋"/>
          <w:sz w:val="32"/>
          <w:szCs w:val="32"/>
          <w:highlight w:val="none"/>
        </w:rPr>
        <w:t>（一）资格性响应证明材料目录</w:t>
      </w:r>
      <w:bookmarkEnd w:id="213"/>
      <w:bookmarkEnd w:id="214"/>
      <w:bookmarkEnd w:id="215"/>
    </w:p>
    <w:p w14:paraId="22CD918E">
      <w:pPr>
        <w:rPr>
          <w:rFonts w:ascii="仿宋" w:hAnsi="仿宋" w:eastAsia="仿宋" w:cs="仿宋"/>
          <w:highlight w:val="none"/>
        </w:rPr>
      </w:pPr>
    </w:p>
    <w:p w14:paraId="0A84704F">
      <w:pPr>
        <w:tabs>
          <w:tab w:val="left" w:pos="3570"/>
        </w:tabs>
        <w:spacing w:line="4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1.供应商相应的法定代表人、负责人、自然人身份证正反两面复印件</w:t>
      </w:r>
      <w:r>
        <w:rPr>
          <w:rFonts w:hint="eastAsia" w:ascii="仿宋" w:hAnsi="仿宋" w:eastAsia="仿宋" w:cs="仿宋"/>
          <w:b/>
          <w:bCs/>
          <w:sz w:val="24"/>
          <w:highlight w:val="none"/>
        </w:rPr>
        <w:t>（必须提供）</w:t>
      </w:r>
      <w:r>
        <w:rPr>
          <w:rFonts w:hint="eastAsia" w:ascii="仿宋" w:hAnsi="仿宋" w:eastAsia="仿宋" w:cs="仿宋"/>
          <w:sz w:val="24"/>
          <w:highlight w:val="none"/>
        </w:rPr>
        <w:t>；</w:t>
      </w:r>
    </w:p>
    <w:p w14:paraId="29536BB0">
      <w:pPr>
        <w:tabs>
          <w:tab w:val="left" w:pos="3570"/>
        </w:tabs>
        <w:spacing w:line="400" w:lineRule="exact"/>
        <w:ind w:firstLine="480" w:firstLineChars="200"/>
        <w:rPr>
          <w:rFonts w:ascii="仿宋" w:hAnsi="仿宋" w:eastAsia="仿宋" w:cs="仿宋"/>
          <w:sz w:val="24"/>
          <w:highlight w:val="none"/>
        </w:rPr>
      </w:pPr>
    </w:p>
    <w:p w14:paraId="26C095B1">
      <w:pPr>
        <w:tabs>
          <w:tab w:val="left" w:pos="3570"/>
        </w:tabs>
        <w:spacing w:line="4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2.供应商的授权委托书原件、委托代理人身份证正反面复印件</w:t>
      </w:r>
      <w:r>
        <w:rPr>
          <w:rFonts w:hint="eastAsia" w:ascii="仿宋" w:hAnsi="仿宋" w:eastAsia="仿宋" w:cs="仿宋"/>
          <w:b/>
          <w:bCs/>
          <w:sz w:val="24"/>
          <w:highlight w:val="none"/>
        </w:rPr>
        <w:t>（委托代理时必须提供）</w:t>
      </w:r>
      <w:r>
        <w:rPr>
          <w:rFonts w:hint="eastAsia" w:ascii="仿宋" w:hAnsi="仿宋" w:eastAsia="仿宋" w:cs="仿宋"/>
          <w:sz w:val="24"/>
          <w:highlight w:val="none"/>
        </w:rPr>
        <w:t>；</w:t>
      </w:r>
    </w:p>
    <w:p w14:paraId="46136690">
      <w:pPr>
        <w:spacing w:line="360" w:lineRule="auto"/>
        <w:ind w:firstLine="480" w:firstLineChars="200"/>
        <w:rPr>
          <w:rFonts w:ascii="仿宋" w:hAnsi="仿宋" w:eastAsia="仿宋" w:cs="仿宋"/>
          <w:sz w:val="24"/>
          <w:highlight w:val="none"/>
        </w:rPr>
      </w:pPr>
    </w:p>
    <w:p w14:paraId="12577461">
      <w:pPr>
        <w:tabs>
          <w:tab w:val="left" w:pos="3570"/>
        </w:tabs>
        <w:spacing w:line="4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3.供应商参加政府采购活动前3年内在经营活动中没有重大违法记录及有关信用信息的书面声明</w:t>
      </w:r>
      <w:r>
        <w:rPr>
          <w:rFonts w:hint="eastAsia" w:ascii="仿宋" w:hAnsi="仿宋" w:eastAsia="仿宋" w:cs="仿宋"/>
          <w:b/>
          <w:bCs/>
          <w:sz w:val="24"/>
          <w:highlight w:val="none"/>
        </w:rPr>
        <w:t>（必须提供）</w:t>
      </w:r>
      <w:r>
        <w:rPr>
          <w:rFonts w:hint="eastAsia" w:ascii="仿宋" w:hAnsi="仿宋" w:eastAsia="仿宋" w:cs="仿宋"/>
          <w:sz w:val="24"/>
          <w:highlight w:val="none"/>
        </w:rPr>
        <w:t>；</w:t>
      </w:r>
    </w:p>
    <w:p w14:paraId="15271BE7">
      <w:pPr>
        <w:tabs>
          <w:tab w:val="left" w:pos="3570"/>
        </w:tabs>
        <w:spacing w:line="400" w:lineRule="exact"/>
        <w:ind w:firstLine="480" w:firstLineChars="200"/>
        <w:rPr>
          <w:rFonts w:ascii="仿宋" w:hAnsi="仿宋" w:eastAsia="仿宋" w:cs="仿宋"/>
          <w:sz w:val="24"/>
          <w:highlight w:val="none"/>
        </w:rPr>
      </w:pPr>
    </w:p>
    <w:p w14:paraId="312E6749">
      <w:pPr>
        <w:tabs>
          <w:tab w:val="left" w:pos="3570"/>
        </w:tabs>
        <w:spacing w:line="4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4.供应商的法人或者其他组织营业执照等证明文件复印件</w:t>
      </w:r>
      <w:r>
        <w:rPr>
          <w:rFonts w:hint="eastAsia" w:ascii="仿宋" w:hAnsi="仿宋" w:eastAsia="仿宋" w:cs="仿宋"/>
          <w:b/>
          <w:bCs/>
          <w:sz w:val="24"/>
          <w:highlight w:val="none"/>
        </w:rPr>
        <w:t>（必须提供，自然人除外）</w:t>
      </w:r>
      <w:r>
        <w:rPr>
          <w:rFonts w:hint="eastAsia" w:ascii="仿宋" w:hAnsi="仿宋" w:eastAsia="仿宋" w:cs="仿宋"/>
          <w:sz w:val="24"/>
          <w:highlight w:val="none"/>
        </w:rPr>
        <w:t>；</w:t>
      </w:r>
    </w:p>
    <w:p w14:paraId="2B426E72">
      <w:pPr>
        <w:pStyle w:val="10"/>
        <w:rPr>
          <w:highlight w:val="none"/>
        </w:rPr>
      </w:pPr>
    </w:p>
    <w:p w14:paraId="6C42C740">
      <w:pPr>
        <w:spacing w:line="440" w:lineRule="atLeast"/>
        <w:rPr>
          <w:rFonts w:ascii="仿宋" w:hAnsi="仿宋" w:eastAsia="仿宋" w:cs="仿宋"/>
          <w:sz w:val="24"/>
          <w:highlight w:val="none"/>
        </w:rPr>
      </w:pPr>
    </w:p>
    <w:p w14:paraId="307DD2EF">
      <w:pPr>
        <w:spacing w:line="440" w:lineRule="atLeast"/>
        <w:rPr>
          <w:rFonts w:ascii="仿宋" w:hAnsi="仿宋" w:eastAsia="仿宋" w:cs="仿宋"/>
          <w:sz w:val="24"/>
          <w:highlight w:val="none"/>
        </w:rPr>
      </w:pPr>
    </w:p>
    <w:p w14:paraId="25CA3372">
      <w:pPr>
        <w:spacing w:line="440" w:lineRule="atLeast"/>
        <w:rPr>
          <w:rFonts w:ascii="仿宋" w:hAnsi="仿宋" w:eastAsia="仿宋" w:cs="仿宋"/>
          <w:sz w:val="24"/>
          <w:highlight w:val="none"/>
        </w:rPr>
      </w:pPr>
    </w:p>
    <w:p w14:paraId="1096530D">
      <w:pPr>
        <w:spacing w:line="440" w:lineRule="atLeast"/>
        <w:rPr>
          <w:rFonts w:ascii="仿宋" w:hAnsi="仿宋" w:eastAsia="仿宋" w:cs="仿宋"/>
          <w:sz w:val="24"/>
          <w:highlight w:val="none"/>
        </w:rPr>
      </w:pPr>
    </w:p>
    <w:p w14:paraId="7F0431CA">
      <w:pPr>
        <w:spacing w:line="440" w:lineRule="atLeast"/>
        <w:rPr>
          <w:rFonts w:ascii="仿宋" w:hAnsi="仿宋" w:eastAsia="仿宋" w:cs="仿宋"/>
          <w:sz w:val="24"/>
          <w:highlight w:val="none"/>
        </w:rPr>
      </w:pPr>
    </w:p>
    <w:p w14:paraId="417AD402">
      <w:pPr>
        <w:spacing w:line="440" w:lineRule="atLeast"/>
        <w:rPr>
          <w:rFonts w:ascii="仿宋" w:hAnsi="仿宋" w:eastAsia="仿宋" w:cs="仿宋"/>
          <w:sz w:val="24"/>
          <w:highlight w:val="none"/>
        </w:rPr>
      </w:pPr>
    </w:p>
    <w:p w14:paraId="43563D4B">
      <w:pPr>
        <w:spacing w:line="440" w:lineRule="atLeast"/>
        <w:rPr>
          <w:rFonts w:ascii="仿宋" w:hAnsi="仿宋" w:eastAsia="仿宋" w:cs="仿宋"/>
          <w:sz w:val="24"/>
          <w:highlight w:val="none"/>
        </w:rPr>
      </w:pPr>
    </w:p>
    <w:p w14:paraId="482D120D">
      <w:pPr>
        <w:spacing w:line="440" w:lineRule="atLeast"/>
        <w:rPr>
          <w:rFonts w:ascii="仿宋" w:hAnsi="仿宋" w:eastAsia="仿宋" w:cs="仿宋"/>
          <w:sz w:val="24"/>
          <w:highlight w:val="none"/>
        </w:rPr>
      </w:pPr>
    </w:p>
    <w:p w14:paraId="241585C9">
      <w:pPr>
        <w:spacing w:line="440" w:lineRule="atLeast"/>
        <w:rPr>
          <w:rFonts w:ascii="仿宋" w:hAnsi="仿宋" w:eastAsia="仿宋" w:cs="仿宋"/>
          <w:sz w:val="24"/>
          <w:highlight w:val="none"/>
        </w:rPr>
      </w:pPr>
    </w:p>
    <w:p w14:paraId="0A1D55D0">
      <w:pPr>
        <w:spacing w:line="440" w:lineRule="atLeast"/>
        <w:rPr>
          <w:rFonts w:ascii="仿宋" w:hAnsi="仿宋" w:eastAsia="仿宋" w:cs="仿宋"/>
          <w:sz w:val="24"/>
          <w:highlight w:val="none"/>
        </w:rPr>
      </w:pPr>
    </w:p>
    <w:p w14:paraId="2D99A56E">
      <w:pPr>
        <w:spacing w:line="440" w:lineRule="atLeast"/>
        <w:rPr>
          <w:rFonts w:ascii="仿宋" w:hAnsi="仿宋" w:eastAsia="仿宋" w:cs="仿宋"/>
          <w:sz w:val="24"/>
          <w:highlight w:val="none"/>
        </w:rPr>
      </w:pPr>
    </w:p>
    <w:p w14:paraId="7BE2C477">
      <w:pPr>
        <w:spacing w:line="440" w:lineRule="atLeast"/>
        <w:rPr>
          <w:rFonts w:ascii="仿宋" w:hAnsi="仿宋" w:eastAsia="仿宋" w:cs="仿宋"/>
          <w:sz w:val="24"/>
          <w:highlight w:val="none"/>
        </w:rPr>
      </w:pPr>
    </w:p>
    <w:p w14:paraId="3E33E91E">
      <w:pPr>
        <w:spacing w:line="440" w:lineRule="atLeast"/>
        <w:rPr>
          <w:rFonts w:ascii="仿宋" w:hAnsi="仿宋" w:eastAsia="仿宋" w:cs="仿宋"/>
          <w:sz w:val="24"/>
          <w:highlight w:val="none"/>
        </w:rPr>
      </w:pPr>
    </w:p>
    <w:p w14:paraId="4EAF5654">
      <w:pPr>
        <w:spacing w:line="440" w:lineRule="atLeast"/>
        <w:rPr>
          <w:rFonts w:ascii="仿宋" w:hAnsi="仿宋" w:eastAsia="仿宋" w:cs="仿宋"/>
          <w:sz w:val="24"/>
          <w:highlight w:val="none"/>
        </w:rPr>
      </w:pPr>
    </w:p>
    <w:p w14:paraId="1B826841">
      <w:pPr>
        <w:spacing w:line="440" w:lineRule="atLeast"/>
        <w:rPr>
          <w:rFonts w:ascii="仿宋" w:hAnsi="仿宋" w:eastAsia="仿宋" w:cs="仿宋"/>
          <w:sz w:val="24"/>
          <w:highlight w:val="none"/>
        </w:rPr>
      </w:pPr>
    </w:p>
    <w:p w14:paraId="5AAC2148">
      <w:pPr>
        <w:spacing w:line="440" w:lineRule="atLeast"/>
        <w:rPr>
          <w:rFonts w:ascii="仿宋" w:hAnsi="仿宋" w:eastAsia="仿宋" w:cs="仿宋"/>
          <w:sz w:val="24"/>
          <w:highlight w:val="none"/>
        </w:rPr>
      </w:pPr>
    </w:p>
    <w:p w14:paraId="1152D965">
      <w:pPr>
        <w:spacing w:line="440" w:lineRule="atLeast"/>
        <w:rPr>
          <w:rFonts w:ascii="仿宋" w:hAnsi="仿宋" w:eastAsia="仿宋" w:cs="仿宋"/>
          <w:sz w:val="24"/>
          <w:highlight w:val="none"/>
        </w:rPr>
      </w:pPr>
    </w:p>
    <w:p w14:paraId="5A851CAA">
      <w:pPr>
        <w:spacing w:line="440" w:lineRule="atLeast"/>
        <w:rPr>
          <w:rFonts w:ascii="仿宋" w:hAnsi="仿宋" w:eastAsia="仿宋" w:cs="仿宋"/>
          <w:sz w:val="24"/>
          <w:highlight w:val="none"/>
        </w:rPr>
      </w:pPr>
    </w:p>
    <w:p w14:paraId="3DBE76B9">
      <w:pPr>
        <w:spacing w:line="440" w:lineRule="atLeast"/>
        <w:rPr>
          <w:rFonts w:ascii="仿宋" w:hAnsi="仿宋" w:eastAsia="仿宋" w:cs="仿宋"/>
          <w:sz w:val="24"/>
          <w:highlight w:val="none"/>
        </w:rPr>
      </w:pPr>
    </w:p>
    <w:p w14:paraId="7CB661D5">
      <w:pPr>
        <w:spacing w:line="440" w:lineRule="atLeast"/>
        <w:rPr>
          <w:rFonts w:ascii="仿宋" w:hAnsi="仿宋" w:eastAsia="仿宋" w:cs="仿宋"/>
          <w:sz w:val="24"/>
          <w:highlight w:val="none"/>
        </w:rPr>
      </w:pPr>
    </w:p>
    <w:p w14:paraId="6FDCC250">
      <w:pPr>
        <w:spacing w:line="440" w:lineRule="atLeast"/>
        <w:rPr>
          <w:rFonts w:ascii="仿宋" w:hAnsi="仿宋" w:eastAsia="仿宋" w:cs="仿宋"/>
          <w:sz w:val="24"/>
          <w:highlight w:val="none"/>
        </w:rPr>
      </w:pPr>
    </w:p>
    <w:p w14:paraId="0AFE4D98">
      <w:pPr>
        <w:spacing w:line="440" w:lineRule="atLeast"/>
        <w:rPr>
          <w:rFonts w:ascii="仿宋" w:hAnsi="仿宋" w:eastAsia="仿宋" w:cs="仿宋"/>
          <w:b/>
          <w:sz w:val="28"/>
          <w:szCs w:val="28"/>
          <w:highlight w:val="none"/>
        </w:rPr>
      </w:pPr>
      <w:r>
        <w:rPr>
          <w:rFonts w:hint="eastAsia" w:ascii="仿宋" w:hAnsi="仿宋" w:eastAsia="仿宋" w:cs="仿宋"/>
          <w:b/>
          <w:sz w:val="28"/>
          <w:szCs w:val="28"/>
          <w:highlight w:val="none"/>
        </w:rPr>
        <w:t>1.供应商相应的法定代表人、负责人、自然人身份证正反两面复印件（必须提供）；</w:t>
      </w:r>
    </w:p>
    <w:p w14:paraId="47858F14">
      <w:pPr>
        <w:spacing w:line="440" w:lineRule="atLeast"/>
        <w:rPr>
          <w:rFonts w:ascii="仿宋" w:hAnsi="仿宋" w:eastAsia="仿宋" w:cs="仿宋"/>
          <w:b/>
          <w:sz w:val="28"/>
          <w:szCs w:val="28"/>
          <w:highlight w:val="none"/>
        </w:rPr>
      </w:pPr>
    </w:p>
    <w:p w14:paraId="61585A03">
      <w:pPr>
        <w:spacing w:line="440" w:lineRule="atLeast"/>
        <w:rPr>
          <w:rFonts w:ascii="仿宋" w:hAnsi="仿宋" w:eastAsia="仿宋" w:cs="仿宋"/>
          <w:b/>
          <w:sz w:val="28"/>
          <w:szCs w:val="28"/>
          <w:highlight w:val="none"/>
        </w:rPr>
      </w:pPr>
      <w:r>
        <w:rPr>
          <w:rFonts w:hint="eastAsia" w:ascii="仿宋" w:hAnsi="仿宋" w:eastAsia="仿宋" w:cs="仿宋"/>
          <w:b/>
          <w:sz w:val="28"/>
          <w:szCs w:val="28"/>
          <w:highlight w:val="none"/>
        </w:rPr>
        <w:t>2.供应商的授权委托书原件、委托代理人身份证正反面复印件（委托代理时必须提供）</w:t>
      </w:r>
    </w:p>
    <w:p w14:paraId="556F7B4B">
      <w:pPr>
        <w:pStyle w:val="15"/>
        <w:rPr>
          <w:rFonts w:ascii="仿宋" w:hAnsi="仿宋" w:eastAsia="仿宋" w:cs="仿宋"/>
          <w:b/>
          <w:sz w:val="32"/>
          <w:highlight w:val="none"/>
        </w:rPr>
      </w:pPr>
      <w:r>
        <w:rPr>
          <w:rFonts w:hint="eastAsia" w:ascii="仿宋" w:hAnsi="仿宋" w:eastAsia="仿宋" w:cs="仿宋"/>
          <w:b/>
          <w:sz w:val="32"/>
          <w:highlight w:val="none"/>
        </w:rPr>
        <w:t xml:space="preserve">附件：            </w:t>
      </w:r>
    </w:p>
    <w:p w14:paraId="553A5D38">
      <w:pPr>
        <w:pStyle w:val="15"/>
        <w:ind w:firstLine="630" w:firstLineChars="196"/>
        <w:jc w:val="center"/>
        <w:rPr>
          <w:rFonts w:ascii="仿宋" w:hAnsi="仿宋" w:eastAsia="仿宋" w:cs="仿宋"/>
          <w:b/>
          <w:sz w:val="32"/>
          <w:highlight w:val="none"/>
        </w:rPr>
      </w:pPr>
      <w:bookmarkStart w:id="216" w:name="_Toc5420_WPSOffice_Level1"/>
      <w:bookmarkStart w:id="217" w:name="_Toc964_WPSOffice_Level1"/>
      <w:r>
        <w:rPr>
          <w:rFonts w:hint="eastAsia" w:ascii="仿宋" w:hAnsi="仿宋" w:eastAsia="仿宋" w:cs="仿宋"/>
          <w:b/>
          <w:sz w:val="32"/>
          <w:highlight w:val="none"/>
        </w:rPr>
        <w:t>授权委托书（格式一）</w:t>
      </w:r>
      <w:bookmarkEnd w:id="216"/>
      <w:bookmarkEnd w:id="217"/>
    </w:p>
    <w:p w14:paraId="45D0CE8A">
      <w:pPr>
        <w:pStyle w:val="15"/>
        <w:rPr>
          <w:rFonts w:ascii="仿宋" w:hAnsi="仿宋" w:eastAsia="仿宋" w:cs="仿宋"/>
          <w:highlight w:val="none"/>
        </w:rPr>
      </w:pPr>
    </w:p>
    <w:p w14:paraId="6D73BCB9">
      <w:pPr>
        <w:spacing w:line="400" w:lineRule="exact"/>
        <w:rPr>
          <w:rFonts w:hint="eastAsia" w:ascii="仿宋" w:hAnsi="仿宋" w:eastAsia="仿宋" w:cs="仿宋"/>
          <w:sz w:val="24"/>
          <w:highlight w:val="none"/>
          <w:lang w:eastAsia="zh-CN"/>
        </w:rPr>
      </w:pPr>
      <w:r>
        <w:rPr>
          <w:rFonts w:hint="eastAsia" w:ascii="仿宋" w:hAnsi="仿宋" w:eastAsia="仿宋" w:cs="仿宋"/>
          <w:sz w:val="24"/>
          <w:highlight w:val="none"/>
        </w:rPr>
        <w:t>致：</w:t>
      </w:r>
      <w:r>
        <w:rPr>
          <w:rFonts w:hint="eastAsia" w:ascii="仿宋" w:hAnsi="仿宋" w:eastAsia="仿宋" w:cs="仿宋"/>
          <w:sz w:val="24"/>
          <w:highlight w:val="none"/>
          <w:u w:val="single"/>
          <w:lang w:eastAsia="zh-CN"/>
        </w:rPr>
        <w:t>广西鸿墨项目管理有限公司</w:t>
      </w:r>
    </w:p>
    <w:p w14:paraId="1542200C">
      <w:pPr>
        <w:spacing w:line="400" w:lineRule="exact"/>
        <w:rPr>
          <w:rFonts w:ascii="仿宋" w:hAnsi="仿宋" w:eastAsia="仿宋" w:cs="仿宋"/>
          <w:sz w:val="24"/>
          <w:highlight w:val="none"/>
        </w:rPr>
      </w:pPr>
    </w:p>
    <w:p w14:paraId="4BA70507">
      <w:pPr>
        <w:pStyle w:val="15"/>
        <w:spacing w:line="400" w:lineRule="exact"/>
        <w:ind w:firstLine="480" w:firstLineChars="200"/>
        <w:rPr>
          <w:rFonts w:ascii="仿宋" w:hAnsi="仿宋" w:eastAsia="仿宋" w:cs="仿宋"/>
          <w:sz w:val="24"/>
          <w:szCs w:val="24"/>
          <w:highlight w:val="none"/>
        </w:rPr>
      </w:pPr>
      <w:r>
        <w:rPr>
          <w:rFonts w:hint="eastAsia" w:ascii="仿宋" w:hAnsi="仿宋" w:eastAsia="仿宋" w:cs="仿宋"/>
          <w:kern w:val="0"/>
          <w:sz w:val="24"/>
          <w:szCs w:val="24"/>
          <w:highlight w:val="none"/>
        </w:rPr>
        <w:t>我（姓名）系（供应商名称）的法定代表人（负责人），现授权委托本单位在职职工（姓 名）以我公司名义参加</w:t>
      </w:r>
      <w:r>
        <w:rPr>
          <w:rFonts w:hint="eastAsia" w:ascii="仿宋" w:hAnsi="仿宋" w:eastAsia="仿宋" w:cs="仿宋"/>
          <w:sz w:val="24"/>
          <w:szCs w:val="24"/>
          <w:highlight w:val="none"/>
          <w:u w:val="single"/>
        </w:rPr>
        <w:t xml:space="preserve">（项目名称及项目编号）        </w:t>
      </w:r>
      <w:r>
        <w:rPr>
          <w:rFonts w:hint="eastAsia" w:ascii="仿宋" w:hAnsi="仿宋" w:eastAsia="仿宋" w:cs="仿宋"/>
          <w:sz w:val="24"/>
          <w:szCs w:val="24"/>
          <w:highlight w:val="none"/>
        </w:rPr>
        <w:t>项目的磋商活动，并代表我方全权办理针对上述项目的磋商、签约等具体事务和签署相关文件。</w:t>
      </w:r>
    </w:p>
    <w:p w14:paraId="4D55D281">
      <w:pPr>
        <w:pStyle w:val="15"/>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我方对被授权人的签字事项负全部责任。</w:t>
      </w:r>
    </w:p>
    <w:p w14:paraId="0C26A5A9">
      <w:pPr>
        <w:pStyle w:val="15"/>
        <w:spacing w:line="400" w:lineRule="exact"/>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rPr>
        <w:t>授权委托代理期限：从年月  日起至年月 日止。</w:t>
      </w:r>
    </w:p>
    <w:p w14:paraId="791E87F7">
      <w:pPr>
        <w:pStyle w:val="15"/>
        <w:spacing w:line="400" w:lineRule="exact"/>
        <w:rPr>
          <w:rFonts w:ascii="仿宋" w:hAnsi="仿宋" w:eastAsia="仿宋" w:cs="仿宋"/>
          <w:sz w:val="24"/>
          <w:szCs w:val="24"/>
          <w:highlight w:val="none"/>
          <w:u w:val="single"/>
        </w:rPr>
      </w:pPr>
    </w:p>
    <w:p w14:paraId="7C048C62">
      <w:pPr>
        <w:spacing w:line="400" w:lineRule="exact"/>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 xml:space="preserve">代理人无转委托权,特此委托。 </w:t>
      </w:r>
    </w:p>
    <w:p w14:paraId="0555E62B">
      <w:pPr>
        <w:spacing w:line="400" w:lineRule="exact"/>
        <w:ind w:firstLine="480" w:firstLineChars="200"/>
        <w:rPr>
          <w:rFonts w:ascii="仿宋" w:hAnsi="仿宋" w:eastAsia="仿宋" w:cs="仿宋"/>
          <w:kern w:val="0"/>
          <w:sz w:val="24"/>
          <w:highlight w:val="none"/>
        </w:rPr>
      </w:pPr>
    </w:p>
    <w:p w14:paraId="754E6533">
      <w:pPr>
        <w:spacing w:line="4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我已在下面签字，以资证明。</w:t>
      </w:r>
    </w:p>
    <w:p w14:paraId="64696F9C">
      <w:pPr>
        <w:spacing w:line="400" w:lineRule="exact"/>
        <w:ind w:firstLine="480" w:firstLineChars="200"/>
        <w:rPr>
          <w:rFonts w:ascii="仿宋" w:hAnsi="仿宋" w:eastAsia="仿宋" w:cs="仿宋"/>
          <w:sz w:val="24"/>
          <w:highlight w:val="none"/>
        </w:rPr>
      </w:pPr>
    </w:p>
    <w:p w14:paraId="12BB0CAE">
      <w:pPr>
        <w:snapToGrid w:val="0"/>
        <w:spacing w:line="400" w:lineRule="exact"/>
        <w:ind w:firstLine="420"/>
        <w:rPr>
          <w:rFonts w:ascii="仿宋" w:hAnsi="仿宋" w:eastAsia="仿宋" w:cs="仿宋"/>
          <w:sz w:val="24"/>
          <w:highlight w:val="none"/>
          <w:u w:val="single"/>
        </w:rPr>
      </w:pPr>
      <w:r>
        <w:rPr>
          <w:rFonts w:hint="eastAsia" w:ascii="仿宋" w:hAnsi="仿宋" w:eastAsia="仿宋" w:cs="仿宋"/>
          <w:sz w:val="24"/>
          <w:highlight w:val="none"/>
        </w:rPr>
        <w:t>磋商供应商[公章（CA签章）]：</w:t>
      </w:r>
    </w:p>
    <w:p w14:paraId="65DE7265">
      <w:pPr>
        <w:snapToGrid w:val="0"/>
        <w:spacing w:line="400" w:lineRule="exact"/>
        <w:ind w:firstLine="420"/>
        <w:rPr>
          <w:rFonts w:ascii="仿宋" w:hAnsi="仿宋" w:eastAsia="仿宋" w:cs="仿宋"/>
          <w:sz w:val="24"/>
          <w:highlight w:val="none"/>
        </w:rPr>
      </w:pPr>
    </w:p>
    <w:p w14:paraId="1AD9B8C9">
      <w:pPr>
        <w:snapToGrid w:val="0"/>
        <w:spacing w:line="400" w:lineRule="exact"/>
        <w:ind w:firstLine="420"/>
        <w:rPr>
          <w:rFonts w:ascii="仿宋" w:hAnsi="仿宋" w:eastAsia="仿宋" w:cs="仿宋"/>
          <w:sz w:val="24"/>
          <w:highlight w:val="none"/>
        </w:rPr>
      </w:pPr>
      <w:r>
        <w:rPr>
          <w:rFonts w:hint="eastAsia" w:ascii="仿宋" w:hAnsi="仿宋" w:eastAsia="仿宋" w:cs="仿宋"/>
          <w:sz w:val="24"/>
          <w:highlight w:val="none"/>
        </w:rPr>
        <w:t>法定代表人（负责人）签字（或个人CA签章）：     　　</w:t>
      </w:r>
    </w:p>
    <w:p w14:paraId="6AC42287">
      <w:pPr>
        <w:snapToGrid w:val="0"/>
        <w:spacing w:line="400" w:lineRule="exact"/>
        <w:ind w:firstLine="420"/>
        <w:rPr>
          <w:rFonts w:ascii="仿宋" w:hAnsi="仿宋" w:eastAsia="仿宋" w:cs="仿宋"/>
          <w:sz w:val="24"/>
          <w:highlight w:val="none"/>
        </w:rPr>
      </w:pPr>
    </w:p>
    <w:p w14:paraId="6D3F9857">
      <w:pPr>
        <w:snapToGrid w:val="0"/>
        <w:spacing w:line="400" w:lineRule="exact"/>
        <w:ind w:firstLine="420"/>
        <w:rPr>
          <w:rFonts w:ascii="仿宋" w:hAnsi="仿宋" w:eastAsia="仿宋" w:cs="仿宋"/>
          <w:sz w:val="24"/>
          <w:highlight w:val="none"/>
        </w:rPr>
      </w:pPr>
      <w:r>
        <w:rPr>
          <w:rFonts w:hint="eastAsia" w:ascii="仿宋" w:hAnsi="仿宋" w:eastAsia="仿宋" w:cs="仿宋"/>
          <w:sz w:val="24"/>
          <w:highlight w:val="none"/>
        </w:rPr>
        <w:t>年月日</w:t>
      </w:r>
    </w:p>
    <w:p w14:paraId="64CF484D">
      <w:pPr>
        <w:snapToGrid w:val="0"/>
        <w:spacing w:line="400" w:lineRule="exact"/>
        <w:ind w:firstLine="420"/>
        <w:rPr>
          <w:rFonts w:ascii="仿宋" w:hAnsi="仿宋" w:eastAsia="仿宋" w:cs="仿宋"/>
          <w:sz w:val="24"/>
          <w:highlight w:val="none"/>
        </w:rPr>
      </w:pPr>
    </w:p>
    <w:p w14:paraId="46DFE104">
      <w:pPr>
        <w:pStyle w:val="10"/>
        <w:rPr>
          <w:rFonts w:ascii="仿宋" w:hAnsi="仿宋" w:eastAsia="仿宋" w:cs="仿宋"/>
          <w:sz w:val="24"/>
          <w:highlight w:val="none"/>
        </w:rPr>
      </w:pPr>
    </w:p>
    <w:p w14:paraId="49D95C6B">
      <w:pPr>
        <w:spacing w:line="440" w:lineRule="atLeast"/>
        <w:rPr>
          <w:rFonts w:ascii="仿宋" w:hAnsi="仿宋" w:eastAsia="仿宋" w:cs="仿宋"/>
          <w:b/>
          <w:sz w:val="24"/>
          <w:highlight w:val="none"/>
        </w:rPr>
      </w:pPr>
      <w:r>
        <w:rPr>
          <w:rFonts w:hint="eastAsia" w:ascii="仿宋" w:hAnsi="仿宋" w:eastAsia="仿宋" w:cs="仿宋"/>
          <w:b/>
          <w:sz w:val="24"/>
          <w:highlight w:val="none"/>
        </w:rPr>
        <w:t>附：供应商的授权委托书原件、委托代理人身份证正反面复印件</w:t>
      </w:r>
    </w:p>
    <w:p w14:paraId="5DDBF70C">
      <w:pPr>
        <w:pStyle w:val="15"/>
        <w:jc w:val="center"/>
        <w:rPr>
          <w:rFonts w:ascii="仿宋" w:hAnsi="仿宋" w:eastAsia="仿宋" w:cs="仿宋"/>
          <w:b/>
          <w:sz w:val="32"/>
          <w:highlight w:val="none"/>
        </w:rPr>
      </w:pPr>
      <w:bookmarkStart w:id="218" w:name="_Toc21370_WPSOffice_Level1"/>
      <w:bookmarkStart w:id="219" w:name="_Toc6975_WPSOffice_Level1"/>
    </w:p>
    <w:p w14:paraId="16243E5A">
      <w:pPr>
        <w:pStyle w:val="15"/>
        <w:jc w:val="center"/>
        <w:rPr>
          <w:rFonts w:ascii="仿宋" w:hAnsi="仿宋" w:eastAsia="仿宋" w:cs="仿宋"/>
          <w:b/>
          <w:sz w:val="32"/>
          <w:highlight w:val="none"/>
        </w:rPr>
      </w:pPr>
    </w:p>
    <w:p w14:paraId="7A7020A0">
      <w:pPr>
        <w:pStyle w:val="15"/>
        <w:jc w:val="center"/>
        <w:rPr>
          <w:rFonts w:ascii="仿宋" w:hAnsi="仿宋" w:eastAsia="仿宋" w:cs="仿宋"/>
          <w:b/>
          <w:sz w:val="32"/>
          <w:highlight w:val="none"/>
        </w:rPr>
      </w:pPr>
      <w:r>
        <w:rPr>
          <w:rFonts w:hint="eastAsia" w:ascii="仿宋" w:hAnsi="仿宋" w:eastAsia="仿宋" w:cs="仿宋"/>
          <w:b/>
          <w:sz w:val="32"/>
          <w:highlight w:val="none"/>
        </w:rPr>
        <w:t>授权委托书（格式二）</w:t>
      </w:r>
      <w:bookmarkEnd w:id="218"/>
      <w:bookmarkEnd w:id="219"/>
    </w:p>
    <w:p w14:paraId="26203B43">
      <w:pPr>
        <w:pStyle w:val="15"/>
        <w:rPr>
          <w:rFonts w:ascii="仿宋" w:hAnsi="仿宋" w:eastAsia="仿宋" w:cs="仿宋"/>
          <w:b/>
          <w:sz w:val="32"/>
          <w:highlight w:val="none"/>
        </w:rPr>
      </w:pPr>
    </w:p>
    <w:p w14:paraId="7020FEC5">
      <w:pPr>
        <w:pStyle w:val="15"/>
        <w:rPr>
          <w:rFonts w:hint="eastAsia" w:ascii="仿宋" w:hAnsi="仿宋" w:eastAsia="仿宋" w:cs="仿宋"/>
          <w:sz w:val="24"/>
          <w:szCs w:val="24"/>
          <w:highlight w:val="none"/>
          <w:u w:val="single"/>
          <w:lang w:eastAsia="zh-CN"/>
        </w:rPr>
      </w:pPr>
      <w:r>
        <w:rPr>
          <w:rFonts w:hint="eastAsia" w:ascii="仿宋" w:hAnsi="仿宋" w:eastAsia="仿宋" w:cs="仿宋"/>
          <w:b/>
          <w:sz w:val="24"/>
          <w:szCs w:val="24"/>
          <w:highlight w:val="none"/>
        </w:rPr>
        <w:t>致</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lang w:eastAsia="zh-CN"/>
        </w:rPr>
        <w:t>广西鸿墨项目管理有限公司</w:t>
      </w:r>
    </w:p>
    <w:p w14:paraId="41ADDCEA">
      <w:pPr>
        <w:rPr>
          <w:rFonts w:ascii="仿宋" w:hAnsi="仿宋" w:eastAsia="仿宋" w:cs="仿宋"/>
          <w:sz w:val="24"/>
          <w:highlight w:val="none"/>
        </w:rPr>
      </w:pPr>
    </w:p>
    <w:p w14:paraId="3569DC0D">
      <w:pPr>
        <w:pStyle w:val="15"/>
        <w:spacing w:line="360" w:lineRule="auto"/>
        <w:ind w:firstLine="480" w:firstLineChars="200"/>
        <w:rPr>
          <w:rFonts w:ascii="仿宋" w:hAnsi="仿宋" w:eastAsia="仿宋" w:cs="仿宋"/>
          <w:sz w:val="24"/>
          <w:szCs w:val="24"/>
          <w:highlight w:val="none"/>
        </w:rPr>
      </w:pPr>
      <w:r>
        <w:rPr>
          <w:rFonts w:hint="eastAsia" w:ascii="仿宋" w:hAnsi="仿宋" w:eastAsia="仿宋" w:cs="仿宋"/>
          <w:kern w:val="0"/>
          <w:sz w:val="24"/>
          <w:szCs w:val="24"/>
          <w:highlight w:val="none"/>
        </w:rPr>
        <w:t>我（姓名）系自然人，现授权委托（姓 名）以本人名义参加</w:t>
      </w:r>
      <w:r>
        <w:rPr>
          <w:rFonts w:hint="eastAsia" w:ascii="仿宋" w:hAnsi="仿宋" w:eastAsia="仿宋" w:cs="仿宋"/>
          <w:sz w:val="24"/>
          <w:szCs w:val="24"/>
          <w:highlight w:val="none"/>
          <w:u w:val="single"/>
        </w:rPr>
        <w:t xml:space="preserve">（项目名称及项目编号）        </w:t>
      </w:r>
      <w:r>
        <w:rPr>
          <w:rFonts w:hint="eastAsia" w:ascii="仿宋" w:hAnsi="仿宋" w:eastAsia="仿宋" w:cs="仿宋"/>
          <w:sz w:val="24"/>
          <w:szCs w:val="24"/>
          <w:highlight w:val="none"/>
        </w:rPr>
        <w:t>项目的磋商活动，并代表本人全权办理针对上述项目的磋商、签约等具体事务和签署相关文件。</w:t>
      </w:r>
    </w:p>
    <w:p w14:paraId="17990017">
      <w:pPr>
        <w:pStyle w:val="15"/>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本人对被授权人的签字事项负全部责任。</w:t>
      </w:r>
    </w:p>
    <w:p w14:paraId="6D8F837F">
      <w:pPr>
        <w:pStyle w:val="15"/>
        <w:spacing w:line="360" w:lineRule="auto"/>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rPr>
        <w:t>授权委托代理期限：从年月  日起至年月 日止。</w:t>
      </w:r>
    </w:p>
    <w:p w14:paraId="787F4EA4">
      <w:pPr>
        <w:pStyle w:val="15"/>
        <w:spacing w:line="340" w:lineRule="exact"/>
        <w:rPr>
          <w:rFonts w:ascii="仿宋" w:hAnsi="仿宋" w:eastAsia="仿宋" w:cs="仿宋"/>
          <w:sz w:val="24"/>
          <w:szCs w:val="24"/>
          <w:highlight w:val="none"/>
          <w:u w:val="single"/>
        </w:rPr>
      </w:pPr>
    </w:p>
    <w:p w14:paraId="55548563">
      <w:pPr>
        <w:spacing w:line="340" w:lineRule="exact"/>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 xml:space="preserve">代理人无转委托权,特此委托。 </w:t>
      </w:r>
    </w:p>
    <w:p w14:paraId="49C1B0A2">
      <w:pPr>
        <w:spacing w:line="340" w:lineRule="exact"/>
        <w:ind w:firstLine="480" w:firstLineChars="200"/>
        <w:rPr>
          <w:rFonts w:ascii="仿宋" w:hAnsi="仿宋" w:eastAsia="仿宋" w:cs="仿宋"/>
          <w:kern w:val="0"/>
          <w:sz w:val="24"/>
          <w:highlight w:val="none"/>
        </w:rPr>
      </w:pPr>
    </w:p>
    <w:p w14:paraId="72CFDFBE">
      <w:pPr>
        <w:spacing w:line="3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我已在下面签字，以资证明。</w:t>
      </w:r>
    </w:p>
    <w:p w14:paraId="16048EA3">
      <w:pPr>
        <w:spacing w:line="340" w:lineRule="exact"/>
        <w:ind w:firstLine="480" w:firstLineChars="200"/>
        <w:rPr>
          <w:rFonts w:ascii="仿宋" w:hAnsi="仿宋" w:eastAsia="仿宋" w:cs="仿宋"/>
          <w:sz w:val="24"/>
          <w:highlight w:val="none"/>
        </w:rPr>
      </w:pPr>
    </w:p>
    <w:p w14:paraId="66B1268B">
      <w:pPr>
        <w:snapToGrid w:val="0"/>
        <w:spacing w:line="340" w:lineRule="exact"/>
        <w:ind w:firstLine="420"/>
        <w:rPr>
          <w:rFonts w:ascii="仿宋" w:hAnsi="仿宋" w:eastAsia="仿宋" w:cs="仿宋"/>
          <w:sz w:val="24"/>
          <w:highlight w:val="none"/>
        </w:rPr>
      </w:pPr>
      <w:r>
        <w:rPr>
          <w:rFonts w:hint="eastAsia" w:ascii="仿宋" w:hAnsi="仿宋" w:eastAsia="仿宋" w:cs="仿宋"/>
          <w:sz w:val="24"/>
          <w:highlight w:val="none"/>
        </w:rPr>
        <w:t>自然人签字并在签名处加盖大拇指指印或个人CA签章：</w:t>
      </w:r>
    </w:p>
    <w:p w14:paraId="45FA0B93">
      <w:pPr>
        <w:snapToGrid w:val="0"/>
        <w:spacing w:line="340" w:lineRule="exact"/>
        <w:ind w:firstLine="420"/>
        <w:rPr>
          <w:rFonts w:ascii="仿宋" w:hAnsi="仿宋" w:eastAsia="仿宋" w:cs="仿宋"/>
          <w:sz w:val="24"/>
          <w:highlight w:val="none"/>
        </w:rPr>
      </w:pPr>
    </w:p>
    <w:p w14:paraId="42F9377D">
      <w:pPr>
        <w:snapToGrid w:val="0"/>
        <w:spacing w:line="340" w:lineRule="exact"/>
        <w:ind w:firstLine="420"/>
        <w:rPr>
          <w:rFonts w:ascii="仿宋" w:hAnsi="仿宋" w:eastAsia="仿宋" w:cs="仿宋"/>
          <w:sz w:val="24"/>
          <w:highlight w:val="none"/>
        </w:rPr>
      </w:pPr>
      <w:r>
        <w:rPr>
          <w:rFonts w:hint="eastAsia" w:ascii="仿宋" w:hAnsi="仿宋" w:eastAsia="仿宋" w:cs="仿宋"/>
          <w:sz w:val="24"/>
          <w:highlight w:val="none"/>
        </w:rPr>
        <w:t>年月日</w:t>
      </w:r>
    </w:p>
    <w:p w14:paraId="76F4AD22">
      <w:pPr>
        <w:snapToGrid w:val="0"/>
        <w:spacing w:line="340" w:lineRule="exact"/>
        <w:ind w:firstLine="420"/>
        <w:rPr>
          <w:rFonts w:ascii="仿宋" w:hAnsi="仿宋" w:eastAsia="仿宋" w:cs="仿宋"/>
          <w:sz w:val="24"/>
          <w:highlight w:val="none"/>
        </w:rPr>
      </w:pPr>
    </w:p>
    <w:p w14:paraId="2C1E8605">
      <w:pPr>
        <w:pStyle w:val="15"/>
        <w:spacing w:line="400" w:lineRule="exact"/>
        <w:ind w:left="420" w:leftChars="200"/>
        <w:rPr>
          <w:rFonts w:ascii="仿宋" w:hAnsi="仿宋" w:eastAsia="仿宋" w:cs="仿宋"/>
          <w:sz w:val="24"/>
          <w:szCs w:val="24"/>
          <w:highlight w:val="none"/>
        </w:rPr>
      </w:pPr>
    </w:p>
    <w:p w14:paraId="76F78C51">
      <w:pPr>
        <w:pStyle w:val="15"/>
        <w:spacing w:line="400" w:lineRule="exact"/>
        <w:rPr>
          <w:rFonts w:ascii="仿宋" w:hAnsi="仿宋" w:eastAsia="仿宋" w:cs="仿宋"/>
          <w:b/>
          <w:sz w:val="24"/>
          <w:szCs w:val="24"/>
          <w:highlight w:val="none"/>
        </w:rPr>
      </w:pPr>
      <w:r>
        <w:rPr>
          <w:rFonts w:hint="eastAsia" w:ascii="仿宋" w:hAnsi="仿宋" w:eastAsia="仿宋" w:cs="仿宋"/>
          <w:b/>
          <w:sz w:val="24"/>
          <w:szCs w:val="24"/>
          <w:highlight w:val="none"/>
        </w:rPr>
        <w:t>附：委托代理人身份证正反面复印件</w:t>
      </w:r>
    </w:p>
    <w:p w14:paraId="193DB97F">
      <w:pPr>
        <w:rPr>
          <w:rFonts w:ascii="仿宋" w:hAnsi="仿宋" w:eastAsia="仿宋" w:cs="仿宋"/>
          <w:b/>
          <w:szCs w:val="21"/>
          <w:highlight w:val="none"/>
        </w:rPr>
      </w:pPr>
    </w:p>
    <w:p w14:paraId="6F6398F7">
      <w:pPr>
        <w:pStyle w:val="10"/>
        <w:rPr>
          <w:rFonts w:ascii="仿宋" w:hAnsi="仿宋" w:eastAsia="仿宋" w:cs="仿宋"/>
          <w:b/>
          <w:szCs w:val="21"/>
          <w:highlight w:val="none"/>
        </w:rPr>
      </w:pPr>
    </w:p>
    <w:p w14:paraId="07424327">
      <w:pPr>
        <w:pStyle w:val="10"/>
        <w:rPr>
          <w:rFonts w:ascii="仿宋" w:hAnsi="仿宋" w:eastAsia="仿宋" w:cs="仿宋"/>
          <w:b/>
          <w:szCs w:val="21"/>
          <w:highlight w:val="none"/>
        </w:rPr>
      </w:pPr>
    </w:p>
    <w:p w14:paraId="3D248B24">
      <w:pPr>
        <w:pStyle w:val="10"/>
        <w:rPr>
          <w:rFonts w:ascii="仿宋" w:hAnsi="仿宋" w:eastAsia="仿宋" w:cs="仿宋"/>
          <w:b/>
          <w:szCs w:val="21"/>
          <w:highlight w:val="none"/>
        </w:rPr>
      </w:pPr>
    </w:p>
    <w:p w14:paraId="1E59C2E0">
      <w:pPr>
        <w:pStyle w:val="10"/>
        <w:rPr>
          <w:rFonts w:ascii="仿宋" w:hAnsi="仿宋" w:eastAsia="仿宋" w:cs="仿宋"/>
          <w:b/>
          <w:szCs w:val="21"/>
          <w:highlight w:val="none"/>
        </w:rPr>
      </w:pPr>
    </w:p>
    <w:p w14:paraId="5A8E3FB4">
      <w:pPr>
        <w:pStyle w:val="10"/>
        <w:rPr>
          <w:rFonts w:ascii="仿宋" w:hAnsi="仿宋" w:eastAsia="仿宋" w:cs="仿宋"/>
          <w:b/>
          <w:szCs w:val="21"/>
          <w:highlight w:val="none"/>
        </w:rPr>
      </w:pPr>
    </w:p>
    <w:p w14:paraId="2DC8F34D">
      <w:pPr>
        <w:pStyle w:val="10"/>
        <w:rPr>
          <w:rFonts w:ascii="仿宋" w:hAnsi="仿宋" w:eastAsia="仿宋" w:cs="仿宋"/>
          <w:b/>
          <w:szCs w:val="21"/>
          <w:highlight w:val="none"/>
        </w:rPr>
      </w:pPr>
    </w:p>
    <w:p w14:paraId="4650EEED">
      <w:pPr>
        <w:pStyle w:val="10"/>
        <w:rPr>
          <w:rFonts w:ascii="仿宋" w:hAnsi="仿宋" w:eastAsia="仿宋" w:cs="仿宋"/>
          <w:b/>
          <w:szCs w:val="21"/>
          <w:highlight w:val="none"/>
        </w:rPr>
      </w:pPr>
    </w:p>
    <w:p w14:paraId="58CFDD9E">
      <w:pPr>
        <w:pStyle w:val="10"/>
        <w:rPr>
          <w:rFonts w:ascii="仿宋" w:hAnsi="仿宋" w:eastAsia="仿宋" w:cs="仿宋"/>
          <w:b/>
          <w:szCs w:val="21"/>
          <w:highlight w:val="none"/>
        </w:rPr>
      </w:pPr>
    </w:p>
    <w:p w14:paraId="07A64477">
      <w:pPr>
        <w:pStyle w:val="10"/>
        <w:rPr>
          <w:rFonts w:ascii="仿宋" w:hAnsi="仿宋" w:eastAsia="仿宋" w:cs="仿宋"/>
          <w:b/>
          <w:szCs w:val="21"/>
          <w:highlight w:val="none"/>
        </w:rPr>
      </w:pPr>
    </w:p>
    <w:p w14:paraId="6F6635E7">
      <w:pPr>
        <w:pStyle w:val="10"/>
        <w:rPr>
          <w:rFonts w:ascii="仿宋" w:hAnsi="仿宋" w:eastAsia="仿宋" w:cs="仿宋"/>
          <w:b/>
          <w:szCs w:val="21"/>
          <w:highlight w:val="none"/>
        </w:rPr>
      </w:pPr>
    </w:p>
    <w:p w14:paraId="2DAB41E8">
      <w:pPr>
        <w:pStyle w:val="10"/>
        <w:rPr>
          <w:rFonts w:ascii="仿宋" w:hAnsi="仿宋" w:eastAsia="仿宋" w:cs="仿宋"/>
          <w:b/>
          <w:szCs w:val="21"/>
          <w:highlight w:val="none"/>
        </w:rPr>
      </w:pPr>
    </w:p>
    <w:p w14:paraId="28F6B140">
      <w:pPr>
        <w:pStyle w:val="10"/>
        <w:rPr>
          <w:rFonts w:ascii="仿宋" w:hAnsi="仿宋" w:eastAsia="仿宋" w:cs="仿宋"/>
          <w:b/>
          <w:szCs w:val="21"/>
          <w:highlight w:val="none"/>
        </w:rPr>
      </w:pPr>
    </w:p>
    <w:p w14:paraId="4C6EF9E0">
      <w:pPr>
        <w:pStyle w:val="10"/>
        <w:rPr>
          <w:rFonts w:ascii="仿宋" w:hAnsi="仿宋" w:eastAsia="仿宋" w:cs="仿宋"/>
          <w:b/>
          <w:szCs w:val="21"/>
          <w:highlight w:val="none"/>
        </w:rPr>
      </w:pPr>
    </w:p>
    <w:p w14:paraId="6AB7C86E">
      <w:pPr>
        <w:pStyle w:val="10"/>
        <w:rPr>
          <w:rFonts w:ascii="仿宋" w:hAnsi="仿宋" w:eastAsia="仿宋" w:cs="仿宋"/>
          <w:b/>
          <w:szCs w:val="21"/>
          <w:highlight w:val="none"/>
        </w:rPr>
      </w:pPr>
    </w:p>
    <w:p w14:paraId="0267466D">
      <w:pPr>
        <w:pStyle w:val="10"/>
        <w:rPr>
          <w:rFonts w:ascii="仿宋" w:hAnsi="仿宋" w:eastAsia="仿宋" w:cs="仿宋"/>
          <w:b/>
          <w:szCs w:val="21"/>
          <w:highlight w:val="none"/>
        </w:rPr>
      </w:pPr>
    </w:p>
    <w:p w14:paraId="737A764C">
      <w:pPr>
        <w:pStyle w:val="10"/>
        <w:rPr>
          <w:rFonts w:ascii="仿宋" w:hAnsi="仿宋" w:eastAsia="仿宋" w:cs="仿宋"/>
          <w:b/>
          <w:szCs w:val="21"/>
          <w:highlight w:val="none"/>
        </w:rPr>
      </w:pPr>
    </w:p>
    <w:p w14:paraId="3D7D8909">
      <w:pPr>
        <w:spacing w:line="440" w:lineRule="atLeast"/>
        <w:rPr>
          <w:rFonts w:ascii="仿宋" w:hAnsi="仿宋" w:eastAsia="仿宋" w:cs="仿宋"/>
          <w:b/>
          <w:sz w:val="28"/>
          <w:szCs w:val="28"/>
          <w:highlight w:val="none"/>
        </w:rPr>
      </w:pPr>
    </w:p>
    <w:p w14:paraId="2380D556">
      <w:pPr>
        <w:spacing w:line="440" w:lineRule="atLeast"/>
        <w:rPr>
          <w:rFonts w:ascii="仿宋" w:hAnsi="仿宋" w:eastAsia="仿宋" w:cs="仿宋"/>
          <w:b/>
          <w:sz w:val="28"/>
          <w:szCs w:val="28"/>
          <w:highlight w:val="none"/>
        </w:rPr>
      </w:pPr>
      <w:r>
        <w:rPr>
          <w:rFonts w:hint="eastAsia" w:ascii="仿宋" w:hAnsi="仿宋" w:eastAsia="仿宋" w:cs="仿宋"/>
          <w:b/>
          <w:sz w:val="28"/>
          <w:szCs w:val="28"/>
          <w:highlight w:val="none"/>
        </w:rPr>
        <w:t>3.供应商参加政府采购活动前3年内在经营活动中没有重大违法记录及有关信用信息的书面声明（必须提供）；</w:t>
      </w:r>
    </w:p>
    <w:p w14:paraId="7FA883BF">
      <w:pPr>
        <w:pStyle w:val="15"/>
        <w:spacing w:line="400" w:lineRule="exact"/>
        <w:ind w:left="420" w:leftChars="200" w:firstLine="157" w:firstLineChars="49"/>
        <w:rPr>
          <w:rFonts w:ascii="仿宋" w:hAnsi="仿宋" w:eastAsia="仿宋" w:cs="仿宋"/>
          <w:b/>
          <w:sz w:val="32"/>
          <w:szCs w:val="32"/>
          <w:highlight w:val="none"/>
        </w:rPr>
      </w:pPr>
    </w:p>
    <w:p w14:paraId="2068C511">
      <w:pPr>
        <w:pStyle w:val="15"/>
        <w:spacing w:line="400" w:lineRule="exact"/>
        <w:rPr>
          <w:rFonts w:ascii="仿宋" w:hAnsi="仿宋" w:eastAsia="仿宋" w:cs="仿宋"/>
          <w:b/>
          <w:sz w:val="32"/>
          <w:szCs w:val="32"/>
          <w:highlight w:val="none"/>
        </w:rPr>
      </w:pPr>
      <w:r>
        <w:rPr>
          <w:rFonts w:hint="eastAsia" w:ascii="仿宋" w:hAnsi="仿宋" w:eastAsia="仿宋" w:cs="仿宋"/>
          <w:b/>
          <w:sz w:val="32"/>
          <w:szCs w:val="32"/>
          <w:highlight w:val="none"/>
        </w:rPr>
        <w:t>附件：</w:t>
      </w:r>
    </w:p>
    <w:p w14:paraId="5879D127">
      <w:pPr>
        <w:pStyle w:val="15"/>
        <w:spacing w:line="400" w:lineRule="exact"/>
        <w:jc w:val="center"/>
        <w:rPr>
          <w:rFonts w:ascii="仿宋" w:hAnsi="仿宋" w:eastAsia="仿宋" w:cs="仿宋"/>
          <w:b/>
          <w:sz w:val="32"/>
          <w:szCs w:val="32"/>
          <w:highlight w:val="none"/>
        </w:rPr>
      </w:pPr>
      <w:bookmarkStart w:id="220" w:name="_Toc30890_WPSOffice_Level1"/>
      <w:bookmarkStart w:id="221" w:name="_Toc30304_WPSOffice_Level1"/>
      <w:r>
        <w:rPr>
          <w:rFonts w:hint="eastAsia" w:ascii="仿宋" w:hAnsi="仿宋" w:eastAsia="仿宋" w:cs="仿宋"/>
          <w:b/>
          <w:sz w:val="32"/>
          <w:szCs w:val="32"/>
          <w:highlight w:val="none"/>
        </w:rPr>
        <w:t>声   明</w:t>
      </w:r>
      <w:bookmarkEnd w:id="220"/>
      <w:bookmarkEnd w:id="221"/>
    </w:p>
    <w:p w14:paraId="175B235B">
      <w:pPr>
        <w:pStyle w:val="15"/>
        <w:spacing w:line="400" w:lineRule="exact"/>
        <w:rPr>
          <w:rFonts w:ascii="仿宋" w:hAnsi="仿宋" w:eastAsia="仿宋" w:cs="仿宋"/>
          <w:b/>
          <w:sz w:val="32"/>
          <w:szCs w:val="32"/>
          <w:highlight w:val="none"/>
        </w:rPr>
      </w:pPr>
    </w:p>
    <w:p w14:paraId="509C5A19">
      <w:pPr>
        <w:pStyle w:val="15"/>
        <w:spacing w:line="400" w:lineRule="exact"/>
        <w:rPr>
          <w:rFonts w:hint="eastAsia" w:ascii="仿宋" w:hAnsi="仿宋" w:eastAsia="仿宋" w:cs="仿宋"/>
          <w:sz w:val="24"/>
          <w:szCs w:val="24"/>
          <w:highlight w:val="none"/>
          <w:u w:val="single"/>
          <w:lang w:eastAsia="zh-CN"/>
        </w:rPr>
      </w:pPr>
      <w:r>
        <w:rPr>
          <w:rFonts w:hint="eastAsia" w:ascii="仿宋" w:hAnsi="仿宋" w:eastAsia="仿宋" w:cs="仿宋"/>
          <w:b/>
          <w:sz w:val="24"/>
          <w:szCs w:val="24"/>
          <w:highlight w:val="none"/>
        </w:rPr>
        <w:t>致</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lang w:eastAsia="zh-CN"/>
        </w:rPr>
        <w:t>广西鸿墨项目管理有限公司</w:t>
      </w:r>
    </w:p>
    <w:p w14:paraId="175687AC">
      <w:pPr>
        <w:rPr>
          <w:rFonts w:ascii="仿宋" w:hAnsi="仿宋" w:eastAsia="仿宋" w:cs="仿宋"/>
          <w:sz w:val="24"/>
          <w:highlight w:val="none"/>
          <w:u w:val="single"/>
        </w:rPr>
      </w:pPr>
    </w:p>
    <w:p w14:paraId="567C5489">
      <w:pPr>
        <w:pStyle w:val="15"/>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CFDC27A">
      <w:pPr>
        <w:rPr>
          <w:rFonts w:ascii="仿宋" w:hAnsi="仿宋" w:eastAsia="仿宋" w:cs="仿宋"/>
          <w:sz w:val="24"/>
          <w:highlight w:val="none"/>
        </w:rPr>
      </w:pPr>
    </w:p>
    <w:p w14:paraId="561E7925">
      <w:pPr>
        <w:snapToGrid w:val="0"/>
        <w:spacing w:line="400" w:lineRule="exact"/>
        <w:ind w:firstLine="2160" w:firstLineChars="900"/>
        <w:rPr>
          <w:rFonts w:ascii="仿宋" w:hAnsi="仿宋" w:eastAsia="仿宋" w:cs="仿宋"/>
          <w:sz w:val="24"/>
          <w:highlight w:val="none"/>
        </w:rPr>
      </w:pPr>
      <w:r>
        <w:rPr>
          <w:rFonts w:hint="eastAsia" w:ascii="仿宋" w:hAnsi="仿宋" w:eastAsia="仿宋" w:cs="仿宋"/>
          <w:sz w:val="24"/>
          <w:highlight w:val="none"/>
        </w:rPr>
        <w:t>磋商供应商[公章(CA签章)，自然人签字或个人CA签章]：</w:t>
      </w:r>
    </w:p>
    <w:p w14:paraId="128DE9C8">
      <w:pPr>
        <w:pStyle w:val="15"/>
        <w:ind w:firstLine="4560" w:firstLineChars="1900"/>
        <w:rPr>
          <w:rFonts w:ascii="仿宋" w:hAnsi="仿宋" w:eastAsia="仿宋" w:cs="仿宋"/>
          <w:sz w:val="24"/>
          <w:szCs w:val="24"/>
          <w:highlight w:val="none"/>
          <w:u w:val="single"/>
        </w:rPr>
      </w:pPr>
      <w:r>
        <w:rPr>
          <w:rFonts w:hint="eastAsia" w:ascii="仿宋" w:hAnsi="仿宋" w:eastAsia="仿宋" w:cs="仿宋"/>
          <w:sz w:val="24"/>
          <w:szCs w:val="24"/>
          <w:highlight w:val="none"/>
        </w:rPr>
        <w:t>日          期：</w:t>
      </w:r>
    </w:p>
    <w:p w14:paraId="60A3C0E5">
      <w:pPr>
        <w:pStyle w:val="15"/>
        <w:spacing w:line="340" w:lineRule="exact"/>
        <w:rPr>
          <w:rFonts w:ascii="仿宋" w:hAnsi="仿宋" w:eastAsia="仿宋" w:cs="仿宋"/>
          <w:b/>
          <w:sz w:val="28"/>
          <w:szCs w:val="28"/>
          <w:highlight w:val="none"/>
        </w:rPr>
      </w:pPr>
    </w:p>
    <w:p w14:paraId="14917672">
      <w:pPr>
        <w:pStyle w:val="7"/>
        <w:rPr>
          <w:rFonts w:ascii="仿宋" w:hAnsi="仿宋" w:eastAsia="仿宋" w:cs="仿宋"/>
          <w:b/>
          <w:sz w:val="28"/>
          <w:szCs w:val="28"/>
          <w:highlight w:val="none"/>
        </w:rPr>
      </w:pPr>
    </w:p>
    <w:p w14:paraId="70F629C4">
      <w:pPr>
        <w:rPr>
          <w:highlight w:val="none"/>
        </w:rPr>
      </w:pPr>
    </w:p>
    <w:p w14:paraId="20AFAF31">
      <w:pPr>
        <w:pStyle w:val="15"/>
        <w:spacing w:line="340" w:lineRule="exact"/>
        <w:rPr>
          <w:rFonts w:ascii="仿宋" w:hAnsi="仿宋" w:eastAsia="仿宋" w:cs="仿宋"/>
          <w:b/>
          <w:sz w:val="28"/>
          <w:szCs w:val="28"/>
          <w:highlight w:val="none"/>
        </w:rPr>
      </w:pPr>
      <w:r>
        <w:rPr>
          <w:rFonts w:hint="eastAsia" w:ascii="仿宋" w:hAnsi="仿宋" w:eastAsia="仿宋" w:cs="仿宋"/>
          <w:b/>
          <w:sz w:val="28"/>
          <w:szCs w:val="28"/>
          <w:highlight w:val="none"/>
        </w:rPr>
        <w:t>4.供应商的法人或者其他组织营业执照等证明文件复印件（必须提供，自然人除外）；</w:t>
      </w:r>
    </w:p>
    <w:p w14:paraId="217F3038">
      <w:pPr>
        <w:tabs>
          <w:tab w:val="left" w:pos="1305"/>
        </w:tabs>
        <w:spacing w:line="340" w:lineRule="exact"/>
        <w:rPr>
          <w:rFonts w:ascii="仿宋" w:hAnsi="仿宋" w:eastAsia="仿宋" w:cs="仿宋"/>
          <w:b/>
          <w:szCs w:val="21"/>
          <w:highlight w:val="none"/>
        </w:rPr>
      </w:pPr>
    </w:p>
    <w:p w14:paraId="6E39FF6A">
      <w:pPr>
        <w:tabs>
          <w:tab w:val="left" w:pos="1305"/>
        </w:tabs>
        <w:spacing w:line="400" w:lineRule="exact"/>
        <w:rPr>
          <w:rFonts w:ascii="仿宋" w:hAnsi="仿宋" w:eastAsia="仿宋" w:cs="仿宋"/>
          <w:b/>
          <w:szCs w:val="21"/>
          <w:highlight w:val="none"/>
        </w:rPr>
      </w:pPr>
      <w:r>
        <w:rPr>
          <w:rFonts w:hint="eastAsia" w:ascii="仿宋" w:hAnsi="仿宋" w:eastAsia="仿宋" w:cs="仿宋"/>
          <w:b/>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37F44528">
      <w:pPr>
        <w:rPr>
          <w:rFonts w:ascii="仿宋" w:hAnsi="仿宋" w:eastAsia="仿宋" w:cs="仿宋"/>
          <w:b/>
          <w:bCs/>
          <w:sz w:val="28"/>
          <w:szCs w:val="28"/>
          <w:highlight w:val="none"/>
        </w:rPr>
      </w:pPr>
    </w:p>
    <w:p w14:paraId="2EF60638">
      <w:pPr>
        <w:rPr>
          <w:highlight w:val="none"/>
        </w:rPr>
      </w:pPr>
    </w:p>
    <w:p w14:paraId="07B226B9">
      <w:pPr>
        <w:pStyle w:val="10"/>
        <w:rPr>
          <w:highlight w:val="none"/>
        </w:rPr>
      </w:pPr>
    </w:p>
    <w:p w14:paraId="6520352D">
      <w:pPr>
        <w:pStyle w:val="7"/>
        <w:rPr>
          <w:rFonts w:ascii="仿宋" w:hAnsi="仿宋" w:eastAsia="仿宋" w:cs="仿宋"/>
          <w:highlight w:val="none"/>
        </w:rPr>
      </w:pPr>
    </w:p>
    <w:p w14:paraId="6D0095A7">
      <w:pPr>
        <w:pageBreakBefore/>
        <w:ind w:left="420"/>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（二）符合性响应证明材料目录</w:t>
      </w:r>
    </w:p>
    <w:p w14:paraId="3179F1FB">
      <w:pPr>
        <w:numPr>
          <w:ilvl w:val="0"/>
          <w:numId w:val="15"/>
        </w:numPr>
        <w:spacing w:line="360" w:lineRule="auto"/>
        <w:ind w:firstLine="480"/>
        <w:rPr>
          <w:rFonts w:ascii="仿宋" w:hAnsi="仿宋" w:eastAsia="仿宋" w:cs="仿宋"/>
          <w:sz w:val="24"/>
          <w:highlight w:val="none"/>
        </w:rPr>
      </w:pPr>
      <w:r>
        <w:rPr>
          <w:rFonts w:hint="eastAsia" w:ascii="仿宋" w:hAnsi="仿宋" w:eastAsia="仿宋" w:cs="仿宋"/>
          <w:sz w:val="24"/>
          <w:highlight w:val="none"/>
        </w:rPr>
        <w:t>响应函</w:t>
      </w:r>
      <w:r>
        <w:rPr>
          <w:rFonts w:hint="eastAsia" w:ascii="仿宋" w:hAnsi="仿宋" w:eastAsia="仿宋" w:cs="仿宋"/>
          <w:b/>
          <w:bCs/>
          <w:sz w:val="24"/>
          <w:highlight w:val="none"/>
        </w:rPr>
        <w:t>（格式见附件）（必须提供</w:t>
      </w:r>
      <w:r>
        <w:rPr>
          <w:rFonts w:hint="eastAsia" w:ascii="仿宋" w:hAnsi="仿宋" w:eastAsia="仿宋" w:cs="仿宋"/>
          <w:sz w:val="24"/>
          <w:highlight w:val="none"/>
        </w:rPr>
        <w:t>）</w:t>
      </w:r>
      <w:r>
        <w:rPr>
          <w:rFonts w:hint="eastAsia" w:ascii="仿宋" w:hAnsi="仿宋" w:eastAsia="仿宋" w:cs="仿宋"/>
          <w:b/>
          <w:bCs/>
          <w:sz w:val="24"/>
          <w:highlight w:val="none"/>
        </w:rPr>
        <w:t>；</w:t>
      </w:r>
    </w:p>
    <w:p w14:paraId="6011FEB2">
      <w:pPr>
        <w:spacing w:line="360" w:lineRule="auto"/>
        <w:rPr>
          <w:rFonts w:ascii="仿宋" w:hAnsi="仿宋" w:eastAsia="仿宋" w:cs="仿宋"/>
          <w:sz w:val="24"/>
          <w:highlight w:val="none"/>
        </w:rPr>
      </w:pPr>
    </w:p>
    <w:p w14:paraId="1137CEAB">
      <w:pPr>
        <w:numPr>
          <w:ilvl w:val="0"/>
          <w:numId w:val="15"/>
        </w:numPr>
        <w:spacing w:line="360" w:lineRule="auto"/>
        <w:ind w:firstLine="480"/>
        <w:rPr>
          <w:rFonts w:ascii="仿宋" w:hAnsi="仿宋" w:eastAsia="仿宋" w:cs="仿宋"/>
          <w:b/>
          <w:bCs/>
          <w:sz w:val="24"/>
          <w:highlight w:val="none"/>
        </w:rPr>
      </w:pPr>
      <w:r>
        <w:rPr>
          <w:rFonts w:hint="eastAsia" w:ascii="仿宋" w:hAnsi="仿宋" w:eastAsia="仿宋" w:cs="仿宋"/>
          <w:sz w:val="24"/>
          <w:highlight w:val="none"/>
        </w:rPr>
        <w:t>磋商报价表</w:t>
      </w:r>
      <w:r>
        <w:rPr>
          <w:rFonts w:hint="eastAsia" w:ascii="仿宋" w:hAnsi="仿宋" w:eastAsia="仿宋" w:cs="仿宋"/>
          <w:b/>
          <w:bCs/>
          <w:sz w:val="24"/>
          <w:highlight w:val="none"/>
        </w:rPr>
        <w:t>（格式见附件）（必须提供）；</w:t>
      </w:r>
    </w:p>
    <w:p w14:paraId="26FC37C5">
      <w:pPr>
        <w:pStyle w:val="10"/>
        <w:rPr>
          <w:rFonts w:ascii="仿宋" w:hAnsi="仿宋" w:eastAsia="仿宋" w:cs="仿宋"/>
          <w:sz w:val="24"/>
          <w:highlight w:val="none"/>
        </w:rPr>
      </w:pPr>
    </w:p>
    <w:p w14:paraId="7D86C828">
      <w:pPr>
        <w:numPr>
          <w:ilvl w:val="0"/>
          <w:numId w:val="15"/>
        </w:numPr>
        <w:spacing w:line="360" w:lineRule="auto"/>
        <w:ind w:firstLine="480"/>
        <w:rPr>
          <w:rFonts w:ascii="仿宋" w:hAnsi="仿宋" w:eastAsia="仿宋" w:cs="仿宋"/>
          <w:sz w:val="24"/>
          <w:highlight w:val="none"/>
        </w:rPr>
      </w:pPr>
      <w:r>
        <w:rPr>
          <w:rFonts w:hint="eastAsia" w:ascii="仿宋" w:hAnsi="仿宋" w:eastAsia="仿宋" w:cs="仿宋"/>
          <w:sz w:val="24"/>
          <w:highlight w:val="none"/>
          <w:lang w:val="en-US" w:eastAsia="zh-CN"/>
        </w:rPr>
        <w:t>服务需求响应表</w:t>
      </w:r>
      <w:r>
        <w:rPr>
          <w:rFonts w:hint="eastAsia" w:ascii="仿宋" w:hAnsi="仿宋" w:eastAsia="仿宋" w:cs="仿宋"/>
          <w:b/>
          <w:bCs/>
          <w:sz w:val="24"/>
          <w:highlight w:val="none"/>
        </w:rPr>
        <w:t>（格式见附件）（必须提供）；</w:t>
      </w:r>
    </w:p>
    <w:p w14:paraId="452BB0C1">
      <w:pPr>
        <w:pStyle w:val="10"/>
        <w:rPr>
          <w:rFonts w:ascii="仿宋" w:hAnsi="仿宋" w:eastAsia="仿宋" w:cs="仿宋"/>
          <w:sz w:val="24"/>
          <w:highlight w:val="none"/>
        </w:rPr>
      </w:pPr>
    </w:p>
    <w:p w14:paraId="336817E7">
      <w:pPr>
        <w:numPr>
          <w:ilvl w:val="0"/>
          <w:numId w:val="15"/>
        </w:numPr>
        <w:spacing w:line="360" w:lineRule="auto"/>
        <w:ind w:firstLine="480"/>
        <w:rPr>
          <w:rFonts w:ascii="仿宋" w:hAnsi="仿宋" w:eastAsia="仿宋" w:cs="仿宋"/>
          <w:sz w:val="24"/>
          <w:highlight w:val="none"/>
        </w:rPr>
      </w:pPr>
      <w:r>
        <w:rPr>
          <w:rFonts w:hint="eastAsia" w:ascii="仿宋" w:hAnsi="仿宋" w:eastAsia="仿宋" w:cs="仿宋"/>
          <w:sz w:val="24"/>
          <w:highlight w:val="none"/>
        </w:rPr>
        <w:t>投标人针对本项目的服务方案（格式见附件）</w:t>
      </w:r>
      <w:r>
        <w:rPr>
          <w:rFonts w:hint="eastAsia" w:ascii="仿宋" w:hAnsi="仿宋" w:eastAsia="仿宋" w:cs="仿宋"/>
          <w:b/>
          <w:bCs/>
          <w:sz w:val="24"/>
          <w:highlight w:val="none"/>
        </w:rPr>
        <w:t>（如有，请提供）；</w:t>
      </w:r>
    </w:p>
    <w:p w14:paraId="2885B329">
      <w:pPr>
        <w:pStyle w:val="10"/>
        <w:rPr>
          <w:highlight w:val="none"/>
        </w:rPr>
      </w:pPr>
    </w:p>
    <w:p w14:paraId="5CB1C4AE">
      <w:pPr>
        <w:numPr>
          <w:ilvl w:val="0"/>
          <w:numId w:val="15"/>
        </w:numPr>
        <w:spacing w:line="360" w:lineRule="auto"/>
        <w:ind w:firstLine="480"/>
        <w:rPr>
          <w:rFonts w:ascii="仿宋" w:hAnsi="仿宋" w:eastAsia="仿宋" w:cs="仿宋"/>
          <w:sz w:val="24"/>
          <w:highlight w:val="none"/>
        </w:rPr>
      </w:pPr>
      <w:r>
        <w:rPr>
          <w:rFonts w:hint="eastAsia" w:ascii="仿宋" w:hAnsi="仿宋" w:eastAsia="仿宋" w:cs="仿宋"/>
          <w:sz w:val="24"/>
          <w:highlight w:val="none"/>
        </w:rPr>
        <w:t>服务承诺方案（由供应商根据本项目采购需求、特点及供应商自身的处理能力自行编写）（格式见附件）</w:t>
      </w:r>
      <w:r>
        <w:rPr>
          <w:rFonts w:hint="eastAsia" w:ascii="仿宋" w:hAnsi="仿宋" w:eastAsia="仿宋" w:cs="仿宋"/>
          <w:b/>
          <w:bCs/>
          <w:sz w:val="24"/>
          <w:highlight w:val="none"/>
        </w:rPr>
        <w:t>（如有，请提供）。</w:t>
      </w:r>
    </w:p>
    <w:p w14:paraId="7B00BB6F">
      <w:pPr>
        <w:pStyle w:val="31"/>
        <w:rPr>
          <w:rFonts w:ascii="仿宋" w:hAnsi="仿宋" w:eastAsia="仿宋" w:cs="仿宋"/>
          <w:color w:val="auto"/>
          <w:highlight w:val="none"/>
        </w:rPr>
      </w:pPr>
    </w:p>
    <w:p w14:paraId="390218A0">
      <w:pPr>
        <w:pStyle w:val="10"/>
        <w:rPr>
          <w:rFonts w:ascii="仿宋" w:hAnsi="仿宋" w:eastAsia="仿宋" w:cs="仿宋"/>
          <w:highlight w:val="none"/>
        </w:rPr>
      </w:pPr>
    </w:p>
    <w:p w14:paraId="6B8C5C48">
      <w:pPr>
        <w:pStyle w:val="15"/>
        <w:spacing w:line="340" w:lineRule="exact"/>
        <w:rPr>
          <w:rFonts w:ascii="仿宋" w:hAnsi="仿宋" w:eastAsia="仿宋" w:cs="仿宋"/>
          <w:b/>
          <w:sz w:val="28"/>
          <w:szCs w:val="28"/>
          <w:highlight w:val="none"/>
        </w:rPr>
      </w:pPr>
    </w:p>
    <w:p w14:paraId="72251F18">
      <w:pPr>
        <w:pStyle w:val="15"/>
        <w:spacing w:line="340" w:lineRule="exact"/>
        <w:rPr>
          <w:rFonts w:ascii="仿宋" w:hAnsi="仿宋" w:eastAsia="仿宋" w:cs="仿宋"/>
          <w:b/>
          <w:sz w:val="28"/>
          <w:szCs w:val="28"/>
          <w:highlight w:val="none"/>
        </w:rPr>
      </w:pPr>
    </w:p>
    <w:p w14:paraId="459AEC2E">
      <w:pPr>
        <w:rPr>
          <w:rFonts w:ascii="仿宋" w:hAnsi="仿宋" w:eastAsia="仿宋" w:cs="仿宋"/>
          <w:b/>
          <w:sz w:val="28"/>
          <w:szCs w:val="28"/>
          <w:highlight w:val="none"/>
        </w:rPr>
      </w:pPr>
    </w:p>
    <w:p w14:paraId="0D0D043F">
      <w:pPr>
        <w:pStyle w:val="10"/>
        <w:rPr>
          <w:rFonts w:ascii="仿宋" w:hAnsi="仿宋" w:eastAsia="仿宋" w:cs="仿宋"/>
          <w:b/>
          <w:sz w:val="28"/>
          <w:szCs w:val="28"/>
          <w:highlight w:val="none"/>
        </w:rPr>
      </w:pPr>
    </w:p>
    <w:p w14:paraId="035AFC10">
      <w:pPr>
        <w:rPr>
          <w:rFonts w:ascii="仿宋" w:hAnsi="仿宋" w:eastAsia="仿宋" w:cs="仿宋"/>
          <w:b/>
          <w:sz w:val="28"/>
          <w:szCs w:val="28"/>
          <w:highlight w:val="none"/>
        </w:rPr>
      </w:pPr>
    </w:p>
    <w:p w14:paraId="70649348">
      <w:pPr>
        <w:pStyle w:val="10"/>
        <w:rPr>
          <w:rFonts w:ascii="仿宋" w:hAnsi="仿宋" w:eastAsia="仿宋" w:cs="仿宋"/>
          <w:b/>
          <w:sz w:val="28"/>
          <w:szCs w:val="28"/>
          <w:highlight w:val="none"/>
        </w:rPr>
      </w:pPr>
    </w:p>
    <w:p w14:paraId="12EF6744">
      <w:pPr>
        <w:rPr>
          <w:rFonts w:ascii="仿宋" w:hAnsi="仿宋" w:eastAsia="仿宋" w:cs="仿宋"/>
          <w:b/>
          <w:sz w:val="28"/>
          <w:szCs w:val="28"/>
          <w:highlight w:val="none"/>
        </w:rPr>
      </w:pPr>
    </w:p>
    <w:p w14:paraId="0C97F549">
      <w:pPr>
        <w:pStyle w:val="10"/>
        <w:rPr>
          <w:rFonts w:ascii="仿宋" w:hAnsi="仿宋" w:eastAsia="仿宋" w:cs="仿宋"/>
          <w:b/>
          <w:sz w:val="28"/>
          <w:szCs w:val="28"/>
          <w:highlight w:val="none"/>
        </w:rPr>
      </w:pPr>
    </w:p>
    <w:p w14:paraId="5A2A47C9">
      <w:pPr>
        <w:rPr>
          <w:rFonts w:ascii="仿宋" w:hAnsi="仿宋" w:eastAsia="仿宋" w:cs="仿宋"/>
          <w:b/>
          <w:sz w:val="28"/>
          <w:szCs w:val="28"/>
          <w:highlight w:val="none"/>
        </w:rPr>
      </w:pPr>
    </w:p>
    <w:p w14:paraId="215430BD">
      <w:pPr>
        <w:pStyle w:val="10"/>
        <w:rPr>
          <w:rFonts w:ascii="仿宋" w:hAnsi="仿宋" w:eastAsia="仿宋" w:cs="仿宋"/>
          <w:b/>
          <w:sz w:val="28"/>
          <w:szCs w:val="28"/>
          <w:highlight w:val="none"/>
        </w:rPr>
      </w:pPr>
    </w:p>
    <w:p w14:paraId="6A35137F">
      <w:pPr>
        <w:rPr>
          <w:rFonts w:ascii="仿宋" w:hAnsi="仿宋" w:eastAsia="仿宋" w:cs="仿宋"/>
          <w:b/>
          <w:sz w:val="28"/>
          <w:szCs w:val="28"/>
          <w:highlight w:val="none"/>
        </w:rPr>
      </w:pPr>
    </w:p>
    <w:p w14:paraId="6CE4C196">
      <w:pPr>
        <w:pStyle w:val="10"/>
        <w:rPr>
          <w:rFonts w:ascii="仿宋" w:hAnsi="仿宋" w:eastAsia="仿宋" w:cs="仿宋"/>
          <w:b/>
          <w:sz w:val="28"/>
          <w:szCs w:val="28"/>
          <w:highlight w:val="none"/>
        </w:rPr>
      </w:pPr>
    </w:p>
    <w:p w14:paraId="2D1823C6">
      <w:pPr>
        <w:rPr>
          <w:rFonts w:ascii="仿宋" w:hAnsi="仿宋" w:eastAsia="仿宋" w:cs="仿宋"/>
          <w:b/>
          <w:sz w:val="28"/>
          <w:szCs w:val="28"/>
          <w:highlight w:val="none"/>
        </w:rPr>
      </w:pPr>
    </w:p>
    <w:p w14:paraId="5CEB6745">
      <w:pPr>
        <w:spacing w:line="400" w:lineRule="exact"/>
        <w:rPr>
          <w:rFonts w:ascii="仿宋" w:hAnsi="仿宋" w:eastAsia="仿宋" w:cs="仿宋"/>
          <w:b/>
          <w:bCs/>
          <w:sz w:val="28"/>
          <w:szCs w:val="28"/>
          <w:highlight w:val="none"/>
        </w:rPr>
      </w:pPr>
      <w:bookmarkStart w:id="222" w:name="_Toc12920"/>
      <w:bookmarkStart w:id="223" w:name="_Toc17617"/>
      <w:bookmarkStart w:id="224" w:name="_Toc497927072"/>
    </w:p>
    <w:p w14:paraId="6F365FDF">
      <w:pPr>
        <w:spacing w:line="400" w:lineRule="exact"/>
        <w:rPr>
          <w:rFonts w:ascii="仿宋" w:hAnsi="仿宋" w:eastAsia="仿宋" w:cs="仿宋"/>
          <w:b/>
          <w:bCs/>
          <w:sz w:val="28"/>
          <w:szCs w:val="28"/>
          <w:highlight w:val="none"/>
        </w:rPr>
      </w:pPr>
    </w:p>
    <w:p w14:paraId="51A9CB31">
      <w:pPr>
        <w:spacing w:line="4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1.响应函（格式见附件）（必须提供）</w:t>
      </w:r>
      <w:bookmarkEnd w:id="222"/>
      <w:bookmarkEnd w:id="223"/>
      <w:bookmarkEnd w:id="224"/>
    </w:p>
    <w:p w14:paraId="40B7AD91">
      <w:pPr>
        <w:pStyle w:val="31"/>
        <w:rPr>
          <w:rFonts w:ascii="仿宋" w:hAnsi="仿宋" w:eastAsia="仿宋" w:cs="仿宋"/>
          <w:highlight w:val="none"/>
        </w:rPr>
      </w:pPr>
    </w:p>
    <w:p w14:paraId="5CC3FEF2">
      <w:pPr>
        <w:pStyle w:val="15"/>
        <w:rPr>
          <w:rFonts w:ascii="仿宋" w:hAnsi="仿宋" w:eastAsia="仿宋" w:cs="仿宋"/>
          <w:b/>
          <w:sz w:val="32"/>
          <w:highlight w:val="none"/>
        </w:rPr>
      </w:pPr>
      <w:r>
        <w:rPr>
          <w:rFonts w:hint="eastAsia" w:ascii="仿宋" w:hAnsi="仿宋" w:eastAsia="仿宋" w:cs="仿宋"/>
          <w:b/>
          <w:sz w:val="32"/>
          <w:highlight w:val="none"/>
        </w:rPr>
        <w:t>附件：</w:t>
      </w:r>
    </w:p>
    <w:p w14:paraId="4B43C636">
      <w:pPr>
        <w:pStyle w:val="15"/>
        <w:ind w:firstLine="803" w:firstLineChars="250"/>
        <w:jc w:val="center"/>
        <w:rPr>
          <w:rFonts w:ascii="仿宋" w:hAnsi="仿宋" w:eastAsia="仿宋" w:cs="仿宋"/>
          <w:b/>
          <w:sz w:val="32"/>
          <w:highlight w:val="none"/>
        </w:rPr>
      </w:pPr>
      <w:bookmarkStart w:id="225" w:name="_Toc7273_WPSOffice_Level1"/>
      <w:bookmarkStart w:id="226" w:name="_Toc17832_WPSOffice_Level1"/>
      <w:r>
        <w:rPr>
          <w:rFonts w:hint="eastAsia" w:ascii="仿宋" w:hAnsi="仿宋" w:eastAsia="仿宋" w:cs="仿宋"/>
          <w:b/>
          <w:sz w:val="32"/>
          <w:highlight w:val="none"/>
        </w:rPr>
        <w:t>响 应 函 （格 式）</w:t>
      </w:r>
      <w:bookmarkEnd w:id="225"/>
      <w:bookmarkEnd w:id="226"/>
    </w:p>
    <w:p w14:paraId="4E074678">
      <w:pPr>
        <w:spacing w:line="240" w:lineRule="exact"/>
        <w:jc w:val="center"/>
        <w:rPr>
          <w:rFonts w:ascii="仿宋" w:hAnsi="仿宋" w:eastAsia="仿宋" w:cs="仿宋"/>
          <w:sz w:val="32"/>
          <w:highlight w:val="none"/>
        </w:rPr>
      </w:pPr>
    </w:p>
    <w:p w14:paraId="003B149D">
      <w:pPr>
        <w:spacing w:line="400" w:lineRule="exact"/>
        <w:rPr>
          <w:rFonts w:hint="eastAsia" w:ascii="仿宋" w:hAnsi="仿宋" w:eastAsia="仿宋" w:cs="仿宋"/>
          <w:sz w:val="24"/>
          <w:highlight w:val="none"/>
          <w:lang w:eastAsia="zh-CN"/>
        </w:rPr>
      </w:pPr>
      <w:r>
        <w:rPr>
          <w:rFonts w:hint="eastAsia" w:ascii="仿宋" w:hAnsi="仿宋" w:eastAsia="仿宋" w:cs="仿宋"/>
          <w:sz w:val="24"/>
          <w:highlight w:val="none"/>
        </w:rPr>
        <w:t>致</w:t>
      </w:r>
      <w:r>
        <w:rPr>
          <w:rFonts w:hint="eastAsia" w:ascii="仿宋" w:hAnsi="仿宋" w:eastAsia="仿宋" w:cs="仿宋"/>
          <w:sz w:val="24"/>
          <w:highlight w:val="none"/>
          <w:u w:val="single"/>
        </w:rPr>
        <w:t>：</w:t>
      </w:r>
      <w:r>
        <w:rPr>
          <w:rFonts w:hint="eastAsia" w:ascii="仿宋" w:hAnsi="仿宋" w:eastAsia="仿宋" w:cs="仿宋"/>
          <w:sz w:val="24"/>
          <w:highlight w:val="none"/>
          <w:u w:val="single"/>
          <w:lang w:eastAsia="zh-CN"/>
        </w:rPr>
        <w:t>广西鸿墨项目管理有限公司</w:t>
      </w:r>
    </w:p>
    <w:p w14:paraId="344C047D">
      <w:pPr>
        <w:spacing w:line="400" w:lineRule="exact"/>
        <w:rPr>
          <w:rFonts w:ascii="仿宋" w:hAnsi="仿宋" w:eastAsia="仿宋" w:cs="仿宋"/>
          <w:sz w:val="24"/>
          <w:highlight w:val="none"/>
        </w:rPr>
      </w:pPr>
    </w:p>
    <w:p w14:paraId="2C1F954B">
      <w:pPr>
        <w:pStyle w:val="15"/>
        <w:spacing w:line="360" w:lineRule="exact"/>
        <w:ind w:firstLine="420"/>
        <w:rPr>
          <w:rFonts w:ascii="仿宋" w:hAnsi="仿宋" w:eastAsia="仿宋" w:cs="仿宋"/>
          <w:sz w:val="24"/>
          <w:szCs w:val="24"/>
          <w:highlight w:val="none"/>
        </w:rPr>
      </w:pPr>
      <w:r>
        <w:rPr>
          <w:rFonts w:hint="eastAsia" w:ascii="仿宋" w:hAnsi="仿宋" w:eastAsia="仿宋" w:cs="仿宋"/>
          <w:sz w:val="24"/>
          <w:szCs w:val="24"/>
          <w:highlight w:val="none"/>
        </w:rPr>
        <w:t xml:space="preserve">根据贵方项目竞争性磋商文件，项目编号：，签字代表（姓名）经正式授权并代表供应商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供应商单位名称），提交电子响应文件。</w:t>
      </w:r>
    </w:p>
    <w:p w14:paraId="15BE76CA">
      <w:pPr>
        <w:pStyle w:val="15"/>
        <w:spacing w:line="360" w:lineRule="exact"/>
        <w:ind w:firstLine="420"/>
        <w:rPr>
          <w:rFonts w:ascii="仿宋" w:hAnsi="仿宋" w:eastAsia="仿宋" w:cs="仿宋"/>
          <w:sz w:val="24"/>
          <w:szCs w:val="24"/>
          <w:highlight w:val="none"/>
        </w:rPr>
      </w:pPr>
      <w:r>
        <w:rPr>
          <w:rFonts w:hint="eastAsia" w:ascii="仿宋" w:hAnsi="仿宋" w:eastAsia="仿宋" w:cs="仿宋"/>
          <w:sz w:val="24"/>
          <w:szCs w:val="24"/>
          <w:highlight w:val="none"/>
        </w:rPr>
        <w:t>据此函，签字代表宣布同意如下：</w:t>
      </w:r>
    </w:p>
    <w:p w14:paraId="2D68F215">
      <w:pPr>
        <w:pStyle w:val="15"/>
        <w:spacing w:line="360" w:lineRule="exact"/>
        <w:ind w:firstLine="420"/>
        <w:rPr>
          <w:rFonts w:ascii="仿宋" w:hAnsi="仿宋" w:eastAsia="仿宋" w:cs="仿宋"/>
          <w:sz w:val="24"/>
          <w:szCs w:val="24"/>
          <w:highlight w:val="none"/>
        </w:rPr>
      </w:pPr>
      <w:r>
        <w:rPr>
          <w:rFonts w:hint="eastAsia" w:ascii="仿宋" w:hAnsi="仿宋" w:eastAsia="仿宋" w:cs="仿宋"/>
          <w:sz w:val="24"/>
          <w:szCs w:val="24"/>
          <w:highlight w:val="none"/>
        </w:rPr>
        <w:t>1. 按磋商文件采购需求和磋商报价表：</w:t>
      </w:r>
    </w:p>
    <w:p w14:paraId="0FC1B136">
      <w:pPr>
        <w:pStyle w:val="15"/>
        <w:spacing w:line="360" w:lineRule="exact"/>
        <w:ind w:firstLine="420"/>
        <w:rPr>
          <w:rFonts w:ascii="仿宋" w:hAnsi="仿宋" w:eastAsia="仿宋" w:cs="仿宋"/>
          <w:sz w:val="24"/>
          <w:szCs w:val="24"/>
          <w:highlight w:val="none"/>
        </w:rPr>
      </w:pPr>
      <w:r>
        <w:rPr>
          <w:rFonts w:hint="eastAsia" w:ascii="仿宋" w:hAnsi="仿宋" w:eastAsia="仿宋" w:cs="仿宋"/>
          <w:sz w:val="24"/>
          <w:szCs w:val="24"/>
          <w:highlight w:val="none"/>
        </w:rPr>
        <w:t>磋商总报价（折扣率）%</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705632EA">
      <w:pPr>
        <w:pStyle w:val="15"/>
        <w:spacing w:line="360" w:lineRule="exact"/>
        <w:ind w:firstLine="420"/>
        <w:rPr>
          <w:rFonts w:ascii="仿宋" w:hAnsi="仿宋" w:eastAsia="仿宋" w:cs="仿宋"/>
          <w:sz w:val="24"/>
          <w:szCs w:val="24"/>
          <w:highlight w:val="none"/>
        </w:rPr>
      </w:pPr>
      <w:r>
        <w:rPr>
          <w:rFonts w:hint="eastAsia" w:ascii="仿宋" w:hAnsi="仿宋" w:eastAsia="仿宋" w:cs="仿宋"/>
          <w:sz w:val="24"/>
          <w:szCs w:val="24"/>
          <w:highlight w:val="none"/>
        </w:rPr>
        <w:t>2.我方承诺已具备磋商文件规定的供应商资格条件。</w:t>
      </w:r>
    </w:p>
    <w:p w14:paraId="703CA24A">
      <w:pPr>
        <w:pStyle w:val="15"/>
        <w:spacing w:line="360" w:lineRule="exact"/>
        <w:ind w:firstLine="420"/>
        <w:rPr>
          <w:rFonts w:ascii="仿宋" w:hAnsi="仿宋" w:eastAsia="仿宋" w:cs="仿宋"/>
          <w:sz w:val="24"/>
          <w:szCs w:val="24"/>
          <w:highlight w:val="none"/>
        </w:rPr>
      </w:pPr>
      <w:r>
        <w:rPr>
          <w:rFonts w:hint="eastAsia" w:ascii="仿宋" w:hAnsi="仿宋" w:eastAsia="仿宋" w:cs="仿宋"/>
          <w:sz w:val="24"/>
          <w:szCs w:val="24"/>
          <w:highlight w:val="none"/>
        </w:rPr>
        <w:t>3.我方已详细审核磋商文件，包括修改文件（如有的话）和有关附件，将自行承担因对全部磋商文件理解不正确或误解而产生的相应后果。</w:t>
      </w:r>
    </w:p>
    <w:p w14:paraId="7208A1D3">
      <w:pPr>
        <w:pStyle w:val="15"/>
        <w:spacing w:line="360" w:lineRule="exact"/>
        <w:ind w:firstLine="420"/>
        <w:rPr>
          <w:rFonts w:ascii="仿宋" w:hAnsi="仿宋" w:eastAsia="仿宋" w:cs="仿宋"/>
          <w:sz w:val="24"/>
          <w:szCs w:val="24"/>
          <w:highlight w:val="none"/>
        </w:rPr>
      </w:pPr>
      <w:r>
        <w:rPr>
          <w:rFonts w:hint="eastAsia" w:ascii="仿宋" w:hAnsi="仿宋" w:eastAsia="仿宋" w:cs="仿宋"/>
          <w:sz w:val="24"/>
          <w:szCs w:val="24"/>
          <w:highlight w:val="none"/>
        </w:rPr>
        <w:t>4. 响应文件有效期为响应文件递交截止时间之日起90天。</w:t>
      </w:r>
    </w:p>
    <w:p w14:paraId="31F0A48C">
      <w:pPr>
        <w:pStyle w:val="15"/>
        <w:spacing w:line="360" w:lineRule="exact"/>
        <w:ind w:firstLine="420"/>
        <w:rPr>
          <w:rFonts w:ascii="仿宋" w:hAnsi="仿宋" w:eastAsia="仿宋" w:cs="仿宋"/>
          <w:sz w:val="24"/>
          <w:szCs w:val="24"/>
          <w:highlight w:val="none"/>
        </w:rPr>
      </w:pPr>
      <w:r>
        <w:rPr>
          <w:rFonts w:hint="eastAsia" w:ascii="仿宋" w:hAnsi="仿宋" w:eastAsia="仿宋" w:cs="仿宋"/>
          <w:sz w:val="24"/>
          <w:szCs w:val="24"/>
          <w:highlight w:val="none"/>
        </w:rPr>
        <w:t>5. 如我方成交：</w:t>
      </w:r>
    </w:p>
    <w:p w14:paraId="1C9792DE">
      <w:pPr>
        <w:pStyle w:val="15"/>
        <w:spacing w:line="360" w:lineRule="exact"/>
        <w:ind w:firstLine="420"/>
        <w:rPr>
          <w:rFonts w:ascii="仿宋" w:hAnsi="仿宋" w:eastAsia="仿宋" w:cs="仿宋"/>
          <w:sz w:val="24"/>
          <w:szCs w:val="24"/>
          <w:highlight w:val="none"/>
        </w:rPr>
      </w:pPr>
      <w:r>
        <w:rPr>
          <w:rFonts w:hint="eastAsia" w:ascii="仿宋" w:hAnsi="仿宋" w:eastAsia="仿宋" w:cs="仿宋"/>
          <w:sz w:val="24"/>
          <w:szCs w:val="24"/>
          <w:highlight w:val="none"/>
        </w:rPr>
        <w:t>（1）我方承诺在收到成交通知书后，在成交通知书规定的期限内与采购人签订合同。</w:t>
      </w:r>
    </w:p>
    <w:p w14:paraId="56657139">
      <w:pPr>
        <w:pStyle w:val="15"/>
        <w:spacing w:line="360" w:lineRule="exact"/>
        <w:ind w:firstLine="420"/>
        <w:rPr>
          <w:rFonts w:ascii="仿宋" w:hAnsi="仿宋" w:eastAsia="仿宋" w:cs="仿宋"/>
          <w:sz w:val="24"/>
          <w:szCs w:val="24"/>
          <w:highlight w:val="none"/>
        </w:rPr>
      </w:pPr>
      <w:r>
        <w:rPr>
          <w:rFonts w:hint="eastAsia" w:ascii="仿宋" w:hAnsi="仿宋" w:eastAsia="仿宋" w:cs="仿宋"/>
          <w:sz w:val="24"/>
          <w:szCs w:val="24"/>
          <w:highlight w:val="none"/>
        </w:rPr>
        <w:t>（2）我方承诺按照磋商文件规定递交履约担保。</w:t>
      </w:r>
    </w:p>
    <w:p w14:paraId="5FF38D90">
      <w:pPr>
        <w:pStyle w:val="15"/>
        <w:spacing w:line="360" w:lineRule="exact"/>
        <w:ind w:firstLine="420"/>
        <w:rPr>
          <w:rFonts w:ascii="仿宋" w:hAnsi="仿宋" w:eastAsia="仿宋" w:cs="仿宋"/>
          <w:sz w:val="24"/>
          <w:szCs w:val="24"/>
          <w:highlight w:val="none"/>
        </w:rPr>
      </w:pPr>
      <w:r>
        <w:rPr>
          <w:rFonts w:hint="eastAsia" w:ascii="仿宋" w:hAnsi="仿宋" w:eastAsia="仿宋" w:cs="仿宋"/>
          <w:sz w:val="24"/>
          <w:szCs w:val="24"/>
          <w:highlight w:val="none"/>
        </w:rPr>
        <w:t>（3）我方承诺本响应文件至本项目合同履行完毕止均保持有效，按磋商文件及政府采购法律、法规的规定履行合同责任和义务。</w:t>
      </w:r>
    </w:p>
    <w:p w14:paraId="2CBDBD66">
      <w:pPr>
        <w:pStyle w:val="15"/>
        <w:spacing w:line="360" w:lineRule="exact"/>
        <w:ind w:firstLine="420"/>
        <w:rPr>
          <w:rFonts w:ascii="仿宋" w:hAnsi="仿宋" w:eastAsia="仿宋" w:cs="仿宋"/>
          <w:sz w:val="24"/>
          <w:szCs w:val="24"/>
          <w:highlight w:val="none"/>
        </w:rPr>
      </w:pPr>
      <w:r>
        <w:rPr>
          <w:rFonts w:hint="eastAsia" w:ascii="仿宋" w:hAnsi="仿宋" w:eastAsia="仿宋" w:cs="仿宋"/>
          <w:sz w:val="24"/>
          <w:szCs w:val="24"/>
          <w:highlight w:val="none"/>
        </w:rPr>
        <w:t>与本项目有关的正式通讯地址为：</w:t>
      </w:r>
    </w:p>
    <w:p w14:paraId="1FEB6F73">
      <w:pPr>
        <w:rPr>
          <w:rFonts w:ascii="仿宋" w:hAnsi="仿宋" w:eastAsia="仿宋" w:cs="仿宋"/>
          <w:sz w:val="24"/>
          <w:highlight w:val="none"/>
        </w:rPr>
      </w:pPr>
    </w:p>
    <w:p w14:paraId="3679F0B4">
      <w:pPr>
        <w:pStyle w:val="15"/>
        <w:spacing w:line="320" w:lineRule="exact"/>
        <w:ind w:firstLine="420"/>
        <w:rPr>
          <w:rFonts w:ascii="仿宋" w:hAnsi="仿宋" w:eastAsia="仿宋" w:cs="仿宋"/>
          <w:sz w:val="24"/>
          <w:szCs w:val="24"/>
          <w:highlight w:val="none"/>
          <w:u w:val="single"/>
        </w:rPr>
      </w:pPr>
      <w:r>
        <w:rPr>
          <w:rFonts w:hint="eastAsia" w:ascii="仿宋" w:hAnsi="仿宋" w:eastAsia="仿宋" w:cs="仿宋"/>
          <w:sz w:val="24"/>
          <w:szCs w:val="24"/>
          <w:highlight w:val="none"/>
        </w:rPr>
        <w:t>地址： 邮编：  电话、传真：</w:t>
      </w:r>
    </w:p>
    <w:p w14:paraId="3669099B">
      <w:pPr>
        <w:pStyle w:val="15"/>
        <w:spacing w:line="320" w:lineRule="exact"/>
        <w:ind w:firstLine="420"/>
        <w:rPr>
          <w:rFonts w:ascii="仿宋" w:hAnsi="仿宋" w:eastAsia="仿宋" w:cs="仿宋"/>
          <w:sz w:val="24"/>
          <w:szCs w:val="24"/>
          <w:highlight w:val="none"/>
        </w:rPr>
      </w:pPr>
      <w:r>
        <w:rPr>
          <w:rFonts w:hint="eastAsia" w:ascii="仿宋" w:hAnsi="仿宋" w:eastAsia="仿宋" w:cs="仿宋"/>
          <w:sz w:val="24"/>
          <w:szCs w:val="24"/>
          <w:highlight w:val="none"/>
        </w:rPr>
        <w:t>开户名称：</w:t>
      </w:r>
    </w:p>
    <w:p w14:paraId="3F81E3E4">
      <w:pPr>
        <w:pStyle w:val="15"/>
        <w:spacing w:line="320" w:lineRule="exact"/>
        <w:ind w:firstLine="420"/>
        <w:rPr>
          <w:rFonts w:ascii="仿宋" w:hAnsi="仿宋" w:eastAsia="仿宋" w:cs="仿宋"/>
          <w:sz w:val="24"/>
          <w:szCs w:val="24"/>
          <w:highlight w:val="none"/>
        </w:rPr>
      </w:pPr>
      <w:r>
        <w:rPr>
          <w:rFonts w:hint="eastAsia" w:ascii="仿宋" w:hAnsi="仿宋" w:eastAsia="仿宋" w:cs="仿宋"/>
          <w:sz w:val="24"/>
          <w:szCs w:val="24"/>
          <w:highlight w:val="none"/>
        </w:rPr>
        <w:t>开户银行：</w:t>
      </w:r>
      <w:r>
        <w:rPr>
          <w:rFonts w:hint="eastAsia" w:ascii="仿宋" w:hAnsi="仿宋" w:eastAsia="仿宋" w:cs="仿宋"/>
          <w:sz w:val="24"/>
          <w:szCs w:val="24"/>
          <w:highlight w:val="none"/>
          <w:u w:val="single"/>
        </w:rPr>
        <w:t xml:space="preserve">                               　       </w:t>
      </w:r>
    </w:p>
    <w:p w14:paraId="119F4AA2">
      <w:pPr>
        <w:pStyle w:val="15"/>
        <w:spacing w:line="320" w:lineRule="exact"/>
        <w:ind w:firstLine="420"/>
        <w:rPr>
          <w:rFonts w:ascii="仿宋" w:hAnsi="仿宋" w:eastAsia="仿宋" w:cs="仿宋"/>
          <w:sz w:val="24"/>
          <w:szCs w:val="24"/>
          <w:highlight w:val="none"/>
        </w:rPr>
      </w:pPr>
      <w:r>
        <w:rPr>
          <w:rFonts w:hint="eastAsia" w:ascii="仿宋" w:hAnsi="仿宋" w:eastAsia="仿宋" w:cs="仿宋"/>
          <w:sz w:val="24"/>
          <w:szCs w:val="24"/>
          <w:highlight w:val="none"/>
        </w:rPr>
        <w:t>账号：</w:t>
      </w:r>
      <w:r>
        <w:rPr>
          <w:rFonts w:hint="eastAsia" w:ascii="仿宋" w:hAnsi="仿宋" w:eastAsia="仿宋" w:cs="仿宋"/>
          <w:sz w:val="24"/>
          <w:szCs w:val="24"/>
          <w:highlight w:val="none"/>
          <w:u w:val="single"/>
        </w:rPr>
        <w:t xml:space="preserve">                                   　　　   </w:t>
      </w:r>
    </w:p>
    <w:p w14:paraId="13A6B545">
      <w:pPr>
        <w:pStyle w:val="15"/>
        <w:spacing w:line="320" w:lineRule="exact"/>
        <w:ind w:firstLine="420"/>
        <w:rPr>
          <w:rFonts w:ascii="仿宋" w:hAnsi="仿宋" w:eastAsia="仿宋" w:cs="仿宋"/>
          <w:bCs/>
          <w:sz w:val="24"/>
          <w:szCs w:val="24"/>
          <w:highlight w:val="none"/>
          <w:u w:val="single"/>
        </w:rPr>
      </w:pPr>
      <w:r>
        <w:rPr>
          <w:rFonts w:hint="eastAsia" w:ascii="仿宋" w:hAnsi="仿宋" w:eastAsia="仿宋" w:cs="仿宋"/>
          <w:bCs/>
          <w:sz w:val="24"/>
          <w:szCs w:val="24"/>
          <w:highlight w:val="none"/>
        </w:rPr>
        <w:t>供应商[公章(CA签章)、自然人除外]：</w:t>
      </w:r>
    </w:p>
    <w:p w14:paraId="53BB083B">
      <w:pPr>
        <w:pStyle w:val="15"/>
        <w:spacing w:line="320" w:lineRule="exact"/>
        <w:ind w:firstLine="420"/>
        <w:rPr>
          <w:rFonts w:ascii="仿宋" w:hAnsi="仿宋" w:eastAsia="仿宋" w:cs="仿宋"/>
          <w:sz w:val="24"/>
          <w:szCs w:val="24"/>
          <w:highlight w:val="none"/>
          <w:u w:val="single"/>
        </w:rPr>
      </w:pPr>
      <w:r>
        <w:rPr>
          <w:rFonts w:hint="eastAsia" w:ascii="仿宋" w:hAnsi="仿宋" w:eastAsia="仿宋" w:cs="仿宋"/>
          <w:sz w:val="24"/>
          <w:szCs w:val="24"/>
          <w:highlight w:val="none"/>
        </w:rPr>
        <w:t>法定代表人、负责人、自然人或相应的委托代理人签字[或盖章(CA签章)]（属自然人的应在签名处加盖大拇指指印或个人CA签章）：</w:t>
      </w:r>
    </w:p>
    <w:p w14:paraId="719A9A20">
      <w:pPr>
        <w:pStyle w:val="15"/>
        <w:spacing w:line="320" w:lineRule="exact"/>
        <w:ind w:firstLine="420"/>
        <w:rPr>
          <w:rFonts w:ascii="仿宋" w:hAnsi="仿宋" w:eastAsia="仿宋" w:cs="仿宋"/>
          <w:sz w:val="24"/>
          <w:szCs w:val="24"/>
          <w:highlight w:val="none"/>
          <w:u w:val="single"/>
        </w:rPr>
      </w:pPr>
      <w:r>
        <w:rPr>
          <w:rFonts w:hint="eastAsia" w:ascii="仿宋" w:hAnsi="仿宋" w:eastAsia="仿宋" w:cs="仿宋"/>
          <w:bCs/>
          <w:sz w:val="24"/>
          <w:szCs w:val="24"/>
          <w:highlight w:val="none"/>
        </w:rPr>
        <w:t>响应</w:t>
      </w:r>
      <w:r>
        <w:rPr>
          <w:rFonts w:hint="eastAsia" w:ascii="仿宋" w:hAnsi="仿宋" w:eastAsia="仿宋" w:cs="仿宋"/>
          <w:sz w:val="24"/>
          <w:szCs w:val="24"/>
          <w:highlight w:val="none"/>
        </w:rPr>
        <w:t>日期：</w:t>
      </w:r>
    </w:p>
    <w:p w14:paraId="60B17D3B">
      <w:pPr>
        <w:pStyle w:val="7"/>
        <w:rPr>
          <w:rFonts w:ascii="仿宋" w:hAnsi="仿宋" w:eastAsia="仿宋" w:cs="仿宋"/>
          <w:sz w:val="24"/>
          <w:highlight w:val="none"/>
          <w:u w:val="single"/>
        </w:rPr>
      </w:pPr>
    </w:p>
    <w:p w14:paraId="37AFD409">
      <w:pPr>
        <w:rPr>
          <w:rFonts w:ascii="仿宋" w:hAnsi="仿宋" w:eastAsia="仿宋" w:cs="仿宋"/>
          <w:szCs w:val="21"/>
          <w:highlight w:val="none"/>
          <w:u w:val="single"/>
        </w:rPr>
      </w:pPr>
    </w:p>
    <w:p w14:paraId="54980904">
      <w:pPr>
        <w:pStyle w:val="3"/>
        <w:rPr>
          <w:rFonts w:ascii="仿宋" w:hAnsi="仿宋" w:eastAsia="仿宋" w:cs="仿宋"/>
          <w:color w:val="auto"/>
          <w:sz w:val="21"/>
          <w:szCs w:val="21"/>
          <w:highlight w:val="none"/>
          <w:u w:val="single"/>
        </w:rPr>
      </w:pPr>
    </w:p>
    <w:p w14:paraId="7C5F757B">
      <w:pPr>
        <w:rPr>
          <w:rFonts w:ascii="仿宋" w:hAnsi="仿宋" w:eastAsia="仿宋" w:cs="仿宋"/>
          <w:szCs w:val="21"/>
          <w:highlight w:val="none"/>
          <w:u w:val="single"/>
        </w:rPr>
      </w:pPr>
    </w:p>
    <w:p w14:paraId="17CF4A91">
      <w:pPr>
        <w:pStyle w:val="15"/>
        <w:spacing w:line="340" w:lineRule="exact"/>
        <w:rPr>
          <w:rFonts w:ascii="仿宋" w:hAnsi="仿宋" w:eastAsia="仿宋" w:cs="仿宋"/>
          <w:b/>
          <w:sz w:val="28"/>
          <w:szCs w:val="28"/>
          <w:highlight w:val="none"/>
        </w:rPr>
      </w:pPr>
    </w:p>
    <w:p w14:paraId="7B01F894">
      <w:pPr>
        <w:pStyle w:val="7"/>
        <w:rPr>
          <w:rFonts w:ascii="仿宋" w:hAnsi="仿宋" w:eastAsia="仿宋" w:cs="仿宋"/>
          <w:highlight w:val="none"/>
        </w:rPr>
      </w:pPr>
    </w:p>
    <w:p w14:paraId="1077A92D">
      <w:pPr>
        <w:pStyle w:val="15"/>
        <w:spacing w:line="340" w:lineRule="exact"/>
        <w:rPr>
          <w:rFonts w:ascii="仿宋" w:hAnsi="仿宋" w:eastAsia="仿宋" w:cs="仿宋"/>
          <w:b/>
          <w:sz w:val="28"/>
          <w:szCs w:val="28"/>
          <w:highlight w:val="none"/>
        </w:rPr>
      </w:pPr>
    </w:p>
    <w:p w14:paraId="0539F7F5">
      <w:pPr>
        <w:pStyle w:val="15"/>
        <w:spacing w:line="340" w:lineRule="exact"/>
        <w:rPr>
          <w:rFonts w:ascii="仿宋" w:hAnsi="仿宋" w:eastAsia="仿宋" w:cs="仿宋"/>
          <w:highlight w:val="none"/>
        </w:rPr>
      </w:pPr>
      <w:r>
        <w:rPr>
          <w:rFonts w:hint="eastAsia" w:ascii="仿宋" w:hAnsi="仿宋" w:eastAsia="仿宋" w:cs="仿宋"/>
          <w:b/>
          <w:sz w:val="28"/>
          <w:szCs w:val="28"/>
          <w:highlight w:val="none"/>
        </w:rPr>
        <w:t>2. 磋商报价表（必须提供）；</w:t>
      </w:r>
    </w:p>
    <w:p w14:paraId="23227C05">
      <w:pPr>
        <w:pStyle w:val="15"/>
        <w:spacing w:line="320" w:lineRule="exact"/>
        <w:jc w:val="left"/>
        <w:rPr>
          <w:rFonts w:ascii="仿宋" w:hAnsi="仿宋" w:eastAsia="仿宋" w:cs="仿宋"/>
          <w:b/>
          <w:sz w:val="28"/>
          <w:szCs w:val="28"/>
          <w:highlight w:val="none"/>
        </w:rPr>
      </w:pPr>
    </w:p>
    <w:p w14:paraId="2100BEBC">
      <w:pPr>
        <w:pStyle w:val="7"/>
        <w:ind w:left="0"/>
        <w:rPr>
          <w:rFonts w:ascii="仿宋" w:hAnsi="仿宋" w:eastAsia="仿宋" w:cs="仿宋"/>
          <w:color w:val="000000"/>
          <w:highlight w:val="none"/>
        </w:rPr>
      </w:pPr>
      <w:r>
        <w:rPr>
          <w:rFonts w:hint="eastAsia" w:ascii="仿宋" w:hAnsi="仿宋" w:eastAsia="仿宋" w:cs="仿宋"/>
          <w:b/>
          <w:bCs/>
          <w:color w:val="000000"/>
          <w:sz w:val="30"/>
          <w:szCs w:val="30"/>
          <w:highlight w:val="none"/>
        </w:rPr>
        <w:t>附件：</w:t>
      </w:r>
    </w:p>
    <w:p w14:paraId="5F4C73AD">
      <w:pPr>
        <w:spacing w:line="340" w:lineRule="exact"/>
        <w:jc w:val="center"/>
        <w:rPr>
          <w:rFonts w:hAnsi="宋体"/>
          <w:b/>
          <w:color w:val="000000"/>
          <w:sz w:val="32"/>
          <w:szCs w:val="32"/>
          <w:highlight w:val="none"/>
        </w:rPr>
      </w:pPr>
      <w:r>
        <w:rPr>
          <w:rFonts w:hint="eastAsia" w:ascii="宋体" w:hAnsi="宋体"/>
          <w:b/>
          <w:color w:val="000000"/>
          <w:sz w:val="32"/>
          <w:szCs w:val="32"/>
          <w:highlight w:val="none"/>
        </w:rPr>
        <w:t>磋商报价表（格式）</w:t>
      </w:r>
    </w:p>
    <w:p w14:paraId="3E1530AB">
      <w:pPr>
        <w:spacing w:line="240" w:lineRule="exact"/>
        <w:jc w:val="center"/>
        <w:rPr>
          <w:rFonts w:ascii="宋体" w:hAnsi="宋体"/>
          <w:color w:val="000000"/>
          <w:sz w:val="32"/>
          <w:szCs w:val="32"/>
          <w:highlight w:val="none"/>
        </w:rPr>
      </w:pPr>
    </w:p>
    <w:p w14:paraId="11573FEE">
      <w:pPr>
        <w:spacing w:line="400" w:lineRule="exact"/>
        <w:rPr>
          <w:rFonts w:ascii="宋体" w:hAnsi="宋体"/>
          <w:color w:val="000000"/>
          <w:szCs w:val="21"/>
          <w:highlight w:val="none"/>
        </w:rPr>
      </w:pPr>
      <w:r>
        <w:rPr>
          <w:rFonts w:hint="eastAsia" w:ascii="宋体" w:hAnsi="宋体"/>
          <w:color w:val="000000"/>
          <w:highlight w:val="none"/>
        </w:rPr>
        <w:t>致：桂林市雁山区后勤服务中心</w:t>
      </w:r>
    </w:p>
    <w:p w14:paraId="059D8733">
      <w:pPr>
        <w:pStyle w:val="15"/>
        <w:spacing w:line="360" w:lineRule="exact"/>
        <w:ind w:firstLine="420"/>
        <w:rPr>
          <w:rFonts w:hAnsi="宋体"/>
          <w:color w:val="000000"/>
          <w:highlight w:val="none"/>
        </w:rPr>
      </w:pPr>
      <w:r>
        <w:rPr>
          <w:rFonts w:hint="eastAsia" w:hAnsi="宋体"/>
          <w:color w:val="000000"/>
          <w:highlight w:val="none"/>
        </w:rPr>
        <w:t>根据贵方项目磋商文件，项目编号，签字代表</w:t>
      </w:r>
      <w:r>
        <w:rPr>
          <w:rFonts w:hint="eastAsia" w:hAnsi="宋体"/>
          <w:color w:val="000000"/>
          <w:highlight w:val="none"/>
          <w:u w:val="single"/>
        </w:rPr>
        <w:t>（姓名）</w:t>
      </w:r>
      <w:r>
        <w:rPr>
          <w:rFonts w:hint="eastAsia" w:hAnsi="宋体"/>
          <w:color w:val="000000"/>
          <w:highlight w:val="none"/>
        </w:rPr>
        <w:t>经正式授权并代表供应商</w:t>
      </w:r>
      <w:r>
        <w:rPr>
          <w:rFonts w:hint="eastAsia" w:hAnsi="宋体"/>
          <w:color w:val="000000"/>
          <w:highlight w:val="none"/>
          <w:u w:val="single"/>
        </w:rPr>
        <w:t xml:space="preserve">                                   （</w:t>
      </w:r>
      <w:r>
        <w:rPr>
          <w:rFonts w:hint="eastAsia" w:hAnsi="宋体"/>
          <w:color w:val="000000"/>
          <w:highlight w:val="none"/>
        </w:rPr>
        <w:t>供应商单位名称），并做出如下报价：</w:t>
      </w:r>
    </w:p>
    <w:tbl>
      <w:tblPr>
        <w:tblStyle w:val="2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6"/>
        <w:gridCol w:w="2280"/>
        <w:gridCol w:w="2525"/>
        <w:gridCol w:w="1012"/>
        <w:gridCol w:w="775"/>
        <w:gridCol w:w="2800"/>
      </w:tblGrid>
      <w:tr w14:paraId="52438B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426" w:type="dxa"/>
            <w:tcBorders>
              <w:top w:val="single" w:color="auto" w:sz="4" w:space="0"/>
              <w:left w:val="single" w:color="auto" w:sz="4" w:space="0"/>
              <w:bottom w:val="single" w:color="auto" w:sz="4" w:space="0"/>
              <w:right w:val="single" w:color="auto" w:sz="4" w:space="0"/>
            </w:tcBorders>
            <w:vAlign w:val="center"/>
          </w:tcPr>
          <w:p w14:paraId="27693A72">
            <w:pPr>
              <w:spacing w:line="300" w:lineRule="exact"/>
              <w:jc w:val="center"/>
              <w:rPr>
                <w:rFonts w:ascii="宋体" w:hAnsi="宋体"/>
                <w:szCs w:val="21"/>
                <w:highlight w:val="none"/>
              </w:rPr>
            </w:pPr>
            <w:r>
              <w:rPr>
                <w:rFonts w:hint="eastAsia" w:ascii="宋体" w:hAnsi="宋体"/>
                <w:highlight w:val="none"/>
              </w:rPr>
              <w:t>序号</w:t>
            </w:r>
          </w:p>
        </w:tc>
        <w:tc>
          <w:tcPr>
            <w:tcW w:w="2280" w:type="dxa"/>
            <w:tcBorders>
              <w:top w:val="single" w:color="auto" w:sz="4" w:space="0"/>
              <w:left w:val="nil"/>
              <w:bottom w:val="single" w:color="auto" w:sz="4" w:space="0"/>
              <w:right w:val="single" w:color="auto" w:sz="4" w:space="0"/>
            </w:tcBorders>
            <w:vAlign w:val="center"/>
          </w:tcPr>
          <w:p w14:paraId="658AC262">
            <w:pPr>
              <w:spacing w:line="280" w:lineRule="exact"/>
              <w:jc w:val="center"/>
              <w:rPr>
                <w:rFonts w:ascii="宋体" w:hAnsi="宋体"/>
                <w:szCs w:val="21"/>
                <w:highlight w:val="none"/>
              </w:rPr>
            </w:pPr>
            <w:r>
              <w:rPr>
                <w:rFonts w:hint="eastAsia" w:ascii="宋体" w:hAnsi="宋体"/>
                <w:highlight w:val="none"/>
              </w:rPr>
              <w:t>项目名称</w:t>
            </w:r>
          </w:p>
        </w:tc>
        <w:tc>
          <w:tcPr>
            <w:tcW w:w="2525" w:type="dxa"/>
            <w:tcBorders>
              <w:top w:val="single" w:color="auto" w:sz="4" w:space="0"/>
              <w:left w:val="nil"/>
              <w:bottom w:val="single" w:color="auto" w:sz="4" w:space="0"/>
              <w:right w:val="single" w:color="auto" w:sz="4" w:space="0"/>
            </w:tcBorders>
            <w:vAlign w:val="center"/>
          </w:tcPr>
          <w:p w14:paraId="21BAAD68">
            <w:pPr>
              <w:spacing w:line="280" w:lineRule="exact"/>
              <w:jc w:val="center"/>
              <w:rPr>
                <w:rFonts w:ascii="宋体" w:hAnsi="宋体"/>
                <w:szCs w:val="21"/>
                <w:highlight w:val="none"/>
              </w:rPr>
            </w:pPr>
            <w:r>
              <w:rPr>
                <w:rFonts w:hint="eastAsia" w:ascii="宋体" w:hAnsi="宋体"/>
                <w:highlight w:val="none"/>
              </w:rPr>
              <w:t>服务内容和承诺</w:t>
            </w:r>
          </w:p>
        </w:tc>
        <w:tc>
          <w:tcPr>
            <w:tcW w:w="1012" w:type="dxa"/>
            <w:tcBorders>
              <w:top w:val="single" w:color="auto" w:sz="4" w:space="0"/>
              <w:left w:val="nil"/>
              <w:bottom w:val="single" w:color="auto" w:sz="4" w:space="0"/>
              <w:right w:val="single" w:color="auto" w:sz="4" w:space="0"/>
            </w:tcBorders>
            <w:vAlign w:val="center"/>
          </w:tcPr>
          <w:p w14:paraId="06925A03">
            <w:pPr>
              <w:spacing w:line="280" w:lineRule="exact"/>
              <w:jc w:val="center"/>
              <w:rPr>
                <w:rFonts w:ascii="宋体" w:hAnsi="宋体"/>
                <w:szCs w:val="21"/>
                <w:highlight w:val="none"/>
              </w:rPr>
            </w:pPr>
            <w:r>
              <w:rPr>
                <w:rFonts w:hint="eastAsia" w:ascii="宋体" w:hAnsi="宋体"/>
                <w:highlight w:val="none"/>
              </w:rPr>
              <w:t>数量</w:t>
            </w:r>
          </w:p>
        </w:tc>
        <w:tc>
          <w:tcPr>
            <w:tcW w:w="775" w:type="dxa"/>
            <w:tcBorders>
              <w:top w:val="single" w:color="auto" w:sz="4" w:space="0"/>
              <w:left w:val="nil"/>
              <w:bottom w:val="single" w:color="auto" w:sz="4" w:space="0"/>
              <w:right w:val="single" w:color="auto" w:sz="4" w:space="0"/>
            </w:tcBorders>
            <w:vAlign w:val="center"/>
          </w:tcPr>
          <w:p w14:paraId="1C43BEEE">
            <w:pPr>
              <w:spacing w:line="280" w:lineRule="exact"/>
              <w:jc w:val="center"/>
              <w:rPr>
                <w:rFonts w:ascii="宋体" w:hAnsi="宋体"/>
                <w:szCs w:val="21"/>
                <w:highlight w:val="none"/>
              </w:rPr>
            </w:pPr>
            <w:r>
              <w:rPr>
                <w:rFonts w:hint="eastAsia" w:ascii="宋体" w:hAnsi="宋体"/>
                <w:highlight w:val="none"/>
              </w:rPr>
              <w:t>单位</w:t>
            </w:r>
          </w:p>
        </w:tc>
        <w:tc>
          <w:tcPr>
            <w:tcW w:w="2800" w:type="dxa"/>
            <w:tcBorders>
              <w:top w:val="single" w:color="auto" w:sz="4" w:space="0"/>
              <w:left w:val="nil"/>
              <w:bottom w:val="single" w:color="auto" w:sz="4" w:space="0"/>
              <w:right w:val="single" w:color="auto" w:sz="4" w:space="0"/>
            </w:tcBorders>
            <w:vAlign w:val="center"/>
          </w:tcPr>
          <w:p w14:paraId="411936C1">
            <w:pPr>
              <w:spacing w:line="300" w:lineRule="exact"/>
              <w:jc w:val="center"/>
              <w:rPr>
                <w:rFonts w:ascii="宋体" w:hAnsi="宋体"/>
                <w:szCs w:val="21"/>
                <w:highlight w:val="none"/>
              </w:rPr>
            </w:pPr>
            <w:r>
              <w:rPr>
                <w:rFonts w:hint="eastAsia" w:ascii="宋体" w:hAnsi="宋体"/>
                <w:highlight w:val="none"/>
              </w:rPr>
              <w:t>投标报价%</w:t>
            </w:r>
          </w:p>
        </w:tc>
      </w:tr>
      <w:tr w14:paraId="7B62B1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24" w:hRule="atLeast"/>
        </w:trPr>
        <w:tc>
          <w:tcPr>
            <w:tcW w:w="426" w:type="dxa"/>
            <w:tcBorders>
              <w:top w:val="single" w:color="auto" w:sz="4" w:space="0"/>
              <w:left w:val="single" w:color="auto" w:sz="4" w:space="0"/>
              <w:bottom w:val="single" w:color="auto" w:sz="4" w:space="0"/>
              <w:right w:val="single" w:color="auto" w:sz="4" w:space="0"/>
            </w:tcBorders>
            <w:vAlign w:val="center"/>
          </w:tcPr>
          <w:p w14:paraId="321C23D9">
            <w:pPr>
              <w:jc w:val="center"/>
              <w:rPr>
                <w:rFonts w:ascii="宋体" w:hAnsi="宋体"/>
                <w:szCs w:val="21"/>
                <w:highlight w:val="none"/>
              </w:rPr>
            </w:pPr>
            <w:r>
              <w:rPr>
                <w:rFonts w:hint="eastAsia" w:ascii="宋体" w:hAnsi="宋体"/>
                <w:highlight w:val="none"/>
              </w:rPr>
              <w:t>1</w:t>
            </w:r>
          </w:p>
        </w:tc>
        <w:tc>
          <w:tcPr>
            <w:tcW w:w="2280" w:type="dxa"/>
            <w:tcBorders>
              <w:top w:val="single" w:color="auto" w:sz="4" w:space="0"/>
              <w:left w:val="nil"/>
              <w:bottom w:val="single" w:color="auto" w:sz="4" w:space="0"/>
              <w:right w:val="single" w:color="auto" w:sz="4" w:space="0"/>
            </w:tcBorders>
            <w:vAlign w:val="center"/>
          </w:tcPr>
          <w:p w14:paraId="429E9B85">
            <w:pPr>
              <w:spacing w:line="300" w:lineRule="exact"/>
              <w:jc w:val="center"/>
              <w:rPr>
                <w:rFonts w:ascii="宋体" w:hAnsi="宋体"/>
                <w:szCs w:val="21"/>
                <w:highlight w:val="none"/>
              </w:rPr>
            </w:pPr>
            <w:r>
              <w:rPr>
                <w:rFonts w:hint="eastAsia" w:ascii="宋体" w:hAnsi="宋体"/>
                <w:szCs w:val="21"/>
                <w:highlight w:val="none"/>
              </w:rPr>
              <w:t>雁山区金雁餐厅货物采购配送服务</w:t>
            </w:r>
          </w:p>
        </w:tc>
        <w:tc>
          <w:tcPr>
            <w:tcW w:w="2525" w:type="dxa"/>
            <w:tcBorders>
              <w:top w:val="single" w:color="auto" w:sz="4" w:space="0"/>
              <w:left w:val="nil"/>
              <w:bottom w:val="single" w:color="auto" w:sz="4" w:space="0"/>
              <w:right w:val="single" w:color="auto" w:sz="4" w:space="0"/>
            </w:tcBorders>
            <w:vAlign w:val="center"/>
          </w:tcPr>
          <w:p w14:paraId="257B5E81">
            <w:pPr>
              <w:spacing w:line="300" w:lineRule="exact"/>
              <w:jc w:val="center"/>
              <w:rPr>
                <w:rFonts w:ascii="宋体" w:hAnsi="宋体"/>
                <w:szCs w:val="21"/>
                <w:highlight w:val="none"/>
              </w:rPr>
            </w:pPr>
            <w:r>
              <w:rPr>
                <w:rFonts w:hint="eastAsia" w:ascii="宋体" w:hAnsi="宋体"/>
                <w:highlight w:val="none"/>
              </w:rPr>
              <w:t>完全响应招标文件中第三章《采购需求》并严格按照执行</w:t>
            </w:r>
          </w:p>
        </w:tc>
        <w:tc>
          <w:tcPr>
            <w:tcW w:w="1012" w:type="dxa"/>
            <w:tcBorders>
              <w:top w:val="single" w:color="auto" w:sz="4" w:space="0"/>
              <w:left w:val="nil"/>
              <w:bottom w:val="single" w:color="auto" w:sz="4" w:space="0"/>
              <w:right w:val="single" w:color="auto" w:sz="4" w:space="0"/>
            </w:tcBorders>
            <w:vAlign w:val="center"/>
          </w:tcPr>
          <w:p w14:paraId="47DE92C4">
            <w:pPr>
              <w:spacing w:line="300" w:lineRule="exact"/>
              <w:jc w:val="center"/>
              <w:rPr>
                <w:rFonts w:ascii="宋体" w:hAnsi="宋体"/>
                <w:szCs w:val="21"/>
                <w:highlight w:val="none"/>
              </w:rPr>
            </w:pPr>
            <w:r>
              <w:rPr>
                <w:rFonts w:hint="eastAsia" w:ascii="宋体" w:hAnsi="宋体"/>
                <w:highlight w:val="none"/>
              </w:rPr>
              <w:t>1</w:t>
            </w:r>
          </w:p>
        </w:tc>
        <w:tc>
          <w:tcPr>
            <w:tcW w:w="775" w:type="dxa"/>
            <w:tcBorders>
              <w:top w:val="single" w:color="auto" w:sz="4" w:space="0"/>
              <w:left w:val="nil"/>
              <w:bottom w:val="single" w:color="auto" w:sz="4" w:space="0"/>
              <w:right w:val="single" w:color="auto" w:sz="4" w:space="0"/>
            </w:tcBorders>
            <w:vAlign w:val="center"/>
          </w:tcPr>
          <w:p w14:paraId="64B51019">
            <w:pPr>
              <w:spacing w:line="300" w:lineRule="exact"/>
              <w:jc w:val="center"/>
              <w:rPr>
                <w:rFonts w:ascii="宋体" w:hAnsi="宋体"/>
                <w:szCs w:val="21"/>
                <w:highlight w:val="none"/>
              </w:rPr>
            </w:pPr>
            <w:r>
              <w:rPr>
                <w:rFonts w:hint="eastAsia" w:ascii="宋体" w:hAnsi="宋体"/>
                <w:highlight w:val="none"/>
              </w:rPr>
              <w:t>项</w:t>
            </w:r>
          </w:p>
        </w:tc>
        <w:tc>
          <w:tcPr>
            <w:tcW w:w="2800" w:type="dxa"/>
            <w:tcBorders>
              <w:top w:val="single" w:color="auto" w:sz="4" w:space="0"/>
              <w:left w:val="nil"/>
              <w:bottom w:val="single" w:color="auto" w:sz="4" w:space="0"/>
              <w:right w:val="single" w:color="auto" w:sz="4" w:space="0"/>
            </w:tcBorders>
            <w:vAlign w:val="center"/>
          </w:tcPr>
          <w:p w14:paraId="4BD2CA34">
            <w:pPr>
              <w:spacing w:line="300" w:lineRule="exact"/>
              <w:jc w:val="center"/>
              <w:rPr>
                <w:rFonts w:ascii="宋体" w:hAnsi="宋体"/>
                <w:b/>
                <w:bCs/>
                <w:szCs w:val="21"/>
                <w:highlight w:val="none"/>
              </w:rPr>
            </w:pPr>
            <w:r>
              <w:rPr>
                <w:rFonts w:hint="eastAsia" w:ascii="宋体" w:hAnsi="宋体"/>
                <w:b/>
                <w:highlight w:val="none"/>
              </w:rPr>
              <w:t>折扣率为</w:t>
            </w:r>
            <w:r>
              <w:rPr>
                <w:rFonts w:hint="eastAsia"/>
                <w:b/>
                <w:highlight w:val="none"/>
              </w:rPr>
              <w:t xml:space="preserve"> %</w:t>
            </w:r>
          </w:p>
        </w:tc>
      </w:tr>
      <w:tr w14:paraId="37A11D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2" w:hRule="atLeast"/>
        </w:trPr>
        <w:tc>
          <w:tcPr>
            <w:tcW w:w="9818" w:type="dxa"/>
            <w:gridSpan w:val="6"/>
            <w:tcBorders>
              <w:top w:val="single" w:color="auto" w:sz="4" w:space="0"/>
              <w:left w:val="single" w:color="auto" w:sz="4" w:space="0"/>
              <w:bottom w:val="single" w:color="auto" w:sz="4" w:space="0"/>
              <w:right w:val="single" w:color="auto" w:sz="4" w:space="0"/>
            </w:tcBorders>
            <w:vAlign w:val="center"/>
          </w:tcPr>
          <w:p w14:paraId="68B6827B">
            <w:pPr>
              <w:spacing w:line="360" w:lineRule="auto"/>
              <w:rPr>
                <w:rFonts w:hint="eastAsia" w:ascii="宋体" w:hAnsi="宋体" w:eastAsia="仿宋"/>
                <w:szCs w:val="21"/>
                <w:highlight w:val="none"/>
                <w:u w:val="single"/>
                <w:lang w:eastAsia="zh-CN"/>
              </w:rPr>
            </w:pPr>
            <w:r>
              <w:rPr>
                <w:rFonts w:hint="eastAsia" w:ascii="宋体" w:hAnsi="宋体"/>
                <w:bCs/>
                <w:highlight w:val="none"/>
              </w:rPr>
              <w:t>合同服务期：</w:t>
            </w:r>
            <w:r>
              <w:rPr>
                <w:rFonts w:hint="eastAsia" w:ascii="仿宋" w:hAnsi="仿宋" w:eastAsia="仿宋" w:cs="仿宋"/>
                <w:color w:val="000000"/>
                <w:sz w:val="24"/>
                <w:highlight w:val="none"/>
              </w:rPr>
              <w:t>自签订合同之日起2年</w:t>
            </w:r>
            <w:r>
              <w:rPr>
                <w:rFonts w:hint="eastAsia" w:ascii="仿宋" w:hAnsi="仿宋" w:eastAsia="仿宋" w:cs="仿宋"/>
                <w:color w:val="000000"/>
                <w:sz w:val="24"/>
                <w:highlight w:val="none"/>
                <w:lang w:eastAsia="zh-CN"/>
              </w:rPr>
              <w:t>。</w:t>
            </w:r>
          </w:p>
        </w:tc>
      </w:tr>
      <w:tr w14:paraId="30CFA7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6" w:hRule="atLeast"/>
        </w:trPr>
        <w:tc>
          <w:tcPr>
            <w:tcW w:w="9818" w:type="dxa"/>
            <w:gridSpan w:val="6"/>
            <w:tcBorders>
              <w:top w:val="single" w:color="auto" w:sz="4" w:space="0"/>
              <w:left w:val="single" w:color="auto" w:sz="4" w:space="0"/>
              <w:bottom w:val="single" w:color="auto" w:sz="4" w:space="0"/>
              <w:right w:val="single" w:color="auto" w:sz="4" w:space="0"/>
            </w:tcBorders>
            <w:vAlign w:val="center"/>
          </w:tcPr>
          <w:p w14:paraId="53EBB8BD">
            <w:pPr>
              <w:pStyle w:val="42"/>
              <w:spacing w:line="360" w:lineRule="auto"/>
              <w:rPr>
                <w:rFonts w:ascii="Times New Roman" w:hAnsi="Times New Roman"/>
                <w:highlight w:val="none"/>
              </w:rPr>
            </w:pPr>
            <w:r>
              <w:rPr>
                <w:rFonts w:hint="eastAsia" w:hAnsi="宋体"/>
                <w:highlight w:val="none"/>
              </w:rPr>
              <w:t>说明：投标报价包括采购范围内的服务费、采购成本、运输（装卸）、检测及验收、配合调换服务费、售后服务、税金、利润、人工、保险等及其他所有成本，供应商综合考虑在报价中。</w:t>
            </w:r>
          </w:p>
        </w:tc>
      </w:tr>
    </w:tbl>
    <w:p w14:paraId="1C285D14">
      <w:pPr>
        <w:pStyle w:val="15"/>
        <w:spacing w:line="340" w:lineRule="exact"/>
        <w:ind w:firstLine="420"/>
        <w:rPr>
          <w:rFonts w:hAnsi="宋体"/>
          <w:color w:val="000000"/>
          <w:szCs w:val="21"/>
          <w:highlight w:val="none"/>
        </w:rPr>
      </w:pPr>
    </w:p>
    <w:p w14:paraId="016228D5">
      <w:pPr>
        <w:spacing w:line="400" w:lineRule="exact"/>
        <w:rPr>
          <w:rFonts w:ascii="仿宋" w:hAnsi="仿宋" w:eastAsia="仿宋" w:cs="仿宋"/>
          <w:color w:val="000000"/>
          <w:sz w:val="24"/>
          <w:highlight w:val="none"/>
        </w:rPr>
      </w:pPr>
    </w:p>
    <w:p w14:paraId="0C79D76B">
      <w:pPr>
        <w:spacing w:line="400" w:lineRule="exact"/>
        <w:rPr>
          <w:rFonts w:ascii="仿宋" w:hAnsi="仿宋" w:eastAsia="仿宋" w:cs="仿宋"/>
          <w:color w:val="000000"/>
          <w:sz w:val="24"/>
          <w:highlight w:val="none"/>
          <w:u w:val="single"/>
        </w:rPr>
      </w:pPr>
      <w:r>
        <w:rPr>
          <w:rFonts w:hint="eastAsia" w:ascii="仿宋" w:hAnsi="仿宋" w:eastAsia="仿宋" w:cs="仿宋"/>
          <w:color w:val="000000"/>
          <w:sz w:val="24"/>
          <w:highlight w:val="none"/>
        </w:rPr>
        <w:t>磋商供应商（CA签章，自然人除外）：</w:t>
      </w:r>
    </w:p>
    <w:p w14:paraId="71B86AC7">
      <w:pPr>
        <w:spacing w:line="400" w:lineRule="exact"/>
        <w:rPr>
          <w:rFonts w:ascii="仿宋" w:hAnsi="仿宋" w:eastAsia="仿宋" w:cs="仿宋"/>
          <w:color w:val="000000"/>
          <w:sz w:val="24"/>
          <w:highlight w:val="none"/>
          <w:u w:val="single"/>
        </w:rPr>
      </w:pPr>
      <w:r>
        <w:rPr>
          <w:rFonts w:hint="eastAsia" w:ascii="仿宋" w:hAnsi="仿宋" w:eastAsia="仿宋" w:cs="仿宋"/>
          <w:color w:val="000000"/>
          <w:sz w:val="24"/>
          <w:highlight w:val="none"/>
        </w:rPr>
        <w:t>法定代表人、负责人、自然人或相应的委托代理人签字或个人CA签章（属自然人的应在签名处加盖食指指印或个人CA签章）：</w:t>
      </w:r>
    </w:p>
    <w:p w14:paraId="0B0E5269">
      <w:pPr>
        <w:tabs>
          <w:tab w:val="left" w:pos="1305"/>
        </w:tabs>
        <w:spacing w:line="400" w:lineRule="exact"/>
        <w:rPr>
          <w:rFonts w:ascii="仿宋" w:hAnsi="仿宋" w:eastAsia="仿宋" w:cs="仿宋"/>
          <w:bCs/>
          <w:color w:val="000000"/>
          <w:sz w:val="24"/>
          <w:highlight w:val="none"/>
        </w:rPr>
      </w:pPr>
      <w:r>
        <w:rPr>
          <w:rFonts w:hint="eastAsia" w:ascii="仿宋" w:hAnsi="仿宋" w:eastAsia="仿宋" w:cs="仿宋"/>
          <w:bCs/>
          <w:color w:val="000000"/>
          <w:sz w:val="24"/>
          <w:highlight w:val="none"/>
        </w:rPr>
        <w:t>时间：</w:t>
      </w:r>
    </w:p>
    <w:p w14:paraId="68292F08">
      <w:pPr>
        <w:pStyle w:val="8"/>
        <w:spacing w:line="400" w:lineRule="exact"/>
        <w:rPr>
          <w:rFonts w:ascii="仿宋" w:hAnsi="仿宋" w:eastAsia="仿宋" w:cs="仿宋"/>
          <w:sz w:val="24"/>
          <w:szCs w:val="24"/>
          <w:highlight w:val="none"/>
        </w:rPr>
      </w:pPr>
    </w:p>
    <w:p w14:paraId="119A23AC">
      <w:pPr>
        <w:tabs>
          <w:tab w:val="left" w:pos="1305"/>
        </w:tabs>
        <w:spacing w:line="400" w:lineRule="exact"/>
        <w:rPr>
          <w:rFonts w:ascii="仿宋" w:hAnsi="仿宋" w:eastAsia="仿宋" w:cs="仿宋"/>
          <w:bCs/>
          <w:color w:val="000000"/>
          <w:sz w:val="24"/>
          <w:highlight w:val="none"/>
        </w:rPr>
      </w:pPr>
      <w:r>
        <w:rPr>
          <w:rFonts w:hint="eastAsia" w:ascii="仿宋" w:hAnsi="仿宋" w:eastAsia="仿宋" w:cs="仿宋"/>
          <w:bCs/>
          <w:color w:val="000000"/>
          <w:sz w:val="24"/>
          <w:highlight w:val="none"/>
        </w:rPr>
        <w:t>注</w:t>
      </w:r>
      <w:r>
        <w:rPr>
          <w:rFonts w:hint="eastAsia" w:ascii="仿宋" w:hAnsi="仿宋" w:eastAsia="仿宋" w:cs="仿宋"/>
          <w:b/>
          <w:bCs/>
          <w:color w:val="000000"/>
          <w:sz w:val="24"/>
          <w:highlight w:val="none"/>
        </w:rPr>
        <w:t>：</w:t>
      </w:r>
      <w:r>
        <w:rPr>
          <w:rFonts w:hint="eastAsia" w:ascii="仿宋" w:hAnsi="仿宋" w:eastAsia="仿宋" w:cs="仿宋"/>
          <w:bCs/>
          <w:color w:val="000000"/>
          <w:sz w:val="24"/>
          <w:highlight w:val="none"/>
        </w:rPr>
        <w:t>1.各磋商供应商</w:t>
      </w:r>
      <w:r>
        <w:rPr>
          <w:rFonts w:hint="eastAsia" w:ascii="仿宋" w:hAnsi="仿宋" w:eastAsia="仿宋" w:cs="仿宋"/>
          <w:color w:val="000000"/>
          <w:sz w:val="24"/>
          <w:highlight w:val="none"/>
        </w:rPr>
        <w:t>必须就“采购需求”中的所有内容作完整唯一报价，否则，其磋商响应将被拒绝。磋商响应文件只允许有一个报价。</w:t>
      </w:r>
    </w:p>
    <w:p w14:paraId="25025144">
      <w:pPr>
        <w:pStyle w:val="15"/>
        <w:spacing w:line="40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2.磋商供应商应根据所投项目如实填写磋商报价表</w:t>
      </w:r>
      <w:r>
        <w:rPr>
          <w:rFonts w:hint="eastAsia" w:ascii="仿宋" w:hAnsi="仿宋" w:eastAsia="仿宋" w:cs="仿宋"/>
          <w:bCs/>
          <w:color w:val="000000"/>
          <w:sz w:val="24"/>
          <w:szCs w:val="24"/>
          <w:highlight w:val="none"/>
        </w:rPr>
        <w:t>的各项内容。</w:t>
      </w:r>
    </w:p>
    <w:p w14:paraId="6895794B">
      <w:pPr>
        <w:spacing w:line="400" w:lineRule="exact"/>
        <w:ind w:firstLine="480" w:firstLineChars="200"/>
        <w:rPr>
          <w:rFonts w:ascii="仿宋" w:hAnsi="仿宋" w:eastAsia="仿宋" w:cs="仿宋"/>
          <w:b/>
          <w:bCs/>
          <w:color w:val="000000"/>
          <w:sz w:val="24"/>
          <w:highlight w:val="none"/>
        </w:rPr>
      </w:pPr>
      <w:r>
        <w:rPr>
          <w:rFonts w:hint="eastAsia" w:ascii="仿宋" w:hAnsi="仿宋" w:eastAsia="仿宋" w:cs="仿宋"/>
          <w:color w:val="000000"/>
          <w:sz w:val="24"/>
          <w:highlight w:val="none"/>
        </w:rPr>
        <w:t>3.磋商报价表须由法定代表人负责人、自然人或相应的委托代理人签字或个人CA签章（属自然人的应在签名处加盖食指指印或个人CA签章）并加盖磋商供应商CA签章（自然人除外）。</w:t>
      </w:r>
      <w:r>
        <w:rPr>
          <w:rFonts w:hint="eastAsia" w:ascii="仿宋" w:hAnsi="仿宋" w:eastAsia="仿宋" w:cs="仿宋"/>
          <w:b/>
          <w:color w:val="000000"/>
          <w:sz w:val="24"/>
          <w:highlight w:val="none"/>
        </w:rPr>
        <w:t>当本表由多页构成时，需逐页加盖磋商供应商公章（属自然人的须逐页签字或个人CA签章）</w:t>
      </w:r>
    </w:p>
    <w:p w14:paraId="6DF57857">
      <w:pPr>
        <w:pStyle w:val="15"/>
        <w:spacing w:line="340" w:lineRule="exact"/>
        <w:rPr>
          <w:rFonts w:ascii="仿宋" w:hAnsi="仿宋" w:eastAsia="仿宋" w:cs="仿宋"/>
          <w:b/>
          <w:sz w:val="28"/>
          <w:szCs w:val="28"/>
          <w:highlight w:val="none"/>
        </w:rPr>
      </w:pPr>
    </w:p>
    <w:p w14:paraId="60E1D074">
      <w:pPr>
        <w:pStyle w:val="15"/>
        <w:spacing w:line="340" w:lineRule="exact"/>
        <w:rPr>
          <w:rFonts w:ascii="仿宋" w:hAnsi="仿宋" w:eastAsia="仿宋" w:cs="仿宋"/>
          <w:b/>
          <w:sz w:val="28"/>
          <w:szCs w:val="28"/>
          <w:highlight w:val="none"/>
        </w:rPr>
      </w:pPr>
    </w:p>
    <w:p w14:paraId="5919C6FB">
      <w:pPr>
        <w:pStyle w:val="15"/>
        <w:spacing w:line="340" w:lineRule="exact"/>
        <w:rPr>
          <w:rFonts w:ascii="仿宋" w:hAnsi="仿宋" w:eastAsia="仿宋" w:cs="仿宋"/>
          <w:b/>
          <w:sz w:val="28"/>
          <w:szCs w:val="28"/>
          <w:highlight w:val="none"/>
        </w:rPr>
      </w:pPr>
    </w:p>
    <w:p w14:paraId="53D8104E">
      <w:pPr>
        <w:pStyle w:val="15"/>
        <w:spacing w:line="340" w:lineRule="exact"/>
        <w:rPr>
          <w:rFonts w:ascii="仿宋" w:hAnsi="仿宋" w:eastAsia="仿宋" w:cs="仿宋"/>
          <w:b/>
          <w:sz w:val="28"/>
          <w:szCs w:val="28"/>
          <w:highlight w:val="none"/>
        </w:rPr>
      </w:pPr>
    </w:p>
    <w:p w14:paraId="52BAB38E">
      <w:pPr>
        <w:pStyle w:val="15"/>
        <w:spacing w:line="340" w:lineRule="exact"/>
        <w:rPr>
          <w:rFonts w:ascii="仿宋" w:hAnsi="仿宋" w:eastAsia="仿宋" w:cs="仿宋"/>
          <w:b/>
          <w:sz w:val="28"/>
          <w:szCs w:val="28"/>
          <w:highlight w:val="none"/>
        </w:rPr>
      </w:pPr>
    </w:p>
    <w:p w14:paraId="37F003A4">
      <w:pPr>
        <w:pStyle w:val="15"/>
        <w:spacing w:line="340" w:lineRule="exact"/>
        <w:rPr>
          <w:rFonts w:ascii="仿宋" w:hAnsi="仿宋" w:eastAsia="仿宋" w:cs="仿宋"/>
          <w:b/>
          <w:sz w:val="28"/>
          <w:szCs w:val="28"/>
          <w:highlight w:val="none"/>
        </w:rPr>
      </w:pPr>
      <w:r>
        <w:rPr>
          <w:rFonts w:hint="eastAsia" w:ascii="仿宋" w:hAnsi="仿宋" w:eastAsia="仿宋" w:cs="仿宋"/>
          <w:b/>
          <w:sz w:val="28"/>
          <w:szCs w:val="28"/>
          <w:highlight w:val="none"/>
        </w:rPr>
        <w:t>3.</w:t>
      </w:r>
      <w:r>
        <w:rPr>
          <w:rFonts w:hint="eastAsia" w:ascii="仿宋" w:hAnsi="仿宋" w:eastAsia="仿宋" w:cs="仿宋"/>
          <w:b/>
          <w:sz w:val="28"/>
          <w:szCs w:val="28"/>
          <w:highlight w:val="none"/>
          <w:lang w:eastAsia="zh-CN"/>
        </w:rPr>
        <w:t>服务需求响应表</w:t>
      </w:r>
      <w:r>
        <w:rPr>
          <w:rFonts w:hint="eastAsia" w:ascii="仿宋" w:hAnsi="仿宋" w:eastAsia="仿宋" w:cs="仿宋"/>
          <w:b/>
          <w:sz w:val="28"/>
          <w:szCs w:val="28"/>
          <w:highlight w:val="none"/>
        </w:rPr>
        <w:t>（格式见附件）(必须提供)；</w:t>
      </w:r>
    </w:p>
    <w:p w14:paraId="05A77FA5">
      <w:pPr>
        <w:rPr>
          <w:rFonts w:ascii="仿宋" w:hAnsi="仿宋" w:eastAsia="仿宋" w:cs="仿宋"/>
          <w:highlight w:val="none"/>
        </w:rPr>
      </w:pPr>
    </w:p>
    <w:p w14:paraId="158326B5">
      <w:pPr>
        <w:pStyle w:val="15"/>
        <w:spacing w:line="340" w:lineRule="exact"/>
        <w:rPr>
          <w:rFonts w:ascii="仿宋" w:hAnsi="仿宋" w:eastAsia="仿宋" w:cs="仿宋"/>
          <w:b/>
          <w:sz w:val="28"/>
          <w:szCs w:val="28"/>
          <w:highlight w:val="none"/>
        </w:rPr>
      </w:pPr>
      <w:r>
        <w:rPr>
          <w:rFonts w:hint="eastAsia" w:ascii="仿宋" w:hAnsi="仿宋" w:eastAsia="仿宋" w:cs="仿宋"/>
          <w:b/>
          <w:sz w:val="28"/>
          <w:szCs w:val="28"/>
          <w:highlight w:val="none"/>
        </w:rPr>
        <w:t>附件：</w:t>
      </w:r>
    </w:p>
    <w:p w14:paraId="7200610E">
      <w:pPr>
        <w:spacing w:line="500" w:lineRule="exact"/>
        <w:rPr>
          <w:rFonts w:ascii="仿宋" w:hAnsi="仿宋" w:eastAsia="仿宋" w:cs="仿宋"/>
          <w:sz w:val="24"/>
          <w:highlight w:val="none"/>
        </w:rPr>
      </w:pPr>
    </w:p>
    <w:p w14:paraId="6C4D215F">
      <w:pPr>
        <w:spacing w:line="500" w:lineRule="exact"/>
        <w:jc w:val="center"/>
        <w:rPr>
          <w:rFonts w:hint="eastAsia" w:ascii="仿宋" w:hAnsi="仿宋" w:eastAsia="仿宋" w:cs="仿宋"/>
          <w:sz w:val="24"/>
          <w:highlight w:val="none"/>
          <w:lang w:eastAsia="zh-CN"/>
        </w:rPr>
      </w:pPr>
      <w:r>
        <w:rPr>
          <w:rFonts w:hint="eastAsia" w:ascii="仿宋" w:hAnsi="仿宋" w:eastAsia="仿宋" w:cs="仿宋"/>
          <w:b/>
          <w:sz w:val="28"/>
          <w:szCs w:val="28"/>
          <w:highlight w:val="none"/>
          <w:lang w:eastAsia="zh-CN"/>
        </w:rPr>
        <w:t>服务需求响应表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3796"/>
        <w:gridCol w:w="2160"/>
        <w:gridCol w:w="2340"/>
      </w:tblGrid>
      <w:tr w14:paraId="10E47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noWrap w:val="0"/>
            <w:vAlign w:val="center"/>
          </w:tcPr>
          <w:p w14:paraId="7A10CE5C">
            <w:pPr>
              <w:pStyle w:val="15"/>
              <w:spacing w:line="360" w:lineRule="atLeast"/>
              <w:jc w:val="center"/>
              <w:rPr>
                <w:rFonts w:hint="eastAsia" w:hAnsi="宋体" w:cs="宋体"/>
                <w:highlight w:val="none"/>
              </w:rPr>
            </w:pPr>
            <w:r>
              <w:rPr>
                <w:rFonts w:hint="eastAsia" w:hAnsi="宋体" w:cs="宋体"/>
                <w:highlight w:val="none"/>
              </w:rPr>
              <w:t>序号</w:t>
            </w:r>
          </w:p>
        </w:tc>
        <w:tc>
          <w:tcPr>
            <w:tcW w:w="3796" w:type="dxa"/>
            <w:noWrap w:val="0"/>
            <w:vAlign w:val="center"/>
          </w:tcPr>
          <w:p w14:paraId="2F3F2725">
            <w:pPr>
              <w:pStyle w:val="15"/>
              <w:spacing w:line="360" w:lineRule="atLeast"/>
              <w:jc w:val="center"/>
              <w:rPr>
                <w:rFonts w:hint="eastAsia" w:hAnsi="宋体" w:cs="宋体"/>
                <w:highlight w:val="none"/>
              </w:rPr>
            </w:pPr>
            <w:r>
              <w:rPr>
                <w:rFonts w:hint="eastAsia" w:hAnsi="宋体" w:cs="宋体"/>
                <w:highlight w:val="none"/>
                <w:lang w:val="en-US" w:eastAsia="zh-CN"/>
              </w:rPr>
              <w:t>竞争性磋商</w:t>
            </w:r>
            <w:r>
              <w:rPr>
                <w:rFonts w:hint="eastAsia" w:hAnsi="宋体" w:cs="宋体"/>
                <w:highlight w:val="none"/>
              </w:rPr>
              <w:t>文件要求</w:t>
            </w:r>
          </w:p>
        </w:tc>
        <w:tc>
          <w:tcPr>
            <w:tcW w:w="2160" w:type="dxa"/>
            <w:noWrap w:val="0"/>
            <w:vAlign w:val="center"/>
          </w:tcPr>
          <w:p w14:paraId="61344453">
            <w:pPr>
              <w:pStyle w:val="15"/>
              <w:spacing w:line="360" w:lineRule="atLeast"/>
              <w:jc w:val="center"/>
              <w:rPr>
                <w:rFonts w:hint="eastAsia" w:hAnsi="宋体" w:eastAsia="宋体" w:cs="宋体"/>
                <w:szCs w:val="21"/>
                <w:highlight w:val="none"/>
                <w:lang w:eastAsia="zh-CN"/>
              </w:rPr>
            </w:pPr>
            <w:r>
              <w:rPr>
                <w:rFonts w:hint="eastAsia" w:hAnsi="宋体" w:cs="宋体"/>
                <w:szCs w:val="21"/>
                <w:highlight w:val="none"/>
                <w:lang w:val="en-US" w:eastAsia="zh-CN"/>
              </w:rPr>
              <w:t>响应</w:t>
            </w:r>
            <w:r>
              <w:rPr>
                <w:rFonts w:hint="eastAsia" w:hAnsi="宋体" w:cs="宋体"/>
                <w:szCs w:val="21"/>
                <w:highlight w:val="none"/>
              </w:rPr>
              <w:t>文件的响应情况</w:t>
            </w:r>
            <w:r>
              <w:rPr>
                <w:rFonts w:hint="eastAsia" w:hAnsi="宋体" w:cs="宋体"/>
                <w:szCs w:val="21"/>
                <w:highlight w:val="none"/>
                <w:lang w:eastAsia="zh-CN"/>
              </w:rPr>
              <w:t>（是否响应</w:t>
            </w:r>
            <w:r>
              <w:rPr>
                <w:rFonts w:hint="eastAsia" w:hAnsi="宋体" w:cs="宋体"/>
                <w:szCs w:val="21"/>
                <w:highlight w:val="none"/>
                <w:lang w:val="en-US" w:eastAsia="zh-CN"/>
              </w:rPr>
              <w:t>服务</w:t>
            </w:r>
            <w:r>
              <w:rPr>
                <w:rFonts w:hint="eastAsia" w:hAnsi="宋体" w:cs="宋体"/>
                <w:szCs w:val="21"/>
                <w:highlight w:val="none"/>
                <w:lang w:eastAsia="zh-CN"/>
              </w:rPr>
              <w:t>采购需求）（无偏离、正偏离））</w:t>
            </w:r>
          </w:p>
        </w:tc>
        <w:tc>
          <w:tcPr>
            <w:tcW w:w="2340" w:type="dxa"/>
            <w:noWrap w:val="0"/>
            <w:vAlign w:val="center"/>
          </w:tcPr>
          <w:p w14:paraId="10A1203D">
            <w:pPr>
              <w:pStyle w:val="15"/>
              <w:spacing w:line="360" w:lineRule="atLeast"/>
              <w:jc w:val="center"/>
              <w:rPr>
                <w:rFonts w:hint="eastAsia" w:hAnsi="宋体" w:eastAsia="宋体" w:cs="宋体"/>
                <w:highlight w:val="none"/>
                <w:lang w:eastAsia="zh-CN"/>
              </w:rPr>
            </w:pPr>
            <w:r>
              <w:rPr>
                <w:rFonts w:hint="eastAsia" w:hAnsi="宋体" w:cs="宋体"/>
                <w:highlight w:val="none"/>
                <w:lang w:val="en-US" w:eastAsia="zh-CN"/>
              </w:rPr>
              <w:t>备注</w:t>
            </w:r>
          </w:p>
        </w:tc>
      </w:tr>
      <w:tr w14:paraId="7E54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trPr>
        <w:tc>
          <w:tcPr>
            <w:tcW w:w="812" w:type="dxa"/>
            <w:noWrap w:val="0"/>
            <w:vAlign w:val="center"/>
          </w:tcPr>
          <w:p w14:paraId="1B596975">
            <w:pPr>
              <w:spacing w:line="360" w:lineRule="atLeast"/>
              <w:jc w:val="center"/>
              <w:rPr>
                <w:rFonts w:hint="eastAsia" w:ascii="宋体" w:hAnsi="宋体" w:cs="宋体"/>
                <w:szCs w:val="21"/>
                <w:highlight w:val="none"/>
              </w:rPr>
            </w:pPr>
            <w:r>
              <w:rPr>
                <w:rFonts w:hint="eastAsia" w:ascii="宋体" w:hAnsi="宋体" w:cs="宋体"/>
                <w:szCs w:val="21"/>
                <w:highlight w:val="none"/>
              </w:rPr>
              <w:t>1</w:t>
            </w:r>
          </w:p>
        </w:tc>
        <w:tc>
          <w:tcPr>
            <w:tcW w:w="3796" w:type="dxa"/>
            <w:noWrap w:val="0"/>
            <w:vAlign w:val="center"/>
          </w:tcPr>
          <w:p w14:paraId="0477ADA3">
            <w:pPr>
              <w:pStyle w:val="15"/>
              <w:spacing w:line="360" w:lineRule="atLeast"/>
              <w:jc w:val="center"/>
              <w:rPr>
                <w:rFonts w:hAnsi="宋体" w:cs="宋体"/>
                <w:highlight w:val="none"/>
              </w:rPr>
            </w:pPr>
            <w:r>
              <w:rPr>
                <w:rFonts w:hint="eastAsia" w:hAnsi="宋体" w:cs="宋体"/>
                <w:highlight w:val="none"/>
                <w:lang w:val="en-US" w:eastAsia="zh-CN"/>
              </w:rPr>
              <w:t>竞争性磋商</w:t>
            </w:r>
            <w:r>
              <w:rPr>
                <w:rFonts w:hint="eastAsia" w:hAnsi="宋体" w:cs="宋体"/>
                <w:highlight w:val="none"/>
              </w:rPr>
              <w:t>文件中第三章节“采购需求”条款</w:t>
            </w:r>
          </w:p>
        </w:tc>
        <w:tc>
          <w:tcPr>
            <w:tcW w:w="2160" w:type="dxa"/>
            <w:noWrap w:val="0"/>
            <w:vAlign w:val="top"/>
          </w:tcPr>
          <w:p w14:paraId="4EC86789">
            <w:pPr>
              <w:pStyle w:val="15"/>
              <w:spacing w:line="360" w:lineRule="atLeast"/>
              <w:rPr>
                <w:rFonts w:hint="eastAsia" w:hAnsi="宋体" w:cs="宋体"/>
                <w:highlight w:val="none"/>
              </w:rPr>
            </w:pPr>
          </w:p>
          <w:p w14:paraId="64E9B2AF">
            <w:pPr>
              <w:pStyle w:val="15"/>
              <w:spacing w:line="360" w:lineRule="atLeast"/>
              <w:rPr>
                <w:rFonts w:hint="eastAsia" w:hAnsi="宋体" w:cs="宋体"/>
                <w:highlight w:val="none"/>
              </w:rPr>
            </w:pPr>
            <w:r>
              <w:rPr>
                <w:rFonts w:hint="eastAsia" w:hAnsi="宋体" w:cs="宋体"/>
                <w:highlight w:val="none"/>
              </w:rPr>
              <w:t>例如：完全响应</w:t>
            </w:r>
            <w:r>
              <w:rPr>
                <w:rFonts w:hint="eastAsia" w:hAnsi="宋体" w:cs="宋体"/>
                <w:highlight w:val="none"/>
                <w:lang w:val="en-US" w:eastAsia="zh-CN"/>
              </w:rPr>
              <w:t>采购</w:t>
            </w:r>
            <w:r>
              <w:rPr>
                <w:rFonts w:hint="eastAsia" w:hAnsi="宋体" w:cs="宋体"/>
                <w:highlight w:val="none"/>
              </w:rPr>
              <w:t>需求，无偏离（或正偏离）</w:t>
            </w:r>
          </w:p>
          <w:p w14:paraId="715DA28E">
            <w:pPr>
              <w:pStyle w:val="15"/>
              <w:spacing w:line="360" w:lineRule="atLeast"/>
              <w:rPr>
                <w:rFonts w:hint="eastAsia" w:hAnsi="宋体" w:cs="宋体"/>
                <w:highlight w:val="none"/>
              </w:rPr>
            </w:pPr>
          </w:p>
        </w:tc>
        <w:tc>
          <w:tcPr>
            <w:tcW w:w="2340" w:type="dxa"/>
            <w:noWrap w:val="0"/>
            <w:vAlign w:val="center"/>
          </w:tcPr>
          <w:p w14:paraId="5A7EF66E">
            <w:pPr>
              <w:pStyle w:val="15"/>
              <w:spacing w:line="360" w:lineRule="atLeast"/>
              <w:jc w:val="center"/>
              <w:rPr>
                <w:rFonts w:hint="eastAsia" w:hAnsi="宋体" w:cs="宋体"/>
                <w:highlight w:val="none"/>
              </w:rPr>
            </w:pPr>
          </w:p>
        </w:tc>
      </w:tr>
    </w:tbl>
    <w:p w14:paraId="5B27628B">
      <w:pPr>
        <w:spacing w:line="340" w:lineRule="exact"/>
        <w:rPr>
          <w:rFonts w:ascii="仿宋" w:hAnsi="仿宋" w:eastAsia="仿宋" w:cs="仿宋"/>
          <w:sz w:val="24"/>
          <w:highlight w:val="none"/>
        </w:rPr>
      </w:pPr>
    </w:p>
    <w:p w14:paraId="3E1809BA">
      <w:pPr>
        <w:snapToGrid w:val="0"/>
        <w:spacing w:line="400" w:lineRule="exact"/>
        <w:ind w:firstLine="2160" w:firstLineChars="900"/>
        <w:rPr>
          <w:rFonts w:ascii="仿宋" w:hAnsi="仿宋" w:eastAsia="仿宋" w:cs="仿宋"/>
          <w:sz w:val="24"/>
          <w:highlight w:val="none"/>
          <w:u w:val="single"/>
        </w:rPr>
      </w:pPr>
      <w:r>
        <w:rPr>
          <w:rFonts w:hint="eastAsia" w:ascii="仿宋" w:hAnsi="仿宋" w:eastAsia="仿宋" w:cs="仿宋"/>
          <w:sz w:val="24"/>
          <w:highlight w:val="none"/>
        </w:rPr>
        <w:t>磋商供应商[公章(CA签章)，自然人签字或个人CA签章]：</w:t>
      </w:r>
    </w:p>
    <w:p w14:paraId="58BF90CE">
      <w:pPr>
        <w:spacing w:line="340" w:lineRule="exact"/>
        <w:rPr>
          <w:rFonts w:ascii="仿宋" w:hAnsi="仿宋" w:eastAsia="仿宋" w:cs="仿宋"/>
          <w:sz w:val="24"/>
          <w:highlight w:val="none"/>
        </w:rPr>
      </w:pPr>
    </w:p>
    <w:p w14:paraId="33E823C7">
      <w:pPr>
        <w:snapToGrid w:val="0"/>
        <w:spacing w:line="400" w:lineRule="exact"/>
        <w:ind w:firstLine="1920" w:firstLineChars="800"/>
        <w:rPr>
          <w:rFonts w:ascii="仿宋" w:hAnsi="仿宋" w:eastAsia="仿宋" w:cs="仿宋"/>
          <w:sz w:val="24"/>
          <w:highlight w:val="none"/>
        </w:rPr>
      </w:pPr>
      <w:r>
        <w:rPr>
          <w:rFonts w:hint="eastAsia" w:ascii="仿宋" w:hAnsi="仿宋" w:eastAsia="仿宋" w:cs="仿宋"/>
          <w:sz w:val="24"/>
          <w:highlight w:val="none"/>
        </w:rPr>
        <w:t xml:space="preserve"> 日          期：</w:t>
      </w:r>
    </w:p>
    <w:p w14:paraId="79BF8B01">
      <w:pPr>
        <w:ind w:firstLine="2160" w:firstLineChars="900"/>
        <w:rPr>
          <w:rFonts w:ascii="仿宋" w:hAnsi="仿宋" w:eastAsia="仿宋" w:cs="仿宋"/>
          <w:sz w:val="24"/>
          <w:highlight w:val="none"/>
          <w:u w:val="single"/>
        </w:rPr>
      </w:pPr>
    </w:p>
    <w:p w14:paraId="0452D171">
      <w:pPr>
        <w:ind w:firstLine="1890" w:firstLineChars="900"/>
        <w:rPr>
          <w:rFonts w:ascii="仿宋" w:hAnsi="仿宋" w:eastAsia="仿宋" w:cs="仿宋"/>
          <w:highlight w:val="none"/>
          <w:u w:val="single"/>
        </w:rPr>
      </w:pPr>
    </w:p>
    <w:p w14:paraId="5E1A060C">
      <w:pPr>
        <w:spacing w:line="4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 xml:space="preserve">注： </w:t>
      </w:r>
      <w:r>
        <w:rPr>
          <w:rFonts w:hint="eastAsia" w:ascii="仿宋" w:hAnsi="仿宋" w:eastAsia="仿宋" w:cs="仿宋"/>
          <w:b/>
          <w:sz w:val="24"/>
          <w:highlight w:val="none"/>
        </w:rPr>
        <w:t>1.“技术、商务响应表”各项内容必须如实填写。</w:t>
      </w:r>
    </w:p>
    <w:p w14:paraId="7F0C79B5">
      <w:pPr>
        <w:spacing w:line="400" w:lineRule="exact"/>
        <w:ind w:firstLine="723" w:firstLineChars="300"/>
        <w:rPr>
          <w:rFonts w:ascii="仿宋" w:hAnsi="仿宋" w:eastAsia="仿宋" w:cs="仿宋"/>
          <w:b/>
          <w:bCs/>
          <w:sz w:val="28"/>
          <w:szCs w:val="28"/>
          <w:highlight w:val="none"/>
        </w:rPr>
      </w:pPr>
      <w:r>
        <w:rPr>
          <w:rFonts w:hint="eastAsia" w:ascii="仿宋" w:hAnsi="仿宋" w:eastAsia="仿宋" w:cs="仿宋"/>
          <w:b/>
          <w:sz w:val="24"/>
          <w:highlight w:val="none"/>
        </w:rPr>
        <w:t>2.当本表由多页构成时，需逐页加盖磋商供应商公章（CA签章）（属自然人的须逐页签字或个人CA签章）。</w:t>
      </w:r>
    </w:p>
    <w:p w14:paraId="165F3E57">
      <w:pPr>
        <w:pStyle w:val="10"/>
        <w:rPr>
          <w:rFonts w:ascii="仿宋" w:hAnsi="仿宋" w:eastAsia="仿宋" w:cs="仿宋"/>
          <w:highlight w:val="none"/>
        </w:rPr>
      </w:pPr>
    </w:p>
    <w:p w14:paraId="638E998D">
      <w:pPr>
        <w:pStyle w:val="10"/>
        <w:rPr>
          <w:rFonts w:ascii="仿宋" w:hAnsi="仿宋" w:eastAsia="仿宋" w:cs="仿宋"/>
          <w:highlight w:val="none"/>
        </w:rPr>
      </w:pPr>
    </w:p>
    <w:p w14:paraId="484609E7">
      <w:pPr>
        <w:pStyle w:val="10"/>
        <w:rPr>
          <w:rFonts w:ascii="仿宋" w:hAnsi="仿宋" w:eastAsia="仿宋" w:cs="仿宋"/>
          <w:highlight w:val="none"/>
        </w:rPr>
      </w:pPr>
    </w:p>
    <w:p w14:paraId="03CC595D">
      <w:pPr>
        <w:pStyle w:val="10"/>
        <w:rPr>
          <w:rFonts w:ascii="仿宋" w:hAnsi="仿宋" w:eastAsia="仿宋" w:cs="仿宋"/>
          <w:highlight w:val="none"/>
        </w:rPr>
      </w:pPr>
    </w:p>
    <w:p w14:paraId="30EA7076">
      <w:pPr>
        <w:pStyle w:val="10"/>
        <w:rPr>
          <w:rFonts w:ascii="仿宋" w:hAnsi="仿宋" w:eastAsia="仿宋" w:cs="仿宋"/>
          <w:highlight w:val="none"/>
        </w:rPr>
      </w:pPr>
    </w:p>
    <w:p w14:paraId="568BD1DC">
      <w:pPr>
        <w:pStyle w:val="10"/>
        <w:rPr>
          <w:rFonts w:ascii="仿宋" w:hAnsi="仿宋" w:eastAsia="仿宋" w:cs="仿宋"/>
          <w:highlight w:val="none"/>
        </w:rPr>
      </w:pPr>
    </w:p>
    <w:p w14:paraId="48F99FA1">
      <w:pPr>
        <w:pStyle w:val="10"/>
        <w:rPr>
          <w:rFonts w:ascii="仿宋" w:hAnsi="仿宋" w:eastAsia="仿宋" w:cs="仿宋"/>
          <w:highlight w:val="none"/>
        </w:rPr>
      </w:pPr>
    </w:p>
    <w:p w14:paraId="32E9A615">
      <w:pPr>
        <w:rPr>
          <w:rFonts w:ascii="仿宋" w:hAnsi="仿宋" w:eastAsia="仿宋" w:cs="仿宋"/>
          <w:highlight w:val="none"/>
        </w:rPr>
      </w:pPr>
    </w:p>
    <w:p w14:paraId="07FF07C5">
      <w:pPr>
        <w:rPr>
          <w:rFonts w:ascii="仿宋" w:hAnsi="仿宋" w:eastAsia="仿宋" w:cs="仿宋"/>
          <w:highlight w:val="none"/>
        </w:rPr>
      </w:pPr>
    </w:p>
    <w:p w14:paraId="789397BE">
      <w:pPr>
        <w:rPr>
          <w:rFonts w:ascii="仿宋" w:hAnsi="仿宋" w:eastAsia="仿宋" w:cs="仿宋"/>
          <w:highlight w:val="none"/>
        </w:rPr>
      </w:pPr>
    </w:p>
    <w:p w14:paraId="6725A058">
      <w:pPr>
        <w:rPr>
          <w:rFonts w:ascii="仿宋" w:hAnsi="仿宋" w:eastAsia="仿宋" w:cs="仿宋"/>
          <w:highlight w:val="none"/>
        </w:rPr>
      </w:pPr>
    </w:p>
    <w:p w14:paraId="7600910A">
      <w:pPr>
        <w:rPr>
          <w:rFonts w:ascii="仿宋" w:hAnsi="仿宋" w:eastAsia="仿宋" w:cs="仿宋"/>
          <w:highlight w:val="none"/>
        </w:rPr>
      </w:pPr>
    </w:p>
    <w:p w14:paraId="73F22FE0">
      <w:pPr>
        <w:rPr>
          <w:rFonts w:ascii="仿宋" w:hAnsi="仿宋" w:eastAsia="仿宋" w:cs="仿宋"/>
          <w:highlight w:val="none"/>
        </w:rPr>
      </w:pPr>
    </w:p>
    <w:p w14:paraId="6F222740">
      <w:pPr>
        <w:rPr>
          <w:rFonts w:ascii="仿宋" w:hAnsi="仿宋" w:eastAsia="仿宋" w:cs="仿宋"/>
          <w:highlight w:val="none"/>
        </w:rPr>
      </w:pPr>
    </w:p>
    <w:p w14:paraId="155B224D">
      <w:pPr>
        <w:pStyle w:val="31"/>
        <w:rPr>
          <w:rFonts w:ascii="仿宋" w:hAnsi="仿宋" w:eastAsia="仿宋" w:cs="仿宋"/>
          <w:color w:val="auto"/>
          <w:highlight w:val="none"/>
        </w:rPr>
      </w:pPr>
    </w:p>
    <w:p w14:paraId="06E22383">
      <w:pPr>
        <w:pStyle w:val="31"/>
        <w:rPr>
          <w:rFonts w:ascii="仿宋" w:hAnsi="仿宋" w:eastAsia="仿宋" w:cs="仿宋"/>
          <w:color w:val="auto"/>
          <w:highlight w:val="none"/>
        </w:rPr>
      </w:pPr>
    </w:p>
    <w:p w14:paraId="63C34581">
      <w:pPr>
        <w:pStyle w:val="15"/>
        <w:spacing w:line="340" w:lineRule="exact"/>
        <w:rPr>
          <w:rFonts w:ascii="仿宋" w:hAnsi="仿宋" w:eastAsia="仿宋" w:cs="仿宋"/>
          <w:b/>
          <w:sz w:val="28"/>
          <w:szCs w:val="28"/>
          <w:highlight w:val="none"/>
        </w:rPr>
      </w:pPr>
      <w:r>
        <w:rPr>
          <w:rFonts w:hint="eastAsia" w:ascii="仿宋" w:hAnsi="仿宋" w:eastAsia="仿宋" w:cs="仿宋"/>
          <w:b/>
          <w:sz w:val="28"/>
          <w:szCs w:val="28"/>
          <w:highlight w:val="none"/>
        </w:rPr>
        <w:t>4. 投标人针对本项目的服务方案（如有，请提供）；</w:t>
      </w:r>
    </w:p>
    <w:p w14:paraId="2BCDD60A">
      <w:pPr>
        <w:rPr>
          <w:rFonts w:ascii="仿宋" w:hAnsi="仿宋" w:eastAsia="仿宋" w:cs="仿宋"/>
          <w:highlight w:val="none"/>
        </w:rPr>
      </w:pPr>
    </w:p>
    <w:p w14:paraId="4096F3C5">
      <w:pPr>
        <w:pStyle w:val="15"/>
        <w:spacing w:line="340" w:lineRule="exact"/>
        <w:rPr>
          <w:rFonts w:ascii="仿宋" w:hAnsi="仿宋" w:eastAsia="仿宋" w:cs="仿宋"/>
          <w:b/>
          <w:sz w:val="28"/>
          <w:szCs w:val="28"/>
          <w:highlight w:val="none"/>
        </w:rPr>
      </w:pPr>
      <w:r>
        <w:rPr>
          <w:rFonts w:hint="eastAsia" w:ascii="仿宋" w:hAnsi="仿宋" w:eastAsia="仿宋" w:cs="仿宋"/>
          <w:b/>
          <w:sz w:val="28"/>
          <w:szCs w:val="28"/>
          <w:highlight w:val="none"/>
        </w:rPr>
        <w:t>附件：</w:t>
      </w:r>
    </w:p>
    <w:p w14:paraId="7FFCF369">
      <w:pPr>
        <w:rPr>
          <w:rFonts w:ascii="仿宋" w:hAnsi="仿宋" w:eastAsia="仿宋" w:cs="仿宋"/>
          <w:highlight w:val="none"/>
        </w:rPr>
      </w:pPr>
    </w:p>
    <w:p w14:paraId="76CBE6BF">
      <w:pPr>
        <w:pStyle w:val="10"/>
        <w:rPr>
          <w:rFonts w:ascii="仿宋" w:hAnsi="仿宋" w:eastAsia="仿宋" w:cs="仿宋"/>
          <w:highlight w:val="none"/>
        </w:rPr>
      </w:pPr>
    </w:p>
    <w:p w14:paraId="5FE290FD">
      <w:pPr>
        <w:rPr>
          <w:rFonts w:ascii="仿宋" w:hAnsi="仿宋" w:eastAsia="仿宋" w:cs="仿宋"/>
          <w:highlight w:val="none"/>
        </w:rPr>
      </w:pPr>
    </w:p>
    <w:p w14:paraId="1F7FEA90">
      <w:pPr>
        <w:pStyle w:val="15"/>
        <w:spacing w:line="340" w:lineRule="exact"/>
        <w:jc w:val="center"/>
        <w:rPr>
          <w:rFonts w:ascii="仿宋" w:hAnsi="仿宋" w:eastAsia="仿宋" w:cs="仿宋"/>
          <w:b/>
          <w:sz w:val="32"/>
          <w:szCs w:val="32"/>
          <w:highlight w:val="none"/>
        </w:rPr>
      </w:pPr>
      <w:r>
        <w:rPr>
          <w:rFonts w:hint="eastAsia" w:ascii="仿宋" w:hAnsi="仿宋" w:eastAsia="仿宋" w:cs="仿宋"/>
          <w:b/>
          <w:sz w:val="32"/>
          <w:szCs w:val="32"/>
          <w:highlight w:val="none"/>
        </w:rPr>
        <w:t>服务方案 （格式）</w:t>
      </w:r>
    </w:p>
    <w:p w14:paraId="2DD3D60F">
      <w:pPr>
        <w:rPr>
          <w:rFonts w:ascii="仿宋" w:hAnsi="仿宋" w:eastAsia="仿宋" w:cs="仿宋"/>
          <w:b/>
          <w:sz w:val="32"/>
          <w:szCs w:val="32"/>
          <w:highlight w:val="none"/>
        </w:rPr>
      </w:pPr>
    </w:p>
    <w:p w14:paraId="3CABF8FD">
      <w:pPr>
        <w:pStyle w:val="10"/>
        <w:rPr>
          <w:rFonts w:ascii="仿宋" w:hAnsi="仿宋" w:eastAsia="仿宋" w:cs="仿宋"/>
          <w:highlight w:val="none"/>
        </w:rPr>
      </w:pPr>
    </w:p>
    <w:p w14:paraId="3B25C11B">
      <w:pPr>
        <w:widowControl/>
        <w:ind w:firstLine="3092" w:firstLineChars="1100"/>
        <w:jc w:val="left"/>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（根据采购需求自行编制）</w:t>
      </w:r>
    </w:p>
    <w:p w14:paraId="31047E90">
      <w:pPr>
        <w:widowControl/>
        <w:ind w:firstLine="3092" w:firstLineChars="1100"/>
        <w:jc w:val="left"/>
        <w:rPr>
          <w:rFonts w:ascii="仿宋" w:hAnsi="仿宋" w:eastAsia="仿宋" w:cs="仿宋"/>
          <w:b/>
          <w:kern w:val="0"/>
          <w:sz w:val="28"/>
          <w:szCs w:val="28"/>
          <w:highlight w:val="none"/>
        </w:rPr>
      </w:pPr>
    </w:p>
    <w:p w14:paraId="06D16BE0">
      <w:pPr>
        <w:widowControl/>
        <w:ind w:firstLine="3092" w:firstLineChars="1100"/>
        <w:jc w:val="left"/>
        <w:rPr>
          <w:rFonts w:ascii="仿宋" w:hAnsi="仿宋" w:eastAsia="仿宋" w:cs="仿宋"/>
          <w:b/>
          <w:kern w:val="0"/>
          <w:sz w:val="28"/>
          <w:szCs w:val="28"/>
          <w:highlight w:val="none"/>
        </w:rPr>
      </w:pPr>
    </w:p>
    <w:p w14:paraId="4CFC011C">
      <w:pPr>
        <w:widowControl/>
        <w:ind w:firstLine="3092" w:firstLineChars="1100"/>
        <w:jc w:val="left"/>
        <w:rPr>
          <w:rFonts w:ascii="仿宋" w:hAnsi="仿宋" w:eastAsia="仿宋" w:cs="仿宋"/>
          <w:b/>
          <w:kern w:val="0"/>
          <w:sz w:val="28"/>
          <w:szCs w:val="28"/>
          <w:highlight w:val="none"/>
        </w:rPr>
      </w:pPr>
    </w:p>
    <w:p w14:paraId="1C881F0B">
      <w:pPr>
        <w:widowControl/>
        <w:ind w:firstLine="3092" w:firstLineChars="1100"/>
        <w:jc w:val="left"/>
        <w:rPr>
          <w:rFonts w:ascii="仿宋" w:hAnsi="仿宋" w:eastAsia="仿宋" w:cs="仿宋"/>
          <w:b/>
          <w:kern w:val="0"/>
          <w:sz w:val="28"/>
          <w:szCs w:val="28"/>
          <w:highlight w:val="none"/>
        </w:rPr>
      </w:pPr>
    </w:p>
    <w:p w14:paraId="62929EDB">
      <w:pPr>
        <w:widowControl/>
        <w:ind w:firstLine="3092" w:firstLineChars="1100"/>
        <w:jc w:val="left"/>
        <w:rPr>
          <w:rFonts w:ascii="仿宋" w:hAnsi="仿宋" w:eastAsia="仿宋" w:cs="仿宋"/>
          <w:b/>
          <w:kern w:val="0"/>
          <w:sz w:val="28"/>
          <w:szCs w:val="28"/>
          <w:highlight w:val="none"/>
        </w:rPr>
      </w:pPr>
    </w:p>
    <w:p w14:paraId="16E08202">
      <w:pPr>
        <w:widowControl/>
        <w:ind w:firstLine="1680" w:firstLineChars="700"/>
        <w:jc w:val="left"/>
        <w:rPr>
          <w:rFonts w:ascii="仿宋" w:hAnsi="仿宋" w:eastAsia="仿宋" w:cs="仿宋"/>
          <w:sz w:val="24"/>
          <w:highlight w:val="none"/>
        </w:rPr>
      </w:pPr>
      <w:r>
        <w:rPr>
          <w:rFonts w:hint="eastAsia" w:ascii="仿宋" w:hAnsi="仿宋" w:eastAsia="仿宋" w:cs="仿宋"/>
          <w:sz w:val="24"/>
          <w:highlight w:val="none"/>
        </w:rPr>
        <w:t>磋商供应商[公章(CA签章)，自然人签字或个人CA签章]：</w:t>
      </w:r>
    </w:p>
    <w:p w14:paraId="3F1A8C62">
      <w:pPr>
        <w:pStyle w:val="15"/>
        <w:spacing w:line="300" w:lineRule="exact"/>
        <w:ind w:left="2940" w:leftChars="1400" w:firstLine="720" w:firstLineChars="300"/>
        <w:rPr>
          <w:rFonts w:ascii="仿宋" w:hAnsi="仿宋" w:eastAsia="仿宋" w:cs="仿宋"/>
          <w:sz w:val="24"/>
          <w:szCs w:val="24"/>
          <w:highlight w:val="none"/>
        </w:rPr>
      </w:pPr>
    </w:p>
    <w:p w14:paraId="7755AC87">
      <w:pPr>
        <w:pStyle w:val="15"/>
        <w:spacing w:line="300" w:lineRule="exact"/>
        <w:ind w:firstLine="3975" w:firstLineChars="1650"/>
        <w:rPr>
          <w:rFonts w:ascii="仿宋" w:hAnsi="仿宋" w:eastAsia="仿宋" w:cs="仿宋"/>
          <w:b/>
          <w:sz w:val="24"/>
          <w:szCs w:val="24"/>
          <w:highlight w:val="none"/>
        </w:rPr>
      </w:pPr>
    </w:p>
    <w:p w14:paraId="0236F8D5">
      <w:pPr>
        <w:pStyle w:val="15"/>
        <w:spacing w:line="300" w:lineRule="exact"/>
        <w:rPr>
          <w:rFonts w:ascii="仿宋" w:hAnsi="仿宋" w:eastAsia="仿宋" w:cs="仿宋"/>
          <w:b/>
          <w:sz w:val="24"/>
          <w:szCs w:val="24"/>
          <w:highlight w:val="none"/>
        </w:rPr>
      </w:pPr>
    </w:p>
    <w:p w14:paraId="6253657A">
      <w:pPr>
        <w:snapToGrid w:val="0"/>
        <w:spacing w:line="300" w:lineRule="exact"/>
        <w:ind w:firstLine="5520" w:firstLineChars="2300"/>
        <w:rPr>
          <w:rFonts w:ascii="仿宋" w:hAnsi="仿宋" w:eastAsia="仿宋" w:cs="仿宋"/>
          <w:sz w:val="24"/>
          <w:highlight w:val="none"/>
          <w:u w:val="single"/>
        </w:rPr>
      </w:pPr>
      <w:r>
        <w:rPr>
          <w:rFonts w:hint="eastAsia" w:ascii="仿宋" w:hAnsi="仿宋" w:eastAsia="仿宋" w:cs="仿宋"/>
          <w:sz w:val="24"/>
          <w:highlight w:val="none"/>
        </w:rPr>
        <w:t>日          期：</w:t>
      </w:r>
    </w:p>
    <w:p w14:paraId="27F835E8">
      <w:pPr>
        <w:snapToGrid w:val="0"/>
        <w:spacing w:line="300" w:lineRule="exact"/>
        <w:ind w:firstLine="3570" w:firstLineChars="1700"/>
        <w:rPr>
          <w:rFonts w:ascii="仿宋" w:hAnsi="仿宋" w:eastAsia="仿宋" w:cs="仿宋"/>
          <w:highlight w:val="none"/>
          <w:u w:val="single"/>
        </w:rPr>
      </w:pPr>
    </w:p>
    <w:p w14:paraId="0432CEC0">
      <w:pPr>
        <w:pStyle w:val="10"/>
        <w:rPr>
          <w:rFonts w:ascii="仿宋" w:hAnsi="仿宋" w:eastAsia="仿宋" w:cs="仿宋"/>
          <w:highlight w:val="none"/>
          <w:u w:val="single"/>
        </w:rPr>
      </w:pPr>
    </w:p>
    <w:p w14:paraId="4FAC0F14">
      <w:pPr>
        <w:pStyle w:val="10"/>
        <w:rPr>
          <w:rFonts w:ascii="仿宋" w:hAnsi="仿宋" w:eastAsia="仿宋" w:cs="仿宋"/>
          <w:highlight w:val="none"/>
          <w:u w:val="single"/>
        </w:rPr>
      </w:pPr>
    </w:p>
    <w:p w14:paraId="449CC6F4">
      <w:pPr>
        <w:pStyle w:val="10"/>
        <w:rPr>
          <w:rFonts w:ascii="仿宋" w:hAnsi="仿宋" w:eastAsia="仿宋" w:cs="仿宋"/>
          <w:b/>
          <w:bCs/>
          <w:szCs w:val="21"/>
          <w:highlight w:val="none"/>
        </w:rPr>
      </w:pPr>
    </w:p>
    <w:p w14:paraId="6F904D8F">
      <w:pPr>
        <w:pStyle w:val="10"/>
        <w:rPr>
          <w:rFonts w:ascii="仿宋" w:hAnsi="仿宋" w:eastAsia="仿宋" w:cs="仿宋"/>
          <w:b/>
          <w:bCs/>
          <w:szCs w:val="21"/>
          <w:highlight w:val="none"/>
        </w:rPr>
      </w:pPr>
    </w:p>
    <w:p w14:paraId="669A60C4">
      <w:pPr>
        <w:pStyle w:val="10"/>
        <w:rPr>
          <w:rFonts w:ascii="仿宋" w:hAnsi="仿宋" w:eastAsia="仿宋" w:cs="仿宋"/>
          <w:b/>
          <w:bCs/>
          <w:szCs w:val="21"/>
          <w:highlight w:val="none"/>
        </w:rPr>
      </w:pPr>
    </w:p>
    <w:p w14:paraId="6C303591">
      <w:pPr>
        <w:pStyle w:val="10"/>
        <w:rPr>
          <w:rFonts w:ascii="仿宋" w:hAnsi="仿宋" w:eastAsia="仿宋" w:cs="仿宋"/>
          <w:b/>
          <w:bCs/>
          <w:szCs w:val="21"/>
          <w:highlight w:val="none"/>
        </w:rPr>
      </w:pPr>
    </w:p>
    <w:p w14:paraId="21D78465">
      <w:pPr>
        <w:pStyle w:val="10"/>
        <w:rPr>
          <w:rFonts w:ascii="仿宋" w:hAnsi="仿宋" w:eastAsia="仿宋" w:cs="仿宋"/>
          <w:b/>
          <w:bCs/>
          <w:szCs w:val="21"/>
          <w:highlight w:val="none"/>
        </w:rPr>
      </w:pPr>
    </w:p>
    <w:p w14:paraId="47A6EDCE">
      <w:pPr>
        <w:pStyle w:val="10"/>
        <w:rPr>
          <w:rFonts w:ascii="仿宋" w:hAnsi="仿宋" w:eastAsia="仿宋" w:cs="仿宋"/>
          <w:b/>
          <w:bCs/>
          <w:szCs w:val="21"/>
          <w:highlight w:val="none"/>
        </w:rPr>
      </w:pPr>
    </w:p>
    <w:p w14:paraId="78FCE41A">
      <w:pPr>
        <w:pStyle w:val="10"/>
        <w:rPr>
          <w:rFonts w:ascii="仿宋" w:hAnsi="仿宋" w:eastAsia="仿宋" w:cs="仿宋"/>
          <w:b/>
          <w:bCs/>
          <w:szCs w:val="21"/>
          <w:highlight w:val="none"/>
        </w:rPr>
      </w:pPr>
    </w:p>
    <w:p w14:paraId="2F96E7DC">
      <w:pPr>
        <w:pStyle w:val="10"/>
        <w:rPr>
          <w:rFonts w:ascii="仿宋" w:hAnsi="仿宋" w:eastAsia="仿宋" w:cs="仿宋"/>
          <w:b/>
          <w:bCs/>
          <w:szCs w:val="21"/>
          <w:highlight w:val="none"/>
        </w:rPr>
      </w:pPr>
    </w:p>
    <w:p w14:paraId="7D798810">
      <w:pPr>
        <w:pStyle w:val="10"/>
        <w:rPr>
          <w:rFonts w:ascii="仿宋" w:hAnsi="仿宋" w:eastAsia="仿宋" w:cs="仿宋"/>
          <w:b/>
          <w:bCs/>
          <w:szCs w:val="21"/>
          <w:highlight w:val="none"/>
        </w:rPr>
      </w:pPr>
    </w:p>
    <w:p w14:paraId="0D2AD667">
      <w:pPr>
        <w:pStyle w:val="10"/>
        <w:rPr>
          <w:rFonts w:ascii="仿宋" w:hAnsi="仿宋" w:eastAsia="仿宋" w:cs="仿宋"/>
          <w:b/>
          <w:bCs/>
          <w:szCs w:val="21"/>
          <w:highlight w:val="none"/>
        </w:rPr>
      </w:pPr>
    </w:p>
    <w:p w14:paraId="7057D8A0">
      <w:pPr>
        <w:pStyle w:val="10"/>
        <w:rPr>
          <w:rFonts w:ascii="仿宋" w:hAnsi="仿宋" w:eastAsia="仿宋" w:cs="仿宋"/>
          <w:b/>
          <w:bCs/>
          <w:szCs w:val="21"/>
          <w:highlight w:val="none"/>
        </w:rPr>
      </w:pPr>
    </w:p>
    <w:p w14:paraId="53B0B18F">
      <w:pPr>
        <w:rPr>
          <w:rFonts w:ascii="仿宋" w:hAnsi="仿宋" w:eastAsia="仿宋" w:cs="仿宋"/>
          <w:highlight w:val="none"/>
        </w:rPr>
      </w:pPr>
    </w:p>
    <w:p w14:paraId="58F5DE0A">
      <w:pPr>
        <w:pStyle w:val="10"/>
        <w:rPr>
          <w:rFonts w:ascii="仿宋" w:hAnsi="仿宋" w:eastAsia="仿宋" w:cs="仿宋"/>
          <w:b/>
          <w:bCs/>
          <w:szCs w:val="21"/>
          <w:highlight w:val="none"/>
        </w:rPr>
      </w:pPr>
    </w:p>
    <w:p w14:paraId="000AD9A8">
      <w:pPr>
        <w:pStyle w:val="15"/>
        <w:spacing w:line="340" w:lineRule="exact"/>
        <w:rPr>
          <w:rFonts w:ascii="仿宋" w:hAnsi="仿宋" w:eastAsia="仿宋" w:cs="仿宋"/>
          <w:b/>
          <w:sz w:val="28"/>
          <w:szCs w:val="28"/>
          <w:highlight w:val="none"/>
        </w:rPr>
      </w:pPr>
    </w:p>
    <w:p w14:paraId="3F3DCA43">
      <w:pPr>
        <w:pStyle w:val="15"/>
        <w:spacing w:line="340" w:lineRule="exact"/>
        <w:rPr>
          <w:rFonts w:ascii="仿宋" w:hAnsi="仿宋" w:eastAsia="仿宋" w:cs="仿宋"/>
          <w:b/>
          <w:sz w:val="28"/>
          <w:szCs w:val="28"/>
          <w:highlight w:val="none"/>
        </w:rPr>
      </w:pPr>
      <w:bookmarkStart w:id="227" w:name="_Toc9339"/>
      <w:bookmarkStart w:id="228" w:name="_Toc497927084"/>
      <w:bookmarkStart w:id="229" w:name="_Toc28672"/>
      <w:r>
        <w:rPr>
          <w:rFonts w:hint="eastAsia" w:ascii="仿宋" w:hAnsi="仿宋" w:eastAsia="仿宋" w:cs="仿宋"/>
          <w:b/>
          <w:sz w:val="28"/>
          <w:szCs w:val="28"/>
          <w:highlight w:val="none"/>
        </w:rPr>
        <w:t>5. 服务承诺方案（由供应商根据本项目采购需求、特点及供应商自身的处理能力自行编写）（如有，请提供）；</w:t>
      </w:r>
    </w:p>
    <w:p w14:paraId="278333C8">
      <w:pPr>
        <w:rPr>
          <w:rFonts w:ascii="仿宋" w:hAnsi="仿宋" w:eastAsia="仿宋" w:cs="仿宋"/>
          <w:highlight w:val="none"/>
        </w:rPr>
      </w:pPr>
    </w:p>
    <w:p w14:paraId="5C2A6FFB">
      <w:pPr>
        <w:pStyle w:val="15"/>
        <w:spacing w:line="340" w:lineRule="exact"/>
        <w:rPr>
          <w:rFonts w:ascii="仿宋" w:hAnsi="仿宋" w:eastAsia="仿宋" w:cs="仿宋"/>
          <w:b/>
          <w:sz w:val="28"/>
          <w:szCs w:val="28"/>
          <w:highlight w:val="none"/>
        </w:rPr>
      </w:pPr>
      <w:r>
        <w:rPr>
          <w:rFonts w:hint="eastAsia" w:ascii="仿宋" w:hAnsi="仿宋" w:eastAsia="仿宋" w:cs="仿宋"/>
          <w:b/>
          <w:sz w:val="28"/>
          <w:szCs w:val="28"/>
          <w:highlight w:val="none"/>
        </w:rPr>
        <w:t>附件：</w:t>
      </w:r>
    </w:p>
    <w:p w14:paraId="14858853">
      <w:pPr>
        <w:rPr>
          <w:rFonts w:ascii="仿宋" w:hAnsi="仿宋" w:eastAsia="仿宋" w:cs="仿宋"/>
          <w:highlight w:val="none"/>
        </w:rPr>
      </w:pPr>
    </w:p>
    <w:p w14:paraId="739637B6">
      <w:pPr>
        <w:pStyle w:val="10"/>
        <w:rPr>
          <w:rFonts w:ascii="仿宋" w:hAnsi="仿宋" w:eastAsia="仿宋" w:cs="仿宋"/>
          <w:highlight w:val="none"/>
        </w:rPr>
      </w:pPr>
    </w:p>
    <w:p w14:paraId="7557A51A">
      <w:pPr>
        <w:pStyle w:val="10"/>
        <w:rPr>
          <w:rFonts w:ascii="仿宋" w:hAnsi="仿宋" w:eastAsia="仿宋" w:cs="仿宋"/>
          <w:highlight w:val="none"/>
        </w:rPr>
      </w:pPr>
    </w:p>
    <w:p w14:paraId="2DD85E9D">
      <w:pPr>
        <w:pStyle w:val="10"/>
        <w:rPr>
          <w:rFonts w:ascii="仿宋" w:hAnsi="仿宋" w:eastAsia="仿宋" w:cs="仿宋"/>
          <w:highlight w:val="none"/>
        </w:rPr>
      </w:pPr>
    </w:p>
    <w:p w14:paraId="46447A0A">
      <w:pPr>
        <w:pStyle w:val="15"/>
        <w:spacing w:line="340" w:lineRule="exact"/>
        <w:jc w:val="center"/>
        <w:rPr>
          <w:rFonts w:ascii="仿宋" w:hAnsi="仿宋" w:eastAsia="仿宋" w:cs="仿宋"/>
          <w:b/>
          <w:sz w:val="32"/>
          <w:szCs w:val="32"/>
          <w:highlight w:val="none"/>
        </w:rPr>
      </w:pPr>
      <w:r>
        <w:rPr>
          <w:rFonts w:hint="eastAsia" w:ascii="仿宋" w:hAnsi="仿宋" w:eastAsia="仿宋" w:cs="仿宋"/>
          <w:b/>
          <w:sz w:val="32"/>
          <w:szCs w:val="32"/>
          <w:highlight w:val="none"/>
        </w:rPr>
        <w:t>服务承诺方案（格式）</w:t>
      </w:r>
    </w:p>
    <w:p w14:paraId="14C96B20">
      <w:pPr>
        <w:pStyle w:val="15"/>
        <w:spacing w:line="340" w:lineRule="exact"/>
        <w:jc w:val="center"/>
        <w:rPr>
          <w:rFonts w:ascii="仿宋" w:hAnsi="仿宋" w:eastAsia="仿宋" w:cs="仿宋"/>
          <w:b/>
          <w:sz w:val="32"/>
          <w:szCs w:val="32"/>
          <w:highlight w:val="none"/>
        </w:rPr>
      </w:pPr>
    </w:p>
    <w:p w14:paraId="01848C01">
      <w:pPr>
        <w:pStyle w:val="15"/>
        <w:spacing w:line="340" w:lineRule="exact"/>
        <w:jc w:val="center"/>
        <w:rPr>
          <w:rFonts w:ascii="仿宋" w:hAnsi="仿宋" w:eastAsia="仿宋" w:cs="仿宋"/>
          <w:b/>
          <w:sz w:val="32"/>
          <w:szCs w:val="32"/>
          <w:highlight w:val="none"/>
        </w:rPr>
      </w:pPr>
    </w:p>
    <w:p w14:paraId="52DFE49E">
      <w:pPr>
        <w:pStyle w:val="15"/>
        <w:spacing w:line="340" w:lineRule="exact"/>
        <w:jc w:val="center"/>
        <w:rPr>
          <w:rFonts w:ascii="仿宋" w:hAnsi="仿宋" w:eastAsia="仿宋" w:cs="仿宋"/>
          <w:b/>
          <w:sz w:val="32"/>
          <w:szCs w:val="32"/>
          <w:highlight w:val="none"/>
        </w:rPr>
      </w:pPr>
    </w:p>
    <w:p w14:paraId="5B5DEF23">
      <w:pPr>
        <w:rPr>
          <w:rFonts w:ascii="仿宋" w:hAnsi="仿宋" w:eastAsia="仿宋" w:cs="仿宋"/>
          <w:b/>
          <w:sz w:val="32"/>
          <w:szCs w:val="32"/>
          <w:highlight w:val="none"/>
        </w:rPr>
      </w:pPr>
    </w:p>
    <w:p w14:paraId="6F070905">
      <w:pPr>
        <w:pStyle w:val="10"/>
        <w:rPr>
          <w:rFonts w:ascii="仿宋" w:hAnsi="仿宋" w:eastAsia="仿宋" w:cs="仿宋"/>
          <w:highlight w:val="none"/>
        </w:rPr>
      </w:pPr>
    </w:p>
    <w:p w14:paraId="7C5A966D">
      <w:pPr>
        <w:pStyle w:val="10"/>
        <w:rPr>
          <w:rFonts w:ascii="仿宋" w:hAnsi="仿宋" w:eastAsia="仿宋" w:cs="仿宋"/>
          <w:b/>
          <w:sz w:val="32"/>
          <w:szCs w:val="32"/>
          <w:highlight w:val="none"/>
        </w:rPr>
      </w:pPr>
    </w:p>
    <w:p w14:paraId="74350231">
      <w:pPr>
        <w:pStyle w:val="15"/>
        <w:spacing w:line="340" w:lineRule="exact"/>
        <w:jc w:val="center"/>
        <w:rPr>
          <w:rFonts w:ascii="仿宋" w:hAnsi="仿宋" w:eastAsia="仿宋" w:cs="仿宋"/>
          <w:b/>
          <w:sz w:val="32"/>
          <w:szCs w:val="32"/>
          <w:highlight w:val="none"/>
        </w:rPr>
      </w:pPr>
    </w:p>
    <w:p w14:paraId="1509F385">
      <w:pPr>
        <w:snapToGrid w:val="0"/>
        <w:spacing w:line="400" w:lineRule="exact"/>
        <w:ind w:firstLine="2160" w:firstLineChars="900"/>
        <w:rPr>
          <w:rFonts w:ascii="仿宋" w:hAnsi="仿宋" w:eastAsia="仿宋" w:cs="仿宋"/>
          <w:sz w:val="24"/>
          <w:highlight w:val="none"/>
          <w:u w:val="single"/>
        </w:rPr>
      </w:pPr>
      <w:r>
        <w:rPr>
          <w:rFonts w:hint="eastAsia" w:ascii="仿宋" w:hAnsi="仿宋" w:eastAsia="仿宋" w:cs="仿宋"/>
          <w:sz w:val="24"/>
          <w:highlight w:val="none"/>
        </w:rPr>
        <w:t>磋商供应商[公章(CA签章)，自然人签字或个人CA签章]：</w:t>
      </w:r>
    </w:p>
    <w:p w14:paraId="772AD837">
      <w:pPr>
        <w:pStyle w:val="3"/>
        <w:rPr>
          <w:rFonts w:ascii="仿宋" w:hAnsi="仿宋" w:eastAsia="仿宋" w:cs="仿宋"/>
          <w:sz w:val="24"/>
          <w:szCs w:val="24"/>
          <w:highlight w:val="none"/>
        </w:rPr>
      </w:pPr>
    </w:p>
    <w:p w14:paraId="3854BDD6">
      <w:pPr>
        <w:snapToGrid w:val="0"/>
        <w:spacing w:line="400" w:lineRule="exact"/>
        <w:ind w:firstLine="1920" w:firstLineChars="800"/>
        <w:rPr>
          <w:rFonts w:ascii="仿宋" w:hAnsi="仿宋" w:eastAsia="仿宋" w:cs="仿宋"/>
          <w:b/>
          <w:bCs/>
          <w:sz w:val="24"/>
          <w:highlight w:val="none"/>
        </w:rPr>
      </w:pPr>
      <w:r>
        <w:rPr>
          <w:rFonts w:hint="eastAsia" w:ascii="仿宋" w:hAnsi="仿宋" w:eastAsia="仿宋" w:cs="仿宋"/>
          <w:sz w:val="24"/>
          <w:highlight w:val="none"/>
        </w:rPr>
        <w:t xml:space="preserve"> 日          期：</w:t>
      </w:r>
    </w:p>
    <w:p w14:paraId="1BDABC8B">
      <w:pPr>
        <w:pStyle w:val="10"/>
        <w:rPr>
          <w:rFonts w:ascii="仿宋" w:hAnsi="仿宋" w:eastAsia="仿宋" w:cs="仿宋"/>
          <w:b/>
          <w:bCs/>
          <w:szCs w:val="21"/>
          <w:highlight w:val="none"/>
        </w:rPr>
      </w:pPr>
    </w:p>
    <w:p w14:paraId="26F04CD1">
      <w:pPr>
        <w:pStyle w:val="10"/>
        <w:rPr>
          <w:rFonts w:ascii="仿宋" w:hAnsi="仿宋" w:eastAsia="仿宋" w:cs="仿宋"/>
          <w:b/>
          <w:bCs/>
          <w:szCs w:val="21"/>
          <w:highlight w:val="none"/>
        </w:rPr>
      </w:pPr>
    </w:p>
    <w:p w14:paraId="57C3BCB1">
      <w:pPr>
        <w:pStyle w:val="10"/>
        <w:rPr>
          <w:rFonts w:ascii="仿宋" w:hAnsi="仿宋" w:eastAsia="仿宋" w:cs="仿宋"/>
          <w:b/>
          <w:bCs/>
          <w:szCs w:val="21"/>
          <w:highlight w:val="none"/>
        </w:rPr>
      </w:pPr>
    </w:p>
    <w:p w14:paraId="2A5581DF">
      <w:pPr>
        <w:pStyle w:val="10"/>
        <w:rPr>
          <w:rFonts w:ascii="仿宋" w:hAnsi="仿宋" w:eastAsia="仿宋" w:cs="仿宋"/>
          <w:b/>
          <w:bCs/>
          <w:szCs w:val="21"/>
          <w:highlight w:val="none"/>
        </w:rPr>
      </w:pPr>
    </w:p>
    <w:p w14:paraId="3D8F4438">
      <w:pPr>
        <w:pStyle w:val="10"/>
        <w:rPr>
          <w:rFonts w:ascii="仿宋" w:hAnsi="仿宋" w:eastAsia="仿宋" w:cs="仿宋"/>
          <w:b/>
          <w:bCs/>
          <w:szCs w:val="21"/>
          <w:highlight w:val="none"/>
        </w:rPr>
      </w:pPr>
    </w:p>
    <w:p w14:paraId="3E72EBFC">
      <w:pPr>
        <w:rPr>
          <w:rFonts w:ascii="仿宋" w:hAnsi="仿宋" w:eastAsia="仿宋" w:cs="仿宋"/>
          <w:b/>
          <w:bCs/>
          <w:szCs w:val="21"/>
          <w:highlight w:val="none"/>
        </w:rPr>
      </w:pPr>
    </w:p>
    <w:p w14:paraId="2F05B0D8">
      <w:pPr>
        <w:pStyle w:val="31"/>
        <w:rPr>
          <w:rFonts w:ascii="仿宋" w:hAnsi="仿宋" w:eastAsia="仿宋" w:cs="仿宋"/>
          <w:b/>
          <w:bCs/>
          <w:color w:val="auto"/>
          <w:szCs w:val="21"/>
          <w:highlight w:val="none"/>
        </w:rPr>
      </w:pPr>
    </w:p>
    <w:p w14:paraId="555C08A5">
      <w:pPr>
        <w:pStyle w:val="31"/>
        <w:rPr>
          <w:rFonts w:ascii="仿宋" w:hAnsi="仿宋" w:eastAsia="仿宋" w:cs="仿宋"/>
          <w:b/>
          <w:bCs/>
          <w:color w:val="auto"/>
          <w:szCs w:val="21"/>
          <w:highlight w:val="none"/>
        </w:rPr>
      </w:pPr>
    </w:p>
    <w:p w14:paraId="2FE9CE76">
      <w:pPr>
        <w:pStyle w:val="31"/>
        <w:rPr>
          <w:rFonts w:ascii="仿宋" w:hAnsi="仿宋" w:eastAsia="仿宋" w:cs="仿宋"/>
          <w:b/>
          <w:bCs/>
          <w:color w:val="auto"/>
          <w:szCs w:val="21"/>
          <w:highlight w:val="none"/>
        </w:rPr>
      </w:pPr>
    </w:p>
    <w:p w14:paraId="552721B2">
      <w:pPr>
        <w:pStyle w:val="31"/>
        <w:rPr>
          <w:rFonts w:ascii="仿宋" w:hAnsi="仿宋" w:eastAsia="仿宋" w:cs="仿宋"/>
          <w:b/>
          <w:bCs/>
          <w:color w:val="auto"/>
          <w:szCs w:val="21"/>
          <w:highlight w:val="none"/>
        </w:rPr>
      </w:pPr>
    </w:p>
    <w:p w14:paraId="19D23890">
      <w:pPr>
        <w:pStyle w:val="31"/>
        <w:rPr>
          <w:rFonts w:ascii="仿宋" w:hAnsi="仿宋" w:eastAsia="仿宋" w:cs="仿宋"/>
          <w:b/>
          <w:bCs/>
          <w:color w:val="auto"/>
          <w:szCs w:val="21"/>
          <w:highlight w:val="none"/>
        </w:rPr>
      </w:pPr>
    </w:p>
    <w:p w14:paraId="7DB02622">
      <w:pPr>
        <w:pStyle w:val="31"/>
        <w:rPr>
          <w:rFonts w:ascii="仿宋" w:hAnsi="仿宋" w:eastAsia="仿宋" w:cs="仿宋"/>
          <w:b/>
          <w:bCs/>
          <w:color w:val="auto"/>
          <w:szCs w:val="21"/>
          <w:highlight w:val="none"/>
        </w:rPr>
      </w:pPr>
    </w:p>
    <w:p w14:paraId="2A58CD97">
      <w:pPr>
        <w:pStyle w:val="31"/>
        <w:rPr>
          <w:rFonts w:ascii="仿宋" w:hAnsi="仿宋" w:eastAsia="仿宋" w:cs="仿宋"/>
          <w:b/>
          <w:bCs/>
          <w:color w:val="auto"/>
          <w:szCs w:val="21"/>
          <w:highlight w:val="none"/>
        </w:rPr>
      </w:pPr>
    </w:p>
    <w:p w14:paraId="78E8FE90">
      <w:pPr>
        <w:pStyle w:val="31"/>
        <w:rPr>
          <w:rFonts w:ascii="仿宋" w:hAnsi="仿宋" w:eastAsia="仿宋" w:cs="仿宋"/>
          <w:b/>
          <w:bCs/>
          <w:color w:val="auto"/>
          <w:szCs w:val="21"/>
          <w:highlight w:val="none"/>
        </w:rPr>
      </w:pPr>
    </w:p>
    <w:p w14:paraId="7B950656">
      <w:pPr>
        <w:pStyle w:val="31"/>
        <w:rPr>
          <w:rFonts w:ascii="仿宋" w:hAnsi="仿宋" w:eastAsia="仿宋" w:cs="仿宋"/>
          <w:b/>
          <w:bCs/>
          <w:color w:val="auto"/>
          <w:szCs w:val="21"/>
          <w:highlight w:val="none"/>
        </w:rPr>
      </w:pPr>
    </w:p>
    <w:p w14:paraId="4AA512D4">
      <w:pPr>
        <w:pStyle w:val="10"/>
        <w:rPr>
          <w:rFonts w:ascii="仿宋" w:hAnsi="仿宋" w:eastAsia="仿宋" w:cs="仿宋"/>
          <w:b/>
          <w:bCs/>
          <w:szCs w:val="21"/>
          <w:highlight w:val="none"/>
        </w:rPr>
      </w:pPr>
    </w:p>
    <w:p w14:paraId="1F6AFF04">
      <w:pPr>
        <w:rPr>
          <w:rFonts w:ascii="仿宋" w:hAnsi="仿宋" w:eastAsia="仿宋" w:cs="仿宋"/>
          <w:highlight w:val="none"/>
        </w:rPr>
      </w:pPr>
    </w:p>
    <w:p w14:paraId="5A0ED0C8">
      <w:pPr>
        <w:pStyle w:val="10"/>
        <w:rPr>
          <w:rFonts w:ascii="仿宋" w:hAnsi="仿宋" w:eastAsia="仿宋" w:cs="仿宋"/>
          <w:b/>
          <w:bCs/>
          <w:szCs w:val="21"/>
          <w:highlight w:val="none"/>
        </w:rPr>
      </w:pPr>
    </w:p>
    <w:p w14:paraId="19891FE9">
      <w:pPr>
        <w:pStyle w:val="10"/>
        <w:rPr>
          <w:rFonts w:ascii="仿宋" w:hAnsi="仿宋" w:eastAsia="仿宋" w:cs="仿宋"/>
          <w:b/>
          <w:bCs/>
          <w:szCs w:val="21"/>
          <w:highlight w:val="none"/>
        </w:rPr>
      </w:pPr>
    </w:p>
    <w:p w14:paraId="5A7A29E0">
      <w:pPr>
        <w:rPr>
          <w:highlight w:val="none"/>
        </w:rPr>
      </w:pPr>
    </w:p>
    <w:p w14:paraId="05195C9A">
      <w:pPr>
        <w:rPr>
          <w:rFonts w:ascii="仿宋" w:hAnsi="仿宋" w:eastAsia="仿宋" w:cs="仿宋"/>
          <w:highlight w:val="none"/>
        </w:rPr>
      </w:pPr>
    </w:p>
    <w:p w14:paraId="5CB12CB1">
      <w:pPr>
        <w:spacing w:line="340" w:lineRule="exact"/>
        <w:ind w:left="420"/>
        <w:jc w:val="center"/>
        <w:rPr>
          <w:rFonts w:ascii="仿宋" w:hAnsi="仿宋" w:eastAsia="仿宋" w:cs="仿宋"/>
          <w:szCs w:val="21"/>
          <w:highlight w:val="none"/>
        </w:rPr>
      </w:pPr>
      <w:r>
        <w:rPr>
          <w:rFonts w:hint="eastAsia" w:ascii="仿宋" w:hAnsi="仿宋" w:eastAsia="仿宋" w:cs="仿宋"/>
          <w:b/>
          <w:bCs/>
          <w:sz w:val="32"/>
          <w:szCs w:val="32"/>
          <w:highlight w:val="none"/>
        </w:rPr>
        <w:t>（三）其他有效证明材料目录</w:t>
      </w:r>
      <w:bookmarkEnd w:id="227"/>
      <w:bookmarkEnd w:id="228"/>
      <w:bookmarkEnd w:id="229"/>
    </w:p>
    <w:p w14:paraId="5098FA1C">
      <w:pPr>
        <w:spacing w:line="420" w:lineRule="exact"/>
        <w:ind w:firstLine="480" w:firstLineChars="200"/>
        <w:rPr>
          <w:rFonts w:ascii="仿宋" w:hAnsi="仿宋" w:eastAsia="仿宋" w:cs="仿宋"/>
          <w:sz w:val="24"/>
          <w:highlight w:val="none"/>
        </w:rPr>
      </w:pPr>
    </w:p>
    <w:p w14:paraId="67536C39">
      <w:pPr>
        <w:spacing w:line="420" w:lineRule="exact"/>
        <w:ind w:firstLine="480" w:firstLineChars="200"/>
        <w:rPr>
          <w:rFonts w:ascii="仿宋" w:hAnsi="仿宋" w:eastAsia="仿宋" w:cs="仿宋"/>
          <w:b/>
          <w:bCs/>
          <w:sz w:val="24"/>
          <w:highlight w:val="none"/>
        </w:rPr>
      </w:pPr>
      <w:r>
        <w:rPr>
          <w:rFonts w:hint="eastAsia" w:ascii="仿宋" w:hAnsi="仿宋" w:eastAsia="仿宋" w:cs="仿宋"/>
          <w:sz w:val="24"/>
          <w:highlight w:val="none"/>
        </w:rPr>
        <w:t>1.项目实施人员一览表（格式见附件）</w:t>
      </w:r>
      <w:r>
        <w:rPr>
          <w:rFonts w:hint="eastAsia" w:ascii="仿宋" w:hAnsi="仿宋" w:eastAsia="仿宋" w:cs="仿宋"/>
          <w:b/>
          <w:bCs/>
          <w:sz w:val="24"/>
          <w:highlight w:val="none"/>
        </w:rPr>
        <w:t>（如有，请提供）</w:t>
      </w:r>
    </w:p>
    <w:p w14:paraId="0FFBB38F">
      <w:pPr>
        <w:spacing w:line="420" w:lineRule="exact"/>
        <w:ind w:firstLine="480" w:firstLineChars="200"/>
        <w:jc w:val="left"/>
        <w:rPr>
          <w:rFonts w:ascii="仿宋" w:hAnsi="仿宋" w:eastAsia="仿宋" w:cs="仿宋"/>
          <w:sz w:val="24"/>
          <w:highlight w:val="none"/>
        </w:rPr>
      </w:pPr>
    </w:p>
    <w:p w14:paraId="696119B5">
      <w:pPr>
        <w:spacing w:line="420" w:lineRule="exact"/>
        <w:ind w:firstLine="480" w:firstLineChars="200"/>
        <w:jc w:val="left"/>
        <w:rPr>
          <w:rFonts w:ascii="仿宋" w:hAnsi="仿宋" w:eastAsia="仿宋" w:cs="仿宋"/>
          <w:b/>
          <w:bCs/>
          <w:sz w:val="24"/>
          <w:highlight w:val="none"/>
        </w:rPr>
      </w:pPr>
      <w:r>
        <w:rPr>
          <w:rFonts w:hint="eastAsia" w:ascii="仿宋" w:hAnsi="仿宋" w:eastAsia="仿宋" w:cs="仿宋"/>
          <w:sz w:val="24"/>
          <w:highlight w:val="none"/>
        </w:rPr>
        <w:t>2.“采购需求”需提供的有效证明文件</w:t>
      </w:r>
      <w:r>
        <w:rPr>
          <w:rFonts w:hint="eastAsia" w:ascii="仿宋" w:hAnsi="仿宋" w:eastAsia="仿宋" w:cs="仿宋"/>
          <w:b/>
          <w:bCs/>
          <w:sz w:val="24"/>
          <w:highlight w:val="none"/>
        </w:rPr>
        <w:t>（按其要求提供）；</w:t>
      </w:r>
    </w:p>
    <w:p w14:paraId="0F819AAC">
      <w:pPr>
        <w:spacing w:line="420" w:lineRule="exact"/>
        <w:ind w:firstLine="480" w:firstLineChars="200"/>
        <w:rPr>
          <w:rFonts w:ascii="仿宋" w:hAnsi="仿宋" w:eastAsia="仿宋" w:cs="仿宋"/>
          <w:sz w:val="24"/>
          <w:highlight w:val="none"/>
        </w:rPr>
      </w:pPr>
    </w:p>
    <w:p w14:paraId="67972879">
      <w:pPr>
        <w:spacing w:line="420" w:lineRule="exact"/>
        <w:ind w:firstLine="480" w:firstLineChars="200"/>
        <w:rPr>
          <w:rFonts w:ascii="仿宋" w:hAnsi="仿宋" w:eastAsia="仿宋" w:cs="仿宋"/>
          <w:b/>
          <w:bCs/>
          <w:sz w:val="24"/>
          <w:highlight w:val="none"/>
        </w:rPr>
      </w:pPr>
      <w:r>
        <w:rPr>
          <w:rFonts w:hint="eastAsia" w:ascii="仿宋" w:hAnsi="仿宋" w:eastAsia="仿宋" w:cs="仿宋"/>
          <w:sz w:val="24"/>
          <w:highlight w:val="none"/>
        </w:rPr>
        <w:t>3.投标人</w:t>
      </w:r>
      <w:r>
        <w:rPr>
          <w:rFonts w:hint="eastAsia" w:ascii="仿宋" w:hAnsi="仿宋" w:eastAsia="仿宋" w:cs="仿宋"/>
          <w:sz w:val="24"/>
          <w:highlight w:val="none"/>
          <w:lang w:eastAsia="zh-CN"/>
        </w:rPr>
        <w:t>2022 年1月1日</w:t>
      </w:r>
      <w:r>
        <w:rPr>
          <w:rFonts w:hint="eastAsia" w:ascii="仿宋" w:hAnsi="仿宋" w:eastAsia="仿宋" w:cs="仿宋"/>
          <w:sz w:val="24"/>
          <w:highlight w:val="none"/>
        </w:rPr>
        <w:t>以来类似项目业绩[无不良记录，以中标（成交）通知书或签订的项目合同为准，并能清晰反映项目的名称、种类、金额，否则将不予评审，同一个编号的项目有两个或两个以上的分标中标的只算一次]（如有，请提供）</w:t>
      </w:r>
      <w:r>
        <w:rPr>
          <w:rFonts w:hint="eastAsia" w:ascii="仿宋" w:hAnsi="仿宋" w:eastAsia="仿宋" w:cs="仿宋"/>
          <w:b/>
          <w:bCs/>
          <w:sz w:val="24"/>
          <w:highlight w:val="none"/>
        </w:rPr>
        <w:t>；</w:t>
      </w:r>
    </w:p>
    <w:p w14:paraId="762BBB4A">
      <w:pPr>
        <w:pStyle w:val="10"/>
        <w:spacing w:line="420" w:lineRule="exact"/>
        <w:rPr>
          <w:highlight w:val="none"/>
        </w:rPr>
      </w:pPr>
    </w:p>
    <w:p w14:paraId="3F88D801">
      <w:pPr>
        <w:spacing w:line="4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4.《中小企业声明函》（见附件）</w:t>
      </w:r>
      <w:r>
        <w:rPr>
          <w:rFonts w:hint="eastAsia" w:ascii="仿宋" w:hAnsi="仿宋" w:eastAsia="仿宋" w:cs="仿宋"/>
          <w:b/>
          <w:bCs/>
          <w:sz w:val="24"/>
          <w:highlight w:val="none"/>
        </w:rPr>
        <w:t>（</w:t>
      </w:r>
      <w:r>
        <w:rPr>
          <w:rFonts w:hint="eastAsia" w:ascii="仿宋" w:hAnsi="仿宋" w:eastAsia="仿宋" w:cs="仿宋"/>
          <w:b/>
          <w:bCs/>
          <w:sz w:val="24"/>
          <w:highlight w:val="none"/>
          <w:lang w:val="en-US" w:eastAsia="zh-CN"/>
        </w:rPr>
        <w:t>必须</w:t>
      </w:r>
      <w:r>
        <w:rPr>
          <w:rFonts w:hint="eastAsia" w:ascii="仿宋" w:hAnsi="仿宋" w:eastAsia="仿宋" w:cs="仿宋"/>
          <w:b/>
          <w:bCs/>
          <w:sz w:val="24"/>
          <w:highlight w:val="none"/>
        </w:rPr>
        <w:t>提供）；</w:t>
      </w:r>
    </w:p>
    <w:p w14:paraId="49B0A8B1">
      <w:pPr>
        <w:spacing w:line="420" w:lineRule="exact"/>
        <w:ind w:firstLine="480" w:firstLineChars="200"/>
        <w:rPr>
          <w:rFonts w:ascii="仿宋" w:hAnsi="仿宋" w:eastAsia="仿宋" w:cs="仿宋"/>
          <w:sz w:val="24"/>
          <w:highlight w:val="none"/>
        </w:rPr>
      </w:pPr>
    </w:p>
    <w:p w14:paraId="7D7071A2">
      <w:pPr>
        <w:spacing w:line="4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5.如提供服务的供应商属于监狱企业的，应当提供由省级以上监狱管理局、戒毒管理局等（含新疆生产建设兵团）出具的属于监狱企业的证明文件</w:t>
      </w:r>
      <w:r>
        <w:rPr>
          <w:rFonts w:hint="eastAsia" w:ascii="仿宋" w:hAnsi="仿宋" w:eastAsia="仿宋" w:cs="仿宋"/>
          <w:b/>
          <w:bCs/>
          <w:sz w:val="24"/>
          <w:highlight w:val="none"/>
        </w:rPr>
        <w:t>（如有，请提供）</w:t>
      </w:r>
      <w:r>
        <w:rPr>
          <w:rFonts w:hint="eastAsia" w:ascii="仿宋" w:hAnsi="仿宋" w:eastAsia="仿宋" w:cs="仿宋"/>
          <w:sz w:val="24"/>
          <w:highlight w:val="none"/>
        </w:rPr>
        <w:t>；</w:t>
      </w:r>
    </w:p>
    <w:p w14:paraId="00F0B2A4">
      <w:pPr>
        <w:spacing w:line="420" w:lineRule="exact"/>
        <w:ind w:firstLine="480" w:firstLineChars="200"/>
        <w:rPr>
          <w:rFonts w:ascii="仿宋" w:hAnsi="仿宋" w:eastAsia="仿宋" w:cs="仿宋"/>
          <w:sz w:val="24"/>
          <w:highlight w:val="none"/>
        </w:rPr>
      </w:pPr>
    </w:p>
    <w:p w14:paraId="6D5E0F8F">
      <w:pPr>
        <w:spacing w:line="4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6.符合条件的残疾人福利性单位在参加政府采购活动时，应当提供《残疾人福利性单位声明函》（见附件），并对声明的真实性负责；</w:t>
      </w:r>
      <w:r>
        <w:rPr>
          <w:rFonts w:hint="eastAsia" w:ascii="仿宋" w:hAnsi="仿宋" w:eastAsia="仿宋" w:cs="仿宋"/>
          <w:b/>
          <w:bCs/>
          <w:sz w:val="24"/>
          <w:highlight w:val="none"/>
        </w:rPr>
        <w:t>（如有，请提供）</w:t>
      </w:r>
      <w:r>
        <w:rPr>
          <w:rFonts w:hint="eastAsia" w:ascii="仿宋" w:hAnsi="仿宋" w:eastAsia="仿宋" w:cs="仿宋"/>
          <w:sz w:val="24"/>
          <w:highlight w:val="none"/>
        </w:rPr>
        <w:t>；</w:t>
      </w:r>
    </w:p>
    <w:p w14:paraId="736A7B18">
      <w:pPr>
        <w:spacing w:line="420" w:lineRule="exact"/>
        <w:ind w:firstLine="480" w:firstLineChars="200"/>
        <w:rPr>
          <w:rFonts w:ascii="仿宋" w:hAnsi="仿宋" w:eastAsia="仿宋" w:cs="仿宋"/>
          <w:sz w:val="24"/>
          <w:highlight w:val="none"/>
        </w:rPr>
      </w:pPr>
    </w:p>
    <w:p w14:paraId="637CF4DE">
      <w:pPr>
        <w:spacing w:line="4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7.供应商可结合本项目的评审办法视自身情况自行提交其它相关证明材料。</w:t>
      </w:r>
    </w:p>
    <w:p w14:paraId="1BC41857">
      <w:pPr>
        <w:spacing w:line="360" w:lineRule="auto"/>
        <w:rPr>
          <w:rFonts w:ascii="仿宋" w:hAnsi="仿宋" w:eastAsia="仿宋" w:cs="仿宋"/>
          <w:b/>
          <w:bCs/>
          <w:sz w:val="28"/>
          <w:szCs w:val="28"/>
          <w:highlight w:val="none"/>
        </w:rPr>
      </w:pPr>
    </w:p>
    <w:p w14:paraId="678D68CB">
      <w:pPr>
        <w:spacing w:line="360" w:lineRule="auto"/>
        <w:rPr>
          <w:rFonts w:ascii="仿宋" w:hAnsi="仿宋" w:eastAsia="仿宋" w:cs="仿宋"/>
          <w:b/>
          <w:bCs/>
          <w:sz w:val="28"/>
          <w:szCs w:val="28"/>
          <w:highlight w:val="none"/>
        </w:rPr>
      </w:pPr>
    </w:p>
    <w:p w14:paraId="6A1D405B">
      <w:pPr>
        <w:spacing w:line="360" w:lineRule="auto"/>
        <w:rPr>
          <w:rFonts w:ascii="仿宋" w:hAnsi="仿宋" w:eastAsia="仿宋" w:cs="仿宋"/>
          <w:b/>
          <w:bCs/>
          <w:sz w:val="28"/>
          <w:szCs w:val="28"/>
          <w:highlight w:val="none"/>
        </w:rPr>
      </w:pPr>
    </w:p>
    <w:p w14:paraId="78BE7F48">
      <w:pPr>
        <w:spacing w:line="360" w:lineRule="auto"/>
        <w:rPr>
          <w:rFonts w:ascii="仿宋" w:hAnsi="仿宋" w:eastAsia="仿宋" w:cs="仿宋"/>
          <w:b/>
          <w:bCs/>
          <w:sz w:val="28"/>
          <w:szCs w:val="28"/>
          <w:highlight w:val="none"/>
        </w:rPr>
      </w:pPr>
    </w:p>
    <w:p w14:paraId="65129B51">
      <w:pPr>
        <w:spacing w:line="360" w:lineRule="auto"/>
        <w:rPr>
          <w:rFonts w:ascii="仿宋" w:hAnsi="仿宋" w:eastAsia="仿宋" w:cs="仿宋"/>
          <w:b/>
          <w:bCs/>
          <w:sz w:val="28"/>
          <w:szCs w:val="28"/>
          <w:highlight w:val="none"/>
        </w:rPr>
      </w:pPr>
    </w:p>
    <w:p w14:paraId="6D6D2FB6">
      <w:pPr>
        <w:spacing w:line="360" w:lineRule="auto"/>
        <w:rPr>
          <w:rFonts w:ascii="仿宋" w:hAnsi="仿宋" w:eastAsia="仿宋" w:cs="仿宋"/>
          <w:b/>
          <w:bCs/>
          <w:sz w:val="28"/>
          <w:szCs w:val="28"/>
          <w:highlight w:val="none"/>
        </w:rPr>
      </w:pPr>
    </w:p>
    <w:p w14:paraId="301AB9CA">
      <w:pPr>
        <w:spacing w:line="360" w:lineRule="auto"/>
        <w:rPr>
          <w:rFonts w:ascii="仿宋" w:hAnsi="仿宋" w:eastAsia="仿宋" w:cs="仿宋"/>
          <w:b/>
          <w:bCs/>
          <w:sz w:val="28"/>
          <w:szCs w:val="28"/>
          <w:highlight w:val="none"/>
        </w:rPr>
      </w:pPr>
    </w:p>
    <w:p w14:paraId="42D56419">
      <w:pPr>
        <w:spacing w:line="360" w:lineRule="auto"/>
        <w:rPr>
          <w:rFonts w:ascii="仿宋" w:hAnsi="仿宋" w:eastAsia="仿宋" w:cs="仿宋"/>
          <w:b/>
          <w:bCs/>
          <w:sz w:val="28"/>
          <w:szCs w:val="28"/>
          <w:highlight w:val="none"/>
        </w:rPr>
      </w:pPr>
    </w:p>
    <w:p w14:paraId="7752B4CF">
      <w:pPr>
        <w:spacing w:line="360" w:lineRule="auto"/>
        <w:rPr>
          <w:rFonts w:ascii="仿宋" w:hAnsi="仿宋" w:eastAsia="仿宋" w:cs="仿宋"/>
          <w:b/>
          <w:bCs/>
          <w:sz w:val="28"/>
          <w:szCs w:val="28"/>
          <w:highlight w:val="none"/>
        </w:rPr>
      </w:pPr>
    </w:p>
    <w:p w14:paraId="0637DBF6">
      <w:pPr>
        <w:pStyle w:val="22"/>
        <w:rPr>
          <w:highlight w:val="none"/>
        </w:rPr>
      </w:pPr>
    </w:p>
    <w:p w14:paraId="27CB6901">
      <w:pPr>
        <w:spacing w:line="360" w:lineRule="auto"/>
        <w:rPr>
          <w:rFonts w:ascii="仿宋" w:hAnsi="仿宋" w:eastAsia="仿宋" w:cs="仿宋"/>
          <w:b/>
          <w:sz w:val="28"/>
          <w:szCs w:val="28"/>
          <w:highlight w:val="none"/>
        </w:rPr>
      </w:pPr>
      <w:r>
        <w:rPr>
          <w:rFonts w:hint="eastAsia" w:ascii="仿宋" w:hAnsi="仿宋" w:eastAsia="仿宋" w:cs="仿宋"/>
          <w:b/>
          <w:bCs/>
          <w:sz w:val="28"/>
          <w:szCs w:val="28"/>
          <w:highlight w:val="none"/>
        </w:rPr>
        <w:t>1.项目实施人员一览表 （如有，请提供）</w:t>
      </w:r>
      <w:r>
        <w:rPr>
          <w:rFonts w:hint="eastAsia" w:ascii="仿宋" w:hAnsi="仿宋" w:eastAsia="仿宋" w:cs="仿宋"/>
          <w:b/>
          <w:sz w:val="28"/>
          <w:szCs w:val="28"/>
          <w:highlight w:val="none"/>
        </w:rPr>
        <w:t>；</w:t>
      </w:r>
    </w:p>
    <w:p w14:paraId="4026CC32">
      <w:pPr>
        <w:rPr>
          <w:rFonts w:ascii="仿宋" w:hAnsi="仿宋" w:eastAsia="仿宋" w:cs="仿宋"/>
          <w:highlight w:val="none"/>
        </w:rPr>
      </w:pPr>
    </w:p>
    <w:p w14:paraId="63F01E13">
      <w:pPr>
        <w:pStyle w:val="15"/>
        <w:rPr>
          <w:rFonts w:ascii="仿宋" w:hAnsi="仿宋" w:eastAsia="仿宋" w:cs="仿宋"/>
          <w:b/>
          <w:bCs/>
          <w:sz w:val="32"/>
          <w:szCs w:val="32"/>
          <w:highlight w:val="none"/>
        </w:rPr>
      </w:pPr>
      <w:r>
        <w:rPr>
          <w:rFonts w:hint="eastAsia" w:ascii="仿宋" w:hAnsi="仿宋" w:eastAsia="仿宋" w:cs="仿宋"/>
          <w:b/>
          <w:bCs/>
          <w:sz w:val="32"/>
          <w:szCs w:val="32"/>
          <w:highlight w:val="none"/>
        </w:rPr>
        <w:t>附件：</w:t>
      </w:r>
    </w:p>
    <w:p w14:paraId="5650C5D0">
      <w:pPr>
        <w:pStyle w:val="15"/>
        <w:ind w:firstLine="472" w:firstLineChars="147"/>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项目实施人员一览表（格式）</w:t>
      </w:r>
    </w:p>
    <w:p w14:paraId="42BA474A">
      <w:pPr>
        <w:spacing w:line="400" w:lineRule="exact"/>
        <w:rPr>
          <w:rFonts w:ascii="仿宋" w:hAnsi="仿宋" w:eastAsia="仿宋" w:cs="仿宋"/>
          <w:sz w:val="24"/>
          <w:highlight w:val="none"/>
        </w:rPr>
      </w:pPr>
    </w:p>
    <w:p w14:paraId="4540FDED">
      <w:pPr>
        <w:pStyle w:val="22"/>
        <w:ind w:firstLine="422"/>
        <w:rPr>
          <w:highlight w:val="none"/>
        </w:rPr>
      </w:pPr>
    </w:p>
    <w:p w14:paraId="2C652D65">
      <w:pPr>
        <w:ind w:firstLine="3960" w:firstLineChars="1650"/>
        <w:rPr>
          <w:rFonts w:ascii="仿宋" w:hAnsi="仿宋" w:eastAsia="仿宋" w:cs="仿宋"/>
          <w:sz w:val="24"/>
          <w:highlight w:val="none"/>
        </w:rPr>
      </w:pPr>
      <w:r>
        <w:rPr>
          <w:rFonts w:hint="eastAsia" w:ascii="仿宋" w:hAnsi="仿宋" w:eastAsia="仿宋" w:cs="仿宋"/>
          <w:sz w:val="24"/>
          <w:highlight w:val="none"/>
        </w:rPr>
        <w:t>格式自拟</w:t>
      </w:r>
    </w:p>
    <w:p w14:paraId="1C8B910F">
      <w:pPr>
        <w:pStyle w:val="22"/>
        <w:ind w:firstLine="422"/>
        <w:rPr>
          <w:highlight w:val="none"/>
        </w:rPr>
      </w:pPr>
    </w:p>
    <w:p w14:paraId="2507EC79">
      <w:pPr>
        <w:pStyle w:val="22"/>
        <w:ind w:firstLine="422"/>
        <w:rPr>
          <w:highlight w:val="none"/>
        </w:rPr>
      </w:pPr>
    </w:p>
    <w:p w14:paraId="7AE233FD">
      <w:pPr>
        <w:snapToGrid w:val="0"/>
        <w:spacing w:line="400" w:lineRule="exact"/>
        <w:ind w:firstLine="2160" w:firstLineChars="900"/>
        <w:rPr>
          <w:rFonts w:ascii="仿宋" w:hAnsi="仿宋" w:eastAsia="仿宋" w:cs="仿宋"/>
          <w:sz w:val="24"/>
          <w:highlight w:val="none"/>
        </w:rPr>
      </w:pPr>
    </w:p>
    <w:p w14:paraId="7EE67262">
      <w:pPr>
        <w:snapToGrid w:val="0"/>
        <w:spacing w:line="400" w:lineRule="exact"/>
        <w:ind w:firstLine="2160" w:firstLineChars="900"/>
        <w:rPr>
          <w:rFonts w:ascii="仿宋" w:hAnsi="仿宋" w:eastAsia="仿宋" w:cs="仿宋"/>
          <w:sz w:val="24"/>
          <w:highlight w:val="none"/>
          <w:u w:val="single"/>
        </w:rPr>
      </w:pPr>
      <w:r>
        <w:rPr>
          <w:rFonts w:hint="eastAsia" w:ascii="仿宋" w:hAnsi="仿宋" w:eastAsia="仿宋" w:cs="仿宋"/>
          <w:sz w:val="24"/>
          <w:highlight w:val="none"/>
        </w:rPr>
        <w:t>磋商供应商[公章(CA签章)，自然人签字或个人CA签章]：</w:t>
      </w:r>
    </w:p>
    <w:p w14:paraId="5F475F61">
      <w:pPr>
        <w:pStyle w:val="3"/>
        <w:rPr>
          <w:rFonts w:ascii="仿宋" w:hAnsi="仿宋" w:eastAsia="仿宋" w:cs="仿宋"/>
          <w:sz w:val="24"/>
          <w:szCs w:val="24"/>
          <w:highlight w:val="none"/>
        </w:rPr>
      </w:pPr>
    </w:p>
    <w:p w14:paraId="60A74222">
      <w:pPr>
        <w:snapToGrid w:val="0"/>
        <w:spacing w:line="400" w:lineRule="exact"/>
        <w:ind w:firstLine="1920" w:firstLineChars="800"/>
        <w:rPr>
          <w:rFonts w:ascii="仿宋" w:hAnsi="仿宋" w:eastAsia="仿宋" w:cs="仿宋"/>
          <w:highlight w:val="none"/>
        </w:rPr>
      </w:pPr>
      <w:r>
        <w:rPr>
          <w:rFonts w:hint="eastAsia" w:ascii="仿宋" w:hAnsi="仿宋" w:eastAsia="仿宋" w:cs="仿宋"/>
          <w:sz w:val="24"/>
          <w:highlight w:val="none"/>
        </w:rPr>
        <w:t xml:space="preserve"> 日          期：</w:t>
      </w:r>
    </w:p>
    <w:p w14:paraId="40DD71A5">
      <w:pPr>
        <w:pStyle w:val="10"/>
        <w:rPr>
          <w:rFonts w:ascii="仿宋" w:hAnsi="仿宋" w:eastAsia="仿宋" w:cs="仿宋"/>
          <w:highlight w:val="none"/>
        </w:rPr>
      </w:pPr>
    </w:p>
    <w:p w14:paraId="2EFC26B0">
      <w:pPr>
        <w:spacing w:line="360" w:lineRule="auto"/>
        <w:rPr>
          <w:rFonts w:ascii="仿宋" w:hAnsi="仿宋" w:eastAsia="仿宋" w:cs="仿宋"/>
          <w:highlight w:val="none"/>
          <w:u w:val="single"/>
        </w:rPr>
      </w:pPr>
      <w:r>
        <w:rPr>
          <w:rFonts w:hint="eastAsia" w:ascii="仿宋" w:hAnsi="仿宋" w:eastAsia="仿宋" w:cs="仿宋"/>
          <w:b/>
          <w:bCs/>
          <w:sz w:val="24"/>
          <w:highlight w:val="none"/>
        </w:rPr>
        <w:t>注：供应商根据自身情况结合本项目自行制定</w:t>
      </w:r>
    </w:p>
    <w:p w14:paraId="7115D6F0">
      <w:pPr>
        <w:pStyle w:val="15"/>
        <w:spacing w:line="340" w:lineRule="exact"/>
        <w:rPr>
          <w:rFonts w:ascii="仿宋" w:hAnsi="仿宋" w:eastAsia="仿宋" w:cs="仿宋"/>
          <w:b/>
          <w:sz w:val="28"/>
          <w:szCs w:val="28"/>
          <w:highlight w:val="none"/>
        </w:rPr>
      </w:pPr>
    </w:p>
    <w:p w14:paraId="2EA7D100">
      <w:pPr>
        <w:pStyle w:val="7"/>
        <w:rPr>
          <w:rFonts w:hint="eastAsia" w:ascii="仿宋" w:hAnsi="仿宋" w:eastAsia="仿宋" w:cs="仿宋"/>
          <w:kern w:val="2"/>
          <w:sz w:val="24"/>
          <w:szCs w:val="24"/>
          <w:highlight w:val="none"/>
          <w:lang w:val="en-US" w:eastAsia="zh-CN" w:bidi="ar-SA"/>
        </w:rPr>
      </w:pPr>
    </w:p>
    <w:p w14:paraId="64B6DDDD">
      <w:pPr>
        <w:pStyle w:val="15"/>
        <w:spacing w:line="340" w:lineRule="exac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2.“采购需求”需提供的有效证明文件（按其要求提供）；</w:t>
      </w:r>
    </w:p>
    <w:p w14:paraId="004FA4D0">
      <w:pPr>
        <w:pStyle w:val="10"/>
        <w:rPr>
          <w:rFonts w:ascii="仿宋" w:hAnsi="仿宋" w:eastAsia="仿宋" w:cs="仿宋"/>
          <w:b/>
          <w:highlight w:val="none"/>
        </w:rPr>
      </w:pPr>
    </w:p>
    <w:p w14:paraId="18FBFAC9">
      <w:pPr>
        <w:pStyle w:val="15"/>
        <w:spacing w:line="340" w:lineRule="exact"/>
        <w:rPr>
          <w:rFonts w:ascii="仿宋" w:hAnsi="仿宋" w:eastAsia="仿宋" w:cs="仿宋"/>
          <w:b/>
          <w:sz w:val="28"/>
          <w:szCs w:val="28"/>
          <w:highlight w:val="none"/>
        </w:rPr>
      </w:pPr>
      <w:bookmarkStart w:id="230" w:name="_Toc497927090"/>
      <w:bookmarkStart w:id="231" w:name="_Toc10161"/>
      <w:bookmarkStart w:id="232" w:name="_Toc3052"/>
    </w:p>
    <w:p w14:paraId="74B951D5">
      <w:pPr>
        <w:pStyle w:val="7"/>
        <w:rPr>
          <w:highlight w:val="none"/>
        </w:rPr>
      </w:pPr>
    </w:p>
    <w:p w14:paraId="601B12D1">
      <w:pPr>
        <w:spacing w:line="440" w:lineRule="exact"/>
        <w:rPr>
          <w:rFonts w:ascii="仿宋" w:hAnsi="仿宋" w:eastAsia="仿宋" w:cs="仿宋"/>
          <w:b/>
          <w:bCs/>
          <w:sz w:val="24"/>
          <w:highlight w:val="none"/>
        </w:rPr>
      </w:pPr>
      <w:r>
        <w:rPr>
          <w:rFonts w:hint="eastAsia" w:ascii="仿宋" w:hAnsi="仿宋" w:eastAsia="仿宋" w:cs="仿宋"/>
          <w:sz w:val="24"/>
          <w:highlight w:val="none"/>
        </w:rPr>
        <w:t>3、投标人</w:t>
      </w:r>
      <w:r>
        <w:rPr>
          <w:rFonts w:hint="eastAsia" w:ascii="仿宋" w:hAnsi="仿宋" w:eastAsia="仿宋" w:cs="仿宋"/>
          <w:sz w:val="24"/>
          <w:highlight w:val="none"/>
          <w:lang w:eastAsia="zh-CN"/>
        </w:rPr>
        <w:t>2022 年1月1日</w:t>
      </w:r>
      <w:r>
        <w:rPr>
          <w:rFonts w:hint="eastAsia" w:ascii="仿宋" w:hAnsi="仿宋" w:eastAsia="仿宋" w:cs="仿宋"/>
          <w:sz w:val="24"/>
          <w:highlight w:val="none"/>
        </w:rPr>
        <w:t>以来类似项目业绩[无不良记录，以中标（成交）通知书或签订的项目合同为准，并能清晰反映项目的名称、种类、金额，否则将不予评审，同一个编号的项目有两个或两个以上的分标中标的只算一次]（如有，请提供）</w:t>
      </w:r>
      <w:r>
        <w:rPr>
          <w:rFonts w:hint="eastAsia" w:ascii="仿宋" w:hAnsi="仿宋" w:eastAsia="仿宋" w:cs="仿宋"/>
          <w:b/>
          <w:bCs/>
          <w:sz w:val="24"/>
          <w:highlight w:val="none"/>
        </w:rPr>
        <w:t>；</w:t>
      </w:r>
    </w:p>
    <w:bookmarkEnd w:id="230"/>
    <w:bookmarkEnd w:id="231"/>
    <w:bookmarkEnd w:id="232"/>
    <w:p w14:paraId="540770F6">
      <w:pPr>
        <w:pStyle w:val="7"/>
        <w:ind w:left="0"/>
        <w:rPr>
          <w:highlight w:val="none"/>
        </w:rPr>
      </w:pPr>
    </w:p>
    <w:p w14:paraId="68ECC606">
      <w:pPr>
        <w:rPr>
          <w:highlight w:val="none"/>
        </w:rPr>
      </w:pPr>
    </w:p>
    <w:p w14:paraId="5D16EF09">
      <w:pPr>
        <w:rPr>
          <w:highlight w:val="none"/>
        </w:rPr>
      </w:pPr>
    </w:p>
    <w:p w14:paraId="007E32C9">
      <w:pPr>
        <w:pStyle w:val="15"/>
        <w:spacing w:line="340" w:lineRule="exact"/>
        <w:rPr>
          <w:rFonts w:ascii="仿宋" w:hAnsi="仿宋" w:eastAsia="仿宋" w:cs="仿宋"/>
          <w:b/>
          <w:sz w:val="28"/>
          <w:szCs w:val="28"/>
          <w:highlight w:val="none"/>
        </w:rPr>
      </w:pPr>
    </w:p>
    <w:p w14:paraId="4B19A99D">
      <w:pPr>
        <w:pStyle w:val="15"/>
        <w:spacing w:line="340" w:lineRule="exact"/>
        <w:rPr>
          <w:rFonts w:ascii="仿宋" w:hAnsi="仿宋" w:eastAsia="仿宋" w:cs="仿宋"/>
          <w:b/>
          <w:sz w:val="28"/>
          <w:szCs w:val="28"/>
          <w:highlight w:val="none"/>
        </w:rPr>
      </w:pPr>
    </w:p>
    <w:p w14:paraId="49BFD51E">
      <w:pPr>
        <w:pStyle w:val="15"/>
        <w:spacing w:line="340" w:lineRule="exact"/>
        <w:rPr>
          <w:rFonts w:ascii="仿宋" w:hAnsi="仿宋" w:eastAsia="仿宋" w:cs="仿宋"/>
          <w:b/>
          <w:sz w:val="28"/>
          <w:szCs w:val="28"/>
          <w:highlight w:val="none"/>
        </w:rPr>
      </w:pPr>
    </w:p>
    <w:p w14:paraId="6510CB49">
      <w:pPr>
        <w:pStyle w:val="15"/>
        <w:spacing w:line="340" w:lineRule="exact"/>
        <w:rPr>
          <w:rFonts w:ascii="仿宋" w:hAnsi="仿宋" w:eastAsia="仿宋" w:cs="仿宋"/>
          <w:b/>
          <w:sz w:val="28"/>
          <w:szCs w:val="28"/>
          <w:highlight w:val="none"/>
        </w:rPr>
      </w:pPr>
    </w:p>
    <w:p w14:paraId="7D05DA42">
      <w:pPr>
        <w:pStyle w:val="15"/>
        <w:spacing w:line="340" w:lineRule="exact"/>
        <w:rPr>
          <w:rFonts w:ascii="仿宋" w:hAnsi="仿宋" w:eastAsia="仿宋" w:cs="仿宋"/>
          <w:b/>
          <w:sz w:val="28"/>
          <w:szCs w:val="28"/>
          <w:highlight w:val="none"/>
        </w:rPr>
      </w:pPr>
    </w:p>
    <w:p w14:paraId="2F4428ED">
      <w:pPr>
        <w:pStyle w:val="15"/>
        <w:spacing w:line="340" w:lineRule="exact"/>
        <w:rPr>
          <w:rFonts w:ascii="仿宋" w:hAnsi="仿宋" w:eastAsia="仿宋" w:cs="仿宋"/>
          <w:b/>
          <w:sz w:val="28"/>
          <w:szCs w:val="28"/>
          <w:highlight w:val="none"/>
        </w:rPr>
      </w:pPr>
    </w:p>
    <w:p w14:paraId="060B711E">
      <w:pPr>
        <w:pStyle w:val="15"/>
        <w:spacing w:line="340" w:lineRule="exact"/>
        <w:rPr>
          <w:rFonts w:ascii="仿宋" w:hAnsi="仿宋" w:eastAsia="仿宋" w:cs="仿宋"/>
          <w:b/>
          <w:sz w:val="28"/>
          <w:szCs w:val="28"/>
          <w:highlight w:val="none"/>
        </w:rPr>
      </w:pPr>
    </w:p>
    <w:p w14:paraId="72452ED8">
      <w:pPr>
        <w:pStyle w:val="15"/>
        <w:spacing w:line="340" w:lineRule="exact"/>
        <w:rPr>
          <w:rFonts w:ascii="仿宋" w:hAnsi="仿宋" w:eastAsia="仿宋" w:cs="仿宋"/>
          <w:b/>
          <w:sz w:val="28"/>
          <w:szCs w:val="28"/>
          <w:highlight w:val="none"/>
        </w:rPr>
      </w:pPr>
    </w:p>
    <w:p w14:paraId="7351D40B">
      <w:pPr>
        <w:pStyle w:val="15"/>
        <w:spacing w:line="340" w:lineRule="exact"/>
        <w:rPr>
          <w:rFonts w:ascii="仿宋" w:hAnsi="仿宋" w:eastAsia="仿宋" w:cs="仿宋"/>
          <w:b/>
          <w:sz w:val="28"/>
          <w:szCs w:val="28"/>
          <w:highlight w:val="none"/>
        </w:rPr>
      </w:pPr>
    </w:p>
    <w:p w14:paraId="55D56516">
      <w:pPr>
        <w:pStyle w:val="15"/>
        <w:spacing w:line="340" w:lineRule="exact"/>
        <w:rPr>
          <w:rFonts w:ascii="仿宋" w:hAnsi="仿宋" w:eastAsia="仿宋" w:cs="仿宋"/>
          <w:b/>
          <w:sz w:val="28"/>
          <w:szCs w:val="28"/>
          <w:highlight w:val="none"/>
        </w:rPr>
      </w:pPr>
      <w:r>
        <w:rPr>
          <w:rFonts w:hint="eastAsia" w:ascii="仿宋" w:hAnsi="仿宋" w:eastAsia="仿宋" w:cs="仿宋"/>
          <w:b/>
          <w:sz w:val="28"/>
          <w:szCs w:val="28"/>
          <w:highlight w:val="none"/>
        </w:rPr>
        <w:t>4.《中小企业声明函》（见附件）（</w:t>
      </w:r>
      <w:r>
        <w:rPr>
          <w:rFonts w:hint="eastAsia" w:ascii="仿宋" w:hAnsi="仿宋" w:eastAsia="仿宋" w:cs="仿宋"/>
          <w:b/>
          <w:sz w:val="28"/>
          <w:szCs w:val="28"/>
          <w:highlight w:val="none"/>
          <w:lang w:val="en-US" w:eastAsia="zh-CN"/>
        </w:rPr>
        <w:t>必须提供</w:t>
      </w:r>
      <w:r>
        <w:rPr>
          <w:rFonts w:hint="eastAsia" w:ascii="仿宋" w:hAnsi="仿宋" w:eastAsia="仿宋" w:cs="仿宋"/>
          <w:b/>
          <w:sz w:val="28"/>
          <w:szCs w:val="28"/>
          <w:highlight w:val="none"/>
        </w:rPr>
        <w:t>）；</w:t>
      </w:r>
    </w:p>
    <w:p w14:paraId="77ACF493">
      <w:pPr>
        <w:rPr>
          <w:rFonts w:ascii="仿宋" w:hAnsi="仿宋" w:eastAsia="仿宋" w:cs="仿宋"/>
          <w:highlight w:val="none"/>
        </w:rPr>
      </w:pPr>
    </w:p>
    <w:p w14:paraId="1523E11E">
      <w:pPr>
        <w:pStyle w:val="10"/>
        <w:rPr>
          <w:rFonts w:ascii="仿宋" w:hAnsi="仿宋" w:eastAsia="仿宋" w:cs="仿宋"/>
          <w:highlight w:val="none"/>
        </w:rPr>
      </w:pPr>
    </w:p>
    <w:p w14:paraId="472872DF">
      <w:pPr>
        <w:pStyle w:val="15"/>
        <w:rPr>
          <w:rFonts w:ascii="仿宋" w:hAnsi="仿宋" w:eastAsia="仿宋" w:cs="仿宋"/>
          <w:b/>
          <w:bCs/>
          <w:sz w:val="32"/>
          <w:szCs w:val="32"/>
          <w:highlight w:val="none"/>
        </w:rPr>
      </w:pPr>
      <w:r>
        <w:rPr>
          <w:rFonts w:hint="eastAsia" w:ascii="仿宋" w:hAnsi="仿宋" w:eastAsia="仿宋" w:cs="仿宋"/>
          <w:b/>
          <w:bCs/>
          <w:sz w:val="32"/>
          <w:szCs w:val="32"/>
          <w:highlight w:val="none"/>
        </w:rPr>
        <w:t>附件：</w:t>
      </w:r>
    </w:p>
    <w:p w14:paraId="1D895400">
      <w:pPr>
        <w:pStyle w:val="15"/>
        <w:spacing w:line="440" w:lineRule="exact"/>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中小企业声明函</w:t>
      </w:r>
    </w:p>
    <w:p w14:paraId="74C6C063">
      <w:pPr>
        <w:pStyle w:val="7"/>
        <w:rPr>
          <w:rFonts w:ascii="仿宋" w:hAnsi="仿宋" w:eastAsia="仿宋" w:cs="仿宋"/>
          <w:highlight w:val="none"/>
        </w:rPr>
      </w:pPr>
    </w:p>
    <w:p w14:paraId="02B82688">
      <w:pPr>
        <w:pStyle w:val="15"/>
        <w:spacing w:line="440" w:lineRule="exact"/>
        <w:ind w:firstLine="504" w:firstLineChars="200"/>
        <w:rPr>
          <w:rFonts w:ascii="仿宋" w:hAnsi="仿宋" w:eastAsia="仿宋" w:cs="仿宋"/>
          <w:spacing w:val="6"/>
          <w:sz w:val="24"/>
          <w:szCs w:val="24"/>
          <w:highlight w:val="none"/>
        </w:rPr>
      </w:pPr>
      <w:r>
        <w:rPr>
          <w:rFonts w:hint="eastAsia" w:ascii="仿宋" w:hAnsi="仿宋" w:eastAsia="仿宋" w:cs="仿宋"/>
          <w:spacing w:val="6"/>
          <w:sz w:val="24"/>
          <w:szCs w:val="24"/>
          <w:highlight w:val="none"/>
        </w:rPr>
        <w:t>本公司（联合体）郑重声明，根据《政府采购促进中小企业发展管理办法》（财库﹝2020﹞46 号）的规定，本公司（联合体）参加（</w:t>
      </w:r>
      <w:r>
        <w:rPr>
          <w:rFonts w:hint="eastAsia" w:ascii="仿宋" w:hAnsi="仿宋" w:eastAsia="仿宋" w:cs="仿宋"/>
          <w:spacing w:val="6"/>
          <w:sz w:val="24"/>
          <w:szCs w:val="24"/>
          <w:highlight w:val="none"/>
          <w:u w:val="single"/>
        </w:rPr>
        <w:t>单位名称</w:t>
      </w:r>
      <w:r>
        <w:rPr>
          <w:rFonts w:hint="eastAsia" w:ascii="仿宋" w:hAnsi="仿宋" w:eastAsia="仿宋" w:cs="仿宋"/>
          <w:spacing w:val="6"/>
          <w:sz w:val="24"/>
          <w:szCs w:val="24"/>
          <w:highlight w:val="none"/>
        </w:rPr>
        <w:t>）的（</w:t>
      </w:r>
      <w:r>
        <w:rPr>
          <w:rFonts w:hint="eastAsia" w:ascii="仿宋" w:hAnsi="仿宋" w:eastAsia="仿宋" w:cs="仿宋"/>
          <w:spacing w:val="6"/>
          <w:sz w:val="24"/>
          <w:szCs w:val="24"/>
          <w:highlight w:val="none"/>
          <w:u w:val="single"/>
        </w:rPr>
        <w:t>项目名称</w:t>
      </w:r>
      <w:r>
        <w:rPr>
          <w:rFonts w:hint="eastAsia" w:ascii="仿宋" w:hAnsi="仿宋" w:eastAsia="仿宋" w:cs="仿宋"/>
          <w:spacing w:val="6"/>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0CDC0AF">
      <w:pPr>
        <w:pStyle w:val="15"/>
        <w:spacing w:line="440" w:lineRule="exact"/>
        <w:ind w:firstLine="504" w:firstLineChars="200"/>
        <w:rPr>
          <w:rFonts w:ascii="仿宋" w:hAnsi="仿宋" w:eastAsia="仿宋" w:cs="仿宋"/>
          <w:sz w:val="24"/>
          <w:szCs w:val="24"/>
          <w:highlight w:val="none"/>
        </w:rPr>
      </w:pPr>
      <w:r>
        <w:rPr>
          <w:rFonts w:hint="eastAsia" w:ascii="仿宋" w:hAnsi="仿宋" w:eastAsia="仿宋" w:cs="仿宋"/>
          <w:spacing w:val="6"/>
          <w:sz w:val="24"/>
          <w:szCs w:val="24"/>
          <w:highlight w:val="none"/>
        </w:rPr>
        <w:t>1.</w:t>
      </w:r>
      <w:r>
        <w:rPr>
          <w:rFonts w:hint="eastAsia" w:ascii="仿宋" w:hAnsi="仿宋" w:eastAsia="仿宋" w:cs="仿宋"/>
          <w:spacing w:val="6"/>
          <w:sz w:val="24"/>
          <w:szCs w:val="24"/>
          <w:highlight w:val="none"/>
          <w:u w:val="single"/>
        </w:rPr>
        <w:t xml:space="preserve">（标的名称） </w:t>
      </w:r>
      <w:r>
        <w:rPr>
          <w:rFonts w:hint="eastAsia" w:ascii="仿宋" w:hAnsi="仿宋" w:eastAsia="仿宋" w:cs="仿宋"/>
          <w:spacing w:val="6"/>
          <w:sz w:val="24"/>
          <w:szCs w:val="24"/>
          <w:highlight w:val="none"/>
        </w:rPr>
        <w:t>，属于</w:t>
      </w:r>
      <w:r>
        <w:rPr>
          <w:rFonts w:hint="eastAsia" w:ascii="仿宋" w:hAnsi="仿宋" w:eastAsia="仿宋" w:cs="仿宋"/>
          <w:spacing w:val="6"/>
          <w:sz w:val="24"/>
          <w:szCs w:val="24"/>
          <w:highlight w:val="none"/>
          <w:u w:val="single"/>
        </w:rPr>
        <w:t>（采购文件中明确的所属行业）</w:t>
      </w:r>
      <w:r>
        <w:rPr>
          <w:rFonts w:hint="eastAsia" w:ascii="仿宋" w:hAnsi="仿宋" w:eastAsia="仿宋" w:cs="仿宋"/>
          <w:spacing w:val="6"/>
          <w:sz w:val="24"/>
          <w:szCs w:val="24"/>
          <w:highlight w:val="none"/>
        </w:rPr>
        <w:t>； 承建（承接）企业为（</w:t>
      </w:r>
      <w:r>
        <w:rPr>
          <w:rFonts w:hint="eastAsia" w:ascii="仿宋" w:hAnsi="仿宋" w:eastAsia="仿宋" w:cs="仿宋"/>
          <w:spacing w:val="6"/>
          <w:sz w:val="24"/>
          <w:szCs w:val="24"/>
          <w:highlight w:val="none"/>
          <w:u w:val="single"/>
        </w:rPr>
        <w:t>企业名称</w:t>
      </w:r>
      <w:r>
        <w:rPr>
          <w:rFonts w:hint="eastAsia" w:ascii="仿宋" w:hAnsi="仿宋" w:eastAsia="仿宋" w:cs="仿宋"/>
          <w:spacing w:val="6"/>
          <w:sz w:val="24"/>
          <w:szCs w:val="24"/>
          <w:highlight w:val="none"/>
        </w:rPr>
        <w:t>），从业人员人，营业 收入为万元，资产总额为 万元，属于（</w:t>
      </w:r>
      <w:r>
        <w:rPr>
          <w:rFonts w:hint="eastAsia" w:ascii="仿宋" w:hAnsi="仿宋" w:eastAsia="仿宋" w:cs="仿宋"/>
          <w:spacing w:val="6"/>
          <w:sz w:val="24"/>
          <w:szCs w:val="24"/>
          <w:highlight w:val="none"/>
          <w:u w:val="single"/>
        </w:rPr>
        <w:t>中型企业、 小型企业、微型企业</w:t>
      </w:r>
      <w:r>
        <w:rPr>
          <w:rFonts w:hint="eastAsia" w:ascii="仿宋" w:hAnsi="仿宋" w:eastAsia="仿宋" w:cs="仿宋"/>
          <w:spacing w:val="6"/>
          <w:sz w:val="24"/>
          <w:szCs w:val="24"/>
          <w:highlight w:val="none"/>
        </w:rPr>
        <w:t>）</w:t>
      </w:r>
    </w:p>
    <w:p w14:paraId="48D0C4FA">
      <w:pPr>
        <w:widowControl/>
        <w:spacing w:line="440" w:lineRule="exact"/>
        <w:ind w:firstLine="504" w:firstLineChars="200"/>
        <w:jc w:val="left"/>
        <w:rPr>
          <w:rFonts w:ascii="仿宋" w:hAnsi="仿宋" w:eastAsia="仿宋" w:cs="仿宋"/>
          <w:spacing w:val="6"/>
          <w:sz w:val="24"/>
          <w:highlight w:val="none"/>
        </w:rPr>
      </w:pPr>
      <w:r>
        <w:rPr>
          <w:rFonts w:hint="eastAsia" w:ascii="仿宋" w:hAnsi="仿宋" w:eastAsia="仿宋" w:cs="仿宋"/>
          <w:spacing w:val="6"/>
          <w:sz w:val="24"/>
          <w:highlight w:val="none"/>
        </w:rPr>
        <w:t>2.</w:t>
      </w:r>
      <w:r>
        <w:rPr>
          <w:rFonts w:hint="eastAsia" w:ascii="仿宋" w:hAnsi="仿宋" w:eastAsia="仿宋" w:cs="仿宋"/>
          <w:spacing w:val="6"/>
          <w:sz w:val="24"/>
          <w:highlight w:val="none"/>
          <w:u w:val="single"/>
        </w:rPr>
        <w:t xml:space="preserve">（标的名称） </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；承建（承接）企业为（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），从业人员人，营业收入为万元，资产总额为万元，属于（</w:t>
      </w:r>
      <w:r>
        <w:rPr>
          <w:rFonts w:hint="eastAsia" w:ascii="仿宋" w:hAnsi="仿宋" w:eastAsia="仿宋" w:cs="仿宋"/>
          <w:spacing w:val="6"/>
          <w:sz w:val="24"/>
          <w:highlight w:val="none"/>
          <w:u w:val="single"/>
        </w:rPr>
        <w:t>中型企业、 小型企业、微型企业</w:t>
      </w:r>
      <w:r>
        <w:rPr>
          <w:rFonts w:hint="eastAsia" w:ascii="仿宋" w:hAnsi="仿宋" w:eastAsia="仿宋" w:cs="仿宋"/>
          <w:spacing w:val="6"/>
          <w:sz w:val="24"/>
          <w:highlight w:val="none"/>
        </w:rPr>
        <w:t>）；</w:t>
      </w:r>
    </w:p>
    <w:p w14:paraId="7E4F033B">
      <w:pPr>
        <w:pStyle w:val="7"/>
        <w:spacing w:line="440" w:lineRule="exact"/>
        <w:ind w:left="0"/>
        <w:rPr>
          <w:rFonts w:ascii="仿宋" w:hAnsi="仿宋" w:eastAsia="仿宋" w:cs="仿宋"/>
          <w:sz w:val="24"/>
          <w:highlight w:val="none"/>
        </w:rPr>
      </w:pPr>
      <w:r>
        <w:rPr>
          <w:rFonts w:hint="eastAsia" w:ascii="仿宋" w:hAnsi="仿宋" w:eastAsia="仿宋" w:cs="仿宋"/>
          <w:sz w:val="24"/>
          <w:highlight w:val="none"/>
        </w:rPr>
        <w:t>……</w:t>
      </w:r>
    </w:p>
    <w:p w14:paraId="7319A3CA">
      <w:pPr>
        <w:widowControl/>
        <w:spacing w:line="440" w:lineRule="exact"/>
        <w:jc w:val="left"/>
        <w:rPr>
          <w:rFonts w:ascii="仿宋" w:hAnsi="仿宋" w:eastAsia="仿宋" w:cs="仿宋"/>
          <w:spacing w:val="6"/>
          <w:sz w:val="24"/>
          <w:highlight w:val="none"/>
        </w:rPr>
      </w:pPr>
      <w:r>
        <w:rPr>
          <w:rFonts w:hint="eastAsia" w:ascii="仿宋" w:hAnsi="仿宋" w:eastAsia="仿宋" w:cs="仿宋"/>
          <w:spacing w:val="6"/>
          <w:sz w:val="24"/>
          <w:highlight w:val="none"/>
        </w:rPr>
        <w:t>以上企业，不属于大企业的分支机构，不存在控股股东为大企业的情形，也不存在与大企业的负责人为同一人的情形。</w:t>
      </w:r>
    </w:p>
    <w:p w14:paraId="1F6C6184">
      <w:pPr>
        <w:widowControl/>
        <w:spacing w:line="440" w:lineRule="exact"/>
        <w:jc w:val="left"/>
        <w:rPr>
          <w:rFonts w:ascii="仿宋" w:hAnsi="仿宋" w:eastAsia="仿宋" w:cs="仿宋"/>
          <w:spacing w:val="6"/>
          <w:sz w:val="24"/>
          <w:highlight w:val="none"/>
        </w:rPr>
      </w:pPr>
      <w:r>
        <w:rPr>
          <w:rFonts w:hint="eastAsia" w:ascii="仿宋" w:hAnsi="仿宋" w:eastAsia="仿宋" w:cs="仿宋"/>
          <w:spacing w:val="6"/>
          <w:sz w:val="24"/>
          <w:highlight w:val="none"/>
        </w:rPr>
        <w:t xml:space="preserve">本企业对上述声明内容的真实性负责。如有虚假，将依法承担相应责任。 </w:t>
      </w:r>
    </w:p>
    <w:p w14:paraId="46CE6448">
      <w:pPr>
        <w:pStyle w:val="9"/>
        <w:spacing w:line="440" w:lineRule="exact"/>
        <w:ind w:firstLine="5796" w:firstLineChars="2300"/>
        <w:rPr>
          <w:rFonts w:ascii="仿宋" w:hAnsi="仿宋" w:eastAsia="仿宋" w:cs="仿宋"/>
          <w:spacing w:val="6"/>
          <w:sz w:val="24"/>
          <w:highlight w:val="none"/>
        </w:rPr>
      </w:pPr>
    </w:p>
    <w:p w14:paraId="0BE5A2A6">
      <w:pPr>
        <w:pStyle w:val="9"/>
        <w:spacing w:line="440" w:lineRule="exact"/>
        <w:ind w:firstLine="5796" w:firstLineChars="2300"/>
        <w:rPr>
          <w:rFonts w:ascii="仿宋" w:hAnsi="仿宋" w:eastAsia="仿宋" w:cs="仿宋"/>
          <w:spacing w:val="6"/>
          <w:sz w:val="24"/>
          <w:highlight w:val="none"/>
        </w:rPr>
      </w:pPr>
      <w:r>
        <w:rPr>
          <w:rFonts w:hint="eastAsia" w:ascii="仿宋" w:hAnsi="仿宋" w:eastAsia="仿宋" w:cs="仿宋"/>
          <w:spacing w:val="6"/>
          <w:sz w:val="24"/>
          <w:highlight w:val="none"/>
        </w:rPr>
        <w:t>企业名称（</w:t>
      </w:r>
      <w:r>
        <w:rPr>
          <w:rFonts w:hint="eastAsia" w:ascii="仿宋" w:hAnsi="仿宋" w:eastAsia="仿宋" w:cs="仿宋"/>
          <w:sz w:val="24"/>
          <w:highlight w:val="none"/>
        </w:rPr>
        <w:t>CA签章</w:t>
      </w:r>
      <w:r>
        <w:rPr>
          <w:rFonts w:hint="eastAsia" w:ascii="仿宋" w:hAnsi="仿宋" w:eastAsia="仿宋" w:cs="仿宋"/>
          <w:spacing w:val="6"/>
          <w:sz w:val="24"/>
          <w:highlight w:val="none"/>
        </w:rPr>
        <w:t xml:space="preserve">）： </w:t>
      </w:r>
    </w:p>
    <w:p w14:paraId="50416AD9">
      <w:pPr>
        <w:widowControl/>
        <w:spacing w:line="440" w:lineRule="exact"/>
        <w:ind w:firstLine="5796" w:firstLineChars="2300"/>
        <w:jc w:val="left"/>
        <w:rPr>
          <w:rFonts w:ascii="仿宋" w:hAnsi="仿宋" w:eastAsia="仿宋" w:cs="仿宋"/>
          <w:spacing w:val="6"/>
          <w:sz w:val="24"/>
          <w:highlight w:val="none"/>
        </w:rPr>
      </w:pPr>
      <w:r>
        <w:rPr>
          <w:rFonts w:hint="eastAsia" w:ascii="仿宋" w:hAnsi="仿宋" w:eastAsia="仿宋" w:cs="仿宋"/>
          <w:spacing w:val="6"/>
          <w:sz w:val="24"/>
          <w:highlight w:val="none"/>
        </w:rPr>
        <w:t>日 期：</w:t>
      </w:r>
    </w:p>
    <w:p w14:paraId="7622C5DA">
      <w:pPr>
        <w:pStyle w:val="7"/>
        <w:spacing w:line="440" w:lineRule="exact"/>
        <w:ind w:left="0"/>
        <w:rPr>
          <w:rFonts w:ascii="仿宋" w:hAnsi="仿宋" w:eastAsia="仿宋" w:cs="仿宋"/>
          <w:sz w:val="24"/>
          <w:highlight w:val="none"/>
        </w:rPr>
      </w:pPr>
    </w:p>
    <w:p w14:paraId="4B0A96B7">
      <w:pPr>
        <w:widowControl/>
        <w:jc w:val="left"/>
        <w:rPr>
          <w:rFonts w:ascii="仿宋" w:hAnsi="仿宋" w:eastAsia="仿宋" w:cs="仿宋"/>
          <w:sz w:val="24"/>
          <w:highlight w:val="none"/>
        </w:rPr>
      </w:pPr>
    </w:p>
    <w:p w14:paraId="1E9B2564">
      <w:pPr>
        <w:widowControl/>
        <w:jc w:val="left"/>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从业人员、营业收入、资产总额填报上一年度数据，无上一年度数据的新成立企业可不填报。</w:t>
      </w:r>
    </w:p>
    <w:p w14:paraId="2B5E439B">
      <w:pPr>
        <w:spacing w:line="280" w:lineRule="exact"/>
        <w:rPr>
          <w:rFonts w:ascii="仿宋" w:hAnsi="仿宋" w:eastAsia="仿宋" w:cs="仿宋"/>
          <w:b/>
          <w:bCs/>
          <w:sz w:val="24"/>
          <w:highlight w:val="none"/>
        </w:rPr>
      </w:pPr>
    </w:p>
    <w:p w14:paraId="710AAD83">
      <w:pPr>
        <w:spacing w:line="280" w:lineRule="exact"/>
        <w:rPr>
          <w:rFonts w:ascii="仿宋" w:hAnsi="仿宋" w:eastAsia="仿宋" w:cs="仿宋"/>
          <w:b/>
          <w:bCs/>
          <w:sz w:val="24"/>
          <w:highlight w:val="none"/>
        </w:rPr>
      </w:pPr>
    </w:p>
    <w:p w14:paraId="5316BEE6">
      <w:pPr>
        <w:spacing w:line="280" w:lineRule="exact"/>
        <w:rPr>
          <w:rFonts w:ascii="仿宋" w:hAnsi="仿宋" w:eastAsia="仿宋" w:cs="仿宋"/>
          <w:b/>
          <w:bCs/>
          <w:sz w:val="24"/>
          <w:highlight w:val="none"/>
        </w:rPr>
      </w:pPr>
    </w:p>
    <w:p w14:paraId="1325B900">
      <w:pPr>
        <w:spacing w:line="280" w:lineRule="exact"/>
        <w:rPr>
          <w:rFonts w:ascii="仿宋" w:hAnsi="仿宋" w:eastAsia="仿宋" w:cs="仿宋"/>
          <w:b/>
          <w:bCs/>
          <w:sz w:val="24"/>
          <w:highlight w:val="none"/>
        </w:rPr>
      </w:pPr>
    </w:p>
    <w:p w14:paraId="433A4DE5">
      <w:pPr>
        <w:spacing w:line="280" w:lineRule="exact"/>
        <w:rPr>
          <w:rFonts w:ascii="仿宋" w:hAnsi="仿宋" w:eastAsia="仿宋" w:cs="仿宋"/>
          <w:b/>
          <w:bCs/>
          <w:sz w:val="24"/>
          <w:highlight w:val="none"/>
        </w:rPr>
      </w:pPr>
    </w:p>
    <w:p w14:paraId="7D520005">
      <w:pPr>
        <w:spacing w:line="280" w:lineRule="exact"/>
        <w:rPr>
          <w:rFonts w:ascii="仿宋" w:hAnsi="仿宋" w:eastAsia="仿宋" w:cs="仿宋"/>
          <w:b/>
          <w:bCs/>
          <w:sz w:val="24"/>
          <w:highlight w:val="none"/>
        </w:rPr>
      </w:pPr>
    </w:p>
    <w:p w14:paraId="4E1A5AD6">
      <w:pPr>
        <w:spacing w:line="280" w:lineRule="exact"/>
        <w:rPr>
          <w:rFonts w:ascii="仿宋" w:hAnsi="仿宋" w:eastAsia="仿宋" w:cs="仿宋"/>
          <w:b/>
          <w:bCs/>
          <w:sz w:val="24"/>
          <w:highlight w:val="none"/>
        </w:rPr>
      </w:pPr>
    </w:p>
    <w:p w14:paraId="60DE5041">
      <w:pPr>
        <w:spacing w:line="280" w:lineRule="exact"/>
        <w:rPr>
          <w:rFonts w:ascii="仿宋" w:hAnsi="仿宋" w:eastAsia="仿宋" w:cs="仿宋"/>
          <w:b/>
          <w:bCs/>
          <w:sz w:val="24"/>
          <w:highlight w:val="none"/>
        </w:rPr>
      </w:pPr>
      <w:r>
        <w:rPr>
          <w:rFonts w:hint="eastAsia" w:ascii="仿宋" w:hAnsi="仿宋" w:eastAsia="仿宋" w:cs="仿宋"/>
          <w:b/>
          <w:bCs/>
          <w:sz w:val="24"/>
          <w:highlight w:val="none"/>
        </w:rPr>
        <w:t>附表</w:t>
      </w:r>
    </w:p>
    <w:p w14:paraId="58130F43">
      <w:pPr>
        <w:widowControl/>
        <w:spacing w:beforeLines="50" w:afterLines="50" w:line="280" w:lineRule="exact"/>
        <w:jc w:val="center"/>
        <w:rPr>
          <w:rFonts w:ascii="仿宋" w:hAnsi="仿宋" w:eastAsia="仿宋" w:cs="仿宋"/>
          <w:b/>
          <w:bCs/>
          <w:kern w:val="0"/>
          <w:sz w:val="30"/>
          <w:szCs w:val="30"/>
          <w:highlight w:val="none"/>
        </w:rPr>
      </w:pPr>
      <w:bookmarkStart w:id="233" w:name="_Toc28361_WPSOffice_Level2"/>
      <w:r>
        <w:rPr>
          <w:rFonts w:hint="eastAsia" w:ascii="仿宋" w:hAnsi="仿宋" w:eastAsia="仿宋" w:cs="仿宋"/>
          <w:b/>
          <w:bCs/>
          <w:kern w:val="0"/>
          <w:sz w:val="30"/>
          <w:szCs w:val="30"/>
          <w:highlight w:val="none"/>
        </w:rPr>
        <w:t>统计上大中小微型企业划分标准</w:t>
      </w:r>
      <w:bookmarkEnd w:id="233"/>
    </w:p>
    <w:tbl>
      <w:tblPr>
        <w:tblStyle w:val="25"/>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0D832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FFFFFF"/>
            <w:vAlign w:val="center"/>
          </w:tcPr>
          <w:p w14:paraId="3142AAEB">
            <w:pPr>
              <w:widowControl/>
              <w:spacing w:line="280" w:lineRule="exact"/>
              <w:jc w:val="center"/>
              <w:rPr>
                <w:rFonts w:ascii="仿宋" w:hAnsi="仿宋" w:eastAsia="仿宋" w:cs="仿宋"/>
                <w:b/>
                <w:bCs/>
                <w:kern w:val="0"/>
                <w:sz w:val="18"/>
                <w:szCs w:val="21"/>
                <w:highlight w:val="none"/>
              </w:rPr>
            </w:pPr>
            <w:r>
              <w:rPr>
                <w:rFonts w:hint="eastAsia" w:ascii="仿宋" w:hAnsi="仿宋" w:eastAsia="仿宋" w:cs="仿宋"/>
                <w:b/>
                <w:bCs/>
                <w:kern w:val="0"/>
                <w:sz w:val="18"/>
                <w:szCs w:val="21"/>
                <w:highlight w:val="none"/>
              </w:rPr>
              <w:t>行业名称</w:t>
            </w:r>
          </w:p>
        </w:tc>
        <w:tc>
          <w:tcPr>
            <w:tcW w:w="1369" w:type="dxa"/>
            <w:shd w:val="clear" w:color="auto" w:fill="FFFFFF"/>
            <w:vAlign w:val="center"/>
          </w:tcPr>
          <w:p w14:paraId="013FE27D">
            <w:pPr>
              <w:widowControl/>
              <w:spacing w:line="280" w:lineRule="exact"/>
              <w:jc w:val="center"/>
              <w:rPr>
                <w:rFonts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指标名称</w:t>
            </w:r>
          </w:p>
        </w:tc>
        <w:tc>
          <w:tcPr>
            <w:tcW w:w="709" w:type="dxa"/>
            <w:shd w:val="clear" w:color="auto" w:fill="FFFFFF"/>
            <w:vAlign w:val="center"/>
          </w:tcPr>
          <w:p w14:paraId="7EADF918">
            <w:pPr>
              <w:widowControl/>
              <w:spacing w:line="280" w:lineRule="exact"/>
              <w:jc w:val="center"/>
              <w:rPr>
                <w:rFonts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计量</w:t>
            </w:r>
            <w:r>
              <w:rPr>
                <w:rFonts w:hint="eastAsia" w:ascii="仿宋" w:hAnsi="仿宋" w:eastAsia="仿宋" w:cs="仿宋"/>
                <w:b/>
                <w:bCs/>
                <w:kern w:val="0"/>
                <w:sz w:val="18"/>
                <w:szCs w:val="18"/>
                <w:highlight w:val="none"/>
              </w:rPr>
              <w:br w:type="textWrapping"/>
            </w:r>
            <w:r>
              <w:rPr>
                <w:rFonts w:hint="eastAsia" w:ascii="仿宋" w:hAnsi="仿宋" w:eastAsia="仿宋" w:cs="仿宋"/>
                <w:b/>
                <w:bCs/>
                <w:kern w:val="0"/>
                <w:sz w:val="18"/>
                <w:szCs w:val="18"/>
                <w:highlight w:val="none"/>
              </w:rPr>
              <w:t>单位</w:t>
            </w:r>
          </w:p>
        </w:tc>
        <w:tc>
          <w:tcPr>
            <w:tcW w:w="1125" w:type="dxa"/>
            <w:shd w:val="clear" w:color="auto" w:fill="FFFFFF"/>
            <w:vAlign w:val="center"/>
          </w:tcPr>
          <w:p w14:paraId="643E8A5F">
            <w:pPr>
              <w:widowControl/>
              <w:spacing w:line="280" w:lineRule="exact"/>
              <w:jc w:val="center"/>
              <w:rPr>
                <w:rFonts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大型</w:t>
            </w:r>
          </w:p>
        </w:tc>
        <w:tc>
          <w:tcPr>
            <w:tcW w:w="1701" w:type="dxa"/>
            <w:shd w:val="clear" w:color="auto" w:fill="FFFFFF"/>
            <w:vAlign w:val="center"/>
          </w:tcPr>
          <w:p w14:paraId="6983F84B">
            <w:pPr>
              <w:widowControl/>
              <w:spacing w:line="280" w:lineRule="exact"/>
              <w:jc w:val="center"/>
              <w:rPr>
                <w:rFonts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中型</w:t>
            </w:r>
          </w:p>
        </w:tc>
        <w:tc>
          <w:tcPr>
            <w:tcW w:w="1426" w:type="dxa"/>
            <w:shd w:val="clear" w:color="auto" w:fill="FFFFFF"/>
            <w:vAlign w:val="center"/>
          </w:tcPr>
          <w:p w14:paraId="7E25D51A">
            <w:pPr>
              <w:widowControl/>
              <w:spacing w:line="280" w:lineRule="exact"/>
              <w:jc w:val="center"/>
              <w:rPr>
                <w:rFonts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小型</w:t>
            </w:r>
          </w:p>
        </w:tc>
        <w:tc>
          <w:tcPr>
            <w:tcW w:w="992" w:type="dxa"/>
            <w:shd w:val="clear" w:color="auto" w:fill="FFFFFF"/>
            <w:vAlign w:val="center"/>
          </w:tcPr>
          <w:p w14:paraId="577CC510">
            <w:pPr>
              <w:widowControl/>
              <w:spacing w:line="280" w:lineRule="exact"/>
              <w:jc w:val="center"/>
              <w:rPr>
                <w:rFonts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微型</w:t>
            </w:r>
          </w:p>
        </w:tc>
      </w:tr>
      <w:tr w14:paraId="6CAA3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4C798A28">
            <w:pPr>
              <w:widowControl/>
              <w:spacing w:line="280" w:lineRule="exact"/>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农、林、牧、渔业</w:t>
            </w:r>
          </w:p>
        </w:tc>
        <w:tc>
          <w:tcPr>
            <w:tcW w:w="1369" w:type="dxa"/>
            <w:vAlign w:val="center"/>
          </w:tcPr>
          <w:p w14:paraId="3A531F17">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709" w:type="dxa"/>
            <w:vAlign w:val="center"/>
          </w:tcPr>
          <w:p w14:paraId="5C4D36D5">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125" w:type="dxa"/>
            <w:vAlign w:val="center"/>
          </w:tcPr>
          <w:p w14:paraId="13109BFC">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Y≥20000</w:t>
            </w:r>
          </w:p>
        </w:tc>
        <w:tc>
          <w:tcPr>
            <w:tcW w:w="1701" w:type="dxa"/>
            <w:vAlign w:val="center"/>
          </w:tcPr>
          <w:p w14:paraId="73BFD80F">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500≤Y＜20000</w:t>
            </w:r>
          </w:p>
        </w:tc>
        <w:tc>
          <w:tcPr>
            <w:tcW w:w="1426" w:type="dxa"/>
            <w:vAlign w:val="center"/>
          </w:tcPr>
          <w:p w14:paraId="1317D410">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50≤Y＜500</w:t>
            </w:r>
          </w:p>
        </w:tc>
        <w:tc>
          <w:tcPr>
            <w:tcW w:w="992" w:type="dxa"/>
            <w:vAlign w:val="center"/>
          </w:tcPr>
          <w:p w14:paraId="09281BC9">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Y＜50</w:t>
            </w:r>
          </w:p>
        </w:tc>
      </w:tr>
      <w:tr w14:paraId="644FF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9BCBAC2">
            <w:pPr>
              <w:widowControl/>
              <w:spacing w:line="280" w:lineRule="exact"/>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工业 *</w:t>
            </w:r>
          </w:p>
        </w:tc>
        <w:tc>
          <w:tcPr>
            <w:tcW w:w="1369" w:type="dxa"/>
            <w:vAlign w:val="center"/>
          </w:tcPr>
          <w:p w14:paraId="03FF79C3">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709" w:type="dxa"/>
            <w:vAlign w:val="center"/>
          </w:tcPr>
          <w:p w14:paraId="6A718B85">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125" w:type="dxa"/>
            <w:vAlign w:val="center"/>
          </w:tcPr>
          <w:p w14:paraId="0DCE8AF9">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X≥1000</w:t>
            </w:r>
          </w:p>
        </w:tc>
        <w:tc>
          <w:tcPr>
            <w:tcW w:w="1701" w:type="dxa"/>
            <w:vAlign w:val="center"/>
          </w:tcPr>
          <w:p w14:paraId="3A961A94">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300≤X＜1000</w:t>
            </w:r>
          </w:p>
        </w:tc>
        <w:tc>
          <w:tcPr>
            <w:tcW w:w="1426" w:type="dxa"/>
            <w:vAlign w:val="center"/>
          </w:tcPr>
          <w:p w14:paraId="4474100A">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20≤X＜300</w:t>
            </w:r>
          </w:p>
        </w:tc>
        <w:tc>
          <w:tcPr>
            <w:tcW w:w="992" w:type="dxa"/>
            <w:vAlign w:val="center"/>
          </w:tcPr>
          <w:p w14:paraId="77A0C447">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X＜20</w:t>
            </w:r>
          </w:p>
        </w:tc>
      </w:tr>
      <w:tr w14:paraId="0732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BE26578">
            <w:pPr>
              <w:widowControl/>
              <w:spacing w:line="280" w:lineRule="exact"/>
              <w:jc w:val="left"/>
              <w:rPr>
                <w:rFonts w:ascii="仿宋" w:hAnsi="仿宋" w:eastAsia="仿宋" w:cs="仿宋"/>
                <w:kern w:val="0"/>
                <w:sz w:val="18"/>
                <w:szCs w:val="18"/>
                <w:highlight w:val="none"/>
              </w:rPr>
            </w:pPr>
          </w:p>
        </w:tc>
        <w:tc>
          <w:tcPr>
            <w:tcW w:w="1369" w:type="dxa"/>
            <w:vAlign w:val="center"/>
          </w:tcPr>
          <w:p w14:paraId="08452905">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709" w:type="dxa"/>
            <w:vAlign w:val="center"/>
          </w:tcPr>
          <w:p w14:paraId="2583E5E3">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125" w:type="dxa"/>
            <w:vAlign w:val="center"/>
          </w:tcPr>
          <w:p w14:paraId="0A2392C6">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Y≥40000</w:t>
            </w:r>
          </w:p>
        </w:tc>
        <w:tc>
          <w:tcPr>
            <w:tcW w:w="1701" w:type="dxa"/>
            <w:vAlign w:val="center"/>
          </w:tcPr>
          <w:p w14:paraId="74B8BF74">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2000≤Y＜40000</w:t>
            </w:r>
          </w:p>
        </w:tc>
        <w:tc>
          <w:tcPr>
            <w:tcW w:w="1426" w:type="dxa"/>
            <w:vAlign w:val="center"/>
          </w:tcPr>
          <w:p w14:paraId="1BA86D6D">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300≤Y＜2000</w:t>
            </w:r>
          </w:p>
        </w:tc>
        <w:tc>
          <w:tcPr>
            <w:tcW w:w="992" w:type="dxa"/>
            <w:vAlign w:val="center"/>
          </w:tcPr>
          <w:p w14:paraId="13F12CF1">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Y＜300</w:t>
            </w:r>
          </w:p>
        </w:tc>
      </w:tr>
      <w:tr w14:paraId="54BC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13E6F09">
            <w:pPr>
              <w:widowControl/>
              <w:spacing w:line="280" w:lineRule="exact"/>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建筑业</w:t>
            </w:r>
          </w:p>
        </w:tc>
        <w:tc>
          <w:tcPr>
            <w:tcW w:w="1369" w:type="dxa"/>
            <w:vAlign w:val="center"/>
          </w:tcPr>
          <w:p w14:paraId="094BA82E">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709" w:type="dxa"/>
            <w:vAlign w:val="center"/>
          </w:tcPr>
          <w:p w14:paraId="23506B6B">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125" w:type="dxa"/>
            <w:vAlign w:val="center"/>
          </w:tcPr>
          <w:p w14:paraId="3F72D1E3">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Y≥80000</w:t>
            </w:r>
          </w:p>
        </w:tc>
        <w:tc>
          <w:tcPr>
            <w:tcW w:w="1701" w:type="dxa"/>
            <w:vAlign w:val="center"/>
          </w:tcPr>
          <w:p w14:paraId="2EA52CAE">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6000≤Y＜80000</w:t>
            </w:r>
          </w:p>
        </w:tc>
        <w:tc>
          <w:tcPr>
            <w:tcW w:w="1426" w:type="dxa"/>
            <w:vAlign w:val="center"/>
          </w:tcPr>
          <w:p w14:paraId="0C17A708">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300≤Y＜6000</w:t>
            </w:r>
          </w:p>
        </w:tc>
        <w:tc>
          <w:tcPr>
            <w:tcW w:w="992" w:type="dxa"/>
            <w:vAlign w:val="center"/>
          </w:tcPr>
          <w:p w14:paraId="11AC14C8">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Y＜300</w:t>
            </w:r>
          </w:p>
        </w:tc>
      </w:tr>
      <w:tr w14:paraId="27157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5ECB270">
            <w:pPr>
              <w:widowControl/>
              <w:spacing w:line="280" w:lineRule="exact"/>
              <w:jc w:val="left"/>
              <w:rPr>
                <w:rFonts w:ascii="仿宋" w:hAnsi="仿宋" w:eastAsia="仿宋" w:cs="仿宋"/>
                <w:kern w:val="0"/>
                <w:sz w:val="18"/>
                <w:szCs w:val="18"/>
                <w:highlight w:val="none"/>
              </w:rPr>
            </w:pPr>
          </w:p>
        </w:tc>
        <w:tc>
          <w:tcPr>
            <w:tcW w:w="1369" w:type="dxa"/>
            <w:vAlign w:val="center"/>
          </w:tcPr>
          <w:p w14:paraId="3FF07B13">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资产总额(Z)</w:t>
            </w:r>
          </w:p>
        </w:tc>
        <w:tc>
          <w:tcPr>
            <w:tcW w:w="709" w:type="dxa"/>
            <w:vAlign w:val="center"/>
          </w:tcPr>
          <w:p w14:paraId="4110158B">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125" w:type="dxa"/>
            <w:vAlign w:val="center"/>
          </w:tcPr>
          <w:p w14:paraId="35E44E36">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Z≥80000</w:t>
            </w:r>
          </w:p>
        </w:tc>
        <w:tc>
          <w:tcPr>
            <w:tcW w:w="1701" w:type="dxa"/>
            <w:vAlign w:val="center"/>
          </w:tcPr>
          <w:p w14:paraId="0D50BC9E">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5000≤Z＜80000</w:t>
            </w:r>
          </w:p>
        </w:tc>
        <w:tc>
          <w:tcPr>
            <w:tcW w:w="1426" w:type="dxa"/>
            <w:vAlign w:val="center"/>
          </w:tcPr>
          <w:p w14:paraId="31B1A87E">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300≤Z＜5000</w:t>
            </w:r>
          </w:p>
        </w:tc>
        <w:tc>
          <w:tcPr>
            <w:tcW w:w="992" w:type="dxa"/>
            <w:vAlign w:val="center"/>
          </w:tcPr>
          <w:p w14:paraId="267A7A3A">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Z＜300</w:t>
            </w:r>
          </w:p>
        </w:tc>
      </w:tr>
      <w:tr w14:paraId="1A02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F23DA27">
            <w:pPr>
              <w:widowControl/>
              <w:spacing w:line="280" w:lineRule="exact"/>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批发业</w:t>
            </w:r>
          </w:p>
        </w:tc>
        <w:tc>
          <w:tcPr>
            <w:tcW w:w="1369" w:type="dxa"/>
            <w:vAlign w:val="center"/>
          </w:tcPr>
          <w:p w14:paraId="12D89F1D">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709" w:type="dxa"/>
            <w:vAlign w:val="center"/>
          </w:tcPr>
          <w:p w14:paraId="1E47BE7C">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125" w:type="dxa"/>
            <w:vAlign w:val="center"/>
          </w:tcPr>
          <w:p w14:paraId="1C67D215">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X≥200</w:t>
            </w:r>
          </w:p>
        </w:tc>
        <w:tc>
          <w:tcPr>
            <w:tcW w:w="1701" w:type="dxa"/>
            <w:vAlign w:val="center"/>
          </w:tcPr>
          <w:p w14:paraId="1464D028">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20≤X＜200</w:t>
            </w:r>
          </w:p>
        </w:tc>
        <w:tc>
          <w:tcPr>
            <w:tcW w:w="1426" w:type="dxa"/>
            <w:vAlign w:val="center"/>
          </w:tcPr>
          <w:p w14:paraId="3D31B372">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5≤X＜20</w:t>
            </w:r>
          </w:p>
        </w:tc>
        <w:tc>
          <w:tcPr>
            <w:tcW w:w="992" w:type="dxa"/>
            <w:vAlign w:val="center"/>
          </w:tcPr>
          <w:p w14:paraId="292F5736">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X＜5</w:t>
            </w:r>
          </w:p>
        </w:tc>
      </w:tr>
      <w:tr w14:paraId="116F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722C07D">
            <w:pPr>
              <w:widowControl/>
              <w:spacing w:line="280" w:lineRule="exact"/>
              <w:jc w:val="left"/>
              <w:rPr>
                <w:rFonts w:ascii="仿宋" w:hAnsi="仿宋" w:eastAsia="仿宋" w:cs="仿宋"/>
                <w:kern w:val="0"/>
                <w:sz w:val="18"/>
                <w:szCs w:val="18"/>
                <w:highlight w:val="none"/>
              </w:rPr>
            </w:pPr>
          </w:p>
        </w:tc>
        <w:tc>
          <w:tcPr>
            <w:tcW w:w="1369" w:type="dxa"/>
            <w:vAlign w:val="center"/>
          </w:tcPr>
          <w:p w14:paraId="709C5117">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709" w:type="dxa"/>
            <w:vAlign w:val="center"/>
          </w:tcPr>
          <w:p w14:paraId="679963C8">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125" w:type="dxa"/>
            <w:vAlign w:val="center"/>
          </w:tcPr>
          <w:p w14:paraId="0B3C6503">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Y≥40000</w:t>
            </w:r>
          </w:p>
        </w:tc>
        <w:tc>
          <w:tcPr>
            <w:tcW w:w="1701" w:type="dxa"/>
            <w:vAlign w:val="center"/>
          </w:tcPr>
          <w:p w14:paraId="460BD1F7">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5000≤Y＜40000</w:t>
            </w:r>
          </w:p>
        </w:tc>
        <w:tc>
          <w:tcPr>
            <w:tcW w:w="1426" w:type="dxa"/>
            <w:vAlign w:val="center"/>
          </w:tcPr>
          <w:p w14:paraId="4947C5AF">
            <w:pPr>
              <w:widowControl/>
              <w:spacing w:line="280" w:lineRule="exact"/>
              <w:ind w:left="-1" w:leftChars="-1" w:hanging="1"/>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1000≤Y＜5000</w:t>
            </w:r>
          </w:p>
        </w:tc>
        <w:tc>
          <w:tcPr>
            <w:tcW w:w="992" w:type="dxa"/>
            <w:vAlign w:val="center"/>
          </w:tcPr>
          <w:p w14:paraId="1BC66D46">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Y＜1000</w:t>
            </w:r>
          </w:p>
        </w:tc>
      </w:tr>
      <w:tr w14:paraId="42461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04DDF05">
            <w:pPr>
              <w:widowControl/>
              <w:spacing w:line="280" w:lineRule="exact"/>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零售业</w:t>
            </w:r>
          </w:p>
        </w:tc>
        <w:tc>
          <w:tcPr>
            <w:tcW w:w="1369" w:type="dxa"/>
            <w:vAlign w:val="center"/>
          </w:tcPr>
          <w:p w14:paraId="6B7DC176">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709" w:type="dxa"/>
            <w:vAlign w:val="center"/>
          </w:tcPr>
          <w:p w14:paraId="01055ECA">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125" w:type="dxa"/>
            <w:vAlign w:val="center"/>
          </w:tcPr>
          <w:p w14:paraId="4498125D">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X≥300</w:t>
            </w:r>
          </w:p>
        </w:tc>
        <w:tc>
          <w:tcPr>
            <w:tcW w:w="1701" w:type="dxa"/>
            <w:vAlign w:val="center"/>
          </w:tcPr>
          <w:p w14:paraId="55C8FDB6">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50≤X＜300</w:t>
            </w:r>
          </w:p>
        </w:tc>
        <w:tc>
          <w:tcPr>
            <w:tcW w:w="1426" w:type="dxa"/>
            <w:vAlign w:val="center"/>
          </w:tcPr>
          <w:p w14:paraId="3ACA945D">
            <w:pPr>
              <w:widowControl/>
              <w:spacing w:line="280" w:lineRule="exact"/>
              <w:ind w:left="-1" w:leftChars="-1" w:hanging="1"/>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 xml:space="preserve">10≤X＜50 </w:t>
            </w:r>
          </w:p>
        </w:tc>
        <w:tc>
          <w:tcPr>
            <w:tcW w:w="992" w:type="dxa"/>
            <w:vAlign w:val="center"/>
          </w:tcPr>
          <w:p w14:paraId="2C7E569D">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r w14:paraId="78809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926098B">
            <w:pPr>
              <w:widowControl/>
              <w:spacing w:line="280" w:lineRule="exact"/>
              <w:jc w:val="left"/>
              <w:rPr>
                <w:rFonts w:ascii="仿宋" w:hAnsi="仿宋" w:eastAsia="仿宋" w:cs="仿宋"/>
                <w:kern w:val="0"/>
                <w:sz w:val="18"/>
                <w:szCs w:val="18"/>
                <w:highlight w:val="none"/>
              </w:rPr>
            </w:pPr>
          </w:p>
        </w:tc>
        <w:tc>
          <w:tcPr>
            <w:tcW w:w="1369" w:type="dxa"/>
            <w:vAlign w:val="center"/>
          </w:tcPr>
          <w:p w14:paraId="02C04BFC">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709" w:type="dxa"/>
            <w:vAlign w:val="center"/>
          </w:tcPr>
          <w:p w14:paraId="46BDA25A">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125" w:type="dxa"/>
            <w:vAlign w:val="center"/>
          </w:tcPr>
          <w:p w14:paraId="7E1906BF">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Y≥20000</w:t>
            </w:r>
          </w:p>
        </w:tc>
        <w:tc>
          <w:tcPr>
            <w:tcW w:w="1701" w:type="dxa"/>
            <w:vAlign w:val="center"/>
          </w:tcPr>
          <w:p w14:paraId="1E627E00">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500≤Y＜20000</w:t>
            </w:r>
          </w:p>
        </w:tc>
        <w:tc>
          <w:tcPr>
            <w:tcW w:w="1426" w:type="dxa"/>
            <w:vAlign w:val="center"/>
          </w:tcPr>
          <w:p w14:paraId="5B9FE9E3">
            <w:pPr>
              <w:widowControl/>
              <w:spacing w:line="280" w:lineRule="exact"/>
              <w:ind w:left="-1" w:leftChars="-1" w:hanging="1"/>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100≤Y＜500</w:t>
            </w:r>
          </w:p>
        </w:tc>
        <w:tc>
          <w:tcPr>
            <w:tcW w:w="992" w:type="dxa"/>
            <w:vAlign w:val="center"/>
          </w:tcPr>
          <w:p w14:paraId="665511D5">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61982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1BA9B28">
            <w:pPr>
              <w:widowControl/>
              <w:spacing w:line="280" w:lineRule="exact"/>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交通运输业 *</w:t>
            </w:r>
          </w:p>
        </w:tc>
        <w:tc>
          <w:tcPr>
            <w:tcW w:w="1369" w:type="dxa"/>
            <w:vAlign w:val="center"/>
          </w:tcPr>
          <w:p w14:paraId="258CA0F1">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709" w:type="dxa"/>
            <w:vAlign w:val="center"/>
          </w:tcPr>
          <w:p w14:paraId="6D239168">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125" w:type="dxa"/>
            <w:vAlign w:val="center"/>
          </w:tcPr>
          <w:p w14:paraId="48356879">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X≥1000</w:t>
            </w:r>
          </w:p>
        </w:tc>
        <w:tc>
          <w:tcPr>
            <w:tcW w:w="1701" w:type="dxa"/>
            <w:vAlign w:val="center"/>
          </w:tcPr>
          <w:p w14:paraId="40FAB54C">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300≤X＜1000</w:t>
            </w:r>
          </w:p>
        </w:tc>
        <w:tc>
          <w:tcPr>
            <w:tcW w:w="1426" w:type="dxa"/>
            <w:vAlign w:val="center"/>
          </w:tcPr>
          <w:p w14:paraId="41AF0042">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20≤X＜300</w:t>
            </w:r>
          </w:p>
        </w:tc>
        <w:tc>
          <w:tcPr>
            <w:tcW w:w="992" w:type="dxa"/>
            <w:vAlign w:val="center"/>
          </w:tcPr>
          <w:p w14:paraId="14C465CC">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X＜20</w:t>
            </w:r>
          </w:p>
        </w:tc>
      </w:tr>
      <w:tr w14:paraId="728B5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640390C">
            <w:pPr>
              <w:widowControl/>
              <w:spacing w:line="280" w:lineRule="exact"/>
              <w:jc w:val="left"/>
              <w:rPr>
                <w:rFonts w:ascii="仿宋" w:hAnsi="仿宋" w:eastAsia="仿宋" w:cs="仿宋"/>
                <w:kern w:val="0"/>
                <w:sz w:val="18"/>
                <w:szCs w:val="18"/>
                <w:highlight w:val="none"/>
              </w:rPr>
            </w:pPr>
          </w:p>
        </w:tc>
        <w:tc>
          <w:tcPr>
            <w:tcW w:w="1369" w:type="dxa"/>
            <w:vAlign w:val="center"/>
          </w:tcPr>
          <w:p w14:paraId="46F63A28">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709" w:type="dxa"/>
            <w:vAlign w:val="center"/>
          </w:tcPr>
          <w:p w14:paraId="4A208585">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125" w:type="dxa"/>
            <w:vAlign w:val="center"/>
          </w:tcPr>
          <w:p w14:paraId="1778A096">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Y≥30000</w:t>
            </w:r>
          </w:p>
        </w:tc>
        <w:tc>
          <w:tcPr>
            <w:tcW w:w="1701" w:type="dxa"/>
            <w:vAlign w:val="center"/>
          </w:tcPr>
          <w:p w14:paraId="32D11FA4">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3000≤Y＜30000</w:t>
            </w:r>
          </w:p>
        </w:tc>
        <w:tc>
          <w:tcPr>
            <w:tcW w:w="1426" w:type="dxa"/>
            <w:vAlign w:val="center"/>
          </w:tcPr>
          <w:p w14:paraId="7C83F1D1">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200≤Y＜3000</w:t>
            </w:r>
          </w:p>
        </w:tc>
        <w:tc>
          <w:tcPr>
            <w:tcW w:w="992" w:type="dxa"/>
            <w:vAlign w:val="center"/>
          </w:tcPr>
          <w:p w14:paraId="05ACE55E">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Y＜200</w:t>
            </w:r>
          </w:p>
        </w:tc>
      </w:tr>
      <w:tr w14:paraId="5B6D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EACAE24">
            <w:pPr>
              <w:widowControl/>
              <w:spacing w:line="280" w:lineRule="exact"/>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仓储业*</w:t>
            </w:r>
          </w:p>
        </w:tc>
        <w:tc>
          <w:tcPr>
            <w:tcW w:w="1369" w:type="dxa"/>
            <w:vAlign w:val="center"/>
          </w:tcPr>
          <w:p w14:paraId="34DF99B2">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709" w:type="dxa"/>
            <w:vAlign w:val="center"/>
          </w:tcPr>
          <w:p w14:paraId="0F8F04D4">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125" w:type="dxa"/>
            <w:vAlign w:val="center"/>
          </w:tcPr>
          <w:p w14:paraId="2729A3AA">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X≥200</w:t>
            </w:r>
          </w:p>
        </w:tc>
        <w:tc>
          <w:tcPr>
            <w:tcW w:w="1701" w:type="dxa"/>
            <w:vAlign w:val="center"/>
          </w:tcPr>
          <w:p w14:paraId="3ABA88B6">
            <w:pPr>
              <w:widowControl/>
              <w:spacing w:line="280" w:lineRule="exact"/>
              <w:ind w:left="1" w:leftChars="-51" w:hanging="108" w:hangingChars="60"/>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100≤X＜200</w:t>
            </w:r>
          </w:p>
        </w:tc>
        <w:tc>
          <w:tcPr>
            <w:tcW w:w="1426" w:type="dxa"/>
            <w:vAlign w:val="center"/>
          </w:tcPr>
          <w:p w14:paraId="65092F2F">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20≤X＜100</w:t>
            </w:r>
          </w:p>
        </w:tc>
        <w:tc>
          <w:tcPr>
            <w:tcW w:w="992" w:type="dxa"/>
            <w:vAlign w:val="center"/>
          </w:tcPr>
          <w:p w14:paraId="4738A889">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X＜20</w:t>
            </w:r>
          </w:p>
        </w:tc>
      </w:tr>
      <w:tr w14:paraId="649A5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EC57DAA">
            <w:pPr>
              <w:widowControl/>
              <w:spacing w:line="280" w:lineRule="exact"/>
              <w:jc w:val="left"/>
              <w:rPr>
                <w:rFonts w:ascii="仿宋" w:hAnsi="仿宋" w:eastAsia="仿宋" w:cs="仿宋"/>
                <w:kern w:val="0"/>
                <w:sz w:val="18"/>
                <w:szCs w:val="18"/>
                <w:highlight w:val="none"/>
              </w:rPr>
            </w:pPr>
          </w:p>
        </w:tc>
        <w:tc>
          <w:tcPr>
            <w:tcW w:w="1369" w:type="dxa"/>
            <w:vAlign w:val="center"/>
          </w:tcPr>
          <w:p w14:paraId="5C71306B">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709" w:type="dxa"/>
            <w:vAlign w:val="center"/>
          </w:tcPr>
          <w:p w14:paraId="5BC4B346">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125" w:type="dxa"/>
            <w:vAlign w:val="center"/>
          </w:tcPr>
          <w:p w14:paraId="450BE977">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Y≥30000</w:t>
            </w:r>
          </w:p>
        </w:tc>
        <w:tc>
          <w:tcPr>
            <w:tcW w:w="1701" w:type="dxa"/>
            <w:vAlign w:val="center"/>
          </w:tcPr>
          <w:p w14:paraId="4027665C">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1000≤Y＜30000</w:t>
            </w:r>
          </w:p>
        </w:tc>
        <w:tc>
          <w:tcPr>
            <w:tcW w:w="1426" w:type="dxa"/>
            <w:vAlign w:val="center"/>
          </w:tcPr>
          <w:p w14:paraId="5F629418">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100≤Y＜1000</w:t>
            </w:r>
          </w:p>
        </w:tc>
        <w:tc>
          <w:tcPr>
            <w:tcW w:w="992" w:type="dxa"/>
            <w:vAlign w:val="center"/>
          </w:tcPr>
          <w:p w14:paraId="2F9B643A">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05908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C53099E">
            <w:pPr>
              <w:widowControl/>
              <w:spacing w:line="280" w:lineRule="exact"/>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邮政业</w:t>
            </w:r>
          </w:p>
        </w:tc>
        <w:tc>
          <w:tcPr>
            <w:tcW w:w="1369" w:type="dxa"/>
            <w:vAlign w:val="center"/>
          </w:tcPr>
          <w:p w14:paraId="21DBD5B2">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709" w:type="dxa"/>
            <w:vAlign w:val="center"/>
          </w:tcPr>
          <w:p w14:paraId="3FABDB4C">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125" w:type="dxa"/>
            <w:vAlign w:val="center"/>
          </w:tcPr>
          <w:p w14:paraId="6D035753">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X≥1000</w:t>
            </w:r>
          </w:p>
        </w:tc>
        <w:tc>
          <w:tcPr>
            <w:tcW w:w="1701" w:type="dxa"/>
            <w:vAlign w:val="center"/>
          </w:tcPr>
          <w:p w14:paraId="34D95F7F">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300≤X＜1000</w:t>
            </w:r>
          </w:p>
        </w:tc>
        <w:tc>
          <w:tcPr>
            <w:tcW w:w="1426" w:type="dxa"/>
            <w:vAlign w:val="center"/>
          </w:tcPr>
          <w:p w14:paraId="7FBF209E">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20≤X＜300</w:t>
            </w:r>
          </w:p>
        </w:tc>
        <w:tc>
          <w:tcPr>
            <w:tcW w:w="992" w:type="dxa"/>
            <w:vAlign w:val="center"/>
          </w:tcPr>
          <w:p w14:paraId="1E5A64C9">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X＜20</w:t>
            </w:r>
          </w:p>
        </w:tc>
      </w:tr>
      <w:tr w14:paraId="7E7F2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FBB3E03">
            <w:pPr>
              <w:widowControl/>
              <w:spacing w:line="280" w:lineRule="exact"/>
              <w:jc w:val="left"/>
              <w:rPr>
                <w:rFonts w:ascii="仿宋" w:hAnsi="仿宋" w:eastAsia="仿宋" w:cs="仿宋"/>
                <w:kern w:val="0"/>
                <w:sz w:val="18"/>
                <w:szCs w:val="18"/>
                <w:highlight w:val="none"/>
              </w:rPr>
            </w:pPr>
          </w:p>
        </w:tc>
        <w:tc>
          <w:tcPr>
            <w:tcW w:w="1369" w:type="dxa"/>
            <w:vAlign w:val="center"/>
          </w:tcPr>
          <w:p w14:paraId="7A1EC396">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709" w:type="dxa"/>
            <w:vAlign w:val="center"/>
          </w:tcPr>
          <w:p w14:paraId="38E1129F">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125" w:type="dxa"/>
            <w:vAlign w:val="center"/>
          </w:tcPr>
          <w:p w14:paraId="355D69A2">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Y≥30000</w:t>
            </w:r>
          </w:p>
        </w:tc>
        <w:tc>
          <w:tcPr>
            <w:tcW w:w="1701" w:type="dxa"/>
            <w:vAlign w:val="center"/>
          </w:tcPr>
          <w:p w14:paraId="3CF5F1D1">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2000≤Y＜30000</w:t>
            </w:r>
          </w:p>
        </w:tc>
        <w:tc>
          <w:tcPr>
            <w:tcW w:w="1426" w:type="dxa"/>
            <w:vAlign w:val="center"/>
          </w:tcPr>
          <w:p w14:paraId="1BC1FAB3">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100≤Y＜2000</w:t>
            </w:r>
          </w:p>
        </w:tc>
        <w:tc>
          <w:tcPr>
            <w:tcW w:w="992" w:type="dxa"/>
            <w:vAlign w:val="center"/>
          </w:tcPr>
          <w:p w14:paraId="4D7417B3">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5468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776DEAF">
            <w:pPr>
              <w:widowControl/>
              <w:spacing w:line="280" w:lineRule="exact"/>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住宿业</w:t>
            </w:r>
          </w:p>
        </w:tc>
        <w:tc>
          <w:tcPr>
            <w:tcW w:w="1369" w:type="dxa"/>
            <w:vAlign w:val="center"/>
          </w:tcPr>
          <w:p w14:paraId="4F884599">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709" w:type="dxa"/>
            <w:vAlign w:val="center"/>
          </w:tcPr>
          <w:p w14:paraId="722B0E75">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125" w:type="dxa"/>
            <w:vAlign w:val="center"/>
          </w:tcPr>
          <w:p w14:paraId="3DF48FEA">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X≥300</w:t>
            </w:r>
          </w:p>
        </w:tc>
        <w:tc>
          <w:tcPr>
            <w:tcW w:w="1701" w:type="dxa"/>
            <w:vAlign w:val="center"/>
          </w:tcPr>
          <w:p w14:paraId="4A70C404">
            <w:pPr>
              <w:widowControl/>
              <w:spacing w:line="280" w:lineRule="exact"/>
              <w:ind w:left="1" w:leftChars="-51" w:hanging="108" w:hangingChars="60"/>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100≤X＜300</w:t>
            </w:r>
          </w:p>
        </w:tc>
        <w:tc>
          <w:tcPr>
            <w:tcW w:w="1426" w:type="dxa"/>
            <w:vAlign w:val="center"/>
          </w:tcPr>
          <w:p w14:paraId="7048CF9A">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10≤X＜100</w:t>
            </w:r>
          </w:p>
        </w:tc>
        <w:tc>
          <w:tcPr>
            <w:tcW w:w="992" w:type="dxa"/>
            <w:vAlign w:val="center"/>
          </w:tcPr>
          <w:p w14:paraId="63224163">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r w14:paraId="52868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007822D">
            <w:pPr>
              <w:widowControl/>
              <w:spacing w:line="280" w:lineRule="exact"/>
              <w:jc w:val="left"/>
              <w:rPr>
                <w:rFonts w:ascii="仿宋" w:hAnsi="仿宋" w:eastAsia="仿宋" w:cs="仿宋"/>
                <w:kern w:val="0"/>
                <w:sz w:val="18"/>
                <w:szCs w:val="18"/>
                <w:highlight w:val="none"/>
              </w:rPr>
            </w:pPr>
          </w:p>
        </w:tc>
        <w:tc>
          <w:tcPr>
            <w:tcW w:w="1369" w:type="dxa"/>
            <w:vAlign w:val="center"/>
          </w:tcPr>
          <w:p w14:paraId="2C1A38CC">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709" w:type="dxa"/>
            <w:vAlign w:val="center"/>
          </w:tcPr>
          <w:p w14:paraId="1B9510DC">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125" w:type="dxa"/>
            <w:vAlign w:val="center"/>
          </w:tcPr>
          <w:p w14:paraId="21A7E45A">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Y≥10000</w:t>
            </w:r>
          </w:p>
        </w:tc>
        <w:tc>
          <w:tcPr>
            <w:tcW w:w="1701" w:type="dxa"/>
            <w:vAlign w:val="center"/>
          </w:tcPr>
          <w:p w14:paraId="7C22D2FD">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2000≤Y＜10000</w:t>
            </w:r>
          </w:p>
        </w:tc>
        <w:tc>
          <w:tcPr>
            <w:tcW w:w="1426" w:type="dxa"/>
            <w:vAlign w:val="center"/>
          </w:tcPr>
          <w:p w14:paraId="691F1211">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100≤Y＜2000</w:t>
            </w:r>
          </w:p>
        </w:tc>
        <w:tc>
          <w:tcPr>
            <w:tcW w:w="992" w:type="dxa"/>
            <w:vAlign w:val="center"/>
          </w:tcPr>
          <w:p w14:paraId="4A33424D">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04552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D4FD211">
            <w:pPr>
              <w:widowControl/>
              <w:spacing w:line="280" w:lineRule="exact"/>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餐饮业</w:t>
            </w:r>
          </w:p>
        </w:tc>
        <w:tc>
          <w:tcPr>
            <w:tcW w:w="1369" w:type="dxa"/>
            <w:vAlign w:val="center"/>
          </w:tcPr>
          <w:p w14:paraId="2A502638">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709" w:type="dxa"/>
            <w:vAlign w:val="center"/>
          </w:tcPr>
          <w:p w14:paraId="17543120">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125" w:type="dxa"/>
            <w:vAlign w:val="center"/>
          </w:tcPr>
          <w:p w14:paraId="12888BA7">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X≥300</w:t>
            </w:r>
          </w:p>
        </w:tc>
        <w:tc>
          <w:tcPr>
            <w:tcW w:w="1701" w:type="dxa"/>
            <w:vAlign w:val="center"/>
          </w:tcPr>
          <w:p w14:paraId="1CD8E2BE">
            <w:pPr>
              <w:widowControl/>
              <w:spacing w:line="280" w:lineRule="exact"/>
              <w:ind w:left="1" w:leftChars="-51" w:hanging="108" w:hangingChars="60"/>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 xml:space="preserve">100≤X＜300 </w:t>
            </w:r>
          </w:p>
        </w:tc>
        <w:tc>
          <w:tcPr>
            <w:tcW w:w="1426" w:type="dxa"/>
            <w:vAlign w:val="center"/>
          </w:tcPr>
          <w:p w14:paraId="4C3944C5">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10≤X＜100</w:t>
            </w:r>
          </w:p>
        </w:tc>
        <w:tc>
          <w:tcPr>
            <w:tcW w:w="992" w:type="dxa"/>
            <w:vAlign w:val="center"/>
          </w:tcPr>
          <w:p w14:paraId="2CB41221">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r w14:paraId="442FC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2A1F3F6">
            <w:pPr>
              <w:widowControl/>
              <w:spacing w:line="280" w:lineRule="exact"/>
              <w:jc w:val="left"/>
              <w:rPr>
                <w:rFonts w:ascii="仿宋" w:hAnsi="仿宋" w:eastAsia="仿宋" w:cs="仿宋"/>
                <w:kern w:val="0"/>
                <w:sz w:val="18"/>
                <w:szCs w:val="18"/>
                <w:highlight w:val="none"/>
              </w:rPr>
            </w:pPr>
          </w:p>
        </w:tc>
        <w:tc>
          <w:tcPr>
            <w:tcW w:w="1369" w:type="dxa"/>
            <w:vAlign w:val="center"/>
          </w:tcPr>
          <w:p w14:paraId="5F886804">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709" w:type="dxa"/>
            <w:vAlign w:val="center"/>
          </w:tcPr>
          <w:p w14:paraId="660CF8A3">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125" w:type="dxa"/>
            <w:vAlign w:val="center"/>
          </w:tcPr>
          <w:p w14:paraId="7CE2F4EB">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Y≥10000</w:t>
            </w:r>
          </w:p>
        </w:tc>
        <w:tc>
          <w:tcPr>
            <w:tcW w:w="1701" w:type="dxa"/>
            <w:vAlign w:val="center"/>
          </w:tcPr>
          <w:p w14:paraId="18928670">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2000≤Y＜10000</w:t>
            </w:r>
          </w:p>
        </w:tc>
        <w:tc>
          <w:tcPr>
            <w:tcW w:w="1426" w:type="dxa"/>
            <w:vAlign w:val="center"/>
          </w:tcPr>
          <w:p w14:paraId="7E26028E">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100≤Y＜2000</w:t>
            </w:r>
          </w:p>
        </w:tc>
        <w:tc>
          <w:tcPr>
            <w:tcW w:w="992" w:type="dxa"/>
            <w:vAlign w:val="center"/>
          </w:tcPr>
          <w:p w14:paraId="53702702">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18469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4160EF2">
            <w:pPr>
              <w:widowControl/>
              <w:spacing w:line="280" w:lineRule="exact"/>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信息传输业 *</w:t>
            </w:r>
          </w:p>
        </w:tc>
        <w:tc>
          <w:tcPr>
            <w:tcW w:w="1369" w:type="dxa"/>
            <w:vAlign w:val="center"/>
          </w:tcPr>
          <w:p w14:paraId="335D26FC">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709" w:type="dxa"/>
            <w:vAlign w:val="center"/>
          </w:tcPr>
          <w:p w14:paraId="39C292F0">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125" w:type="dxa"/>
            <w:vAlign w:val="center"/>
          </w:tcPr>
          <w:p w14:paraId="6A1469E4">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X≥2000</w:t>
            </w:r>
          </w:p>
        </w:tc>
        <w:tc>
          <w:tcPr>
            <w:tcW w:w="1701" w:type="dxa"/>
            <w:vAlign w:val="center"/>
          </w:tcPr>
          <w:p w14:paraId="3E6CC030">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100≤X＜2000</w:t>
            </w:r>
          </w:p>
        </w:tc>
        <w:tc>
          <w:tcPr>
            <w:tcW w:w="1426" w:type="dxa"/>
            <w:vAlign w:val="center"/>
          </w:tcPr>
          <w:p w14:paraId="2F78621A">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10≤X＜100</w:t>
            </w:r>
          </w:p>
        </w:tc>
        <w:tc>
          <w:tcPr>
            <w:tcW w:w="992" w:type="dxa"/>
            <w:vAlign w:val="center"/>
          </w:tcPr>
          <w:p w14:paraId="634A50C7">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r w14:paraId="4781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71F4246">
            <w:pPr>
              <w:widowControl/>
              <w:spacing w:line="280" w:lineRule="exact"/>
              <w:jc w:val="left"/>
              <w:rPr>
                <w:rFonts w:ascii="仿宋" w:hAnsi="仿宋" w:eastAsia="仿宋" w:cs="仿宋"/>
                <w:kern w:val="0"/>
                <w:sz w:val="18"/>
                <w:szCs w:val="18"/>
                <w:highlight w:val="none"/>
              </w:rPr>
            </w:pPr>
          </w:p>
        </w:tc>
        <w:tc>
          <w:tcPr>
            <w:tcW w:w="1369" w:type="dxa"/>
            <w:vAlign w:val="center"/>
          </w:tcPr>
          <w:p w14:paraId="48E51553">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709" w:type="dxa"/>
            <w:vAlign w:val="center"/>
          </w:tcPr>
          <w:p w14:paraId="684F8635">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125" w:type="dxa"/>
            <w:vAlign w:val="center"/>
          </w:tcPr>
          <w:p w14:paraId="6F65D059">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Y≥100000</w:t>
            </w:r>
          </w:p>
        </w:tc>
        <w:tc>
          <w:tcPr>
            <w:tcW w:w="1701" w:type="dxa"/>
            <w:vAlign w:val="center"/>
          </w:tcPr>
          <w:p w14:paraId="48E048ED">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1000≤Y＜100000</w:t>
            </w:r>
          </w:p>
        </w:tc>
        <w:tc>
          <w:tcPr>
            <w:tcW w:w="1426" w:type="dxa"/>
            <w:vAlign w:val="center"/>
          </w:tcPr>
          <w:p w14:paraId="73DB787D">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100≤Y＜1000</w:t>
            </w:r>
          </w:p>
        </w:tc>
        <w:tc>
          <w:tcPr>
            <w:tcW w:w="992" w:type="dxa"/>
            <w:vAlign w:val="center"/>
          </w:tcPr>
          <w:p w14:paraId="6B25F13B">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266E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5D223F10">
            <w:pPr>
              <w:widowControl/>
              <w:spacing w:line="280" w:lineRule="exact"/>
              <w:jc w:val="left"/>
              <w:rPr>
                <w:rFonts w:ascii="仿宋" w:hAnsi="仿宋" w:eastAsia="仿宋" w:cs="仿宋"/>
                <w:spacing w:val="-12"/>
                <w:kern w:val="0"/>
                <w:sz w:val="18"/>
                <w:szCs w:val="18"/>
                <w:highlight w:val="none"/>
              </w:rPr>
            </w:pPr>
            <w:r>
              <w:rPr>
                <w:rFonts w:hint="eastAsia" w:ascii="仿宋" w:hAnsi="仿宋" w:eastAsia="仿宋" w:cs="仿宋"/>
                <w:spacing w:val="-12"/>
                <w:kern w:val="0"/>
                <w:sz w:val="18"/>
                <w:szCs w:val="18"/>
                <w:highlight w:val="none"/>
              </w:rPr>
              <w:t>软件和信息技术服</w:t>
            </w:r>
            <w:r>
              <w:rPr>
                <w:rFonts w:hint="eastAsia" w:ascii="仿宋" w:hAnsi="仿宋" w:eastAsia="仿宋" w:cs="仿宋"/>
                <w:kern w:val="0"/>
                <w:sz w:val="18"/>
                <w:szCs w:val="18"/>
                <w:highlight w:val="none"/>
              </w:rPr>
              <w:t>务业</w:t>
            </w:r>
          </w:p>
        </w:tc>
        <w:tc>
          <w:tcPr>
            <w:tcW w:w="1369" w:type="dxa"/>
            <w:vAlign w:val="center"/>
          </w:tcPr>
          <w:p w14:paraId="5B5DAAC9">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709" w:type="dxa"/>
            <w:vAlign w:val="center"/>
          </w:tcPr>
          <w:p w14:paraId="27A01913">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125" w:type="dxa"/>
            <w:vAlign w:val="center"/>
          </w:tcPr>
          <w:p w14:paraId="2EA5B41A">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X≥300</w:t>
            </w:r>
          </w:p>
        </w:tc>
        <w:tc>
          <w:tcPr>
            <w:tcW w:w="1701" w:type="dxa"/>
            <w:vAlign w:val="center"/>
          </w:tcPr>
          <w:p w14:paraId="797E71A0">
            <w:pPr>
              <w:widowControl/>
              <w:spacing w:line="280" w:lineRule="exact"/>
              <w:ind w:left="1" w:leftChars="-51" w:hanging="108" w:hangingChars="60"/>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 xml:space="preserve">100≤X＜300 </w:t>
            </w:r>
          </w:p>
        </w:tc>
        <w:tc>
          <w:tcPr>
            <w:tcW w:w="1426" w:type="dxa"/>
            <w:vAlign w:val="center"/>
          </w:tcPr>
          <w:p w14:paraId="623A8C86">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10≤X＜100</w:t>
            </w:r>
          </w:p>
        </w:tc>
        <w:tc>
          <w:tcPr>
            <w:tcW w:w="992" w:type="dxa"/>
            <w:vAlign w:val="center"/>
          </w:tcPr>
          <w:p w14:paraId="2C59E38E">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r w14:paraId="7153F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D6DFE1F">
            <w:pPr>
              <w:widowControl/>
              <w:spacing w:line="280" w:lineRule="exact"/>
              <w:jc w:val="left"/>
              <w:rPr>
                <w:rFonts w:ascii="仿宋" w:hAnsi="仿宋" w:eastAsia="仿宋" w:cs="仿宋"/>
                <w:spacing w:val="-12"/>
                <w:kern w:val="0"/>
                <w:sz w:val="18"/>
                <w:szCs w:val="18"/>
                <w:highlight w:val="none"/>
              </w:rPr>
            </w:pPr>
          </w:p>
        </w:tc>
        <w:tc>
          <w:tcPr>
            <w:tcW w:w="1369" w:type="dxa"/>
            <w:vAlign w:val="center"/>
          </w:tcPr>
          <w:p w14:paraId="6F030675">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709" w:type="dxa"/>
            <w:vAlign w:val="center"/>
          </w:tcPr>
          <w:p w14:paraId="3CBB1F6F">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125" w:type="dxa"/>
            <w:vAlign w:val="center"/>
          </w:tcPr>
          <w:p w14:paraId="17F6F8C4">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Y≥10000</w:t>
            </w:r>
          </w:p>
        </w:tc>
        <w:tc>
          <w:tcPr>
            <w:tcW w:w="1701" w:type="dxa"/>
            <w:vAlign w:val="center"/>
          </w:tcPr>
          <w:p w14:paraId="6BF6094E">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1000≤Y＜10000</w:t>
            </w:r>
          </w:p>
        </w:tc>
        <w:tc>
          <w:tcPr>
            <w:tcW w:w="1426" w:type="dxa"/>
            <w:vAlign w:val="center"/>
          </w:tcPr>
          <w:p w14:paraId="1FDD34A2">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50≤Y＜1000</w:t>
            </w:r>
          </w:p>
        </w:tc>
        <w:tc>
          <w:tcPr>
            <w:tcW w:w="992" w:type="dxa"/>
            <w:vAlign w:val="center"/>
          </w:tcPr>
          <w:p w14:paraId="726FCF33">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Y＜50</w:t>
            </w:r>
          </w:p>
        </w:tc>
      </w:tr>
      <w:tr w14:paraId="7AED2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7B5F9B35">
            <w:pPr>
              <w:widowControl/>
              <w:spacing w:line="280" w:lineRule="exact"/>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房地产开发经营</w:t>
            </w:r>
          </w:p>
        </w:tc>
        <w:tc>
          <w:tcPr>
            <w:tcW w:w="1369" w:type="dxa"/>
            <w:vAlign w:val="center"/>
          </w:tcPr>
          <w:p w14:paraId="61534734">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709" w:type="dxa"/>
            <w:vAlign w:val="center"/>
          </w:tcPr>
          <w:p w14:paraId="32FA15EB">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125" w:type="dxa"/>
            <w:vAlign w:val="center"/>
          </w:tcPr>
          <w:p w14:paraId="5047E0BE">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Y≥200000</w:t>
            </w:r>
          </w:p>
        </w:tc>
        <w:tc>
          <w:tcPr>
            <w:tcW w:w="1701" w:type="dxa"/>
            <w:vAlign w:val="center"/>
          </w:tcPr>
          <w:p w14:paraId="66413ABA">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1000≤Y＜200000</w:t>
            </w:r>
          </w:p>
        </w:tc>
        <w:tc>
          <w:tcPr>
            <w:tcW w:w="1426" w:type="dxa"/>
            <w:vAlign w:val="center"/>
          </w:tcPr>
          <w:p w14:paraId="6908EE58">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100≤Y＜1000</w:t>
            </w:r>
          </w:p>
        </w:tc>
        <w:tc>
          <w:tcPr>
            <w:tcW w:w="992" w:type="dxa"/>
            <w:vAlign w:val="center"/>
          </w:tcPr>
          <w:p w14:paraId="6A177D2D">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0CC6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0637B7A">
            <w:pPr>
              <w:widowControl/>
              <w:spacing w:line="280" w:lineRule="exact"/>
              <w:jc w:val="left"/>
              <w:rPr>
                <w:rFonts w:ascii="仿宋" w:hAnsi="仿宋" w:eastAsia="仿宋" w:cs="仿宋"/>
                <w:kern w:val="0"/>
                <w:sz w:val="18"/>
                <w:szCs w:val="18"/>
                <w:highlight w:val="none"/>
              </w:rPr>
            </w:pPr>
          </w:p>
        </w:tc>
        <w:tc>
          <w:tcPr>
            <w:tcW w:w="1369" w:type="dxa"/>
            <w:vAlign w:val="center"/>
          </w:tcPr>
          <w:p w14:paraId="153A8DB5">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资产总额(Z)</w:t>
            </w:r>
          </w:p>
        </w:tc>
        <w:tc>
          <w:tcPr>
            <w:tcW w:w="709" w:type="dxa"/>
            <w:vAlign w:val="center"/>
          </w:tcPr>
          <w:p w14:paraId="1DF577B3">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125" w:type="dxa"/>
            <w:vAlign w:val="center"/>
          </w:tcPr>
          <w:p w14:paraId="3543D303">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Z≥10000</w:t>
            </w:r>
          </w:p>
        </w:tc>
        <w:tc>
          <w:tcPr>
            <w:tcW w:w="1701" w:type="dxa"/>
            <w:vAlign w:val="center"/>
          </w:tcPr>
          <w:p w14:paraId="38205434">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5000≤Z＜10000</w:t>
            </w:r>
          </w:p>
        </w:tc>
        <w:tc>
          <w:tcPr>
            <w:tcW w:w="1426" w:type="dxa"/>
            <w:vAlign w:val="center"/>
          </w:tcPr>
          <w:p w14:paraId="38B07C62">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2000≤Z＜5000</w:t>
            </w:r>
          </w:p>
        </w:tc>
        <w:tc>
          <w:tcPr>
            <w:tcW w:w="992" w:type="dxa"/>
            <w:vAlign w:val="center"/>
          </w:tcPr>
          <w:p w14:paraId="7F4FF9C2">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Z＜2000</w:t>
            </w:r>
          </w:p>
        </w:tc>
      </w:tr>
      <w:tr w14:paraId="0601D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125E2DF">
            <w:pPr>
              <w:widowControl/>
              <w:spacing w:line="280" w:lineRule="exact"/>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物业管理</w:t>
            </w:r>
          </w:p>
        </w:tc>
        <w:tc>
          <w:tcPr>
            <w:tcW w:w="1369" w:type="dxa"/>
            <w:vAlign w:val="center"/>
          </w:tcPr>
          <w:p w14:paraId="5D69B16C">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709" w:type="dxa"/>
            <w:vAlign w:val="center"/>
          </w:tcPr>
          <w:p w14:paraId="7B580B69">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125" w:type="dxa"/>
            <w:vAlign w:val="center"/>
          </w:tcPr>
          <w:p w14:paraId="0A14F7F5">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X≥1000</w:t>
            </w:r>
          </w:p>
        </w:tc>
        <w:tc>
          <w:tcPr>
            <w:tcW w:w="1701" w:type="dxa"/>
            <w:vAlign w:val="center"/>
          </w:tcPr>
          <w:p w14:paraId="68239817">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300≤X＜1000</w:t>
            </w:r>
          </w:p>
        </w:tc>
        <w:tc>
          <w:tcPr>
            <w:tcW w:w="1426" w:type="dxa"/>
            <w:vAlign w:val="center"/>
          </w:tcPr>
          <w:p w14:paraId="583D8DD5">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100≤X＜300</w:t>
            </w:r>
          </w:p>
        </w:tc>
        <w:tc>
          <w:tcPr>
            <w:tcW w:w="992" w:type="dxa"/>
            <w:vAlign w:val="center"/>
          </w:tcPr>
          <w:p w14:paraId="32E98BB9">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X＜100</w:t>
            </w:r>
          </w:p>
        </w:tc>
      </w:tr>
      <w:tr w14:paraId="62239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1035E0EF">
            <w:pPr>
              <w:widowControl/>
              <w:spacing w:line="280" w:lineRule="exact"/>
              <w:jc w:val="left"/>
              <w:rPr>
                <w:rFonts w:ascii="仿宋" w:hAnsi="仿宋" w:eastAsia="仿宋" w:cs="仿宋"/>
                <w:kern w:val="0"/>
                <w:sz w:val="18"/>
                <w:szCs w:val="18"/>
                <w:highlight w:val="none"/>
              </w:rPr>
            </w:pPr>
          </w:p>
        </w:tc>
        <w:tc>
          <w:tcPr>
            <w:tcW w:w="1369" w:type="dxa"/>
            <w:vAlign w:val="center"/>
          </w:tcPr>
          <w:p w14:paraId="10CE87D2">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709" w:type="dxa"/>
            <w:vAlign w:val="center"/>
          </w:tcPr>
          <w:p w14:paraId="5B0DF2D7">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125" w:type="dxa"/>
            <w:vAlign w:val="center"/>
          </w:tcPr>
          <w:p w14:paraId="4802C54B">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Y≥5000</w:t>
            </w:r>
          </w:p>
        </w:tc>
        <w:tc>
          <w:tcPr>
            <w:tcW w:w="1701" w:type="dxa"/>
            <w:vAlign w:val="center"/>
          </w:tcPr>
          <w:p w14:paraId="13C6300E">
            <w:pPr>
              <w:widowControl/>
              <w:spacing w:line="280" w:lineRule="exact"/>
              <w:ind w:left="1" w:leftChars="-51" w:hanging="108" w:hangingChars="60"/>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1000≤Y＜5000</w:t>
            </w:r>
          </w:p>
        </w:tc>
        <w:tc>
          <w:tcPr>
            <w:tcW w:w="1426" w:type="dxa"/>
            <w:vAlign w:val="center"/>
          </w:tcPr>
          <w:p w14:paraId="7A3B1448">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500≤Y＜1000</w:t>
            </w:r>
          </w:p>
        </w:tc>
        <w:tc>
          <w:tcPr>
            <w:tcW w:w="992" w:type="dxa"/>
            <w:vAlign w:val="center"/>
          </w:tcPr>
          <w:p w14:paraId="474FC987">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Y＜500</w:t>
            </w:r>
          </w:p>
        </w:tc>
      </w:tr>
      <w:tr w14:paraId="6270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2E232B9A">
            <w:pPr>
              <w:widowControl/>
              <w:spacing w:line="280" w:lineRule="exact"/>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零售业</w:t>
            </w:r>
          </w:p>
        </w:tc>
        <w:tc>
          <w:tcPr>
            <w:tcW w:w="1369" w:type="dxa"/>
            <w:vAlign w:val="center"/>
          </w:tcPr>
          <w:p w14:paraId="6CC3EC88">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709" w:type="dxa"/>
            <w:vAlign w:val="center"/>
          </w:tcPr>
          <w:p w14:paraId="4EAC25F6">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125" w:type="dxa"/>
            <w:vAlign w:val="center"/>
          </w:tcPr>
          <w:p w14:paraId="02607918">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X≥300</w:t>
            </w:r>
          </w:p>
        </w:tc>
        <w:tc>
          <w:tcPr>
            <w:tcW w:w="1701" w:type="dxa"/>
            <w:vAlign w:val="center"/>
          </w:tcPr>
          <w:p w14:paraId="1300403B">
            <w:pPr>
              <w:widowControl/>
              <w:spacing w:line="280" w:lineRule="exact"/>
              <w:ind w:left="1" w:leftChars="-51" w:hanging="108" w:hangingChars="60"/>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100≤X＜300</w:t>
            </w:r>
          </w:p>
        </w:tc>
        <w:tc>
          <w:tcPr>
            <w:tcW w:w="1426" w:type="dxa"/>
            <w:vAlign w:val="center"/>
          </w:tcPr>
          <w:p w14:paraId="06923327">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10≤X＜100</w:t>
            </w:r>
          </w:p>
        </w:tc>
        <w:tc>
          <w:tcPr>
            <w:tcW w:w="992" w:type="dxa"/>
            <w:vAlign w:val="center"/>
          </w:tcPr>
          <w:p w14:paraId="378A15D5">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r w14:paraId="39C1E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199D5979">
            <w:pPr>
              <w:widowControl/>
              <w:spacing w:line="280" w:lineRule="exact"/>
              <w:jc w:val="left"/>
              <w:rPr>
                <w:rFonts w:ascii="仿宋" w:hAnsi="仿宋" w:eastAsia="仿宋" w:cs="仿宋"/>
                <w:kern w:val="0"/>
                <w:sz w:val="18"/>
                <w:szCs w:val="18"/>
                <w:highlight w:val="none"/>
              </w:rPr>
            </w:pPr>
          </w:p>
        </w:tc>
        <w:tc>
          <w:tcPr>
            <w:tcW w:w="1369" w:type="dxa"/>
            <w:vAlign w:val="center"/>
          </w:tcPr>
          <w:p w14:paraId="1FBE7C07">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资产总额(Z)</w:t>
            </w:r>
          </w:p>
        </w:tc>
        <w:tc>
          <w:tcPr>
            <w:tcW w:w="709" w:type="dxa"/>
            <w:vAlign w:val="center"/>
          </w:tcPr>
          <w:p w14:paraId="57C726CA">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125" w:type="dxa"/>
            <w:vAlign w:val="center"/>
          </w:tcPr>
          <w:p w14:paraId="2BDF5308">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Z≥120000</w:t>
            </w:r>
          </w:p>
        </w:tc>
        <w:tc>
          <w:tcPr>
            <w:tcW w:w="1701" w:type="dxa"/>
            <w:vAlign w:val="center"/>
          </w:tcPr>
          <w:p w14:paraId="67E4F1D3">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8000≤Z＜120000</w:t>
            </w:r>
          </w:p>
        </w:tc>
        <w:tc>
          <w:tcPr>
            <w:tcW w:w="1426" w:type="dxa"/>
            <w:vAlign w:val="center"/>
          </w:tcPr>
          <w:p w14:paraId="6E12BB45">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100≤Z＜8000</w:t>
            </w:r>
          </w:p>
        </w:tc>
        <w:tc>
          <w:tcPr>
            <w:tcW w:w="992" w:type="dxa"/>
            <w:vAlign w:val="center"/>
          </w:tcPr>
          <w:p w14:paraId="705B3F6C">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Z＜100</w:t>
            </w:r>
          </w:p>
        </w:tc>
      </w:tr>
      <w:tr w14:paraId="6342F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5FB9C3E4">
            <w:pPr>
              <w:widowControl/>
              <w:spacing w:line="280" w:lineRule="exact"/>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其他未列明行业 *</w:t>
            </w:r>
          </w:p>
        </w:tc>
        <w:tc>
          <w:tcPr>
            <w:tcW w:w="1369" w:type="dxa"/>
            <w:vAlign w:val="center"/>
          </w:tcPr>
          <w:p w14:paraId="050D88AE">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709" w:type="dxa"/>
            <w:vAlign w:val="center"/>
          </w:tcPr>
          <w:p w14:paraId="10512428">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125" w:type="dxa"/>
            <w:vAlign w:val="center"/>
          </w:tcPr>
          <w:p w14:paraId="5B171A5B">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X≥300</w:t>
            </w:r>
          </w:p>
        </w:tc>
        <w:tc>
          <w:tcPr>
            <w:tcW w:w="1701" w:type="dxa"/>
            <w:vAlign w:val="center"/>
          </w:tcPr>
          <w:p w14:paraId="7430B44D">
            <w:pPr>
              <w:widowControl/>
              <w:spacing w:line="280" w:lineRule="exact"/>
              <w:ind w:left="1" w:leftChars="-51" w:hanging="108" w:hangingChars="60"/>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100≤X＜300</w:t>
            </w:r>
          </w:p>
        </w:tc>
        <w:tc>
          <w:tcPr>
            <w:tcW w:w="1426" w:type="dxa"/>
            <w:vAlign w:val="center"/>
          </w:tcPr>
          <w:p w14:paraId="677ED272">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10≤X＜100</w:t>
            </w:r>
          </w:p>
        </w:tc>
        <w:tc>
          <w:tcPr>
            <w:tcW w:w="992" w:type="dxa"/>
            <w:vAlign w:val="center"/>
          </w:tcPr>
          <w:p w14:paraId="3A91684F">
            <w:pPr>
              <w:widowControl/>
              <w:spacing w:line="280" w:lineRule="exact"/>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bl>
    <w:p w14:paraId="6F017B30">
      <w:pPr>
        <w:widowControl/>
        <w:spacing w:line="280" w:lineRule="exact"/>
        <w:rPr>
          <w:rFonts w:ascii="仿宋" w:hAnsi="仿宋" w:eastAsia="仿宋" w:cs="仿宋"/>
          <w:spacing w:val="8"/>
          <w:kern w:val="0"/>
          <w:sz w:val="24"/>
          <w:highlight w:val="none"/>
        </w:rPr>
      </w:pPr>
    </w:p>
    <w:p w14:paraId="1323138E">
      <w:pPr>
        <w:widowControl/>
        <w:spacing w:line="280" w:lineRule="exact"/>
        <w:rPr>
          <w:rFonts w:ascii="仿宋" w:hAnsi="仿宋" w:eastAsia="仿宋" w:cs="仿宋"/>
          <w:spacing w:val="8"/>
          <w:kern w:val="0"/>
          <w:sz w:val="24"/>
          <w:highlight w:val="none"/>
        </w:rPr>
      </w:pPr>
    </w:p>
    <w:p w14:paraId="41F543D8">
      <w:pPr>
        <w:widowControl/>
        <w:spacing w:line="280" w:lineRule="exact"/>
        <w:rPr>
          <w:rFonts w:ascii="仿宋" w:hAnsi="仿宋" w:eastAsia="仿宋" w:cs="仿宋"/>
          <w:spacing w:val="8"/>
          <w:kern w:val="0"/>
          <w:sz w:val="24"/>
          <w:highlight w:val="none"/>
        </w:rPr>
      </w:pPr>
    </w:p>
    <w:p w14:paraId="36556008">
      <w:pPr>
        <w:widowControl/>
        <w:spacing w:line="440" w:lineRule="exact"/>
        <w:rPr>
          <w:rFonts w:ascii="仿宋" w:hAnsi="仿宋" w:eastAsia="仿宋" w:cs="仿宋"/>
          <w:spacing w:val="8"/>
          <w:kern w:val="0"/>
          <w:szCs w:val="21"/>
          <w:highlight w:val="none"/>
        </w:rPr>
      </w:pPr>
      <w:r>
        <w:rPr>
          <w:rFonts w:hint="eastAsia" w:ascii="仿宋" w:hAnsi="仿宋" w:eastAsia="仿宋" w:cs="仿宋"/>
          <w:spacing w:val="8"/>
          <w:kern w:val="0"/>
          <w:szCs w:val="21"/>
          <w:highlight w:val="none"/>
        </w:rPr>
        <w:t>说明：</w:t>
      </w:r>
    </w:p>
    <w:p w14:paraId="7798A071">
      <w:pPr>
        <w:pStyle w:val="15"/>
        <w:adjustRightInd w:val="0"/>
        <w:spacing w:line="440" w:lineRule="exact"/>
        <w:ind w:firstLine="452" w:firstLineChars="200"/>
        <w:contextualSpacing/>
        <w:rPr>
          <w:rFonts w:ascii="仿宋" w:hAnsi="仿宋" w:eastAsia="仿宋" w:cs="仿宋"/>
          <w:spacing w:val="8"/>
          <w:kern w:val="0"/>
          <w:szCs w:val="21"/>
          <w:highlight w:val="none"/>
        </w:rPr>
      </w:pPr>
      <w:r>
        <w:rPr>
          <w:rFonts w:hint="eastAsia" w:ascii="仿宋" w:hAnsi="仿宋" w:eastAsia="仿宋" w:cs="仿宋"/>
          <w:spacing w:val="8"/>
          <w:kern w:val="0"/>
          <w:szCs w:val="21"/>
          <w:highlight w:val="none"/>
        </w:rPr>
        <w:t>1.大型、中型和小型企业须同时满足所列指标的下限，否则下划一档；微型企业只须满足所列指标中的一项即可。</w:t>
      </w:r>
    </w:p>
    <w:p w14:paraId="3C1C16CB">
      <w:pPr>
        <w:pStyle w:val="15"/>
        <w:adjustRightInd w:val="0"/>
        <w:spacing w:line="440" w:lineRule="exact"/>
        <w:ind w:firstLine="452" w:firstLineChars="200"/>
        <w:contextualSpacing/>
        <w:rPr>
          <w:rFonts w:ascii="仿宋" w:hAnsi="仿宋" w:eastAsia="仿宋" w:cs="仿宋"/>
          <w:spacing w:val="8"/>
          <w:kern w:val="0"/>
          <w:szCs w:val="21"/>
          <w:highlight w:val="none"/>
        </w:rPr>
      </w:pPr>
      <w:r>
        <w:rPr>
          <w:rFonts w:hint="eastAsia" w:ascii="仿宋" w:hAnsi="仿宋" w:eastAsia="仿宋" w:cs="仿宋"/>
          <w:spacing w:val="8"/>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5DADF87">
      <w:pPr>
        <w:pStyle w:val="15"/>
        <w:spacing w:line="440" w:lineRule="exact"/>
        <w:ind w:firstLine="452" w:firstLineChars="200"/>
        <w:rPr>
          <w:rFonts w:ascii="仿宋" w:hAnsi="仿宋" w:eastAsia="仿宋" w:cs="仿宋"/>
          <w:spacing w:val="8"/>
          <w:kern w:val="0"/>
          <w:szCs w:val="21"/>
          <w:highlight w:val="none"/>
        </w:rPr>
      </w:pPr>
      <w:r>
        <w:rPr>
          <w:rFonts w:hint="eastAsia" w:ascii="仿宋" w:hAnsi="仿宋" w:eastAsia="仿宋" w:cs="仿宋"/>
          <w:spacing w:val="8"/>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A07A0C1">
      <w:pPr>
        <w:pStyle w:val="7"/>
        <w:rPr>
          <w:rFonts w:ascii="仿宋" w:hAnsi="仿宋" w:eastAsia="仿宋" w:cs="仿宋"/>
          <w:spacing w:val="8"/>
          <w:kern w:val="0"/>
          <w:sz w:val="24"/>
          <w:highlight w:val="none"/>
        </w:rPr>
      </w:pPr>
    </w:p>
    <w:p w14:paraId="29572C9C">
      <w:pPr>
        <w:rPr>
          <w:rFonts w:ascii="仿宋" w:hAnsi="仿宋" w:eastAsia="仿宋" w:cs="仿宋"/>
          <w:b/>
          <w:bCs/>
          <w:sz w:val="24"/>
          <w:highlight w:val="none"/>
        </w:rPr>
      </w:pPr>
    </w:p>
    <w:p w14:paraId="2070F36C">
      <w:pPr>
        <w:rPr>
          <w:rFonts w:ascii="仿宋" w:hAnsi="仿宋" w:eastAsia="仿宋" w:cs="仿宋"/>
          <w:highlight w:val="none"/>
        </w:rPr>
      </w:pPr>
    </w:p>
    <w:p w14:paraId="7D42A2D0">
      <w:pPr>
        <w:rPr>
          <w:rFonts w:ascii="仿宋" w:hAnsi="仿宋" w:eastAsia="仿宋" w:cs="仿宋"/>
          <w:highlight w:val="none"/>
        </w:rPr>
      </w:pPr>
    </w:p>
    <w:p w14:paraId="4CEAE5AF">
      <w:pPr>
        <w:rPr>
          <w:rFonts w:ascii="仿宋" w:hAnsi="仿宋" w:eastAsia="仿宋" w:cs="仿宋"/>
          <w:highlight w:val="none"/>
        </w:rPr>
      </w:pPr>
    </w:p>
    <w:p w14:paraId="75FE9754">
      <w:pPr>
        <w:pStyle w:val="15"/>
        <w:spacing w:line="340" w:lineRule="exact"/>
        <w:rPr>
          <w:rFonts w:ascii="仿宋" w:hAnsi="仿宋" w:eastAsia="仿宋" w:cs="仿宋"/>
          <w:b/>
          <w:sz w:val="28"/>
          <w:szCs w:val="28"/>
          <w:highlight w:val="none"/>
        </w:rPr>
      </w:pPr>
      <w:r>
        <w:rPr>
          <w:rFonts w:hint="eastAsia" w:ascii="仿宋" w:hAnsi="仿宋" w:eastAsia="仿宋" w:cs="仿宋"/>
          <w:b/>
          <w:sz w:val="28"/>
          <w:szCs w:val="28"/>
          <w:highlight w:val="none"/>
        </w:rPr>
        <w:t>5.如提供服务的供应商属于监狱企业的，应当提供由省级以上监狱管理局、戒毒管理局等（含新疆生产建设兵团）出具的属于监狱企业的证明文件（如供应商属于监狱企业的，如有，请提供）；</w:t>
      </w:r>
    </w:p>
    <w:p w14:paraId="1C27446A">
      <w:pPr>
        <w:pStyle w:val="7"/>
        <w:rPr>
          <w:rFonts w:ascii="仿宋" w:hAnsi="仿宋" w:eastAsia="仿宋" w:cs="仿宋"/>
          <w:highlight w:val="none"/>
        </w:rPr>
      </w:pPr>
    </w:p>
    <w:p w14:paraId="540BB4F1">
      <w:pPr>
        <w:pStyle w:val="15"/>
        <w:spacing w:line="340" w:lineRule="exact"/>
        <w:rPr>
          <w:rFonts w:ascii="仿宋" w:hAnsi="仿宋" w:eastAsia="仿宋" w:cs="仿宋"/>
          <w:b/>
          <w:sz w:val="28"/>
          <w:szCs w:val="28"/>
          <w:highlight w:val="none"/>
        </w:rPr>
      </w:pPr>
    </w:p>
    <w:p w14:paraId="6F9D5DCC">
      <w:pPr>
        <w:pStyle w:val="7"/>
        <w:rPr>
          <w:highlight w:val="none"/>
        </w:rPr>
      </w:pPr>
    </w:p>
    <w:p w14:paraId="595FFBC8">
      <w:pPr>
        <w:rPr>
          <w:highlight w:val="none"/>
        </w:rPr>
      </w:pPr>
    </w:p>
    <w:p w14:paraId="128A8C5C">
      <w:pPr>
        <w:rPr>
          <w:highlight w:val="none"/>
        </w:rPr>
      </w:pPr>
    </w:p>
    <w:p w14:paraId="318FD80D">
      <w:pPr>
        <w:rPr>
          <w:highlight w:val="none"/>
        </w:rPr>
      </w:pPr>
    </w:p>
    <w:p w14:paraId="53E4BCEF">
      <w:pPr>
        <w:rPr>
          <w:highlight w:val="none"/>
        </w:rPr>
      </w:pPr>
    </w:p>
    <w:p w14:paraId="10A43430">
      <w:pPr>
        <w:rPr>
          <w:highlight w:val="none"/>
        </w:rPr>
      </w:pPr>
    </w:p>
    <w:p w14:paraId="3C668FC8">
      <w:pPr>
        <w:rPr>
          <w:highlight w:val="none"/>
        </w:rPr>
      </w:pPr>
    </w:p>
    <w:p w14:paraId="6C503577">
      <w:pPr>
        <w:rPr>
          <w:highlight w:val="none"/>
        </w:rPr>
      </w:pPr>
    </w:p>
    <w:p w14:paraId="67F314C6">
      <w:pPr>
        <w:pStyle w:val="22"/>
        <w:rPr>
          <w:highlight w:val="none"/>
        </w:rPr>
      </w:pPr>
    </w:p>
    <w:p w14:paraId="76E6A49F">
      <w:pPr>
        <w:rPr>
          <w:highlight w:val="none"/>
        </w:rPr>
      </w:pPr>
    </w:p>
    <w:p w14:paraId="3B1B3894">
      <w:pPr>
        <w:rPr>
          <w:highlight w:val="none"/>
        </w:rPr>
      </w:pPr>
    </w:p>
    <w:p w14:paraId="28649F17">
      <w:pPr>
        <w:pStyle w:val="15"/>
        <w:spacing w:line="340" w:lineRule="exact"/>
        <w:rPr>
          <w:rFonts w:ascii="仿宋" w:hAnsi="仿宋" w:eastAsia="仿宋" w:cs="仿宋"/>
          <w:b/>
          <w:sz w:val="28"/>
          <w:szCs w:val="28"/>
          <w:highlight w:val="none"/>
        </w:rPr>
      </w:pPr>
      <w:r>
        <w:rPr>
          <w:rFonts w:hint="eastAsia" w:ascii="仿宋" w:hAnsi="仿宋" w:eastAsia="仿宋" w:cs="仿宋"/>
          <w:b/>
          <w:sz w:val="28"/>
          <w:szCs w:val="28"/>
          <w:highlight w:val="none"/>
        </w:rPr>
        <w:t>6.《残疾人福利性单位声明函》（见附件）（如供应商属于残疾人福利性单位的，如有，请提供）</w:t>
      </w:r>
    </w:p>
    <w:p w14:paraId="7A4037D0">
      <w:pPr>
        <w:tabs>
          <w:tab w:val="left" w:pos="1305"/>
        </w:tabs>
        <w:rPr>
          <w:rFonts w:ascii="仿宋" w:hAnsi="仿宋" w:eastAsia="仿宋" w:cs="仿宋"/>
          <w:b/>
          <w:sz w:val="32"/>
          <w:szCs w:val="32"/>
          <w:highlight w:val="none"/>
        </w:rPr>
      </w:pPr>
    </w:p>
    <w:p w14:paraId="1ED3A5EB">
      <w:pPr>
        <w:pStyle w:val="31"/>
        <w:rPr>
          <w:rFonts w:ascii="仿宋" w:hAnsi="仿宋" w:eastAsia="仿宋" w:cs="仿宋"/>
          <w:b/>
          <w:color w:val="auto"/>
          <w:spacing w:val="6"/>
          <w:sz w:val="28"/>
          <w:szCs w:val="28"/>
          <w:highlight w:val="none"/>
        </w:rPr>
      </w:pPr>
    </w:p>
    <w:p w14:paraId="73111D51">
      <w:pPr>
        <w:spacing w:line="588" w:lineRule="exact"/>
        <w:jc w:val="center"/>
        <w:rPr>
          <w:rFonts w:ascii="仿宋" w:hAnsi="仿宋" w:eastAsia="仿宋" w:cs="仿宋"/>
          <w:b/>
          <w:spacing w:val="6"/>
          <w:sz w:val="28"/>
          <w:szCs w:val="28"/>
          <w:highlight w:val="none"/>
        </w:rPr>
      </w:pPr>
      <w:r>
        <w:rPr>
          <w:rFonts w:hint="eastAsia" w:ascii="仿宋" w:hAnsi="仿宋" w:eastAsia="仿宋" w:cs="仿宋"/>
          <w:b/>
          <w:spacing w:val="6"/>
          <w:sz w:val="28"/>
          <w:szCs w:val="28"/>
          <w:highlight w:val="none"/>
        </w:rPr>
        <w:t>残疾人福利性单位声明函</w:t>
      </w:r>
    </w:p>
    <w:p w14:paraId="4F0D7723">
      <w:pPr>
        <w:spacing w:line="588" w:lineRule="exact"/>
        <w:ind w:firstLine="504" w:firstLineChars="200"/>
        <w:rPr>
          <w:rFonts w:ascii="仿宋" w:hAnsi="仿宋" w:eastAsia="仿宋" w:cs="仿宋"/>
          <w:spacing w:val="6"/>
          <w:sz w:val="24"/>
          <w:highlight w:val="none"/>
        </w:rPr>
      </w:pPr>
      <w:r>
        <w:rPr>
          <w:rFonts w:hint="eastAsia" w:ascii="仿宋" w:hAnsi="仿宋" w:eastAsia="仿宋" w:cs="仿宋"/>
          <w:spacing w:val="6"/>
          <w:sz w:val="24"/>
          <w:highlight w:val="none"/>
        </w:rPr>
        <w:t>本单位郑重声明，根据《财政部 民政部 中国残疾人联合会关于促进残疾人就业政府采购政策的通知》（财库</w:t>
      </w:r>
      <w:r>
        <w:rPr>
          <w:rFonts w:hint="eastAsia" w:ascii="仿宋" w:hAnsi="仿宋" w:eastAsia="仿宋" w:cs="仿宋"/>
          <w:sz w:val="24"/>
          <w:highlight w:val="none"/>
        </w:rPr>
        <w:t>〔2017〕141</w:t>
      </w:r>
      <w:r>
        <w:rPr>
          <w:rFonts w:hint="eastAsia" w:ascii="仿宋" w:hAnsi="仿宋" w:eastAsia="仿宋" w:cs="仿宋"/>
          <w:spacing w:val="6"/>
          <w:sz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B38A34F">
      <w:pPr>
        <w:spacing w:line="588" w:lineRule="exact"/>
        <w:ind w:firstLine="504" w:firstLineChars="200"/>
        <w:rPr>
          <w:rFonts w:ascii="仿宋" w:hAnsi="仿宋" w:eastAsia="仿宋" w:cs="仿宋"/>
          <w:spacing w:val="6"/>
          <w:sz w:val="24"/>
          <w:highlight w:val="none"/>
        </w:rPr>
      </w:pPr>
      <w:r>
        <w:rPr>
          <w:rFonts w:hint="eastAsia" w:ascii="仿宋" w:hAnsi="仿宋" w:eastAsia="仿宋" w:cs="仿宋"/>
          <w:spacing w:val="6"/>
          <w:sz w:val="24"/>
          <w:highlight w:val="none"/>
        </w:rPr>
        <w:t>本单位对上述声明的真实性负责。如有虚假，将依法承担相应责任。</w:t>
      </w:r>
    </w:p>
    <w:p w14:paraId="603854F2">
      <w:pPr>
        <w:rPr>
          <w:rFonts w:ascii="仿宋" w:hAnsi="仿宋" w:eastAsia="仿宋" w:cs="仿宋"/>
          <w:highlight w:val="none"/>
        </w:rPr>
      </w:pPr>
    </w:p>
    <w:p w14:paraId="056BAB45">
      <w:pPr>
        <w:tabs>
          <w:tab w:val="left" w:pos="4860"/>
        </w:tabs>
        <w:spacing w:line="588" w:lineRule="exact"/>
        <w:ind w:right="1560" w:firstLine="504" w:firstLineChars="200"/>
        <w:jc w:val="center"/>
        <w:rPr>
          <w:rFonts w:ascii="仿宋" w:hAnsi="仿宋" w:eastAsia="仿宋" w:cs="仿宋"/>
          <w:spacing w:val="6"/>
          <w:sz w:val="24"/>
          <w:highlight w:val="none"/>
        </w:rPr>
      </w:pPr>
      <w:r>
        <w:rPr>
          <w:rFonts w:hint="eastAsia" w:ascii="仿宋" w:hAnsi="仿宋" w:eastAsia="仿宋" w:cs="仿宋"/>
          <w:spacing w:val="6"/>
          <w:sz w:val="24"/>
          <w:highlight w:val="none"/>
        </w:rPr>
        <w:t xml:space="preserve">  单位名称（</w:t>
      </w:r>
      <w:r>
        <w:rPr>
          <w:rFonts w:hint="eastAsia" w:ascii="仿宋" w:hAnsi="仿宋" w:eastAsia="仿宋" w:cs="仿宋"/>
          <w:sz w:val="24"/>
          <w:highlight w:val="none"/>
        </w:rPr>
        <w:t>CA签章</w:t>
      </w:r>
      <w:r>
        <w:rPr>
          <w:rFonts w:hint="eastAsia" w:ascii="仿宋" w:hAnsi="仿宋" w:eastAsia="仿宋" w:cs="仿宋"/>
          <w:spacing w:val="6"/>
          <w:sz w:val="24"/>
          <w:highlight w:val="none"/>
        </w:rPr>
        <w:t>）：</w:t>
      </w:r>
    </w:p>
    <w:p w14:paraId="0B1C88CB">
      <w:pPr>
        <w:pStyle w:val="15"/>
        <w:ind w:firstLine="4032" w:firstLineChars="1600"/>
        <w:rPr>
          <w:rFonts w:ascii="仿宋" w:hAnsi="仿宋" w:eastAsia="仿宋" w:cs="仿宋"/>
          <w:spacing w:val="6"/>
          <w:sz w:val="24"/>
          <w:szCs w:val="24"/>
          <w:highlight w:val="none"/>
        </w:rPr>
      </w:pPr>
      <w:r>
        <w:rPr>
          <w:rFonts w:hint="eastAsia" w:ascii="仿宋" w:hAnsi="仿宋" w:eastAsia="仿宋" w:cs="仿宋"/>
          <w:spacing w:val="6"/>
          <w:sz w:val="24"/>
          <w:szCs w:val="24"/>
          <w:highlight w:val="none"/>
        </w:rPr>
        <w:t>日    期：  年  月  日</w:t>
      </w:r>
    </w:p>
    <w:p w14:paraId="0B5EECAB">
      <w:pPr>
        <w:rPr>
          <w:rFonts w:ascii="仿宋" w:hAnsi="仿宋" w:eastAsia="仿宋" w:cs="仿宋"/>
          <w:spacing w:val="6"/>
          <w:sz w:val="24"/>
          <w:highlight w:val="none"/>
        </w:rPr>
      </w:pPr>
    </w:p>
    <w:p w14:paraId="696229FA">
      <w:pPr>
        <w:pStyle w:val="10"/>
        <w:rPr>
          <w:rFonts w:ascii="仿宋" w:hAnsi="仿宋" w:eastAsia="仿宋" w:cs="仿宋"/>
          <w:highlight w:val="none"/>
        </w:rPr>
      </w:pPr>
    </w:p>
    <w:p w14:paraId="4A3C27DB">
      <w:pPr>
        <w:pStyle w:val="10"/>
        <w:rPr>
          <w:rFonts w:ascii="仿宋" w:hAnsi="仿宋" w:eastAsia="仿宋" w:cs="仿宋"/>
          <w:highlight w:val="none"/>
        </w:rPr>
      </w:pPr>
    </w:p>
    <w:p w14:paraId="7FABD116">
      <w:pPr>
        <w:pStyle w:val="10"/>
        <w:rPr>
          <w:rFonts w:ascii="仿宋" w:hAnsi="仿宋" w:eastAsia="仿宋" w:cs="仿宋"/>
          <w:highlight w:val="none"/>
        </w:rPr>
      </w:pPr>
    </w:p>
    <w:p w14:paraId="3B9CA5DB">
      <w:pPr>
        <w:tabs>
          <w:tab w:val="left" w:pos="1305"/>
        </w:tabs>
        <w:rPr>
          <w:rFonts w:ascii="仿宋" w:hAnsi="仿宋" w:eastAsia="仿宋" w:cs="仿宋"/>
          <w:sz w:val="24"/>
          <w:highlight w:val="none"/>
        </w:rPr>
      </w:pPr>
      <w:r>
        <w:rPr>
          <w:rFonts w:hint="eastAsia" w:ascii="仿宋" w:hAnsi="仿宋" w:eastAsia="仿宋" w:cs="仿宋"/>
          <w:b/>
          <w:bCs/>
          <w:sz w:val="24"/>
          <w:highlight w:val="none"/>
        </w:rPr>
        <w:t>注：</w:t>
      </w:r>
      <w:r>
        <w:rPr>
          <w:rFonts w:hint="eastAsia" w:ascii="仿宋" w:hAnsi="仿宋" w:eastAsia="仿宋" w:cs="仿宋"/>
          <w:b/>
          <w:szCs w:val="21"/>
          <w:highlight w:val="none"/>
        </w:rPr>
        <w:t>中标、成交供应商为残疾人福利性单位的，采购人或者其委托的采购代理机构应当随中标、成交结果同时公告其《残疾人福利性单位声明函》，接受社会监督</w:t>
      </w:r>
      <w:r>
        <w:rPr>
          <w:rFonts w:hint="eastAsia" w:ascii="仿宋" w:hAnsi="仿宋" w:eastAsia="仿宋" w:cs="仿宋"/>
          <w:sz w:val="24"/>
          <w:highlight w:val="none"/>
        </w:rPr>
        <w:t>。</w:t>
      </w:r>
    </w:p>
    <w:p w14:paraId="3F07BB57">
      <w:pPr>
        <w:pStyle w:val="31"/>
        <w:rPr>
          <w:rFonts w:ascii="仿宋" w:hAnsi="仿宋" w:eastAsia="仿宋" w:cs="仿宋"/>
          <w:b/>
          <w:color w:val="auto"/>
          <w:sz w:val="28"/>
          <w:szCs w:val="28"/>
          <w:highlight w:val="none"/>
        </w:rPr>
      </w:pPr>
    </w:p>
    <w:p w14:paraId="448AFF8B">
      <w:pPr>
        <w:pStyle w:val="15"/>
        <w:spacing w:line="340" w:lineRule="exact"/>
        <w:rPr>
          <w:rFonts w:ascii="仿宋" w:hAnsi="仿宋" w:eastAsia="仿宋" w:cs="仿宋"/>
          <w:b/>
          <w:sz w:val="28"/>
          <w:szCs w:val="28"/>
          <w:highlight w:val="none"/>
        </w:rPr>
      </w:pPr>
    </w:p>
    <w:p w14:paraId="4DCA6149">
      <w:pPr>
        <w:pStyle w:val="15"/>
        <w:spacing w:line="340" w:lineRule="exact"/>
        <w:rPr>
          <w:rFonts w:ascii="仿宋" w:hAnsi="仿宋" w:eastAsia="仿宋" w:cs="仿宋"/>
          <w:highlight w:val="none"/>
        </w:rPr>
      </w:pPr>
      <w:r>
        <w:rPr>
          <w:rFonts w:hint="eastAsia" w:ascii="仿宋" w:hAnsi="仿宋" w:eastAsia="仿宋" w:cs="仿宋"/>
          <w:b/>
          <w:sz w:val="28"/>
          <w:szCs w:val="28"/>
          <w:highlight w:val="none"/>
        </w:rPr>
        <w:t xml:space="preserve">7.供应商可结合本项目的评审办法视自身情况自行提交其它相关证明材料。       </w:t>
      </w:r>
    </w:p>
    <w:p w14:paraId="1C325EE1">
      <w:pPr>
        <w:rPr>
          <w:rFonts w:ascii="仿宋" w:hAnsi="仿宋" w:eastAsia="仿宋" w:cs="仿宋"/>
          <w:highlight w:val="none"/>
        </w:rPr>
      </w:pPr>
    </w:p>
    <w:sectPr>
      <w:headerReference r:id="rId4" w:type="default"/>
      <w:footerReference r:id="rId5" w:type="default"/>
      <w:pgSz w:w="11906" w:h="16838"/>
      <w:pgMar w:top="1440" w:right="1249" w:bottom="1440" w:left="12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Ђ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3998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24B7F">
    <w:pPr>
      <w:pStyle w:val="17"/>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path/>
          <v:fill on="f" focussize="0,0"/>
          <v:stroke on="f" weight="0.5pt" joinstyle="miter"/>
          <v:imagedata o:title=""/>
          <o:lock v:ext="edit"/>
          <v:textbox inset="0mm,0mm,0mm,0mm" style="mso-fit-shape-to-text:t;">
            <w:txbxContent>
              <w:p w14:paraId="01928CCF">
                <w:pPr>
                  <w:pStyle w:val="17"/>
                </w:pPr>
                <w:r>
                  <w:fldChar w:fldCharType="begin"/>
                </w:r>
                <w:r>
                  <w:instrText xml:space="preserve"> PAGE  \* MERGEFORMAT </w:instrText>
                </w:r>
                <w:r>
                  <w:fldChar w:fldCharType="separate"/>
                </w:r>
                <w:r>
                  <w:t>50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8B8B8">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D5501"/>
    <w:multiLevelType w:val="singleLevel"/>
    <w:tmpl w:val="8C9D5501"/>
    <w:lvl w:ilvl="0" w:tentative="0">
      <w:start w:val="2"/>
      <w:numFmt w:val="chineseCounting"/>
      <w:suff w:val="nothing"/>
      <w:lvlText w:val="%1、"/>
      <w:lvlJc w:val="left"/>
      <w:rPr>
        <w:rFonts w:hint="eastAsia"/>
      </w:rPr>
    </w:lvl>
  </w:abstractNum>
  <w:abstractNum w:abstractNumId="1">
    <w:nsid w:val="946BB69F"/>
    <w:multiLevelType w:val="singleLevel"/>
    <w:tmpl w:val="946BB69F"/>
    <w:lvl w:ilvl="0" w:tentative="0">
      <w:start w:val="6"/>
      <w:numFmt w:val="decimal"/>
      <w:suff w:val="space"/>
      <w:lvlText w:val="%1."/>
      <w:lvlJc w:val="left"/>
    </w:lvl>
  </w:abstractNum>
  <w:abstractNum w:abstractNumId="2">
    <w:nsid w:val="965B2684"/>
    <w:multiLevelType w:val="singleLevel"/>
    <w:tmpl w:val="965B2684"/>
    <w:lvl w:ilvl="0" w:tentative="0">
      <w:start w:val="27"/>
      <w:numFmt w:val="decimal"/>
      <w:suff w:val="space"/>
      <w:lvlText w:val="%1."/>
      <w:lvlJc w:val="left"/>
    </w:lvl>
  </w:abstractNum>
  <w:abstractNum w:abstractNumId="3">
    <w:nsid w:val="A0981F91"/>
    <w:multiLevelType w:val="multilevel"/>
    <w:tmpl w:val="A0981F91"/>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BB4CF58C"/>
    <w:multiLevelType w:val="singleLevel"/>
    <w:tmpl w:val="BB4CF58C"/>
    <w:lvl w:ilvl="0" w:tentative="0">
      <w:start w:val="2"/>
      <w:numFmt w:val="decimal"/>
      <w:suff w:val="nothing"/>
      <w:lvlText w:val="（%1）"/>
      <w:lvlJc w:val="left"/>
    </w:lvl>
  </w:abstractNum>
  <w:abstractNum w:abstractNumId="5">
    <w:nsid w:val="CC9A1499"/>
    <w:multiLevelType w:val="multilevel"/>
    <w:tmpl w:val="CC9A1499"/>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CEE5AD06"/>
    <w:multiLevelType w:val="multilevel"/>
    <w:tmpl w:val="CEE5AD06"/>
    <w:lvl w:ilvl="0" w:tentative="0">
      <w:start w:val="2"/>
      <w:numFmt w:val="decimal"/>
      <w:lvlText w:val="%1、"/>
      <w:lvlJc w:val="left"/>
      <w:pPr>
        <w:tabs>
          <w:tab w:val="left" w:pos="780"/>
        </w:tabs>
        <w:ind w:left="780" w:hanging="36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023DC6C4"/>
    <w:multiLevelType w:val="singleLevel"/>
    <w:tmpl w:val="023DC6C4"/>
    <w:lvl w:ilvl="0" w:tentative="0">
      <w:start w:val="4"/>
      <w:numFmt w:val="decimal"/>
      <w:suff w:val="nothing"/>
      <w:lvlText w:val="（%1）"/>
      <w:lvlJc w:val="left"/>
    </w:lvl>
  </w:abstractNum>
  <w:abstractNum w:abstractNumId="8">
    <w:nsid w:val="08F662F3"/>
    <w:multiLevelType w:val="multilevel"/>
    <w:tmpl w:val="08F662F3"/>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FC16C3F"/>
    <w:multiLevelType w:val="multilevel"/>
    <w:tmpl w:val="1FC16C3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0">
    <w:nsid w:val="1FD97BE0"/>
    <w:multiLevelType w:val="singleLevel"/>
    <w:tmpl w:val="1FD97BE0"/>
    <w:lvl w:ilvl="0" w:tentative="0">
      <w:start w:val="1"/>
      <w:numFmt w:val="chineseCounting"/>
      <w:suff w:val="nothing"/>
      <w:lvlText w:val="（%1）"/>
      <w:lvlJc w:val="left"/>
      <w:rPr>
        <w:rFonts w:hint="eastAsia"/>
      </w:rPr>
    </w:lvl>
  </w:abstractNum>
  <w:abstractNum w:abstractNumId="11">
    <w:nsid w:val="29D4AD46"/>
    <w:multiLevelType w:val="multilevel"/>
    <w:tmpl w:val="29D4AD46"/>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B59B0CA"/>
    <w:multiLevelType w:val="multilevel"/>
    <w:tmpl w:val="4B59B0CA"/>
    <w:lvl w:ilvl="0" w:tentative="0">
      <w:start w:val="2"/>
      <w:numFmt w:val="decimal"/>
      <w:lvlText w:val="%1、"/>
      <w:lvlJc w:val="left"/>
      <w:pPr>
        <w:tabs>
          <w:tab w:val="left" w:pos="780"/>
        </w:tabs>
        <w:ind w:left="780" w:hanging="36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3">
    <w:nsid w:val="5FDE38C3"/>
    <w:multiLevelType w:val="singleLevel"/>
    <w:tmpl w:val="5FDE38C3"/>
    <w:lvl w:ilvl="0" w:tentative="0">
      <w:start w:val="1"/>
      <w:numFmt w:val="decimal"/>
      <w:suff w:val="nothing"/>
      <w:lvlText w:val="%1．"/>
      <w:lvlJc w:val="left"/>
      <w:pPr>
        <w:ind w:left="-60" w:firstLine="400"/>
      </w:pPr>
      <w:rPr>
        <w:rFonts w:hint="default"/>
        <w:b w:val="0"/>
        <w:bCs w:val="0"/>
      </w:rPr>
    </w:lvl>
  </w:abstractNum>
  <w:abstractNum w:abstractNumId="14">
    <w:nsid w:val="6A454B94"/>
    <w:multiLevelType w:val="multilevel"/>
    <w:tmpl w:val="6A454B94"/>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1"/>
  </w:num>
  <w:num w:numId="3">
    <w:abstractNumId w:val="7"/>
  </w:num>
  <w:num w:numId="4">
    <w:abstractNumId w:val="4"/>
  </w:num>
  <w:num w:numId="5">
    <w:abstractNumId w:val="2"/>
  </w:num>
  <w:num w:numId="6">
    <w:abstractNumId w:val="14"/>
  </w:num>
  <w:num w:numId="7">
    <w:abstractNumId w:val="8"/>
  </w:num>
  <w:num w:numId="8">
    <w:abstractNumId w:val="3"/>
  </w:num>
  <w:num w:numId="9">
    <w:abstractNumId w:val="5"/>
  </w:num>
  <w:num w:numId="10">
    <w:abstractNumId w:val="11"/>
  </w:num>
  <w:num w:numId="11">
    <w:abstractNumId w:val="12"/>
  </w:num>
  <w:num w:numId="12">
    <w:abstractNumId w:val="6"/>
  </w:num>
  <w:num w:numId="13">
    <w:abstractNumId w:val="0"/>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OTBlMTVhN2MwYzVkMDIwYzVmZmU3OWYzMjMwODg4ZDYifQ=="/>
  </w:docVars>
  <w:rsids>
    <w:rsidRoot w:val="000E0D85"/>
    <w:rsid w:val="0004377F"/>
    <w:rsid w:val="00075415"/>
    <w:rsid w:val="000D656F"/>
    <w:rsid w:val="000E0D85"/>
    <w:rsid w:val="00181A3A"/>
    <w:rsid w:val="001F3213"/>
    <w:rsid w:val="004E63F5"/>
    <w:rsid w:val="0064300C"/>
    <w:rsid w:val="00745A0B"/>
    <w:rsid w:val="009A77EA"/>
    <w:rsid w:val="00B81616"/>
    <w:rsid w:val="00C20CF3"/>
    <w:rsid w:val="00DC1B59"/>
    <w:rsid w:val="00DC6F96"/>
    <w:rsid w:val="00DE1AA5"/>
    <w:rsid w:val="00E33E8B"/>
    <w:rsid w:val="00E42D4A"/>
    <w:rsid w:val="00F8053C"/>
    <w:rsid w:val="01746443"/>
    <w:rsid w:val="02203B3A"/>
    <w:rsid w:val="0292532E"/>
    <w:rsid w:val="029E3FB3"/>
    <w:rsid w:val="02B95509"/>
    <w:rsid w:val="02CB006D"/>
    <w:rsid w:val="03630DA1"/>
    <w:rsid w:val="03B469E4"/>
    <w:rsid w:val="0431202E"/>
    <w:rsid w:val="051031AE"/>
    <w:rsid w:val="06A77A41"/>
    <w:rsid w:val="06CF3A1E"/>
    <w:rsid w:val="06E42DAF"/>
    <w:rsid w:val="073B1F01"/>
    <w:rsid w:val="07C57F81"/>
    <w:rsid w:val="086A479A"/>
    <w:rsid w:val="08A75AB7"/>
    <w:rsid w:val="08BF22FE"/>
    <w:rsid w:val="0AB04144"/>
    <w:rsid w:val="0B3412A4"/>
    <w:rsid w:val="0B9732C9"/>
    <w:rsid w:val="0BCC4EF1"/>
    <w:rsid w:val="0C111436"/>
    <w:rsid w:val="0C375873"/>
    <w:rsid w:val="0C6A07D3"/>
    <w:rsid w:val="0CAC23D0"/>
    <w:rsid w:val="0D927D91"/>
    <w:rsid w:val="0E834839"/>
    <w:rsid w:val="0E996C18"/>
    <w:rsid w:val="0EED3154"/>
    <w:rsid w:val="0F123DCE"/>
    <w:rsid w:val="10073D7B"/>
    <w:rsid w:val="10FC7BC2"/>
    <w:rsid w:val="110660A6"/>
    <w:rsid w:val="11370766"/>
    <w:rsid w:val="11A67F87"/>
    <w:rsid w:val="11E616DF"/>
    <w:rsid w:val="125D7F27"/>
    <w:rsid w:val="128D6512"/>
    <w:rsid w:val="12AC2A64"/>
    <w:rsid w:val="12C90FE1"/>
    <w:rsid w:val="12E17049"/>
    <w:rsid w:val="13054629"/>
    <w:rsid w:val="141F5E95"/>
    <w:rsid w:val="147E0000"/>
    <w:rsid w:val="14E67CF6"/>
    <w:rsid w:val="150174A7"/>
    <w:rsid w:val="155D3714"/>
    <w:rsid w:val="159938D2"/>
    <w:rsid w:val="16CA37AD"/>
    <w:rsid w:val="16E74584"/>
    <w:rsid w:val="172401ED"/>
    <w:rsid w:val="17D737A1"/>
    <w:rsid w:val="17E94193"/>
    <w:rsid w:val="184F13F4"/>
    <w:rsid w:val="197046A3"/>
    <w:rsid w:val="199B1FCC"/>
    <w:rsid w:val="199E2C87"/>
    <w:rsid w:val="19A861C3"/>
    <w:rsid w:val="19D45285"/>
    <w:rsid w:val="19E46802"/>
    <w:rsid w:val="1A41745E"/>
    <w:rsid w:val="1ABE5D9A"/>
    <w:rsid w:val="1ACE066C"/>
    <w:rsid w:val="1B481CDF"/>
    <w:rsid w:val="1BC17CE4"/>
    <w:rsid w:val="1BC7354C"/>
    <w:rsid w:val="1CAB2DF4"/>
    <w:rsid w:val="1CD633EC"/>
    <w:rsid w:val="1D3D4309"/>
    <w:rsid w:val="1D677578"/>
    <w:rsid w:val="1E95562E"/>
    <w:rsid w:val="1EF80E66"/>
    <w:rsid w:val="1F1E1006"/>
    <w:rsid w:val="1F8B366A"/>
    <w:rsid w:val="1FE74446"/>
    <w:rsid w:val="2113550D"/>
    <w:rsid w:val="218A5CB1"/>
    <w:rsid w:val="2193439F"/>
    <w:rsid w:val="22096CF9"/>
    <w:rsid w:val="222D4C46"/>
    <w:rsid w:val="229F2EDC"/>
    <w:rsid w:val="2314439D"/>
    <w:rsid w:val="23532A1E"/>
    <w:rsid w:val="23B41832"/>
    <w:rsid w:val="24CA0594"/>
    <w:rsid w:val="255B6AB3"/>
    <w:rsid w:val="257A5EF4"/>
    <w:rsid w:val="25C428AA"/>
    <w:rsid w:val="26A226ED"/>
    <w:rsid w:val="26CC7C68"/>
    <w:rsid w:val="27835D4B"/>
    <w:rsid w:val="27D94C16"/>
    <w:rsid w:val="27F31225"/>
    <w:rsid w:val="27F92457"/>
    <w:rsid w:val="28197135"/>
    <w:rsid w:val="284A3118"/>
    <w:rsid w:val="284B1061"/>
    <w:rsid w:val="29220014"/>
    <w:rsid w:val="2927387C"/>
    <w:rsid w:val="2971139F"/>
    <w:rsid w:val="29B11398"/>
    <w:rsid w:val="2A362A13"/>
    <w:rsid w:val="2A756EDA"/>
    <w:rsid w:val="2D1265F1"/>
    <w:rsid w:val="2D12793B"/>
    <w:rsid w:val="2D354D2E"/>
    <w:rsid w:val="2E16325C"/>
    <w:rsid w:val="2E3923DB"/>
    <w:rsid w:val="2ED51162"/>
    <w:rsid w:val="2F8E22F1"/>
    <w:rsid w:val="2FB122EA"/>
    <w:rsid w:val="2FB344DB"/>
    <w:rsid w:val="30170CC9"/>
    <w:rsid w:val="309B3588"/>
    <w:rsid w:val="30D32C78"/>
    <w:rsid w:val="31227A40"/>
    <w:rsid w:val="3199300C"/>
    <w:rsid w:val="31BF5CA8"/>
    <w:rsid w:val="31DC378D"/>
    <w:rsid w:val="32E764A0"/>
    <w:rsid w:val="337A3E72"/>
    <w:rsid w:val="338B691C"/>
    <w:rsid w:val="33D6131E"/>
    <w:rsid w:val="346236BF"/>
    <w:rsid w:val="34D05AB9"/>
    <w:rsid w:val="34D967FD"/>
    <w:rsid w:val="35574976"/>
    <w:rsid w:val="3623534A"/>
    <w:rsid w:val="364A0BAA"/>
    <w:rsid w:val="37D044ED"/>
    <w:rsid w:val="37E22DD8"/>
    <w:rsid w:val="37F548CB"/>
    <w:rsid w:val="37F85A75"/>
    <w:rsid w:val="3824178B"/>
    <w:rsid w:val="38632F27"/>
    <w:rsid w:val="38FA1D92"/>
    <w:rsid w:val="392173FA"/>
    <w:rsid w:val="39926194"/>
    <w:rsid w:val="39FD5729"/>
    <w:rsid w:val="3A894E15"/>
    <w:rsid w:val="3AAA3F9F"/>
    <w:rsid w:val="3B721655"/>
    <w:rsid w:val="3B997CD4"/>
    <w:rsid w:val="3BBC74DF"/>
    <w:rsid w:val="3DE3611D"/>
    <w:rsid w:val="3E912D31"/>
    <w:rsid w:val="3EB02713"/>
    <w:rsid w:val="3EF24057"/>
    <w:rsid w:val="3EF3632B"/>
    <w:rsid w:val="3F8E1B07"/>
    <w:rsid w:val="3FAC01DF"/>
    <w:rsid w:val="400E7036"/>
    <w:rsid w:val="410548B1"/>
    <w:rsid w:val="41432F6C"/>
    <w:rsid w:val="417A4D66"/>
    <w:rsid w:val="41D72F7F"/>
    <w:rsid w:val="42340994"/>
    <w:rsid w:val="42380D8C"/>
    <w:rsid w:val="424D42AE"/>
    <w:rsid w:val="425D7E10"/>
    <w:rsid w:val="42AA5FD8"/>
    <w:rsid w:val="434C41B3"/>
    <w:rsid w:val="43C769B5"/>
    <w:rsid w:val="43D63B4E"/>
    <w:rsid w:val="440F4D37"/>
    <w:rsid w:val="446701AF"/>
    <w:rsid w:val="45062AB9"/>
    <w:rsid w:val="45E60213"/>
    <w:rsid w:val="462128E4"/>
    <w:rsid w:val="46D47503"/>
    <w:rsid w:val="472736E8"/>
    <w:rsid w:val="474F75B8"/>
    <w:rsid w:val="4795107A"/>
    <w:rsid w:val="47B63AAE"/>
    <w:rsid w:val="47F60B91"/>
    <w:rsid w:val="48063F34"/>
    <w:rsid w:val="4822043E"/>
    <w:rsid w:val="490278F1"/>
    <w:rsid w:val="49593A8C"/>
    <w:rsid w:val="496F5B07"/>
    <w:rsid w:val="498F7498"/>
    <w:rsid w:val="49BE4692"/>
    <w:rsid w:val="49F01705"/>
    <w:rsid w:val="4A3E7959"/>
    <w:rsid w:val="4A634A9C"/>
    <w:rsid w:val="4AA61C10"/>
    <w:rsid w:val="4B2C3CC2"/>
    <w:rsid w:val="4BAB7CFF"/>
    <w:rsid w:val="4BCB1FC7"/>
    <w:rsid w:val="4CBB7459"/>
    <w:rsid w:val="4CF62249"/>
    <w:rsid w:val="4D611164"/>
    <w:rsid w:val="4DB00337"/>
    <w:rsid w:val="4E752427"/>
    <w:rsid w:val="4EAD2E32"/>
    <w:rsid w:val="4F4246BC"/>
    <w:rsid w:val="4FB063DA"/>
    <w:rsid w:val="50A2159F"/>
    <w:rsid w:val="50A31CC7"/>
    <w:rsid w:val="50D94BAC"/>
    <w:rsid w:val="510A3436"/>
    <w:rsid w:val="52296403"/>
    <w:rsid w:val="52BB5570"/>
    <w:rsid w:val="548B4040"/>
    <w:rsid w:val="575E5568"/>
    <w:rsid w:val="58DB5A41"/>
    <w:rsid w:val="59140AC4"/>
    <w:rsid w:val="599B7142"/>
    <w:rsid w:val="59D5242F"/>
    <w:rsid w:val="5A294B9D"/>
    <w:rsid w:val="5A9E6907"/>
    <w:rsid w:val="5AF67F0A"/>
    <w:rsid w:val="5B5547DA"/>
    <w:rsid w:val="5B85605C"/>
    <w:rsid w:val="5BA37FCD"/>
    <w:rsid w:val="5BAA47CD"/>
    <w:rsid w:val="5C460AC9"/>
    <w:rsid w:val="5CD437AF"/>
    <w:rsid w:val="5D5C2D7E"/>
    <w:rsid w:val="5E5F029D"/>
    <w:rsid w:val="5F161176"/>
    <w:rsid w:val="5F63370B"/>
    <w:rsid w:val="5F724479"/>
    <w:rsid w:val="5F785189"/>
    <w:rsid w:val="5F8C4182"/>
    <w:rsid w:val="612710DC"/>
    <w:rsid w:val="615564D1"/>
    <w:rsid w:val="616260C7"/>
    <w:rsid w:val="61BE5813"/>
    <w:rsid w:val="62047B78"/>
    <w:rsid w:val="62527F90"/>
    <w:rsid w:val="62A57F95"/>
    <w:rsid w:val="6321544B"/>
    <w:rsid w:val="659B38E9"/>
    <w:rsid w:val="65F2236C"/>
    <w:rsid w:val="661D095F"/>
    <w:rsid w:val="666264FC"/>
    <w:rsid w:val="66C724EC"/>
    <w:rsid w:val="67B50903"/>
    <w:rsid w:val="690A0C77"/>
    <w:rsid w:val="691E2C7D"/>
    <w:rsid w:val="69964782"/>
    <w:rsid w:val="69E77EE2"/>
    <w:rsid w:val="6A720F4D"/>
    <w:rsid w:val="6BA13111"/>
    <w:rsid w:val="6BB3513A"/>
    <w:rsid w:val="6C2E78A0"/>
    <w:rsid w:val="6C345C27"/>
    <w:rsid w:val="6C9C7F3A"/>
    <w:rsid w:val="6C9F5B79"/>
    <w:rsid w:val="6CBA368C"/>
    <w:rsid w:val="6CE35466"/>
    <w:rsid w:val="6D272E49"/>
    <w:rsid w:val="6DDF30E4"/>
    <w:rsid w:val="6E696344"/>
    <w:rsid w:val="6F410196"/>
    <w:rsid w:val="6F5854A1"/>
    <w:rsid w:val="6F5B1156"/>
    <w:rsid w:val="70657DB3"/>
    <w:rsid w:val="7080296F"/>
    <w:rsid w:val="710342FF"/>
    <w:rsid w:val="716A176A"/>
    <w:rsid w:val="717633E2"/>
    <w:rsid w:val="719B1D2C"/>
    <w:rsid w:val="72105DB5"/>
    <w:rsid w:val="722F069F"/>
    <w:rsid w:val="72311817"/>
    <w:rsid w:val="72C029C9"/>
    <w:rsid w:val="733D34B8"/>
    <w:rsid w:val="737278A1"/>
    <w:rsid w:val="737C5B3F"/>
    <w:rsid w:val="745D63B2"/>
    <w:rsid w:val="750F3A5F"/>
    <w:rsid w:val="779C132D"/>
    <w:rsid w:val="784C4C99"/>
    <w:rsid w:val="78786761"/>
    <w:rsid w:val="797B776E"/>
    <w:rsid w:val="79A17199"/>
    <w:rsid w:val="79C1053D"/>
    <w:rsid w:val="7A512BBF"/>
    <w:rsid w:val="7AF60505"/>
    <w:rsid w:val="7B1C357F"/>
    <w:rsid w:val="7B9F45D3"/>
    <w:rsid w:val="7BA619AB"/>
    <w:rsid w:val="7C572EDA"/>
    <w:rsid w:val="7D0A3A10"/>
    <w:rsid w:val="7D1278C0"/>
    <w:rsid w:val="7E956169"/>
    <w:rsid w:val="7EC964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0"/>
    <w:autoRedefine/>
    <w:qFormat/>
    <w:uiPriority w:val="0"/>
    <w:pPr>
      <w:keepNext/>
      <w:keepLines/>
      <w:tabs>
        <w:tab w:val="left" w:pos="567"/>
      </w:tabs>
      <w:spacing w:line="360" w:lineRule="auto"/>
      <w:ind w:left="567" w:hanging="567"/>
      <w:outlineLvl w:val="1"/>
    </w:pPr>
    <w:rPr>
      <w:rFonts w:ascii="Arial" w:hAnsi="Arial"/>
      <w:bCs/>
      <w:color w:val="000000"/>
      <w:sz w:val="28"/>
      <w:szCs w:val="32"/>
      <w:lang w:val="pt-BR"/>
    </w:rPr>
  </w:style>
  <w:style w:type="paragraph" w:styleId="4">
    <w:name w:val="heading 3"/>
    <w:basedOn w:val="1"/>
    <w:next w:val="1"/>
    <w:link w:val="33"/>
    <w:autoRedefine/>
    <w:qFormat/>
    <w:uiPriority w:val="0"/>
    <w:pPr>
      <w:keepNext/>
      <w:keepLines/>
      <w:spacing w:before="260" w:after="260"/>
      <w:outlineLvl w:val="2"/>
    </w:pPr>
    <w:rPr>
      <w:rFonts w:ascii="Calibri" w:hAnsi="Calibri"/>
      <w:b/>
      <w:sz w:val="32"/>
    </w:rPr>
  </w:style>
  <w:style w:type="paragraph" w:styleId="5">
    <w:name w:val="heading 4"/>
    <w:basedOn w:val="1"/>
    <w:next w:val="1"/>
    <w:autoRedefine/>
    <w:qFormat/>
    <w:uiPriority w:val="0"/>
    <w:pPr>
      <w:keepNext/>
      <w:spacing w:before="240" w:after="60"/>
      <w:outlineLvl w:val="3"/>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2520" w:leftChars="1200"/>
    </w:pPr>
  </w:style>
  <w:style w:type="paragraph" w:styleId="7">
    <w:name w:val="index 8"/>
    <w:basedOn w:val="1"/>
    <w:next w:val="1"/>
    <w:autoRedefine/>
    <w:qFormat/>
    <w:uiPriority w:val="0"/>
    <w:pPr>
      <w:ind w:left="2940"/>
    </w:pPr>
  </w:style>
  <w:style w:type="paragraph" w:styleId="8">
    <w:name w:val="Normal Indent"/>
    <w:basedOn w:val="1"/>
    <w:next w:val="1"/>
    <w:autoRedefine/>
    <w:qFormat/>
    <w:uiPriority w:val="99"/>
    <w:pPr>
      <w:ind w:firstLine="420"/>
    </w:pPr>
    <w:rPr>
      <w:szCs w:val="20"/>
    </w:rPr>
  </w:style>
  <w:style w:type="paragraph" w:styleId="9">
    <w:name w:val="annotation text"/>
    <w:basedOn w:val="1"/>
    <w:autoRedefine/>
    <w:qFormat/>
    <w:uiPriority w:val="0"/>
    <w:pPr>
      <w:jc w:val="left"/>
    </w:pPr>
  </w:style>
  <w:style w:type="paragraph" w:styleId="10">
    <w:name w:val="Body Text"/>
    <w:basedOn w:val="1"/>
    <w:next w:val="1"/>
    <w:link w:val="37"/>
    <w:autoRedefine/>
    <w:qFormat/>
    <w:uiPriority w:val="0"/>
  </w:style>
  <w:style w:type="paragraph" w:styleId="11">
    <w:name w:val="Body Text Indent"/>
    <w:basedOn w:val="1"/>
    <w:next w:val="12"/>
    <w:qFormat/>
    <w:uiPriority w:val="0"/>
    <w:pPr>
      <w:spacing w:after="120"/>
      <w:ind w:left="420" w:leftChars="200"/>
    </w:pPr>
  </w:style>
  <w:style w:type="paragraph" w:styleId="12">
    <w:name w:val="annotation subject"/>
    <w:basedOn w:val="9"/>
    <w:next w:val="9"/>
    <w:qFormat/>
    <w:uiPriority w:val="0"/>
    <w:rPr>
      <w:rFonts w:ascii="Times New Roman" w:hAnsi="Times New Roman" w:eastAsia="宋体" w:cs="Times New Roman"/>
      <w:b/>
      <w:bCs/>
    </w:rPr>
  </w:style>
  <w:style w:type="paragraph" w:styleId="13">
    <w:name w:val="Block Text"/>
    <w:basedOn w:val="1"/>
    <w:qFormat/>
    <w:uiPriority w:val="99"/>
    <w:pPr>
      <w:adjustRightInd w:val="0"/>
      <w:spacing w:line="400" w:lineRule="exact"/>
      <w:ind w:left="420" w:right="33" w:firstLine="1044" w:firstLineChars="200"/>
      <w:jc w:val="left"/>
      <w:textAlignment w:val="baseline"/>
    </w:pPr>
    <w:rPr>
      <w:kern w:val="0"/>
      <w:sz w:val="24"/>
      <w:szCs w:val="20"/>
    </w:rPr>
  </w:style>
  <w:style w:type="paragraph" w:styleId="14">
    <w:name w:val="toc 3"/>
    <w:basedOn w:val="1"/>
    <w:next w:val="1"/>
    <w:autoRedefine/>
    <w:unhideWhenUsed/>
    <w:qFormat/>
    <w:uiPriority w:val="39"/>
    <w:pPr>
      <w:ind w:left="840" w:leftChars="400"/>
    </w:pPr>
  </w:style>
  <w:style w:type="paragraph" w:styleId="15">
    <w:name w:val="Plain Text"/>
    <w:basedOn w:val="1"/>
    <w:next w:val="5"/>
    <w:link w:val="41"/>
    <w:autoRedefine/>
    <w:qFormat/>
    <w:uiPriority w:val="99"/>
    <w:rPr>
      <w:rFonts w:ascii="宋体" w:hAnsi="Courier New"/>
      <w:szCs w:val="20"/>
    </w:rPr>
  </w:style>
  <w:style w:type="paragraph" w:styleId="16">
    <w:name w:val="Balloon Text"/>
    <w:basedOn w:val="1"/>
    <w:link w:val="34"/>
    <w:autoRedefine/>
    <w:qFormat/>
    <w:uiPriority w:val="0"/>
    <w:rPr>
      <w:rFonts w:ascii="宋体"/>
      <w:sz w:val="18"/>
      <w:szCs w:val="18"/>
    </w:rPr>
  </w:style>
  <w:style w:type="paragraph" w:styleId="17">
    <w:name w:val="footer"/>
    <w:basedOn w:val="1"/>
    <w:next w:val="1"/>
    <w:link w:val="38"/>
    <w:autoRedefine/>
    <w:qFormat/>
    <w:uiPriority w:val="99"/>
    <w:pPr>
      <w:tabs>
        <w:tab w:val="center" w:pos="4153"/>
        <w:tab w:val="right" w:pos="8306"/>
      </w:tabs>
      <w:snapToGrid w:val="0"/>
      <w:jc w:val="left"/>
    </w:pPr>
    <w:rPr>
      <w:sz w:val="18"/>
      <w:szCs w:val="18"/>
    </w:rPr>
  </w:style>
  <w:style w:type="paragraph" w:styleId="18">
    <w:name w:val="header"/>
    <w:basedOn w:val="1"/>
    <w:link w:val="39"/>
    <w:autoRedefine/>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style>
  <w:style w:type="paragraph" w:styleId="20">
    <w:name w:val="toc 2"/>
    <w:basedOn w:val="1"/>
    <w:next w:val="1"/>
    <w:autoRedefine/>
    <w:unhideWhenUsed/>
    <w:qFormat/>
    <w:uiPriority w:val="39"/>
    <w:pPr>
      <w:ind w:left="420" w:leftChars="200"/>
    </w:p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2">
    <w:name w:val="index 1"/>
    <w:basedOn w:val="1"/>
    <w:next w:val="1"/>
    <w:autoRedefine/>
    <w:unhideWhenUsed/>
    <w:qFormat/>
    <w:uiPriority w:val="99"/>
    <w:pPr>
      <w:spacing w:line="400" w:lineRule="exact"/>
      <w:ind w:firstLine="420" w:firstLineChars="200"/>
    </w:pPr>
    <w:rPr>
      <w:rFonts w:ascii="Ђˎ̥" w:hAnsi="Calibri"/>
      <w:b/>
      <w:szCs w:val="20"/>
    </w:rPr>
  </w:style>
  <w:style w:type="paragraph" w:styleId="23">
    <w:name w:val="Body Text First Indent"/>
    <w:basedOn w:val="10"/>
    <w:next w:val="1"/>
    <w:autoRedefine/>
    <w:qFormat/>
    <w:uiPriority w:val="0"/>
    <w:pPr>
      <w:ind w:firstLine="420" w:firstLineChars="100"/>
    </w:pPr>
    <w:rPr>
      <w:sz w:val="24"/>
    </w:rPr>
  </w:style>
  <w:style w:type="paragraph" w:styleId="24">
    <w:name w:val="Body Text First Indent 2"/>
    <w:basedOn w:val="11"/>
    <w:next w:val="1"/>
    <w:autoRedefine/>
    <w:unhideWhenUsed/>
    <w:qFormat/>
    <w:uiPriority w:val="99"/>
    <w:pPr>
      <w:ind w:firstLine="420" w:firstLineChars="200"/>
    </w:pPr>
  </w:style>
  <w:style w:type="table" w:styleId="26">
    <w:name w:val="Table Grid"/>
    <w:basedOn w:val="25"/>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autoRedefine/>
    <w:qFormat/>
    <w:uiPriority w:val="0"/>
    <w:rPr>
      <w:b/>
    </w:rPr>
  </w:style>
  <w:style w:type="character" w:styleId="29">
    <w:name w:val="Hyperlink"/>
    <w:basedOn w:val="27"/>
    <w:autoRedefine/>
    <w:qFormat/>
    <w:uiPriority w:val="99"/>
    <w:rPr>
      <w:color w:val="333333"/>
      <w:u w:val="none"/>
    </w:rPr>
  </w:style>
  <w:style w:type="paragraph" w:customStyle="1" w:styleId="30">
    <w:name w:val="Heading4"/>
    <w:basedOn w:val="1"/>
    <w:next w:val="1"/>
    <w:autoRedefine/>
    <w:qFormat/>
    <w:uiPriority w:val="0"/>
    <w:pPr>
      <w:keepNext/>
      <w:spacing w:before="240" w:after="60"/>
      <w:textAlignment w:val="baseline"/>
    </w:pPr>
    <w:rPr>
      <w:b/>
      <w:bCs/>
      <w:sz w:val="28"/>
      <w:szCs w:val="28"/>
    </w:rPr>
  </w:style>
  <w:style w:type="paragraph" w:customStyle="1" w:styleId="31">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2">
    <w:name w:val="List Paragraph"/>
    <w:basedOn w:val="1"/>
    <w:qFormat/>
    <w:uiPriority w:val="99"/>
    <w:pPr>
      <w:ind w:firstLine="420" w:firstLineChars="200"/>
    </w:pPr>
  </w:style>
  <w:style w:type="character" w:customStyle="1" w:styleId="33">
    <w:name w:val="标题 3 Char"/>
    <w:link w:val="4"/>
    <w:autoRedefine/>
    <w:qFormat/>
    <w:uiPriority w:val="0"/>
    <w:rPr>
      <w:rFonts w:ascii="Calibri" w:hAnsi="Calibri" w:eastAsia="宋体"/>
      <w:b/>
      <w:sz w:val="32"/>
    </w:rPr>
  </w:style>
  <w:style w:type="character" w:customStyle="1" w:styleId="34">
    <w:name w:val="批注框文本 Char"/>
    <w:basedOn w:val="27"/>
    <w:link w:val="16"/>
    <w:autoRedefine/>
    <w:qFormat/>
    <w:uiPriority w:val="0"/>
    <w:rPr>
      <w:rFonts w:ascii="宋体"/>
      <w:kern w:val="2"/>
      <w:sz w:val="18"/>
      <w:szCs w:val="18"/>
    </w:rPr>
  </w:style>
  <w:style w:type="character" w:customStyle="1" w:styleId="35">
    <w:name w:val="NormalCharacter"/>
    <w:semiHidden/>
    <w:qFormat/>
    <w:uiPriority w:val="0"/>
  </w:style>
  <w:style w:type="paragraph" w:customStyle="1" w:styleId="36">
    <w:name w:val="PlainText"/>
    <w:basedOn w:val="1"/>
    <w:autoRedefine/>
    <w:qFormat/>
    <w:uiPriority w:val="0"/>
    <w:rPr>
      <w:rFonts w:ascii="宋体" w:hAnsi="Courier New"/>
      <w:szCs w:val="21"/>
    </w:rPr>
  </w:style>
  <w:style w:type="character" w:customStyle="1" w:styleId="37">
    <w:name w:val="正文文本 Char"/>
    <w:basedOn w:val="27"/>
    <w:link w:val="10"/>
    <w:qFormat/>
    <w:uiPriority w:val="0"/>
    <w:rPr>
      <w:rFonts w:hint="default" w:ascii="Times New Roman" w:hAnsi="Times New Roman" w:cs="Times New Roman"/>
      <w:kern w:val="2"/>
      <w:sz w:val="21"/>
      <w:szCs w:val="24"/>
    </w:rPr>
  </w:style>
  <w:style w:type="character" w:customStyle="1" w:styleId="38">
    <w:name w:val="页脚 Char"/>
    <w:basedOn w:val="27"/>
    <w:link w:val="17"/>
    <w:autoRedefine/>
    <w:qFormat/>
    <w:uiPriority w:val="0"/>
    <w:rPr>
      <w:kern w:val="2"/>
      <w:sz w:val="18"/>
      <w:szCs w:val="18"/>
    </w:rPr>
  </w:style>
  <w:style w:type="character" w:customStyle="1" w:styleId="39">
    <w:name w:val="页眉 Char"/>
    <w:basedOn w:val="27"/>
    <w:link w:val="18"/>
    <w:autoRedefine/>
    <w:qFormat/>
    <w:uiPriority w:val="0"/>
    <w:rPr>
      <w:kern w:val="2"/>
      <w:sz w:val="18"/>
      <w:szCs w:val="18"/>
    </w:rPr>
  </w:style>
  <w:style w:type="character" w:customStyle="1" w:styleId="40">
    <w:name w:val="标题 2 Char"/>
    <w:basedOn w:val="27"/>
    <w:link w:val="3"/>
    <w:qFormat/>
    <w:uiPriority w:val="0"/>
    <w:rPr>
      <w:rFonts w:hint="default" w:ascii="Arial" w:hAnsi="Arial" w:cs="Arial"/>
      <w:bCs/>
      <w:color w:val="000000"/>
      <w:kern w:val="2"/>
      <w:sz w:val="28"/>
      <w:szCs w:val="32"/>
      <w:lang w:val="pt-BR"/>
    </w:rPr>
  </w:style>
  <w:style w:type="character" w:customStyle="1" w:styleId="41">
    <w:name w:val="纯文本 Char"/>
    <w:basedOn w:val="27"/>
    <w:link w:val="15"/>
    <w:qFormat/>
    <w:uiPriority w:val="99"/>
    <w:rPr>
      <w:rFonts w:ascii="宋体" w:hAnsi="Courier New"/>
      <w:kern w:val="2"/>
      <w:sz w:val="21"/>
    </w:rPr>
  </w:style>
  <w:style w:type="paragraph" w:customStyle="1" w:styleId="42">
    <w:name w:val="1"/>
    <w:basedOn w:val="1"/>
    <w:next w:val="15"/>
    <w:autoRedefine/>
    <w:qFormat/>
    <w:uiPriority w:val="0"/>
    <w:rPr>
      <w:rFonts w:ascii="宋体" w:hAnsi="Courier New"/>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file:///C:\Users\Administrator\AppData\Roaming\Tencent\Users\84332323\QQ\WinTemp\RichOle\IBTSMDNQID2EUB%25252525252525252525252525252525252525252525252525257B1%25252525252525252525252525252525252525252525252525255D6~PD(5.png" TargetMode="Externa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27954</Words>
  <Characters>29527</Characters>
  <Lines>271</Lines>
  <Paragraphs>76</Paragraphs>
  <TotalTime>1</TotalTime>
  <ScaleCrop>false</ScaleCrop>
  <LinksUpToDate>false</LinksUpToDate>
  <CharactersWithSpaces>30443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2021-09-16T07:04:00Z</dcterms:created>
  <dc:creator>Administrator</dc:creator>
  <cp:lastModifiedBy>M先生</cp:lastModifiedBy>
  <cp:lastPrinted>2024-04-02T07:46:00Z</cp:lastPrinted>
  <dcterms:modified xsi:type="dcterms:W3CDTF">2026-06-25T06:25:09Z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0EE0D871229D4BFFA2FC32B37658E966_13</vt:lpwstr>
  </property>
  <property fmtid="{D5CDD505-2E9C-101B-9397-08002B2CF9AE}" pid="4" name="KSOTemplateDocerSaveRecord">
    <vt:lpwstr>eyJoZGlkIjoiYjNkZDA1YWI1Zjg0ZmZlMzcwNjUzYjZjMzI0M2YyYjAiLCJ1c2VySWQiOiI0MjA0OTg4MjYifQ==</vt:lpwstr>
  </property>
</Properties>
</file>