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01118">
      <w:pPr>
        <w:keepNext w:val="0"/>
        <w:keepLines w:val="0"/>
        <w:pageBreakBefore w:val="0"/>
        <w:widowControl w:val="0"/>
        <w:kinsoku w:val="0"/>
        <w:wordWrap/>
        <w:overflowPunct/>
        <w:topLinePunct w:val="0"/>
        <w:autoSpaceDE w:val="0"/>
        <w:autoSpaceDN w:val="0"/>
        <w:bidi w:val="0"/>
        <w:adjustRightInd w:val="0"/>
        <w:snapToGrid w:val="0"/>
        <w:spacing w:line="360" w:lineRule="auto"/>
        <w:ind w:left="-141" w:leftChars="-95" w:right="-275" w:rightChars="-131" w:hanging="58" w:hangingChars="28"/>
        <w:jc w:val="center"/>
        <w:textAlignment w:val="baseline"/>
        <w:rPr>
          <w:rFonts w:hint="eastAsia" w:ascii="宋体" w:hAnsi="宋体" w:eastAsia="宋体" w:cs="宋体"/>
          <w:b/>
          <w:bCs/>
          <w:color w:val="auto"/>
          <w:spacing w:val="0"/>
          <w:position w:val="0"/>
          <w:sz w:val="72"/>
          <w:szCs w:val="72"/>
          <w:highlight w:val="none"/>
          <w:lang w:eastAsia="zh-CN"/>
        </w:rPr>
      </w:pPr>
      <w:r>
        <w:rPr>
          <w:color w:val="auto"/>
          <w:highlight w:val="none"/>
        </w:rPr>
        <w:drawing>
          <wp:anchor distT="0" distB="0" distL="114300" distR="114300" simplePos="0" relativeHeight="251673600" behindDoc="0" locked="0" layoutInCell="1" allowOverlap="1">
            <wp:simplePos x="0" y="0"/>
            <wp:positionH relativeFrom="column">
              <wp:posOffset>-229870</wp:posOffset>
            </wp:positionH>
            <wp:positionV relativeFrom="paragraph">
              <wp:posOffset>196850</wp:posOffset>
            </wp:positionV>
            <wp:extent cx="6376670" cy="2284095"/>
            <wp:effectExtent l="0" t="0" r="5080" b="190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a:stretch>
                      <a:fillRect/>
                    </a:stretch>
                  </pic:blipFill>
                  <pic:spPr>
                    <a:xfrm>
                      <a:off x="0" y="0"/>
                      <a:ext cx="6376670" cy="2284095"/>
                    </a:xfrm>
                    <a:prstGeom prst="rect">
                      <a:avLst/>
                    </a:prstGeom>
                    <a:noFill/>
                    <a:ln>
                      <a:noFill/>
                    </a:ln>
                  </pic:spPr>
                </pic:pic>
              </a:graphicData>
            </a:graphic>
          </wp:anchor>
        </w:drawing>
      </w:r>
    </w:p>
    <w:p w14:paraId="6F3039BF">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1AC22F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A4EDEB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9F5F6B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1666" w:firstLineChars="200"/>
        <w:textAlignment w:val="baseline"/>
        <w:rPr>
          <w:rFonts w:ascii="宋体" w:hAnsi="宋体" w:eastAsia="宋体" w:cs="宋体"/>
          <w:b/>
          <w:bCs/>
          <w:color w:val="auto"/>
          <w:spacing w:val="0"/>
          <w:position w:val="0"/>
          <w:sz w:val="83"/>
          <w:szCs w:val="83"/>
          <w:highlight w:val="none"/>
        </w:rPr>
      </w:pPr>
      <w:r>
        <w:rPr>
          <w:rFonts w:ascii="宋体" w:hAnsi="宋体" w:eastAsia="宋体" w:cs="宋体"/>
          <w:b/>
          <w:bCs/>
          <w:color w:val="auto"/>
          <w:spacing w:val="0"/>
          <w:position w:val="0"/>
          <w:sz w:val="83"/>
          <w:szCs w:val="83"/>
          <w:highlight w:val="none"/>
        </w:rPr>
        <w:t>竞争性谈判文件</w:t>
      </w:r>
    </w:p>
    <w:p w14:paraId="4AC358A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1666" w:firstLineChars="200"/>
        <w:textAlignment w:val="baseline"/>
        <w:rPr>
          <w:rFonts w:ascii="宋体" w:hAnsi="宋体" w:eastAsia="宋体" w:cs="宋体"/>
          <w:b/>
          <w:bCs/>
          <w:color w:val="auto"/>
          <w:spacing w:val="0"/>
          <w:position w:val="0"/>
          <w:sz w:val="83"/>
          <w:szCs w:val="83"/>
          <w:highlight w:val="none"/>
        </w:rPr>
      </w:pPr>
    </w:p>
    <w:p w14:paraId="0C936C9E">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49F571E">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1245" w:firstLineChars="400"/>
        <w:textAlignment w:val="baseline"/>
        <w:rPr>
          <w:rFonts w:hint="eastAsia" w:ascii="宋体" w:hAnsi="宋体" w:eastAsia="宋体" w:cs="宋体"/>
          <w:b/>
          <w:bCs/>
          <w:color w:val="auto"/>
          <w:spacing w:val="0"/>
          <w:position w:val="0"/>
          <w:sz w:val="31"/>
          <w:szCs w:val="31"/>
          <w:highlight w:val="none"/>
          <w:lang w:eastAsia="zh-CN"/>
        </w:rPr>
      </w:pPr>
      <w:r>
        <w:rPr>
          <w:rFonts w:ascii="宋体" w:hAnsi="宋体" w:eastAsia="宋体" w:cs="宋体"/>
          <w:b/>
          <w:bCs/>
          <w:color w:val="auto"/>
          <w:spacing w:val="0"/>
          <w:position w:val="0"/>
          <w:sz w:val="31"/>
          <w:szCs w:val="31"/>
          <w:highlight w:val="none"/>
        </w:rPr>
        <w:t>项目名称:</w:t>
      </w:r>
      <w:r>
        <w:rPr>
          <w:rFonts w:ascii="宋体" w:hAnsi="宋体" w:eastAsia="宋体" w:cs="宋体"/>
          <w:color w:val="auto"/>
          <w:spacing w:val="0"/>
          <w:position w:val="0"/>
          <w:sz w:val="31"/>
          <w:szCs w:val="31"/>
          <w:highlight w:val="none"/>
        </w:rPr>
        <w:t xml:space="preserve"> </w:t>
      </w:r>
      <w:r>
        <w:rPr>
          <w:rFonts w:hint="eastAsia" w:ascii="宋体" w:hAnsi="宋体" w:eastAsia="宋体" w:cs="宋体"/>
          <w:b/>
          <w:bCs/>
          <w:color w:val="auto"/>
          <w:spacing w:val="0"/>
          <w:position w:val="0"/>
          <w:sz w:val="31"/>
          <w:szCs w:val="31"/>
          <w:highlight w:val="none"/>
          <w:lang w:eastAsia="zh-CN"/>
        </w:rPr>
        <w:t>桂林市产品质量检验所检验设备采购</w:t>
      </w:r>
    </w:p>
    <w:p w14:paraId="084C8278">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firstLine="1232" w:firstLineChars="396"/>
        <w:textAlignment w:val="baseline"/>
        <w:rPr>
          <w:rFonts w:hint="eastAsia" w:ascii="宋体" w:hAnsi="宋体" w:eastAsia="宋体" w:cs="宋体"/>
          <w:color w:val="auto"/>
          <w:spacing w:val="0"/>
          <w:position w:val="0"/>
          <w:sz w:val="31"/>
          <w:szCs w:val="31"/>
          <w:highlight w:val="none"/>
          <w:lang w:eastAsia="zh-CN"/>
        </w:rPr>
      </w:pPr>
      <w:r>
        <w:rPr>
          <w:rFonts w:ascii="宋体" w:hAnsi="宋体" w:eastAsia="宋体" w:cs="宋体"/>
          <w:b/>
          <w:bCs/>
          <w:color w:val="auto"/>
          <w:spacing w:val="0"/>
          <w:position w:val="0"/>
          <w:sz w:val="31"/>
          <w:szCs w:val="31"/>
          <w:highlight w:val="none"/>
        </w:rPr>
        <w:t>项目编号：</w:t>
      </w:r>
      <w:r>
        <w:rPr>
          <w:rFonts w:hint="eastAsia" w:ascii="宋体" w:hAnsi="宋体" w:eastAsia="宋体" w:cs="宋体"/>
          <w:b/>
          <w:bCs/>
          <w:color w:val="auto"/>
          <w:spacing w:val="0"/>
          <w:position w:val="0"/>
          <w:sz w:val="31"/>
          <w:szCs w:val="31"/>
          <w:highlight w:val="none"/>
          <w:lang w:eastAsia="zh-CN"/>
        </w:rPr>
        <w:t>GLZC2026-J1-990345-GXCJ</w:t>
      </w:r>
    </w:p>
    <w:p w14:paraId="330BCFD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048BFD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6D4EC36C">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firstLine="0" w:firstLineChars="0"/>
        <w:jc w:val="center"/>
        <w:textAlignment w:val="baseline"/>
        <w:rPr>
          <w:rFonts w:hint="eastAsia" w:ascii="宋体" w:hAnsi="宋体" w:eastAsia="宋体" w:cs="宋体"/>
          <w:color w:val="auto"/>
          <w:spacing w:val="0"/>
          <w:position w:val="0"/>
          <w:sz w:val="31"/>
          <w:szCs w:val="31"/>
          <w:highlight w:val="none"/>
          <w:lang w:eastAsia="zh-CN"/>
        </w:rPr>
      </w:pPr>
      <w:r>
        <w:rPr>
          <w:rFonts w:ascii="宋体" w:hAnsi="宋体" w:eastAsia="宋体" w:cs="宋体"/>
          <w:b/>
          <w:bCs/>
          <w:color w:val="auto"/>
          <w:spacing w:val="0"/>
          <w:position w:val="0"/>
          <w:sz w:val="31"/>
          <w:szCs w:val="31"/>
          <w:highlight w:val="none"/>
        </w:rPr>
        <w:t>采购代理机构：</w:t>
      </w:r>
      <w:r>
        <w:rPr>
          <w:rFonts w:hint="eastAsia" w:ascii="宋体" w:hAnsi="宋体" w:eastAsia="宋体" w:cs="宋体"/>
          <w:b/>
          <w:bCs/>
          <w:color w:val="auto"/>
          <w:spacing w:val="0"/>
          <w:position w:val="0"/>
          <w:sz w:val="31"/>
          <w:szCs w:val="31"/>
          <w:highlight w:val="none"/>
          <w:lang w:eastAsia="zh-CN"/>
        </w:rPr>
        <w:t>广西昶吉工程项目管理有限公司</w:t>
      </w:r>
    </w:p>
    <w:p w14:paraId="79302E51">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firstLine="0" w:firstLineChars="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202</w:t>
      </w:r>
      <w:r>
        <w:rPr>
          <w:rFonts w:hint="eastAsia" w:ascii="宋体" w:hAnsi="宋体" w:eastAsia="宋体" w:cs="宋体"/>
          <w:b/>
          <w:bCs/>
          <w:color w:val="auto"/>
          <w:spacing w:val="0"/>
          <w:position w:val="0"/>
          <w:sz w:val="31"/>
          <w:szCs w:val="31"/>
          <w:highlight w:val="none"/>
          <w:lang w:val="en-US" w:eastAsia="zh-CN"/>
        </w:rPr>
        <w:t>6</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年</w:t>
      </w:r>
      <w:r>
        <w:rPr>
          <w:rFonts w:ascii="宋体" w:hAnsi="宋体" w:eastAsia="宋体" w:cs="宋体"/>
          <w:color w:val="auto"/>
          <w:spacing w:val="0"/>
          <w:position w:val="0"/>
          <w:sz w:val="31"/>
          <w:szCs w:val="31"/>
          <w:highlight w:val="none"/>
        </w:rPr>
        <w:t xml:space="preserve"> </w:t>
      </w:r>
      <w:r>
        <w:rPr>
          <w:rFonts w:hint="eastAsia" w:ascii="宋体" w:hAnsi="宋体" w:eastAsia="宋体" w:cs="宋体"/>
          <w:b/>
          <w:bCs/>
          <w:color w:val="auto"/>
          <w:spacing w:val="0"/>
          <w:position w:val="0"/>
          <w:sz w:val="31"/>
          <w:szCs w:val="31"/>
          <w:highlight w:val="none"/>
          <w:lang w:val="en-US" w:eastAsia="zh-CN"/>
        </w:rPr>
        <w:t xml:space="preserve"> 8</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月</w:t>
      </w:r>
      <w:r>
        <w:rPr>
          <w:rFonts w:ascii="宋体" w:hAnsi="宋体" w:eastAsia="宋体" w:cs="宋体"/>
          <w:color w:val="auto"/>
          <w:spacing w:val="0"/>
          <w:position w:val="0"/>
          <w:sz w:val="31"/>
          <w:szCs w:val="31"/>
          <w:highlight w:val="none"/>
        </w:rPr>
        <w:t xml:space="preserve"> </w:t>
      </w:r>
      <w:r>
        <w:rPr>
          <w:rFonts w:hint="eastAsia" w:ascii="宋体" w:hAnsi="宋体" w:eastAsia="宋体" w:cs="宋体"/>
          <w:b/>
          <w:bCs/>
          <w:color w:val="auto"/>
          <w:spacing w:val="0"/>
          <w:position w:val="0"/>
          <w:sz w:val="31"/>
          <w:szCs w:val="31"/>
          <w:highlight w:val="none"/>
          <w:lang w:val="en-US" w:eastAsia="zh-CN"/>
        </w:rPr>
        <w:t>3</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日</w:t>
      </w:r>
    </w:p>
    <w:p w14:paraId="1FD17DC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0" w:firstLineChars="200"/>
        <w:textAlignment w:val="baseline"/>
        <w:rPr>
          <w:rFonts w:ascii="宋体" w:hAnsi="宋体" w:eastAsia="宋体" w:cs="宋体"/>
          <w:color w:val="auto"/>
          <w:spacing w:val="0"/>
          <w:position w:val="0"/>
          <w:sz w:val="31"/>
          <w:szCs w:val="31"/>
          <w:highlight w:val="none"/>
        </w:rPr>
        <w:sectPr>
          <w:pgSz w:w="11906" w:h="16839"/>
          <w:pgMar w:top="1417" w:right="1417" w:bottom="1417" w:left="1417" w:header="0" w:footer="0" w:gutter="0"/>
          <w:pgNumType w:fmt="decimal"/>
          <w:cols w:space="720" w:num="1"/>
          <w:rtlGutter w:val="0"/>
          <w:docGrid w:linePitch="0" w:charSpace="0"/>
        </w:sectPr>
      </w:pPr>
    </w:p>
    <w:sdt>
      <w:sdtPr>
        <w:rPr>
          <w:rFonts w:ascii="宋体" w:hAnsi="宋体" w:eastAsia="宋体" w:cs="Arial"/>
          <w:snapToGrid w:val="0"/>
          <w:color w:val="auto"/>
          <w:spacing w:val="0"/>
          <w:kern w:val="0"/>
          <w:position w:val="0"/>
          <w:sz w:val="44"/>
          <w:szCs w:val="44"/>
          <w:highlight w:val="none"/>
          <w:lang w:val="en-US" w:eastAsia="en-US" w:bidi="ar-SA"/>
        </w:rPr>
        <w:id w:val="147470290"/>
        <w15:color w:val="DBDBDB"/>
        <w:docPartObj>
          <w:docPartGallery w:val="Table of Contents"/>
          <w:docPartUnique/>
        </w:docPartObj>
      </w:sdtPr>
      <w:sdtEndPr>
        <w:rPr>
          <w:rFonts w:ascii="Calibri" w:hAnsi="Calibri" w:eastAsia="Calibri" w:cs="Calibri"/>
          <w:snapToGrid w:val="0"/>
          <w:color w:val="auto"/>
          <w:spacing w:val="0"/>
          <w:kern w:val="0"/>
          <w:position w:val="0"/>
          <w:sz w:val="21"/>
          <w:szCs w:val="31"/>
          <w:highlight w:val="none"/>
          <w:lang w:val="en-US" w:eastAsia="en-US" w:bidi="ar-SA"/>
        </w:rPr>
      </w:sdtEndPr>
      <w:sdtContent>
        <w:p w14:paraId="42003F2D">
          <w:pPr>
            <w:keepNext w:val="0"/>
            <w:keepLines w:val="0"/>
            <w:pageBreakBefore w:val="0"/>
            <w:widowControl w:val="0"/>
            <w:overflowPunct/>
            <w:topLinePunct w:val="0"/>
            <w:bidi w:val="0"/>
            <w:spacing w:before="0" w:beforeLines="0" w:after="0" w:afterLines="0" w:line="240" w:lineRule="auto"/>
            <w:ind w:left="0" w:leftChars="0" w:right="0" w:rightChars="0" w:firstLine="0" w:firstLineChars="0"/>
            <w:jc w:val="center"/>
            <w:rPr>
              <w:color w:val="auto"/>
              <w:spacing w:val="0"/>
              <w:position w:val="0"/>
              <w:sz w:val="44"/>
              <w:szCs w:val="44"/>
              <w:highlight w:val="none"/>
            </w:rPr>
          </w:pPr>
          <w:r>
            <w:rPr>
              <w:rFonts w:ascii="宋体" w:hAnsi="宋体" w:eastAsia="宋体"/>
              <w:color w:val="auto"/>
              <w:spacing w:val="0"/>
              <w:position w:val="0"/>
              <w:sz w:val="44"/>
              <w:szCs w:val="44"/>
              <w:highlight w:val="none"/>
            </w:rPr>
            <w:t>目</w:t>
          </w:r>
          <w:r>
            <w:rPr>
              <w:rFonts w:hint="eastAsia" w:ascii="宋体" w:hAnsi="宋体" w:eastAsia="宋体"/>
              <w:color w:val="auto"/>
              <w:spacing w:val="0"/>
              <w:position w:val="0"/>
              <w:sz w:val="44"/>
              <w:szCs w:val="44"/>
              <w:highlight w:val="none"/>
              <w:lang w:val="en-US" w:eastAsia="zh-CN"/>
            </w:rPr>
            <w:t xml:space="preserve">  </w:t>
          </w:r>
          <w:r>
            <w:rPr>
              <w:rFonts w:ascii="宋体" w:hAnsi="宋体" w:eastAsia="宋体"/>
              <w:color w:val="auto"/>
              <w:spacing w:val="0"/>
              <w:position w:val="0"/>
              <w:sz w:val="44"/>
              <w:szCs w:val="44"/>
              <w:highlight w:val="none"/>
            </w:rPr>
            <w:t>录</w:t>
          </w:r>
        </w:p>
        <w:p w14:paraId="7A479FA3">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TOC \o "1-1" \h \u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 HYPERLINK \l _Toc7047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ascii="宋体" w:hAnsi="宋体" w:eastAsia="宋体" w:cs="宋体"/>
              <w:bCs/>
              <w:color w:val="auto"/>
              <w:spacing w:val="0"/>
              <w:position w:val="0"/>
              <w:sz w:val="30"/>
              <w:szCs w:val="30"/>
              <w:highlight w:val="none"/>
            </w:rPr>
            <w:t>第一章</w:t>
          </w:r>
          <w:r>
            <w:rPr>
              <w:rFonts w:ascii="宋体" w:hAnsi="宋体" w:eastAsia="宋体" w:cs="宋体"/>
              <w:color w:val="auto"/>
              <w:spacing w:val="0"/>
              <w:position w:val="0"/>
              <w:sz w:val="30"/>
              <w:szCs w:val="30"/>
              <w:highlight w:val="none"/>
            </w:rPr>
            <w:t xml:space="preserve"> </w:t>
          </w:r>
          <w:r>
            <w:rPr>
              <w:rFonts w:ascii="宋体" w:hAnsi="宋体" w:eastAsia="宋体" w:cs="宋体"/>
              <w:bCs/>
              <w:color w:val="auto"/>
              <w:spacing w:val="0"/>
              <w:position w:val="0"/>
              <w:sz w:val="30"/>
              <w:szCs w:val="30"/>
              <w:highlight w:val="none"/>
            </w:rPr>
            <w:t>竞争性谈判公告</w:t>
          </w:r>
          <w:r>
            <w:rPr>
              <w:color w:val="auto"/>
              <w:spacing w:val="0"/>
              <w:position w:val="0"/>
              <w:sz w:val="30"/>
              <w:szCs w:val="30"/>
              <w:highlight w:val="none"/>
            </w:rPr>
            <w:tab/>
          </w:r>
          <w:r>
            <w:rPr>
              <w:color w:val="auto"/>
              <w:spacing w:val="0"/>
              <w:position w:val="0"/>
              <w:sz w:val="30"/>
              <w:szCs w:val="30"/>
              <w:highlight w:val="none"/>
            </w:rPr>
            <w:fldChar w:fldCharType="begin"/>
          </w:r>
          <w:r>
            <w:rPr>
              <w:color w:val="auto"/>
              <w:spacing w:val="0"/>
              <w:position w:val="0"/>
              <w:sz w:val="30"/>
              <w:szCs w:val="30"/>
              <w:highlight w:val="none"/>
            </w:rPr>
            <w:instrText xml:space="preserve"> PAGEREF _Toc7047 \h </w:instrText>
          </w:r>
          <w:r>
            <w:rPr>
              <w:color w:val="auto"/>
              <w:spacing w:val="0"/>
              <w:position w:val="0"/>
              <w:sz w:val="30"/>
              <w:szCs w:val="30"/>
              <w:highlight w:val="none"/>
            </w:rPr>
            <w:fldChar w:fldCharType="separate"/>
          </w:r>
          <w:r>
            <w:rPr>
              <w:color w:val="auto"/>
              <w:spacing w:val="0"/>
              <w:position w:val="0"/>
              <w:sz w:val="30"/>
              <w:szCs w:val="30"/>
              <w:highlight w:val="none"/>
            </w:rPr>
            <w:t>1</w:t>
          </w:r>
          <w:r>
            <w:rPr>
              <w:color w:val="auto"/>
              <w:spacing w:val="0"/>
              <w:position w:val="0"/>
              <w:sz w:val="30"/>
              <w:szCs w:val="30"/>
              <w:highlight w:val="none"/>
            </w:rPr>
            <w:fldChar w:fldCharType="end"/>
          </w:r>
          <w:r>
            <w:rPr>
              <w:rFonts w:ascii="Calibri" w:hAnsi="Calibri" w:eastAsia="Calibri" w:cs="Calibri"/>
              <w:snapToGrid w:val="0"/>
              <w:color w:val="auto"/>
              <w:spacing w:val="0"/>
              <w:kern w:val="0"/>
              <w:position w:val="0"/>
              <w:sz w:val="30"/>
              <w:szCs w:val="30"/>
              <w:highlight w:val="none"/>
              <w:lang w:val="en-US" w:eastAsia="en-US" w:bidi="ar-SA"/>
            </w:rPr>
            <w:fldChar w:fldCharType="end"/>
          </w:r>
        </w:p>
        <w:p w14:paraId="7B39C05E">
          <w:pPr>
            <w:pStyle w:val="12"/>
            <w:keepNext w:val="0"/>
            <w:keepLines w:val="0"/>
            <w:pageBreakBefore w:val="0"/>
            <w:widowControl w:val="0"/>
            <w:tabs>
              <w:tab w:val="right" w:leader="dot" w:pos="8807"/>
            </w:tabs>
            <w:overflowPunct/>
            <w:topLinePunct w:val="0"/>
            <w:bidi w:val="0"/>
            <w:rPr>
              <w:rFonts w:ascii="Calibri" w:hAnsi="Calibri" w:eastAsia="Calibri" w:cs="Calibri"/>
              <w:snapToGrid w:val="0"/>
              <w:color w:val="auto"/>
              <w:spacing w:val="0"/>
              <w:kern w:val="0"/>
              <w:position w:val="0"/>
              <w:sz w:val="30"/>
              <w:szCs w:val="30"/>
              <w:highlight w:val="none"/>
              <w:lang w:val="en-US" w:eastAsia="en-US" w:bidi="ar-SA"/>
            </w:rPr>
          </w:pPr>
        </w:p>
        <w:p w14:paraId="5073A1F7">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 HYPERLINK \l _Toc9984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ascii="宋体" w:hAnsi="宋体" w:eastAsia="宋体" w:cs="宋体"/>
              <w:bCs/>
              <w:color w:val="auto"/>
              <w:spacing w:val="0"/>
              <w:position w:val="0"/>
              <w:sz w:val="30"/>
              <w:szCs w:val="30"/>
              <w:highlight w:val="none"/>
            </w:rPr>
            <w:t>第二章</w:t>
          </w:r>
          <w:r>
            <w:rPr>
              <w:rFonts w:ascii="宋体" w:hAnsi="宋体" w:eastAsia="宋体" w:cs="宋体"/>
              <w:color w:val="auto"/>
              <w:spacing w:val="0"/>
              <w:position w:val="0"/>
              <w:sz w:val="30"/>
              <w:szCs w:val="30"/>
              <w:highlight w:val="none"/>
            </w:rPr>
            <w:t xml:space="preserve"> </w:t>
          </w:r>
          <w:r>
            <w:rPr>
              <w:rFonts w:ascii="宋体" w:hAnsi="宋体" w:eastAsia="宋体" w:cs="宋体"/>
              <w:bCs/>
              <w:color w:val="auto"/>
              <w:spacing w:val="0"/>
              <w:position w:val="0"/>
              <w:sz w:val="30"/>
              <w:szCs w:val="30"/>
              <w:highlight w:val="none"/>
            </w:rPr>
            <w:t>供应商须知</w:t>
          </w:r>
          <w:r>
            <w:rPr>
              <w:color w:val="auto"/>
              <w:spacing w:val="0"/>
              <w:position w:val="0"/>
              <w:sz w:val="30"/>
              <w:szCs w:val="30"/>
              <w:highlight w:val="none"/>
            </w:rPr>
            <w:tab/>
          </w:r>
          <w:r>
            <w:rPr>
              <w:color w:val="auto"/>
              <w:spacing w:val="0"/>
              <w:position w:val="0"/>
              <w:sz w:val="30"/>
              <w:szCs w:val="30"/>
              <w:highlight w:val="none"/>
            </w:rPr>
            <w:fldChar w:fldCharType="begin"/>
          </w:r>
          <w:r>
            <w:rPr>
              <w:color w:val="auto"/>
              <w:spacing w:val="0"/>
              <w:position w:val="0"/>
              <w:sz w:val="30"/>
              <w:szCs w:val="30"/>
              <w:highlight w:val="none"/>
            </w:rPr>
            <w:instrText xml:space="preserve"> PAGEREF _Toc9984 \h </w:instrText>
          </w:r>
          <w:r>
            <w:rPr>
              <w:color w:val="auto"/>
              <w:spacing w:val="0"/>
              <w:position w:val="0"/>
              <w:sz w:val="30"/>
              <w:szCs w:val="30"/>
              <w:highlight w:val="none"/>
            </w:rPr>
            <w:fldChar w:fldCharType="separate"/>
          </w:r>
          <w:r>
            <w:rPr>
              <w:color w:val="auto"/>
              <w:spacing w:val="0"/>
              <w:position w:val="0"/>
              <w:sz w:val="30"/>
              <w:szCs w:val="30"/>
              <w:highlight w:val="none"/>
            </w:rPr>
            <w:t>4</w:t>
          </w:r>
          <w:r>
            <w:rPr>
              <w:color w:val="auto"/>
              <w:spacing w:val="0"/>
              <w:position w:val="0"/>
              <w:sz w:val="30"/>
              <w:szCs w:val="30"/>
              <w:highlight w:val="none"/>
            </w:rPr>
            <w:fldChar w:fldCharType="end"/>
          </w:r>
          <w:r>
            <w:rPr>
              <w:rFonts w:ascii="Calibri" w:hAnsi="Calibri" w:eastAsia="Calibri" w:cs="Calibri"/>
              <w:snapToGrid w:val="0"/>
              <w:color w:val="auto"/>
              <w:spacing w:val="0"/>
              <w:kern w:val="0"/>
              <w:position w:val="0"/>
              <w:sz w:val="30"/>
              <w:szCs w:val="30"/>
              <w:highlight w:val="none"/>
              <w:lang w:val="en-US" w:eastAsia="en-US" w:bidi="ar-SA"/>
            </w:rPr>
            <w:fldChar w:fldCharType="end"/>
          </w:r>
        </w:p>
        <w:p w14:paraId="5A65C064">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p>
        <w:p w14:paraId="2B2C3266">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 HYPERLINK \l _Toc32758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ascii="宋体" w:hAnsi="宋体" w:eastAsia="宋体" w:cs="宋体"/>
              <w:bCs/>
              <w:color w:val="auto"/>
              <w:spacing w:val="0"/>
              <w:position w:val="0"/>
              <w:sz w:val="30"/>
              <w:szCs w:val="30"/>
              <w:highlight w:val="none"/>
            </w:rPr>
            <w:t>第三章</w:t>
          </w:r>
          <w:r>
            <w:rPr>
              <w:rFonts w:ascii="宋体" w:hAnsi="宋体" w:eastAsia="宋体" w:cs="宋体"/>
              <w:color w:val="auto"/>
              <w:spacing w:val="0"/>
              <w:position w:val="0"/>
              <w:sz w:val="30"/>
              <w:szCs w:val="30"/>
              <w:highlight w:val="none"/>
            </w:rPr>
            <w:t xml:space="preserve">  </w:t>
          </w:r>
          <w:r>
            <w:rPr>
              <w:rFonts w:ascii="宋体" w:hAnsi="宋体" w:eastAsia="宋体" w:cs="宋体"/>
              <w:bCs/>
              <w:color w:val="auto"/>
              <w:spacing w:val="0"/>
              <w:position w:val="0"/>
              <w:sz w:val="30"/>
              <w:szCs w:val="30"/>
              <w:highlight w:val="none"/>
            </w:rPr>
            <w:t>采购需求</w:t>
          </w:r>
          <w:r>
            <w:rPr>
              <w:color w:val="auto"/>
              <w:spacing w:val="0"/>
              <w:position w:val="0"/>
              <w:sz w:val="30"/>
              <w:szCs w:val="30"/>
              <w:highlight w:val="none"/>
            </w:rPr>
            <w:tab/>
          </w:r>
          <w:r>
            <w:rPr>
              <w:color w:val="auto"/>
              <w:spacing w:val="0"/>
              <w:position w:val="0"/>
              <w:sz w:val="30"/>
              <w:szCs w:val="30"/>
              <w:highlight w:val="none"/>
            </w:rPr>
            <w:fldChar w:fldCharType="begin"/>
          </w:r>
          <w:r>
            <w:rPr>
              <w:color w:val="auto"/>
              <w:spacing w:val="0"/>
              <w:position w:val="0"/>
              <w:sz w:val="30"/>
              <w:szCs w:val="30"/>
              <w:highlight w:val="none"/>
            </w:rPr>
            <w:instrText xml:space="preserve"> PAGEREF _Toc32758 \h </w:instrText>
          </w:r>
          <w:r>
            <w:rPr>
              <w:color w:val="auto"/>
              <w:spacing w:val="0"/>
              <w:position w:val="0"/>
              <w:sz w:val="30"/>
              <w:szCs w:val="30"/>
              <w:highlight w:val="none"/>
            </w:rPr>
            <w:fldChar w:fldCharType="separate"/>
          </w:r>
          <w:r>
            <w:rPr>
              <w:color w:val="auto"/>
              <w:spacing w:val="0"/>
              <w:position w:val="0"/>
              <w:sz w:val="30"/>
              <w:szCs w:val="30"/>
              <w:highlight w:val="none"/>
            </w:rPr>
            <w:t>28</w:t>
          </w:r>
          <w:r>
            <w:rPr>
              <w:color w:val="auto"/>
              <w:spacing w:val="0"/>
              <w:position w:val="0"/>
              <w:sz w:val="30"/>
              <w:szCs w:val="30"/>
              <w:highlight w:val="none"/>
            </w:rPr>
            <w:fldChar w:fldCharType="end"/>
          </w:r>
          <w:r>
            <w:rPr>
              <w:rFonts w:ascii="Calibri" w:hAnsi="Calibri" w:eastAsia="Calibri" w:cs="Calibri"/>
              <w:snapToGrid w:val="0"/>
              <w:color w:val="auto"/>
              <w:spacing w:val="0"/>
              <w:kern w:val="0"/>
              <w:position w:val="0"/>
              <w:sz w:val="30"/>
              <w:szCs w:val="30"/>
              <w:highlight w:val="none"/>
              <w:lang w:val="en-US" w:eastAsia="en-US" w:bidi="ar-SA"/>
            </w:rPr>
            <w:fldChar w:fldCharType="end"/>
          </w:r>
        </w:p>
        <w:p w14:paraId="6F3D16E8">
          <w:pPr>
            <w:pStyle w:val="12"/>
            <w:keepNext w:val="0"/>
            <w:keepLines w:val="0"/>
            <w:pageBreakBefore w:val="0"/>
            <w:widowControl w:val="0"/>
            <w:tabs>
              <w:tab w:val="right" w:leader="dot" w:pos="8807"/>
            </w:tabs>
            <w:overflowPunct/>
            <w:topLinePunct w:val="0"/>
            <w:bidi w:val="0"/>
            <w:rPr>
              <w:rFonts w:ascii="Calibri" w:hAnsi="Calibri" w:eastAsia="Calibri" w:cs="Calibri"/>
              <w:snapToGrid w:val="0"/>
              <w:color w:val="auto"/>
              <w:spacing w:val="0"/>
              <w:kern w:val="0"/>
              <w:position w:val="0"/>
              <w:sz w:val="30"/>
              <w:szCs w:val="30"/>
              <w:highlight w:val="none"/>
              <w:lang w:val="en-US" w:eastAsia="en-US" w:bidi="ar-SA"/>
            </w:rPr>
          </w:pPr>
        </w:p>
        <w:p w14:paraId="54FA9BC8">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 HYPERLINK \l _Toc25408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hint="eastAsia" w:ascii="宋体" w:hAnsi="宋体" w:eastAsia="宋体" w:cs="宋体"/>
              <w:bCs/>
              <w:color w:val="auto"/>
              <w:spacing w:val="0"/>
              <w:position w:val="0"/>
              <w:sz w:val="30"/>
              <w:szCs w:val="30"/>
              <w:highlight w:val="none"/>
            </w:rPr>
            <w:t xml:space="preserve">第四章 </w:t>
          </w:r>
          <w:r>
            <w:rPr>
              <w:rFonts w:ascii="宋体" w:hAnsi="宋体" w:eastAsia="宋体" w:cs="宋体"/>
              <w:bCs/>
              <w:color w:val="auto"/>
              <w:spacing w:val="0"/>
              <w:position w:val="0"/>
              <w:sz w:val="30"/>
              <w:szCs w:val="30"/>
              <w:highlight w:val="none"/>
            </w:rPr>
            <w:t>评审办法</w:t>
          </w:r>
          <w:r>
            <w:rPr>
              <w:color w:val="auto"/>
              <w:spacing w:val="0"/>
              <w:position w:val="0"/>
              <w:sz w:val="30"/>
              <w:szCs w:val="30"/>
              <w:highlight w:val="none"/>
            </w:rPr>
            <w:tab/>
          </w:r>
          <w:r>
            <w:rPr>
              <w:color w:val="auto"/>
              <w:spacing w:val="0"/>
              <w:position w:val="0"/>
              <w:sz w:val="30"/>
              <w:szCs w:val="30"/>
              <w:highlight w:val="none"/>
            </w:rPr>
            <w:fldChar w:fldCharType="begin"/>
          </w:r>
          <w:r>
            <w:rPr>
              <w:color w:val="auto"/>
              <w:spacing w:val="0"/>
              <w:position w:val="0"/>
              <w:sz w:val="30"/>
              <w:szCs w:val="30"/>
              <w:highlight w:val="none"/>
            </w:rPr>
            <w:instrText xml:space="preserve"> PAGEREF _Toc25408 \h </w:instrText>
          </w:r>
          <w:r>
            <w:rPr>
              <w:color w:val="auto"/>
              <w:spacing w:val="0"/>
              <w:position w:val="0"/>
              <w:sz w:val="30"/>
              <w:szCs w:val="30"/>
              <w:highlight w:val="none"/>
            </w:rPr>
            <w:fldChar w:fldCharType="separate"/>
          </w:r>
          <w:r>
            <w:rPr>
              <w:color w:val="auto"/>
              <w:spacing w:val="0"/>
              <w:position w:val="0"/>
              <w:sz w:val="30"/>
              <w:szCs w:val="30"/>
              <w:highlight w:val="none"/>
            </w:rPr>
            <w:t>45</w:t>
          </w:r>
          <w:r>
            <w:rPr>
              <w:color w:val="auto"/>
              <w:spacing w:val="0"/>
              <w:position w:val="0"/>
              <w:sz w:val="30"/>
              <w:szCs w:val="30"/>
              <w:highlight w:val="none"/>
            </w:rPr>
            <w:fldChar w:fldCharType="end"/>
          </w:r>
          <w:r>
            <w:rPr>
              <w:rFonts w:ascii="Calibri" w:hAnsi="Calibri" w:eastAsia="Calibri" w:cs="Calibri"/>
              <w:snapToGrid w:val="0"/>
              <w:color w:val="auto"/>
              <w:spacing w:val="0"/>
              <w:kern w:val="0"/>
              <w:position w:val="0"/>
              <w:sz w:val="30"/>
              <w:szCs w:val="30"/>
              <w:highlight w:val="none"/>
              <w:lang w:val="en-US" w:eastAsia="en-US" w:bidi="ar-SA"/>
            </w:rPr>
            <w:fldChar w:fldCharType="end"/>
          </w:r>
        </w:p>
        <w:p w14:paraId="26ECF92E">
          <w:pPr>
            <w:pStyle w:val="12"/>
            <w:keepNext w:val="0"/>
            <w:keepLines w:val="0"/>
            <w:pageBreakBefore w:val="0"/>
            <w:widowControl w:val="0"/>
            <w:tabs>
              <w:tab w:val="right" w:leader="dot" w:pos="8807"/>
            </w:tabs>
            <w:overflowPunct/>
            <w:topLinePunct w:val="0"/>
            <w:bidi w:val="0"/>
            <w:rPr>
              <w:rFonts w:ascii="Calibri" w:hAnsi="Calibri" w:eastAsia="Calibri" w:cs="Calibri"/>
              <w:snapToGrid w:val="0"/>
              <w:color w:val="auto"/>
              <w:spacing w:val="0"/>
              <w:kern w:val="0"/>
              <w:position w:val="0"/>
              <w:sz w:val="30"/>
              <w:szCs w:val="30"/>
              <w:highlight w:val="none"/>
              <w:lang w:val="en-US" w:eastAsia="en-US" w:bidi="ar-SA"/>
            </w:rPr>
          </w:pPr>
        </w:p>
        <w:p w14:paraId="333C85EB">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 HYPERLINK \l _Toc17335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ascii="宋体" w:hAnsi="宋体" w:eastAsia="宋体" w:cs="宋体"/>
              <w:bCs/>
              <w:color w:val="auto"/>
              <w:spacing w:val="0"/>
              <w:position w:val="0"/>
              <w:sz w:val="30"/>
              <w:szCs w:val="30"/>
              <w:highlight w:val="none"/>
            </w:rPr>
            <w:t>第五章</w:t>
          </w:r>
          <w:r>
            <w:rPr>
              <w:rFonts w:ascii="宋体" w:hAnsi="宋体" w:eastAsia="宋体" w:cs="宋体"/>
              <w:color w:val="auto"/>
              <w:spacing w:val="0"/>
              <w:position w:val="0"/>
              <w:sz w:val="30"/>
              <w:szCs w:val="30"/>
              <w:highlight w:val="none"/>
            </w:rPr>
            <w:t xml:space="preserve">  </w:t>
          </w:r>
          <w:r>
            <w:rPr>
              <w:rFonts w:ascii="宋体" w:hAnsi="宋体" w:eastAsia="宋体" w:cs="宋体"/>
              <w:bCs/>
              <w:color w:val="auto"/>
              <w:spacing w:val="0"/>
              <w:position w:val="0"/>
              <w:sz w:val="30"/>
              <w:szCs w:val="30"/>
              <w:highlight w:val="none"/>
            </w:rPr>
            <w:t>政府采购合同（合同主要条款及格式）</w:t>
          </w:r>
          <w:r>
            <w:rPr>
              <w:color w:val="auto"/>
              <w:spacing w:val="0"/>
              <w:position w:val="0"/>
              <w:sz w:val="30"/>
              <w:szCs w:val="30"/>
              <w:highlight w:val="none"/>
            </w:rPr>
            <w:tab/>
          </w:r>
          <w:r>
            <w:rPr>
              <w:color w:val="auto"/>
              <w:spacing w:val="0"/>
              <w:position w:val="0"/>
              <w:sz w:val="30"/>
              <w:szCs w:val="30"/>
              <w:highlight w:val="none"/>
            </w:rPr>
            <w:fldChar w:fldCharType="begin"/>
          </w:r>
          <w:r>
            <w:rPr>
              <w:color w:val="auto"/>
              <w:spacing w:val="0"/>
              <w:position w:val="0"/>
              <w:sz w:val="30"/>
              <w:szCs w:val="30"/>
              <w:highlight w:val="none"/>
            </w:rPr>
            <w:instrText xml:space="preserve"> PAGEREF _Toc17335 \h </w:instrText>
          </w:r>
          <w:r>
            <w:rPr>
              <w:color w:val="auto"/>
              <w:spacing w:val="0"/>
              <w:position w:val="0"/>
              <w:sz w:val="30"/>
              <w:szCs w:val="30"/>
              <w:highlight w:val="none"/>
            </w:rPr>
            <w:fldChar w:fldCharType="separate"/>
          </w:r>
          <w:r>
            <w:rPr>
              <w:color w:val="auto"/>
              <w:spacing w:val="0"/>
              <w:position w:val="0"/>
              <w:sz w:val="30"/>
              <w:szCs w:val="30"/>
              <w:highlight w:val="none"/>
            </w:rPr>
            <w:t>48</w:t>
          </w:r>
          <w:r>
            <w:rPr>
              <w:color w:val="auto"/>
              <w:spacing w:val="0"/>
              <w:position w:val="0"/>
              <w:sz w:val="30"/>
              <w:szCs w:val="30"/>
              <w:highlight w:val="none"/>
            </w:rPr>
            <w:fldChar w:fldCharType="end"/>
          </w:r>
          <w:r>
            <w:rPr>
              <w:rFonts w:ascii="Calibri" w:hAnsi="Calibri" w:eastAsia="Calibri" w:cs="Calibri"/>
              <w:snapToGrid w:val="0"/>
              <w:color w:val="auto"/>
              <w:spacing w:val="0"/>
              <w:kern w:val="0"/>
              <w:position w:val="0"/>
              <w:sz w:val="30"/>
              <w:szCs w:val="30"/>
              <w:highlight w:val="none"/>
              <w:lang w:val="en-US" w:eastAsia="en-US" w:bidi="ar-SA"/>
            </w:rPr>
            <w:fldChar w:fldCharType="end"/>
          </w:r>
        </w:p>
        <w:p w14:paraId="27260BC1">
          <w:pPr>
            <w:pStyle w:val="12"/>
            <w:keepNext w:val="0"/>
            <w:keepLines w:val="0"/>
            <w:pageBreakBefore w:val="0"/>
            <w:widowControl w:val="0"/>
            <w:tabs>
              <w:tab w:val="right" w:leader="dot" w:pos="8807"/>
            </w:tabs>
            <w:overflowPunct/>
            <w:topLinePunct w:val="0"/>
            <w:bidi w:val="0"/>
            <w:rPr>
              <w:rFonts w:ascii="Calibri" w:hAnsi="Calibri" w:eastAsia="Calibri" w:cs="Calibri"/>
              <w:snapToGrid w:val="0"/>
              <w:color w:val="auto"/>
              <w:spacing w:val="0"/>
              <w:kern w:val="0"/>
              <w:position w:val="0"/>
              <w:sz w:val="30"/>
              <w:szCs w:val="30"/>
              <w:highlight w:val="none"/>
              <w:lang w:val="en-US" w:eastAsia="en-US" w:bidi="ar-SA"/>
            </w:rPr>
          </w:pPr>
        </w:p>
        <w:p w14:paraId="6DE01315">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r>
            <w:rPr>
              <w:rFonts w:ascii="Calibri" w:hAnsi="Calibri" w:eastAsia="Calibri" w:cs="Calibri"/>
              <w:snapToGrid w:val="0"/>
              <w:color w:val="auto"/>
              <w:spacing w:val="0"/>
              <w:kern w:val="0"/>
              <w:position w:val="0"/>
              <w:sz w:val="30"/>
              <w:szCs w:val="30"/>
              <w:highlight w:val="none"/>
              <w:lang w:val="en-US" w:eastAsia="en-US" w:bidi="ar-SA"/>
            </w:rPr>
            <w:fldChar w:fldCharType="begin"/>
          </w:r>
          <w:r>
            <w:rPr>
              <w:rFonts w:ascii="Calibri" w:hAnsi="Calibri" w:eastAsia="Calibri" w:cs="Calibri"/>
              <w:snapToGrid w:val="0"/>
              <w:color w:val="auto"/>
              <w:spacing w:val="0"/>
              <w:kern w:val="0"/>
              <w:position w:val="0"/>
              <w:sz w:val="30"/>
              <w:szCs w:val="30"/>
              <w:highlight w:val="none"/>
              <w:lang w:val="en-US" w:eastAsia="en-US" w:bidi="ar-SA"/>
            </w:rPr>
            <w:instrText xml:space="preserve"> HYPERLINK \l _Toc20031 </w:instrText>
          </w:r>
          <w:r>
            <w:rPr>
              <w:rFonts w:ascii="Calibri" w:hAnsi="Calibri" w:eastAsia="Calibri" w:cs="Calibri"/>
              <w:snapToGrid w:val="0"/>
              <w:color w:val="auto"/>
              <w:spacing w:val="0"/>
              <w:kern w:val="0"/>
              <w:position w:val="0"/>
              <w:sz w:val="30"/>
              <w:szCs w:val="30"/>
              <w:highlight w:val="none"/>
              <w:lang w:val="en-US" w:eastAsia="en-US" w:bidi="ar-SA"/>
            </w:rPr>
            <w:fldChar w:fldCharType="separate"/>
          </w:r>
          <w:r>
            <w:rPr>
              <w:rFonts w:ascii="宋体" w:hAnsi="宋体" w:eastAsia="宋体" w:cs="宋体"/>
              <w:bCs/>
              <w:color w:val="auto"/>
              <w:spacing w:val="0"/>
              <w:position w:val="0"/>
              <w:sz w:val="30"/>
              <w:szCs w:val="30"/>
              <w:highlight w:val="none"/>
            </w:rPr>
            <w:t>第六章</w:t>
          </w:r>
          <w:r>
            <w:rPr>
              <w:rFonts w:ascii="宋体" w:hAnsi="宋体" w:eastAsia="宋体" w:cs="宋体"/>
              <w:color w:val="auto"/>
              <w:spacing w:val="0"/>
              <w:position w:val="0"/>
              <w:sz w:val="30"/>
              <w:szCs w:val="30"/>
              <w:highlight w:val="none"/>
            </w:rPr>
            <w:t xml:space="preserve"> </w:t>
          </w:r>
          <w:r>
            <w:rPr>
              <w:rFonts w:ascii="宋体" w:hAnsi="宋体" w:eastAsia="宋体" w:cs="宋体"/>
              <w:bCs/>
              <w:color w:val="auto"/>
              <w:spacing w:val="0"/>
              <w:position w:val="0"/>
              <w:sz w:val="30"/>
              <w:szCs w:val="30"/>
              <w:highlight w:val="none"/>
            </w:rPr>
            <w:t>响应文件（格式）</w:t>
          </w:r>
          <w:r>
            <w:rPr>
              <w:color w:val="auto"/>
              <w:spacing w:val="0"/>
              <w:position w:val="0"/>
              <w:sz w:val="30"/>
              <w:szCs w:val="30"/>
              <w:highlight w:val="none"/>
            </w:rPr>
            <w:tab/>
          </w:r>
          <w:r>
            <w:rPr>
              <w:color w:val="auto"/>
              <w:spacing w:val="0"/>
              <w:position w:val="0"/>
              <w:sz w:val="30"/>
              <w:szCs w:val="30"/>
              <w:highlight w:val="none"/>
            </w:rPr>
            <w:fldChar w:fldCharType="begin"/>
          </w:r>
          <w:r>
            <w:rPr>
              <w:color w:val="auto"/>
              <w:spacing w:val="0"/>
              <w:position w:val="0"/>
              <w:sz w:val="30"/>
              <w:szCs w:val="30"/>
              <w:highlight w:val="none"/>
            </w:rPr>
            <w:instrText xml:space="preserve"> PAGEREF _Toc20031 \h </w:instrText>
          </w:r>
          <w:r>
            <w:rPr>
              <w:color w:val="auto"/>
              <w:spacing w:val="0"/>
              <w:position w:val="0"/>
              <w:sz w:val="30"/>
              <w:szCs w:val="30"/>
              <w:highlight w:val="none"/>
            </w:rPr>
            <w:fldChar w:fldCharType="separate"/>
          </w:r>
          <w:r>
            <w:rPr>
              <w:color w:val="auto"/>
              <w:spacing w:val="0"/>
              <w:position w:val="0"/>
              <w:sz w:val="30"/>
              <w:szCs w:val="30"/>
              <w:highlight w:val="none"/>
            </w:rPr>
            <w:t>52</w:t>
          </w:r>
          <w:r>
            <w:rPr>
              <w:color w:val="auto"/>
              <w:spacing w:val="0"/>
              <w:position w:val="0"/>
              <w:sz w:val="30"/>
              <w:szCs w:val="30"/>
              <w:highlight w:val="none"/>
            </w:rPr>
            <w:fldChar w:fldCharType="end"/>
          </w:r>
          <w:r>
            <w:rPr>
              <w:rFonts w:ascii="Calibri" w:hAnsi="Calibri" w:eastAsia="Calibri" w:cs="Calibri"/>
              <w:snapToGrid w:val="0"/>
              <w:color w:val="auto"/>
              <w:spacing w:val="0"/>
              <w:kern w:val="0"/>
              <w:position w:val="0"/>
              <w:sz w:val="30"/>
              <w:szCs w:val="30"/>
              <w:highlight w:val="none"/>
              <w:lang w:val="en-US" w:eastAsia="en-US" w:bidi="ar-SA"/>
            </w:rPr>
            <w:fldChar w:fldCharType="end"/>
          </w:r>
        </w:p>
        <w:p w14:paraId="7FD9CAFC">
          <w:pPr>
            <w:pStyle w:val="12"/>
            <w:keepNext w:val="0"/>
            <w:keepLines w:val="0"/>
            <w:pageBreakBefore w:val="0"/>
            <w:widowControl w:val="0"/>
            <w:tabs>
              <w:tab w:val="right" w:leader="dot" w:pos="8807"/>
            </w:tabs>
            <w:overflowPunct/>
            <w:topLinePunct w:val="0"/>
            <w:bidi w:val="0"/>
            <w:rPr>
              <w:color w:val="auto"/>
              <w:spacing w:val="0"/>
              <w:position w:val="0"/>
              <w:sz w:val="30"/>
              <w:szCs w:val="30"/>
              <w:highlight w:val="none"/>
            </w:rPr>
          </w:pPr>
        </w:p>
        <w:p w14:paraId="5077DBD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00" w:firstLineChars="200"/>
            <w:textAlignment w:val="baseline"/>
            <w:rPr>
              <w:rFonts w:ascii="Calibri" w:hAnsi="Calibri" w:eastAsia="Calibri" w:cs="Calibri"/>
              <w:snapToGrid w:val="0"/>
              <w:color w:val="auto"/>
              <w:spacing w:val="0"/>
              <w:kern w:val="0"/>
              <w:position w:val="0"/>
              <w:sz w:val="21"/>
              <w:szCs w:val="31"/>
              <w:highlight w:val="none"/>
              <w:lang w:val="en-US" w:eastAsia="en-US" w:bidi="ar-SA"/>
            </w:rPr>
          </w:pPr>
          <w:r>
            <w:rPr>
              <w:rFonts w:ascii="Calibri" w:hAnsi="Calibri" w:eastAsia="Calibri" w:cs="Calibri"/>
              <w:snapToGrid w:val="0"/>
              <w:color w:val="auto"/>
              <w:spacing w:val="0"/>
              <w:kern w:val="0"/>
              <w:position w:val="0"/>
              <w:sz w:val="30"/>
              <w:szCs w:val="30"/>
              <w:highlight w:val="none"/>
              <w:lang w:val="en-US" w:eastAsia="en-US" w:bidi="ar-SA"/>
            </w:rPr>
            <w:fldChar w:fldCharType="end"/>
          </w:r>
        </w:p>
      </w:sdtContent>
    </w:sdt>
    <w:p w14:paraId="4D647E1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Calibri" w:hAnsi="Calibri" w:eastAsia="Calibri" w:cs="Calibri"/>
          <w:snapToGrid w:val="0"/>
          <w:color w:val="auto"/>
          <w:spacing w:val="0"/>
          <w:kern w:val="0"/>
          <w:position w:val="0"/>
          <w:sz w:val="21"/>
          <w:szCs w:val="31"/>
          <w:highlight w:val="none"/>
          <w:lang w:val="en-US" w:eastAsia="en-US" w:bidi="ar-SA"/>
        </w:rPr>
        <w:sectPr>
          <w:footerReference r:id="rId5" w:type="default"/>
          <w:pgSz w:w="11906" w:h="16839"/>
          <w:pgMar w:top="1417" w:right="1417" w:bottom="1417" w:left="1417" w:header="0" w:footer="1135" w:gutter="0"/>
          <w:pgNumType w:fmt="decimal"/>
          <w:cols w:space="720" w:num="1"/>
          <w:rtlGutter w:val="0"/>
          <w:docGrid w:linePitch="0" w:charSpace="0"/>
        </w:sectPr>
      </w:pPr>
    </w:p>
    <w:p w14:paraId="66288B75">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firstLine="0" w:firstLineChars="0"/>
        <w:jc w:val="center"/>
        <w:textAlignment w:val="baseline"/>
        <w:outlineLvl w:val="0"/>
        <w:rPr>
          <w:rFonts w:ascii="宋体" w:hAnsi="宋体" w:eastAsia="宋体" w:cs="宋体"/>
          <w:color w:val="auto"/>
          <w:spacing w:val="0"/>
          <w:position w:val="0"/>
          <w:sz w:val="31"/>
          <w:szCs w:val="31"/>
          <w:highlight w:val="none"/>
        </w:rPr>
      </w:pPr>
      <w:bookmarkStart w:id="0" w:name="bookmark2"/>
      <w:bookmarkEnd w:id="0"/>
      <w:bookmarkStart w:id="1" w:name="bookmark1"/>
      <w:bookmarkEnd w:id="1"/>
      <w:bookmarkStart w:id="2" w:name="_Toc7047"/>
      <w:r>
        <w:rPr>
          <w:rFonts w:ascii="宋体" w:hAnsi="宋体" w:eastAsia="宋体" w:cs="宋体"/>
          <w:b/>
          <w:bCs/>
          <w:color w:val="auto"/>
          <w:spacing w:val="0"/>
          <w:position w:val="0"/>
          <w:sz w:val="31"/>
          <w:szCs w:val="31"/>
          <w:highlight w:val="none"/>
        </w:rPr>
        <w:t>第一章</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竞争性谈判公告</w:t>
      </w:r>
      <w:bookmarkEnd w:id="2"/>
    </w:p>
    <w:p w14:paraId="2E718A4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tbl>
      <w:tblPr>
        <w:tblStyle w:val="29"/>
        <w:tblW w:w="947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71"/>
      </w:tblGrid>
      <w:tr w14:paraId="6782598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10" w:hRule="atLeast"/>
        </w:trPr>
        <w:tc>
          <w:tcPr>
            <w:tcW w:w="9471" w:type="dxa"/>
            <w:vAlign w:val="top"/>
          </w:tcPr>
          <w:p w14:paraId="04B32FA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项目概况</w:t>
            </w:r>
          </w:p>
          <w:p w14:paraId="7A82A1B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rFonts w:hint="eastAsia"/>
                <w:color w:val="auto"/>
                <w:spacing w:val="0"/>
                <w:position w:val="0"/>
                <w:sz w:val="21"/>
                <w:szCs w:val="21"/>
                <w:highlight w:val="none"/>
                <w:lang w:eastAsia="zh-CN"/>
              </w:rPr>
              <w:t>桂林市产品质量检验所检验设备采购</w:t>
            </w:r>
            <w:r>
              <w:rPr>
                <w:color w:val="auto"/>
                <w:spacing w:val="0"/>
                <w:position w:val="0"/>
                <w:sz w:val="21"/>
                <w:szCs w:val="21"/>
                <w:highlight w:val="none"/>
              </w:rPr>
              <w:t>采购项目的潜在供应商应在广西政府采购云平台线上获取获 取采购文件，并于</w:t>
            </w:r>
            <w:r>
              <w:rPr>
                <w:rFonts w:hint="eastAsia"/>
                <w:color w:val="auto"/>
                <w:spacing w:val="0"/>
                <w:position w:val="0"/>
                <w:sz w:val="21"/>
                <w:szCs w:val="21"/>
                <w:highlight w:val="none"/>
                <w:lang w:eastAsia="zh-CN"/>
              </w:rPr>
              <w:t>2026</w:t>
            </w:r>
            <w:r>
              <w:rPr>
                <w:color w:val="auto"/>
                <w:spacing w:val="0"/>
                <w:position w:val="0"/>
                <w:sz w:val="21"/>
                <w:szCs w:val="21"/>
                <w:highlight w:val="none"/>
              </w:rPr>
              <w:t xml:space="preserve"> 年 </w:t>
            </w:r>
            <w:r>
              <w:rPr>
                <w:rFonts w:hint="eastAsia"/>
                <w:color w:val="auto"/>
                <w:spacing w:val="0"/>
                <w:position w:val="0"/>
                <w:sz w:val="21"/>
                <w:szCs w:val="21"/>
                <w:highlight w:val="none"/>
                <w:lang w:val="en-US" w:eastAsia="zh-CN"/>
              </w:rPr>
              <w:t xml:space="preserve">8 </w:t>
            </w:r>
            <w:r>
              <w:rPr>
                <w:color w:val="auto"/>
                <w:spacing w:val="0"/>
                <w:position w:val="0"/>
                <w:sz w:val="21"/>
                <w:szCs w:val="21"/>
                <w:highlight w:val="none"/>
              </w:rPr>
              <w:t xml:space="preserve"> 月 </w:t>
            </w:r>
            <w:r>
              <w:rPr>
                <w:rFonts w:hint="eastAsia"/>
                <w:color w:val="auto"/>
                <w:spacing w:val="0"/>
                <w:position w:val="0"/>
                <w:sz w:val="21"/>
                <w:szCs w:val="21"/>
                <w:highlight w:val="none"/>
                <w:lang w:val="en-US" w:eastAsia="zh-CN"/>
              </w:rPr>
              <w:t xml:space="preserve"> 11</w:t>
            </w:r>
            <w:r>
              <w:rPr>
                <w:color w:val="auto"/>
                <w:spacing w:val="0"/>
                <w:position w:val="0"/>
                <w:sz w:val="21"/>
                <w:szCs w:val="21"/>
                <w:highlight w:val="none"/>
              </w:rPr>
              <w:t xml:space="preserve"> 日 9:30（北京时间）前提交响应文件。</w:t>
            </w:r>
          </w:p>
        </w:tc>
      </w:tr>
    </w:tbl>
    <w:p w14:paraId="11204A1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1072BF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一、项目基本情况</w:t>
      </w:r>
    </w:p>
    <w:p w14:paraId="0D669EC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项目编号：</w:t>
      </w:r>
      <w:r>
        <w:rPr>
          <w:rFonts w:hint="eastAsia" w:ascii="宋体" w:hAnsi="宋体" w:eastAsia="宋体" w:cs="宋体"/>
          <w:color w:val="auto"/>
          <w:spacing w:val="0"/>
          <w:position w:val="0"/>
          <w:sz w:val="21"/>
          <w:szCs w:val="21"/>
          <w:highlight w:val="none"/>
          <w:lang w:eastAsia="zh-CN"/>
        </w:rPr>
        <w:t>GLZC2026-J1-990345-GXCJ</w:t>
      </w:r>
    </w:p>
    <w:p w14:paraId="1E88AC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项目名称：</w:t>
      </w:r>
      <w:r>
        <w:rPr>
          <w:rFonts w:hint="eastAsia" w:ascii="宋体" w:hAnsi="宋体" w:eastAsia="宋体" w:cs="宋体"/>
          <w:color w:val="auto"/>
          <w:spacing w:val="0"/>
          <w:position w:val="0"/>
          <w:sz w:val="21"/>
          <w:szCs w:val="21"/>
          <w:highlight w:val="none"/>
          <w:lang w:eastAsia="zh-CN"/>
        </w:rPr>
        <w:t>桂林市产品质量检验所检验设备采购</w:t>
      </w:r>
    </w:p>
    <w:p w14:paraId="533A56B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采购方式：竞争性谈判</w:t>
      </w:r>
    </w:p>
    <w:p w14:paraId="3997B8C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预算总金额（元）：</w:t>
      </w:r>
      <w:r>
        <w:rPr>
          <w:rFonts w:hint="eastAsia" w:ascii="宋体" w:hAnsi="宋体" w:eastAsia="宋体" w:cs="宋体"/>
          <w:color w:val="auto"/>
          <w:spacing w:val="0"/>
          <w:position w:val="0"/>
          <w:sz w:val="21"/>
          <w:szCs w:val="21"/>
          <w:highlight w:val="none"/>
        </w:rPr>
        <w:t>1110150.00</w:t>
      </w:r>
      <w:r>
        <w:rPr>
          <w:rFonts w:hint="eastAsia" w:ascii="宋体" w:hAnsi="宋体" w:eastAsia="宋体" w:cs="宋体"/>
          <w:color w:val="auto"/>
          <w:spacing w:val="0"/>
          <w:position w:val="0"/>
          <w:sz w:val="21"/>
          <w:szCs w:val="21"/>
          <w:highlight w:val="none"/>
          <w:lang w:eastAsia="zh-CN"/>
        </w:rPr>
        <w:t>元</w:t>
      </w:r>
    </w:p>
    <w:p w14:paraId="3D15DD1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采购需求：</w:t>
      </w:r>
    </w:p>
    <w:p w14:paraId="6AB6469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标项名称:</w:t>
      </w:r>
      <w:r>
        <w:rPr>
          <w:rFonts w:hint="eastAsia" w:ascii="宋体" w:hAnsi="宋体" w:eastAsia="宋体" w:cs="宋体"/>
          <w:color w:val="auto"/>
          <w:spacing w:val="0"/>
          <w:position w:val="0"/>
          <w:sz w:val="21"/>
          <w:szCs w:val="21"/>
          <w:highlight w:val="none"/>
          <w:lang w:eastAsia="zh-CN"/>
        </w:rPr>
        <w:t>桂林市产品质量检验所检验设备采购</w:t>
      </w:r>
    </w:p>
    <w:p w14:paraId="5F6923E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数量:不限</w:t>
      </w:r>
    </w:p>
    <w:p w14:paraId="7FF53DA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预算金额（元） :</w:t>
      </w:r>
      <w:r>
        <w:rPr>
          <w:rFonts w:hint="eastAsia" w:ascii="宋体" w:hAnsi="宋体" w:eastAsia="宋体" w:cs="宋体"/>
          <w:color w:val="auto"/>
          <w:spacing w:val="0"/>
          <w:position w:val="0"/>
          <w:sz w:val="21"/>
          <w:szCs w:val="21"/>
          <w:highlight w:val="none"/>
        </w:rPr>
        <w:t>1110150.00</w:t>
      </w:r>
      <w:r>
        <w:rPr>
          <w:rFonts w:hint="eastAsia" w:ascii="宋体" w:hAnsi="宋体" w:eastAsia="宋体" w:cs="宋体"/>
          <w:color w:val="auto"/>
          <w:spacing w:val="0"/>
          <w:position w:val="0"/>
          <w:sz w:val="21"/>
          <w:szCs w:val="21"/>
          <w:highlight w:val="none"/>
          <w:lang w:eastAsia="zh-CN"/>
        </w:rPr>
        <w:t>元</w:t>
      </w:r>
    </w:p>
    <w:p w14:paraId="3264ADE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简要规格描述或项目基本概况介绍、用途：</w:t>
      </w:r>
      <w:r>
        <w:rPr>
          <w:rFonts w:hint="eastAsia" w:ascii="宋体" w:hAnsi="宋体" w:eastAsia="宋体" w:cs="宋体"/>
          <w:color w:val="auto"/>
          <w:spacing w:val="0"/>
          <w:position w:val="0"/>
          <w:sz w:val="21"/>
          <w:szCs w:val="21"/>
          <w:highlight w:val="none"/>
          <w:lang w:eastAsia="zh-CN"/>
        </w:rPr>
        <w:t>检验设备采购</w:t>
      </w:r>
      <w:r>
        <w:rPr>
          <w:rFonts w:ascii="宋体" w:hAnsi="宋体" w:eastAsia="宋体" w:cs="宋体"/>
          <w:color w:val="auto"/>
          <w:spacing w:val="0"/>
          <w:position w:val="0"/>
          <w:sz w:val="21"/>
          <w:szCs w:val="21"/>
          <w:highlight w:val="none"/>
        </w:rPr>
        <w:t>一项，具体详见竞争性谈判文件。</w:t>
      </w:r>
    </w:p>
    <w:p w14:paraId="777F0E1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最高限价（如有）：</w:t>
      </w:r>
      <w:r>
        <w:rPr>
          <w:rFonts w:hint="eastAsia" w:ascii="宋体" w:hAnsi="宋体" w:eastAsia="宋体" w:cs="宋体"/>
          <w:color w:val="auto"/>
          <w:spacing w:val="0"/>
          <w:position w:val="0"/>
          <w:sz w:val="21"/>
          <w:szCs w:val="21"/>
          <w:highlight w:val="none"/>
          <w:lang w:eastAsia="zh-CN"/>
        </w:rPr>
        <w:t>1107200</w:t>
      </w:r>
      <w:r>
        <w:rPr>
          <w:rFonts w:hint="eastAsia" w:ascii="宋体" w:hAnsi="宋体" w:eastAsia="宋体" w:cs="宋体"/>
          <w:color w:val="auto"/>
          <w:spacing w:val="0"/>
          <w:position w:val="0"/>
          <w:sz w:val="21"/>
          <w:szCs w:val="21"/>
          <w:highlight w:val="none"/>
          <w:lang w:val="en-US" w:eastAsia="zh-CN"/>
        </w:rPr>
        <w:t>.00</w:t>
      </w:r>
      <w:r>
        <w:rPr>
          <w:rFonts w:hint="eastAsia" w:ascii="宋体" w:hAnsi="宋体" w:eastAsia="宋体" w:cs="宋体"/>
          <w:color w:val="auto"/>
          <w:spacing w:val="0"/>
          <w:position w:val="0"/>
          <w:sz w:val="21"/>
          <w:szCs w:val="21"/>
          <w:highlight w:val="none"/>
          <w:lang w:eastAsia="zh-CN"/>
        </w:rPr>
        <w:t>元</w:t>
      </w:r>
    </w:p>
    <w:p w14:paraId="574DFD6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合同履约期限：</w:t>
      </w:r>
      <w:r>
        <w:rPr>
          <w:rFonts w:hint="eastAsia" w:ascii="宋体" w:hAnsi="宋体" w:eastAsia="宋体" w:cs="宋体"/>
          <w:color w:val="auto"/>
          <w:spacing w:val="0"/>
          <w:position w:val="0"/>
          <w:sz w:val="21"/>
          <w:szCs w:val="21"/>
          <w:highlight w:val="none"/>
          <w:lang w:val="en-US" w:eastAsia="zh-CN"/>
        </w:rPr>
        <w:t xml:space="preserve"> 自签订合同之日起40个工作日内交付并安装调试完毕</w:t>
      </w:r>
      <w:r>
        <w:rPr>
          <w:rFonts w:ascii="宋体" w:hAnsi="宋体" w:eastAsia="宋体" w:cs="宋体"/>
          <w:color w:val="auto"/>
          <w:spacing w:val="0"/>
          <w:position w:val="0"/>
          <w:sz w:val="21"/>
          <w:szCs w:val="21"/>
          <w:highlight w:val="none"/>
        </w:rPr>
        <w:t>。</w:t>
      </w:r>
    </w:p>
    <w:p w14:paraId="36559B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本项目（否）接受联合体投标 </w:t>
      </w:r>
    </w:p>
    <w:p w14:paraId="484D99F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val="en-US" w:eastAsia="zh-CN"/>
        </w:rPr>
      </w:pPr>
      <w:r>
        <w:rPr>
          <w:rFonts w:ascii="宋体" w:hAnsi="宋体" w:eastAsia="宋体" w:cs="宋体"/>
          <w:color w:val="auto"/>
          <w:spacing w:val="0"/>
          <w:position w:val="0"/>
          <w:sz w:val="21"/>
          <w:szCs w:val="21"/>
          <w:highlight w:val="none"/>
        </w:rPr>
        <w:t>备注：</w:t>
      </w:r>
      <w:r>
        <w:rPr>
          <w:rFonts w:hint="eastAsia" w:ascii="宋体" w:hAnsi="宋体" w:eastAsia="宋体" w:cs="宋体"/>
          <w:color w:val="auto"/>
          <w:spacing w:val="0"/>
          <w:position w:val="0"/>
          <w:sz w:val="21"/>
          <w:szCs w:val="21"/>
          <w:highlight w:val="none"/>
          <w:lang w:val="en-US" w:eastAsia="zh-CN"/>
        </w:rPr>
        <w:t>/</w:t>
      </w:r>
    </w:p>
    <w:p w14:paraId="1D4BB1F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二、</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申请人的资格要求：</w:t>
      </w:r>
    </w:p>
    <w:p w14:paraId="4030576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1.满足《中华人民共和国政府采购法》第二十二条规定；</w:t>
      </w:r>
    </w:p>
    <w:p w14:paraId="7F39CA1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2.落实政府采购政策需满足的资格要求：</w:t>
      </w:r>
      <w:bookmarkStart w:id="40" w:name="_GoBack"/>
      <w:r>
        <w:rPr>
          <w:rFonts w:ascii="宋体" w:hAnsi="宋体" w:eastAsia="宋体" w:cs="宋体"/>
          <w:color w:val="auto"/>
          <w:spacing w:val="0"/>
          <w:position w:val="0"/>
          <w:sz w:val="21"/>
          <w:szCs w:val="21"/>
          <w:highlight w:val="none"/>
        </w:rPr>
        <w:t>无</w:t>
      </w:r>
      <w:bookmarkEnd w:id="40"/>
    </w:p>
    <w:p w14:paraId="46437CE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3.本项目的特定资格要求：无。</w:t>
      </w:r>
    </w:p>
    <w:p w14:paraId="668CD0F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三、获取采购文件</w:t>
      </w:r>
    </w:p>
    <w:p w14:paraId="5E720A6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时间：/至</w:t>
      </w:r>
      <w:r>
        <w:rPr>
          <w:rFonts w:hint="eastAsia" w:ascii="宋体" w:hAnsi="宋体" w:eastAsia="宋体" w:cs="宋体"/>
          <w:color w:val="auto"/>
          <w:spacing w:val="0"/>
          <w:position w:val="0"/>
          <w:sz w:val="21"/>
          <w:szCs w:val="21"/>
          <w:highlight w:val="none"/>
          <w:lang w:eastAsia="zh-CN"/>
        </w:rPr>
        <w:t>2026</w:t>
      </w:r>
      <w:r>
        <w:rPr>
          <w:rFonts w:ascii="宋体" w:hAnsi="宋体" w:eastAsia="宋体" w:cs="宋体"/>
          <w:color w:val="auto"/>
          <w:spacing w:val="0"/>
          <w:position w:val="0"/>
          <w:sz w:val="21"/>
          <w:szCs w:val="21"/>
          <w:highlight w:val="none"/>
        </w:rPr>
        <w:t xml:space="preserve"> 年 </w:t>
      </w: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 xml:space="preserve"> 月 </w:t>
      </w:r>
      <w:r>
        <w:rPr>
          <w:rFonts w:hint="eastAsia" w:ascii="宋体" w:hAnsi="宋体" w:eastAsia="宋体" w:cs="宋体"/>
          <w:color w:val="auto"/>
          <w:spacing w:val="0"/>
          <w:position w:val="0"/>
          <w:sz w:val="21"/>
          <w:szCs w:val="21"/>
          <w:highlight w:val="none"/>
          <w:lang w:val="en-US" w:eastAsia="zh-CN"/>
        </w:rPr>
        <w:t>11</w:t>
      </w:r>
      <w:r>
        <w:rPr>
          <w:rFonts w:ascii="宋体" w:hAnsi="宋体" w:eastAsia="宋体" w:cs="宋体"/>
          <w:color w:val="auto"/>
          <w:spacing w:val="0"/>
          <w:position w:val="0"/>
          <w:sz w:val="21"/>
          <w:szCs w:val="21"/>
          <w:highlight w:val="none"/>
        </w:rPr>
        <w:t xml:space="preserve"> 日，每天上午 00:00 至 12:00，下午 12:00 至 23:59（北京时间， 法定节假日除外）</w:t>
      </w:r>
    </w:p>
    <w:p w14:paraId="27220C2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地点（网址）：广西政府采购云平台线上获取</w:t>
      </w:r>
    </w:p>
    <w:p w14:paraId="0CF58B1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方式：供应商登录广西政府采购云平台 </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"https://www.gcy.zfcg.gxzf.gov.cn/"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https://www.gcy.zfcg.gxzf.gov.cn/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在线申请获取采购 文件（进入“项目采购 ”应用，在获取采购文件菜单中选择项目， 申请获取采购文件）</w:t>
      </w:r>
    </w:p>
    <w:p w14:paraId="5595C9B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售价（元）：0</w:t>
      </w:r>
    </w:p>
    <w:p w14:paraId="117D89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四、响应文件提交</w:t>
      </w:r>
    </w:p>
    <w:p w14:paraId="341C3D8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截止时间：</w:t>
      </w:r>
      <w:r>
        <w:rPr>
          <w:rFonts w:hint="eastAsia" w:ascii="宋体" w:hAnsi="宋体" w:eastAsia="宋体" w:cs="宋体"/>
          <w:color w:val="auto"/>
          <w:spacing w:val="0"/>
          <w:position w:val="0"/>
          <w:sz w:val="21"/>
          <w:szCs w:val="21"/>
          <w:highlight w:val="none"/>
          <w:lang w:eastAsia="zh-CN"/>
        </w:rPr>
        <w:t>2026</w:t>
      </w:r>
      <w:r>
        <w:rPr>
          <w:rFonts w:ascii="宋体" w:hAnsi="宋体" w:eastAsia="宋体" w:cs="宋体"/>
          <w:color w:val="auto"/>
          <w:spacing w:val="0"/>
          <w:position w:val="0"/>
          <w:sz w:val="21"/>
          <w:szCs w:val="21"/>
          <w:highlight w:val="none"/>
        </w:rPr>
        <w:t xml:space="preserve"> 年 </w:t>
      </w: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 xml:space="preserve"> 月 </w:t>
      </w:r>
      <w:r>
        <w:rPr>
          <w:rFonts w:hint="eastAsia" w:ascii="宋体" w:hAnsi="宋体" w:eastAsia="宋体" w:cs="宋体"/>
          <w:color w:val="auto"/>
          <w:spacing w:val="0"/>
          <w:position w:val="0"/>
          <w:sz w:val="21"/>
          <w:szCs w:val="21"/>
          <w:highlight w:val="none"/>
          <w:lang w:val="en-US" w:eastAsia="zh-CN"/>
        </w:rPr>
        <w:t>11</w:t>
      </w:r>
      <w:r>
        <w:rPr>
          <w:rFonts w:ascii="宋体" w:hAnsi="宋体" w:eastAsia="宋体" w:cs="宋体"/>
          <w:color w:val="auto"/>
          <w:spacing w:val="0"/>
          <w:position w:val="0"/>
          <w:sz w:val="21"/>
          <w:szCs w:val="21"/>
          <w:highlight w:val="none"/>
        </w:rPr>
        <w:t xml:space="preserve"> 日 9:30（北京时间）</w:t>
      </w:r>
    </w:p>
    <w:p w14:paraId="53CC934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地点（网址）：请登录广西政府采购云平台投标客户端投标</w:t>
      </w:r>
    </w:p>
    <w:p w14:paraId="243A647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75A8785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五、响应文件开启</w:t>
      </w:r>
    </w:p>
    <w:p w14:paraId="41FD78C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开启时间：</w:t>
      </w:r>
      <w:r>
        <w:rPr>
          <w:rFonts w:hint="eastAsia" w:ascii="宋体" w:hAnsi="宋体" w:eastAsia="宋体" w:cs="宋体"/>
          <w:color w:val="auto"/>
          <w:spacing w:val="0"/>
          <w:position w:val="0"/>
          <w:sz w:val="21"/>
          <w:szCs w:val="21"/>
          <w:highlight w:val="none"/>
          <w:lang w:eastAsia="zh-CN"/>
        </w:rPr>
        <w:t>2026</w:t>
      </w:r>
      <w:r>
        <w:rPr>
          <w:rFonts w:ascii="宋体" w:hAnsi="宋体" w:eastAsia="宋体" w:cs="宋体"/>
          <w:color w:val="auto"/>
          <w:spacing w:val="0"/>
          <w:position w:val="0"/>
          <w:sz w:val="21"/>
          <w:szCs w:val="21"/>
          <w:highlight w:val="none"/>
        </w:rPr>
        <w:t xml:space="preserve"> 年 </w:t>
      </w: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 xml:space="preserve"> 月 </w:t>
      </w:r>
      <w:r>
        <w:rPr>
          <w:rFonts w:hint="eastAsia" w:ascii="宋体" w:hAnsi="宋体" w:eastAsia="宋体" w:cs="宋体"/>
          <w:color w:val="auto"/>
          <w:spacing w:val="0"/>
          <w:position w:val="0"/>
          <w:sz w:val="21"/>
          <w:szCs w:val="21"/>
          <w:highlight w:val="none"/>
          <w:lang w:val="en-US" w:eastAsia="zh-CN"/>
        </w:rPr>
        <w:t>11</w:t>
      </w:r>
      <w:r>
        <w:rPr>
          <w:rFonts w:ascii="宋体" w:hAnsi="宋体" w:eastAsia="宋体" w:cs="宋体"/>
          <w:color w:val="auto"/>
          <w:spacing w:val="0"/>
          <w:position w:val="0"/>
          <w:sz w:val="21"/>
          <w:szCs w:val="21"/>
          <w:highlight w:val="none"/>
        </w:rPr>
        <w:t xml:space="preserve"> 日 9:30（北京时间）</w:t>
      </w:r>
    </w:p>
    <w:p w14:paraId="3C6FEB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地点：桂林市公共资源交易中心</w:t>
      </w:r>
      <w:r>
        <w:rPr>
          <w:rFonts w:hint="eastAsia" w:ascii="宋体" w:hAnsi="宋体" w:eastAsia="宋体" w:cs="宋体"/>
          <w:color w:val="auto"/>
          <w:spacing w:val="0"/>
          <w:position w:val="0"/>
          <w:sz w:val="21"/>
          <w:szCs w:val="21"/>
          <w:highlight w:val="none"/>
          <w:lang w:val="en-US" w:eastAsia="zh-CN"/>
        </w:rPr>
        <w:t>9号开标室（1号仓）</w:t>
      </w:r>
      <w:r>
        <w:rPr>
          <w:rFonts w:ascii="宋体" w:hAnsi="宋体" w:eastAsia="宋体" w:cs="宋体"/>
          <w:color w:val="auto"/>
          <w:spacing w:val="0"/>
          <w:position w:val="0"/>
          <w:sz w:val="21"/>
          <w:szCs w:val="21"/>
          <w:highlight w:val="none"/>
        </w:rPr>
        <w:t>通过广西政府采购云平台在线解密开启</w:t>
      </w:r>
    </w:p>
    <w:p w14:paraId="0B7A341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六、公告期限</w:t>
      </w:r>
    </w:p>
    <w:p w14:paraId="75EC878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自本公告发布之日起 3 个工作日。</w:t>
      </w:r>
    </w:p>
    <w:p w14:paraId="7F55B6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七、其他补充事宜</w:t>
      </w:r>
    </w:p>
    <w:p w14:paraId="1787845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1.信息公告发布媒体：广西壮族自治区政府采购网（zfcg.gxzf.gov.cn）、桂林市政府采购网 （gl.zfcg.zcygov.cn）。</w:t>
      </w:r>
    </w:p>
    <w:p w14:paraId="1201DF4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2.本项目需要落实的政府采购政策：</w:t>
      </w:r>
    </w:p>
    <w:p w14:paraId="751713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（1）本项目非专门面向中小微企业采购，《政府采购促进中小企业发展管理办法》（财库[2020]46 号），本项目行业为：</w:t>
      </w:r>
      <w:r>
        <w:rPr>
          <w:rFonts w:hint="eastAsia" w:ascii="宋体" w:hAnsi="宋体" w:eastAsia="宋体" w:cs="宋体"/>
          <w:color w:val="auto"/>
          <w:spacing w:val="0"/>
          <w:position w:val="0"/>
          <w:sz w:val="21"/>
          <w:szCs w:val="21"/>
          <w:highlight w:val="none"/>
          <w:lang w:val="en-US" w:eastAsia="zh-CN"/>
        </w:rPr>
        <w:t>工业</w:t>
      </w:r>
      <w:r>
        <w:rPr>
          <w:rFonts w:ascii="宋体" w:hAnsi="宋体" w:eastAsia="宋体" w:cs="宋体"/>
          <w:color w:val="auto"/>
          <w:spacing w:val="0"/>
          <w:position w:val="0"/>
          <w:sz w:val="21"/>
          <w:szCs w:val="21"/>
          <w:highlight w:val="none"/>
        </w:rPr>
        <w:t>。</w:t>
      </w:r>
    </w:p>
    <w:p w14:paraId="056287B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（2）《关于政府采购支持监狱企业发展有关问题的通知》（财库[2014]68 号）。</w:t>
      </w:r>
    </w:p>
    <w:p w14:paraId="53CE0C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（3）《关于促进残疾人就业政府采购政策的通知》（财库[2017]141 号）。</w:t>
      </w:r>
    </w:p>
    <w:p w14:paraId="3CA3C48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（4）《关于调整优化节能产品、环境标志产品政府采购执行机制的通知》（财库〔2019〕9 号）。</w:t>
      </w:r>
    </w:p>
    <w:p w14:paraId="72662D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 政府采购扶持不发达地区和少数民族地区。</w:t>
      </w:r>
    </w:p>
    <w:p w14:paraId="1887FE7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3.资格条件特别说明：</w:t>
      </w:r>
    </w:p>
    <w:p w14:paraId="5F05662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（1）单位负责人为同一人或者存在直接控股、管理关系的不同供应商，不得参加同一合同项下的政府 采购活动。除单一来源采购项目外，为采购项目提供整体设计、规范编制或者项目管理、监理、检测 等服务的供应商，不得再参加该采购项目的其他采购活动。</w:t>
      </w:r>
    </w:p>
    <w:p w14:paraId="5252645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34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20"/>
          <w:position w:val="0"/>
          <w:sz w:val="21"/>
          <w:szCs w:val="21"/>
          <w:highlight w:val="none"/>
        </w:rPr>
        <w:t>（2）对在“信用中国”网站(</w:t>
      </w:r>
      <w:r>
        <w:rPr>
          <w:color w:val="auto"/>
          <w:spacing w:val="-20"/>
          <w:position w:val="0"/>
          <w:sz w:val="21"/>
          <w:szCs w:val="21"/>
          <w:highlight w:val="none"/>
        </w:rPr>
        <w:fldChar w:fldCharType="begin"/>
      </w:r>
      <w:r>
        <w:rPr>
          <w:color w:val="auto"/>
          <w:spacing w:val="-20"/>
          <w:position w:val="0"/>
          <w:sz w:val="21"/>
          <w:szCs w:val="21"/>
          <w:highlight w:val="none"/>
        </w:rPr>
        <w:instrText xml:space="preserve"> HYPERLINK "https://www.creditchina.gov.cn" </w:instrText>
      </w:r>
      <w:r>
        <w:rPr>
          <w:color w:val="auto"/>
          <w:spacing w:val="-20"/>
          <w:position w:val="0"/>
          <w:sz w:val="21"/>
          <w:szCs w:val="21"/>
          <w:highlight w:val="none"/>
        </w:rPr>
        <w:fldChar w:fldCharType="separate"/>
      </w:r>
      <w:r>
        <w:rPr>
          <w:rFonts w:ascii="宋体" w:hAnsi="宋体" w:eastAsia="宋体" w:cs="宋体"/>
          <w:color w:val="auto"/>
          <w:spacing w:val="-20"/>
          <w:position w:val="0"/>
          <w:sz w:val="21"/>
          <w:szCs w:val="21"/>
          <w:highlight w:val="none"/>
        </w:rPr>
        <w:t>www.creditchina.gov.cn</w:t>
      </w:r>
      <w:r>
        <w:rPr>
          <w:rFonts w:ascii="宋体" w:hAnsi="宋体" w:eastAsia="宋体" w:cs="宋体"/>
          <w:color w:val="auto"/>
          <w:spacing w:val="-20"/>
          <w:position w:val="0"/>
          <w:sz w:val="21"/>
          <w:szCs w:val="21"/>
          <w:highlight w:val="none"/>
        </w:rPr>
        <w:fldChar w:fldCharType="end"/>
      </w:r>
      <w:r>
        <w:rPr>
          <w:rFonts w:ascii="宋体" w:hAnsi="宋体" w:eastAsia="宋体" w:cs="宋体"/>
          <w:color w:val="auto"/>
          <w:spacing w:val="-20"/>
          <w:position w:val="0"/>
          <w:sz w:val="21"/>
          <w:szCs w:val="21"/>
          <w:highlight w:val="none"/>
        </w:rPr>
        <w:t>) 、中国政府采购网(</w:t>
      </w:r>
      <w:r>
        <w:rPr>
          <w:color w:val="auto"/>
          <w:spacing w:val="-20"/>
          <w:position w:val="0"/>
          <w:sz w:val="21"/>
          <w:szCs w:val="21"/>
          <w:highlight w:val="none"/>
        </w:rPr>
        <w:fldChar w:fldCharType="begin"/>
      </w:r>
      <w:r>
        <w:rPr>
          <w:color w:val="auto"/>
          <w:spacing w:val="-20"/>
          <w:position w:val="0"/>
          <w:sz w:val="21"/>
          <w:szCs w:val="21"/>
          <w:highlight w:val="none"/>
        </w:rPr>
        <w:instrText xml:space="preserve"> HYPERLINK "https://www.ccgp.gov.cn" </w:instrText>
      </w:r>
      <w:r>
        <w:rPr>
          <w:color w:val="auto"/>
          <w:spacing w:val="-20"/>
          <w:position w:val="0"/>
          <w:sz w:val="21"/>
          <w:szCs w:val="21"/>
          <w:highlight w:val="none"/>
        </w:rPr>
        <w:fldChar w:fldCharType="separate"/>
      </w:r>
      <w:r>
        <w:rPr>
          <w:rFonts w:ascii="宋体" w:hAnsi="宋体" w:eastAsia="宋体" w:cs="宋体"/>
          <w:color w:val="auto"/>
          <w:spacing w:val="-20"/>
          <w:position w:val="0"/>
          <w:sz w:val="21"/>
          <w:szCs w:val="21"/>
          <w:highlight w:val="none"/>
        </w:rPr>
        <w:t>www.ccgp.gov.cn</w:t>
      </w:r>
      <w:r>
        <w:rPr>
          <w:rFonts w:ascii="宋体" w:hAnsi="宋体" w:eastAsia="宋体" w:cs="宋体"/>
          <w:color w:val="auto"/>
          <w:spacing w:val="-20"/>
          <w:position w:val="0"/>
          <w:sz w:val="21"/>
          <w:szCs w:val="21"/>
          <w:highlight w:val="none"/>
        </w:rPr>
        <w:fldChar w:fldCharType="end"/>
      </w:r>
      <w:r>
        <w:rPr>
          <w:rFonts w:ascii="宋体" w:hAnsi="宋体" w:eastAsia="宋体" w:cs="宋体"/>
          <w:color w:val="auto"/>
          <w:spacing w:val="-20"/>
          <w:position w:val="0"/>
          <w:sz w:val="21"/>
          <w:szCs w:val="21"/>
          <w:highlight w:val="none"/>
        </w:rPr>
        <w:t>)被列入 失信被执行人、重大税收违法案件当事人名单、政府采购严重违法失信行为记录名单及其他不符</w:t>
      </w:r>
      <w:r>
        <w:rPr>
          <w:rFonts w:ascii="宋体" w:hAnsi="宋体" w:eastAsia="宋体" w:cs="宋体"/>
          <w:color w:val="auto"/>
          <w:spacing w:val="0"/>
          <w:position w:val="0"/>
          <w:sz w:val="21"/>
          <w:szCs w:val="21"/>
          <w:highlight w:val="none"/>
        </w:rPr>
        <w:t>合《中 华人民共和国政府采购法》第二十二条规定条件的供应商，不得参与政府采购活动。</w:t>
      </w:r>
    </w:p>
    <w:p w14:paraId="7758C22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4.广西政府采购云平台电子竞标相关事宜：</w:t>
      </w:r>
    </w:p>
    <w:p w14:paraId="5964185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 CA 证书申领和绑定（费用由供应商自行承担，办理流程详见广西 壮族自治区政府采购网—办事服务—下载专区，完成CA证书办理预计一周左右，建议供应商尽快办理</w:t>
      </w:r>
      <w:r>
        <w:rPr>
          <w:rFonts w:ascii="宋体" w:hAnsi="宋体" w:eastAsia="宋体" w:cs="宋体"/>
          <w:color w:val="auto"/>
          <w:spacing w:val="0"/>
          <w:w w:val="89"/>
          <w:position w:val="0"/>
          <w:sz w:val="21"/>
          <w:szCs w:val="21"/>
          <w:highlight w:val="none"/>
        </w:rPr>
        <w:t>）；</w:t>
      </w:r>
      <w:r>
        <w:rPr>
          <w:rFonts w:ascii="宋体" w:hAnsi="宋体" w:eastAsia="宋体" w:cs="宋体"/>
          <w:color w:val="auto"/>
          <w:spacing w:val="0"/>
          <w:position w:val="0"/>
          <w:sz w:val="21"/>
          <w:szCs w:val="21"/>
          <w:highlight w:val="none"/>
        </w:rPr>
        <w:t xml:space="preserve"> ③下载“广西壮族自治区全流程电子招投标项目管理系统--供应商客户端 ”（操作方法详见广西壮族自治区政府采购网—办事服务—下载专区，以下称“广西政府采购云平台电子投标客户端 ”）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 证书）。因供应商未做好相关准备工作等自身原因导致无法参加本项目电子竞标或竞标失败的，造成的一切后果，由供应商自行承担。</w:t>
      </w:r>
    </w:p>
    <w:p w14:paraId="79EEB5C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 电子竞标具体操作流程参考《政府采购项目电子交易管理操作指南-供应商》（详见桂林市政府 采购网—采购资讯—重要通知）；如遇平台技术问题详询 95763 或者 0771-3381253。</w:t>
      </w:r>
    </w:p>
    <w:p w14:paraId="06C2DEF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 电子响应文件的制作、加密、提交、解密等相关事宜详见第二章 “供应商须知 ”。</w:t>
      </w:r>
    </w:p>
    <w:p w14:paraId="4EE037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5.供应商认为谈判文件使自己的合法权益受到损害的，应当于本项目公告期限届满之日起七个工作日 内以书面形式向采购代理机构提出质疑；供应商认为采购过程或成交结果使自己的合法权益受到损害 的，应当在各采购程序环节结束之日或成交公告期限届满之日起七个工作日内，以书面形式向采购代 理机构提出质疑。否则，采购代理机构有权拒收。</w:t>
      </w:r>
    </w:p>
    <w:p w14:paraId="3C74B9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八、凡对本次招标提出询问，请按以下方式联系</w:t>
      </w:r>
    </w:p>
    <w:p w14:paraId="2251EDC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1.采购人信息</w:t>
      </w:r>
    </w:p>
    <w:p w14:paraId="5DAC4FC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名       称：</w:t>
      </w:r>
      <w:r>
        <w:rPr>
          <w:rFonts w:hint="eastAsia" w:ascii="宋体" w:hAnsi="宋体" w:eastAsia="宋体" w:cs="宋体"/>
          <w:color w:val="auto"/>
          <w:spacing w:val="0"/>
          <w:position w:val="0"/>
          <w:sz w:val="21"/>
          <w:szCs w:val="21"/>
          <w:highlight w:val="none"/>
          <w:lang w:eastAsia="zh-CN"/>
        </w:rPr>
        <w:t>桂林市产品质量检验所</w:t>
      </w:r>
    </w:p>
    <w:p w14:paraId="66FF913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地       址：</w:t>
      </w:r>
      <w:r>
        <w:rPr>
          <w:rFonts w:hint="eastAsia" w:ascii="宋体" w:hAnsi="宋体" w:eastAsia="宋体" w:cs="宋体"/>
          <w:color w:val="auto"/>
          <w:spacing w:val="0"/>
          <w:position w:val="0"/>
          <w:sz w:val="21"/>
          <w:szCs w:val="21"/>
          <w:highlight w:val="none"/>
          <w:lang w:eastAsia="zh-CN"/>
        </w:rPr>
        <w:t>桂林市七星区铁山路12号</w:t>
      </w:r>
    </w:p>
    <w:p w14:paraId="5E1CFBE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2.采购代理机构信息</w:t>
      </w:r>
    </w:p>
    <w:p w14:paraId="39CFA4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名    称： </w:t>
      </w:r>
      <w:r>
        <w:rPr>
          <w:rFonts w:hint="eastAsia" w:ascii="宋体" w:hAnsi="宋体" w:eastAsia="宋体" w:cs="宋体"/>
          <w:color w:val="auto"/>
          <w:spacing w:val="0"/>
          <w:position w:val="0"/>
          <w:sz w:val="21"/>
          <w:szCs w:val="21"/>
          <w:highlight w:val="none"/>
          <w:lang w:eastAsia="zh-CN"/>
        </w:rPr>
        <w:t>广西昶吉工程项目管理有限公司</w:t>
      </w:r>
      <w:r>
        <w:rPr>
          <w:rFonts w:hint="eastAsia" w:ascii="宋体" w:hAnsi="宋体" w:eastAsia="宋体" w:cs="宋体"/>
          <w:color w:val="auto"/>
          <w:spacing w:val="0"/>
          <w:position w:val="0"/>
          <w:sz w:val="21"/>
          <w:szCs w:val="21"/>
          <w:highlight w:val="none"/>
        </w:rPr>
        <w:t>　</w:t>
      </w:r>
    </w:p>
    <w:p w14:paraId="084CF32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地　　址： </w:t>
      </w:r>
      <w:r>
        <w:rPr>
          <w:rFonts w:hint="eastAsia" w:ascii="宋体" w:hAnsi="宋体" w:eastAsia="宋体" w:cs="宋体"/>
          <w:color w:val="auto"/>
          <w:spacing w:val="0"/>
          <w:position w:val="0"/>
          <w:sz w:val="21"/>
          <w:szCs w:val="21"/>
          <w:highlight w:val="none"/>
          <w:lang w:eastAsia="zh-CN"/>
        </w:rPr>
        <w:t>桂林市七星区莫家里二路文化楼二楼</w:t>
      </w:r>
      <w:r>
        <w:rPr>
          <w:rFonts w:hint="eastAsia" w:ascii="宋体" w:hAnsi="宋体" w:eastAsia="宋体" w:cs="宋体"/>
          <w:color w:val="auto"/>
          <w:spacing w:val="0"/>
          <w:position w:val="0"/>
          <w:sz w:val="21"/>
          <w:szCs w:val="21"/>
          <w:highlight w:val="none"/>
        </w:rPr>
        <w:t>　</w:t>
      </w:r>
    </w:p>
    <w:p w14:paraId="7CD5953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0"/>
          <w:position w:val="0"/>
          <w:sz w:val="21"/>
          <w:szCs w:val="21"/>
          <w:highlight w:val="none"/>
        </w:rPr>
        <w:t xml:space="preserve">联系方式： </w:t>
      </w:r>
      <w:r>
        <w:rPr>
          <w:rFonts w:hint="eastAsia" w:ascii="宋体" w:hAnsi="宋体" w:eastAsia="宋体" w:cs="宋体"/>
          <w:color w:val="auto"/>
          <w:spacing w:val="0"/>
          <w:position w:val="0"/>
          <w:sz w:val="21"/>
          <w:szCs w:val="21"/>
          <w:highlight w:val="none"/>
          <w:lang w:eastAsia="zh-CN"/>
        </w:rPr>
        <w:t>0773-2534755</w:t>
      </w:r>
    </w:p>
    <w:p w14:paraId="624B983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rPr>
      </w:pPr>
      <w:bookmarkStart w:id="3" w:name="_Toc28359098"/>
      <w:bookmarkStart w:id="4" w:name="_Toc35393808"/>
      <w:bookmarkStart w:id="5" w:name="_Toc28359021"/>
      <w:bookmarkStart w:id="6" w:name="_Toc35393639"/>
      <w:r>
        <w:rPr>
          <w:rFonts w:hint="eastAsia" w:ascii="宋体" w:hAnsi="宋体" w:eastAsia="宋体" w:cs="宋体"/>
          <w:color w:val="auto"/>
          <w:spacing w:val="0"/>
          <w:position w:val="0"/>
          <w:sz w:val="21"/>
          <w:szCs w:val="21"/>
          <w:highlight w:val="none"/>
        </w:rPr>
        <w:t>3.项目联系方式</w:t>
      </w:r>
      <w:bookmarkEnd w:id="3"/>
      <w:bookmarkEnd w:id="4"/>
      <w:bookmarkEnd w:id="5"/>
      <w:bookmarkEnd w:id="6"/>
    </w:p>
    <w:p w14:paraId="37EACEE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0"/>
          <w:position w:val="0"/>
          <w:sz w:val="21"/>
          <w:szCs w:val="21"/>
          <w:highlight w:val="none"/>
        </w:rPr>
        <w:t>项目联系人：</w:t>
      </w:r>
      <w:r>
        <w:rPr>
          <w:rFonts w:hint="eastAsia" w:ascii="宋体" w:hAnsi="宋体" w:eastAsia="宋体" w:cs="宋体"/>
          <w:color w:val="auto"/>
          <w:spacing w:val="0"/>
          <w:position w:val="0"/>
          <w:sz w:val="21"/>
          <w:szCs w:val="21"/>
          <w:highlight w:val="none"/>
          <w:lang w:val="en-US" w:eastAsia="zh-CN"/>
        </w:rPr>
        <w:t xml:space="preserve">周工       </w:t>
      </w:r>
      <w:r>
        <w:rPr>
          <w:rFonts w:hint="eastAsia" w:ascii="宋体" w:hAnsi="宋体" w:eastAsia="宋体" w:cs="宋体"/>
          <w:color w:val="auto"/>
          <w:spacing w:val="0"/>
          <w:position w:val="0"/>
          <w:sz w:val="21"/>
          <w:szCs w:val="21"/>
          <w:highlight w:val="none"/>
        </w:rPr>
        <w:t xml:space="preserve">电　　话： </w:t>
      </w:r>
      <w:r>
        <w:rPr>
          <w:rFonts w:hint="eastAsia" w:ascii="宋体" w:hAnsi="宋体" w:eastAsia="宋体" w:cs="宋体"/>
          <w:color w:val="auto"/>
          <w:spacing w:val="0"/>
          <w:position w:val="0"/>
          <w:sz w:val="21"/>
          <w:szCs w:val="21"/>
          <w:highlight w:val="none"/>
          <w:lang w:eastAsia="zh-CN"/>
        </w:rPr>
        <w:t>0773-2534755</w:t>
      </w:r>
    </w:p>
    <w:p w14:paraId="0BD1F6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6" w:type="default"/>
          <w:pgSz w:w="11906" w:h="16839"/>
          <w:pgMar w:top="1417" w:right="1417" w:bottom="1417" w:left="1417" w:header="0" w:footer="823" w:gutter="0"/>
          <w:pgNumType w:fmt="decimal" w:start="1"/>
          <w:cols w:space="720" w:num="1"/>
          <w:rtlGutter w:val="0"/>
          <w:docGrid w:linePitch="0" w:charSpace="0"/>
        </w:sectPr>
      </w:pPr>
    </w:p>
    <w:p w14:paraId="7F06A93B">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outlineLvl w:val="0"/>
        <w:rPr>
          <w:rFonts w:ascii="宋体" w:hAnsi="宋体" w:eastAsia="宋体" w:cs="宋体"/>
          <w:color w:val="auto"/>
          <w:spacing w:val="0"/>
          <w:position w:val="0"/>
          <w:sz w:val="31"/>
          <w:szCs w:val="31"/>
          <w:highlight w:val="none"/>
        </w:rPr>
      </w:pPr>
      <w:bookmarkStart w:id="7" w:name="bookmark3"/>
      <w:bookmarkEnd w:id="7"/>
      <w:bookmarkStart w:id="8" w:name="_Toc9984"/>
      <w:r>
        <w:rPr>
          <w:rFonts w:ascii="宋体" w:hAnsi="宋体" w:eastAsia="宋体" w:cs="宋体"/>
          <w:b/>
          <w:bCs/>
          <w:color w:val="auto"/>
          <w:spacing w:val="0"/>
          <w:position w:val="0"/>
          <w:sz w:val="31"/>
          <w:szCs w:val="31"/>
          <w:highlight w:val="none"/>
        </w:rPr>
        <w:t>第二章</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供应商须知</w:t>
      </w:r>
      <w:bookmarkEnd w:id="8"/>
    </w:p>
    <w:p w14:paraId="66D03297">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供</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应</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商</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须</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知</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前</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附</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表</w:t>
      </w:r>
    </w:p>
    <w:p w14:paraId="6EA6B4B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tbl>
      <w:tblPr>
        <w:tblStyle w:val="29"/>
        <w:tblW w:w="97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8"/>
        <w:gridCol w:w="12"/>
        <w:gridCol w:w="873"/>
        <w:gridCol w:w="1663"/>
        <w:gridCol w:w="6588"/>
      </w:tblGrid>
      <w:tr w14:paraId="7D41A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18" w:type="dxa"/>
            <w:vAlign w:val="center"/>
          </w:tcPr>
          <w:p w14:paraId="3FC2195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序号</w:t>
            </w:r>
          </w:p>
        </w:tc>
        <w:tc>
          <w:tcPr>
            <w:tcW w:w="885" w:type="dxa"/>
            <w:gridSpan w:val="2"/>
            <w:vAlign w:val="center"/>
          </w:tcPr>
          <w:p w14:paraId="1DE6E88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条款号</w:t>
            </w:r>
          </w:p>
        </w:tc>
        <w:tc>
          <w:tcPr>
            <w:tcW w:w="1663" w:type="dxa"/>
            <w:vAlign w:val="center"/>
          </w:tcPr>
          <w:p w14:paraId="684E1E5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条款名称</w:t>
            </w:r>
          </w:p>
        </w:tc>
        <w:tc>
          <w:tcPr>
            <w:tcW w:w="6588" w:type="dxa"/>
            <w:vAlign w:val="center"/>
          </w:tcPr>
          <w:p w14:paraId="1545328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jc w:val="center"/>
              <w:textAlignment w:val="baseline"/>
              <w:rPr>
                <w:color w:val="auto"/>
                <w:spacing w:val="0"/>
                <w:position w:val="0"/>
                <w:sz w:val="21"/>
                <w:szCs w:val="21"/>
                <w:highlight w:val="none"/>
              </w:rPr>
            </w:pPr>
            <w:r>
              <w:rPr>
                <w:b/>
                <w:bCs/>
                <w:color w:val="auto"/>
                <w:spacing w:val="0"/>
                <w:position w:val="0"/>
                <w:sz w:val="21"/>
                <w:szCs w:val="21"/>
                <w:highlight w:val="none"/>
              </w:rPr>
              <w:t>内容、要求</w:t>
            </w:r>
          </w:p>
        </w:tc>
      </w:tr>
      <w:tr w14:paraId="1C778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618" w:type="dxa"/>
            <w:vAlign w:val="top"/>
          </w:tcPr>
          <w:p w14:paraId="5B5F27E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0F0693A">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w:t>
            </w:r>
          </w:p>
        </w:tc>
        <w:tc>
          <w:tcPr>
            <w:tcW w:w="885" w:type="dxa"/>
            <w:gridSpan w:val="2"/>
            <w:vAlign w:val="top"/>
          </w:tcPr>
          <w:p w14:paraId="6684320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3A2B91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1.1</w:t>
            </w:r>
          </w:p>
        </w:tc>
        <w:tc>
          <w:tcPr>
            <w:tcW w:w="1663" w:type="dxa"/>
            <w:vAlign w:val="top"/>
          </w:tcPr>
          <w:p w14:paraId="735D212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项目名称及</w:t>
            </w:r>
          </w:p>
          <w:p w14:paraId="232B8E8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项目编号</w:t>
            </w:r>
          </w:p>
        </w:tc>
        <w:tc>
          <w:tcPr>
            <w:tcW w:w="6588" w:type="dxa"/>
            <w:vAlign w:val="top"/>
          </w:tcPr>
          <w:p w14:paraId="2AF5A32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eastAsia="宋体"/>
                <w:color w:val="auto"/>
                <w:spacing w:val="0"/>
                <w:position w:val="0"/>
                <w:sz w:val="21"/>
                <w:szCs w:val="21"/>
                <w:highlight w:val="none"/>
                <w:lang w:eastAsia="zh-CN"/>
              </w:rPr>
            </w:pPr>
            <w:r>
              <w:rPr>
                <w:color w:val="auto"/>
                <w:spacing w:val="0"/>
                <w:position w:val="0"/>
                <w:sz w:val="21"/>
                <w:szCs w:val="21"/>
                <w:highlight w:val="none"/>
              </w:rPr>
              <w:t>项目名称：</w:t>
            </w:r>
            <w:r>
              <w:rPr>
                <w:rFonts w:hint="eastAsia"/>
                <w:color w:val="auto"/>
                <w:spacing w:val="0"/>
                <w:position w:val="0"/>
                <w:sz w:val="21"/>
                <w:szCs w:val="21"/>
                <w:highlight w:val="none"/>
                <w:lang w:eastAsia="zh-CN"/>
              </w:rPr>
              <w:t>桂林市产品质量检验所检验设备采购</w:t>
            </w:r>
          </w:p>
          <w:p w14:paraId="2A0EE33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eastAsia="宋体"/>
                <w:color w:val="auto"/>
                <w:spacing w:val="0"/>
                <w:position w:val="0"/>
                <w:sz w:val="21"/>
                <w:szCs w:val="21"/>
                <w:highlight w:val="none"/>
                <w:lang w:eastAsia="zh-CN"/>
              </w:rPr>
            </w:pPr>
            <w:r>
              <w:rPr>
                <w:color w:val="auto"/>
                <w:spacing w:val="0"/>
                <w:position w:val="0"/>
                <w:sz w:val="21"/>
                <w:szCs w:val="21"/>
                <w:highlight w:val="none"/>
              </w:rPr>
              <w:t>项目编号：</w:t>
            </w:r>
            <w:r>
              <w:rPr>
                <w:rFonts w:hint="eastAsia"/>
                <w:color w:val="auto"/>
                <w:spacing w:val="0"/>
                <w:position w:val="0"/>
                <w:sz w:val="21"/>
                <w:szCs w:val="21"/>
                <w:highlight w:val="none"/>
                <w:lang w:eastAsia="zh-CN"/>
              </w:rPr>
              <w:t>GLZC2026-J1-990345-GXCJ</w:t>
            </w:r>
          </w:p>
        </w:tc>
      </w:tr>
      <w:tr w14:paraId="0A77F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9" w:hRule="atLeast"/>
        </w:trPr>
        <w:tc>
          <w:tcPr>
            <w:tcW w:w="618" w:type="dxa"/>
            <w:vAlign w:val="top"/>
          </w:tcPr>
          <w:p w14:paraId="317F09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3947C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95916E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7FB0D1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D40CD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01C927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1B8F9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706592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w:t>
            </w:r>
          </w:p>
        </w:tc>
        <w:tc>
          <w:tcPr>
            <w:tcW w:w="885" w:type="dxa"/>
            <w:gridSpan w:val="2"/>
            <w:vAlign w:val="top"/>
          </w:tcPr>
          <w:p w14:paraId="45FCA71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09F9BF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5976E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D329A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355025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726010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0332A9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67C0E0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w:t>
            </w:r>
          </w:p>
        </w:tc>
        <w:tc>
          <w:tcPr>
            <w:tcW w:w="1663" w:type="dxa"/>
            <w:vAlign w:val="top"/>
          </w:tcPr>
          <w:p w14:paraId="72D0BF8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64582A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1BE231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1ACB1D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4F0598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B41957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DFE62E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240089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供应商资格</w:t>
            </w:r>
          </w:p>
        </w:tc>
        <w:tc>
          <w:tcPr>
            <w:tcW w:w="6588" w:type="dxa"/>
            <w:vAlign w:val="top"/>
          </w:tcPr>
          <w:p w14:paraId="3EA3BD3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3.1 满足《中华人民共和国政府采购法》第二十二条规定。</w:t>
            </w:r>
          </w:p>
          <w:p w14:paraId="24A3466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3.2 落实政府采购政策需满足的资格要求：无</w:t>
            </w:r>
          </w:p>
          <w:p w14:paraId="2768689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3.3 本项目的特定资格要求：无。</w:t>
            </w:r>
          </w:p>
          <w:p w14:paraId="42A38B3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3.4 资格条件特别说明：</w:t>
            </w:r>
          </w:p>
          <w:p w14:paraId="0559657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 的供应商，不得再参加该采购项目的其他采购活动。</w:t>
            </w:r>
          </w:p>
          <w:p w14:paraId="3325873E">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（2）对在“信用中国”网站(</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"https://www.creditchina.gov.cn" </w:instrText>
            </w:r>
            <w:r>
              <w:rPr>
                <w:color w:val="auto"/>
                <w:spacing w:val="0"/>
                <w:position w:val="0"/>
                <w:sz w:val="21"/>
                <w:szCs w:val="21"/>
                <w:highlight w:val="none"/>
              </w:rPr>
              <w:fldChar w:fldCharType="separate"/>
            </w:r>
            <w:r>
              <w:rPr>
                <w:color w:val="auto"/>
                <w:spacing w:val="0"/>
                <w:position w:val="0"/>
                <w:sz w:val="21"/>
                <w:szCs w:val="21"/>
                <w:highlight w:val="none"/>
              </w:rPr>
              <w:t>www.creditchina.gov.cn</w:t>
            </w:r>
            <w:r>
              <w:rPr>
                <w:color w:val="auto"/>
                <w:spacing w:val="0"/>
                <w:position w:val="0"/>
                <w:sz w:val="21"/>
                <w:szCs w:val="21"/>
                <w:highlight w:val="none"/>
              </w:rPr>
              <w:fldChar w:fldCharType="end"/>
            </w:r>
            <w:r>
              <w:rPr>
                <w:color w:val="auto"/>
                <w:spacing w:val="0"/>
                <w:position w:val="0"/>
                <w:sz w:val="21"/>
                <w:szCs w:val="21"/>
                <w:highlight w:val="none"/>
              </w:rPr>
              <w:t>) 、中国政府采购网(</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"https://www.ccgp.gov.cn" </w:instrText>
            </w:r>
            <w:r>
              <w:rPr>
                <w:color w:val="auto"/>
                <w:spacing w:val="0"/>
                <w:position w:val="0"/>
                <w:sz w:val="21"/>
                <w:szCs w:val="21"/>
                <w:highlight w:val="none"/>
              </w:rPr>
              <w:fldChar w:fldCharType="separate"/>
            </w:r>
            <w:r>
              <w:rPr>
                <w:color w:val="auto"/>
                <w:spacing w:val="0"/>
                <w:position w:val="0"/>
                <w:sz w:val="21"/>
                <w:szCs w:val="21"/>
                <w:highlight w:val="none"/>
              </w:rPr>
              <w:t>www.ccgp.gov.cn</w:t>
            </w:r>
            <w:r>
              <w:rPr>
                <w:color w:val="auto"/>
                <w:spacing w:val="0"/>
                <w:position w:val="0"/>
                <w:sz w:val="21"/>
                <w:szCs w:val="21"/>
                <w:highlight w:val="none"/>
              </w:rPr>
              <w:fldChar w:fldCharType="end"/>
            </w:r>
            <w:r>
              <w:rPr>
                <w:color w:val="auto"/>
                <w:spacing w:val="0"/>
                <w:position w:val="0"/>
                <w:sz w:val="21"/>
                <w:szCs w:val="21"/>
                <w:highlight w:val="none"/>
              </w:rPr>
              <w:t>)被列入失信被执行人、重大税收违法案件当事人名单、政府采购严重违法失信行为记录名单及其他不符合《中华 人民共和国政府采购法》第二十二条规定条件的供应商，不得参与政 府采购活动。</w:t>
            </w:r>
          </w:p>
        </w:tc>
      </w:tr>
      <w:tr w14:paraId="110BB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618" w:type="dxa"/>
            <w:vAlign w:val="top"/>
          </w:tcPr>
          <w:p w14:paraId="05BC9F9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09398B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6833E1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6DB15D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DA425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64B382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F0A4E8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2CEF13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15E8F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43B2BC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30C818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w:t>
            </w:r>
          </w:p>
        </w:tc>
        <w:tc>
          <w:tcPr>
            <w:tcW w:w="885" w:type="dxa"/>
            <w:gridSpan w:val="2"/>
            <w:vAlign w:val="top"/>
          </w:tcPr>
          <w:p w14:paraId="1932864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5C0116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87628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340897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03777B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C998EC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88D9D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4094D3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283A20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694090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351DF4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w:t>
            </w:r>
          </w:p>
        </w:tc>
        <w:tc>
          <w:tcPr>
            <w:tcW w:w="1663" w:type="dxa"/>
            <w:vAlign w:val="top"/>
          </w:tcPr>
          <w:p w14:paraId="2A6CCEA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2B0454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8F8018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6040D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42E11D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D60880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FE8A74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C07B5D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720D41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582D65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参与电子竞标的准备工作</w:t>
            </w:r>
          </w:p>
        </w:tc>
        <w:tc>
          <w:tcPr>
            <w:tcW w:w="6588" w:type="dxa"/>
            <w:vAlign w:val="top"/>
          </w:tcPr>
          <w:p w14:paraId="7DE6E75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4.1 本项目实行全流程电子化采购，供应商通过广西政府采购云平台与电子竞标，并应做好以下相关准备工作：①在广西政府采购云平台  注册成为正式供应商（操作方法详见广西壮族自治区政府采购网—办  事服务—办事指南）；②完成 CA 证书申领和绑定（费用由供应商自行  承担，办理流程详见广西壮族自治区政府采购网—办事服务—下载专  区，完成 CA 证书办理预计一周左右，建议供应商尽快办理）；③下载  “广西壮族自治区全流程电子招投标项目管理系统--供应商客户端 ” （操作方法详见广西壮族自治区政府采购网—办事服务—下载专区，  以下称“广西政府采购云平台电子投标客户端 ”）并安装成功，供应  商应当在响应文件提交截止时间前在广西政府采购云平台完成的身份  认证，确保能够对相关数据电文进行加密和使用电子签章；④自备计  算机和网络设备并确保能接入互联网（费用由供应商自行承担，设备  确保可进行视频通话和读取广西政府采购云平台CA 证书）。因供应商  未做好相关准备工作等自身原因导致无法参加本项目电子竞标或竞标失败的，造成的一切后果， 由供应商自行承担。</w:t>
            </w:r>
          </w:p>
          <w:p w14:paraId="3AE3495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4.2 电子竞标具体操作流程参考《政府采购项目电子交易管理操作指南供应商》（详见桂林市政府采购网—采购资讯—重要通知）；如遇平 台技术问题详询 95763 或者 0771-3381253。</w:t>
            </w:r>
          </w:p>
          <w:p w14:paraId="20A7D2EE">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4.3 不论谈判结果如何，供应商均应自行承担所有与谈判有关的全部费用。</w:t>
            </w:r>
          </w:p>
        </w:tc>
      </w:tr>
      <w:tr w14:paraId="3188D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2" w:hRule="atLeast"/>
        </w:trPr>
        <w:tc>
          <w:tcPr>
            <w:tcW w:w="618" w:type="dxa"/>
            <w:vAlign w:val="top"/>
          </w:tcPr>
          <w:p w14:paraId="78A9D4B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78DCFD6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B01F09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CA06A3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7E210D4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6CC751A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color w:val="auto"/>
                <w:spacing w:val="0"/>
                <w:position w:val="0"/>
                <w:sz w:val="21"/>
                <w:szCs w:val="21"/>
                <w:highlight w:val="none"/>
              </w:rPr>
            </w:pPr>
            <w:r>
              <w:rPr>
                <w:color w:val="auto"/>
                <w:spacing w:val="0"/>
                <w:position w:val="0"/>
                <w:sz w:val="21"/>
                <w:szCs w:val="21"/>
                <w:highlight w:val="none"/>
              </w:rPr>
              <w:t>4</w:t>
            </w:r>
          </w:p>
        </w:tc>
        <w:tc>
          <w:tcPr>
            <w:tcW w:w="885" w:type="dxa"/>
            <w:gridSpan w:val="2"/>
            <w:vAlign w:val="top"/>
          </w:tcPr>
          <w:p w14:paraId="16AA918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1C7FE75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0240416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7683A79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1C4CA75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7B15FF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color w:val="auto"/>
                <w:spacing w:val="0"/>
                <w:position w:val="0"/>
                <w:sz w:val="21"/>
                <w:szCs w:val="21"/>
                <w:highlight w:val="none"/>
              </w:rPr>
            </w:pPr>
            <w:r>
              <w:rPr>
                <w:color w:val="auto"/>
                <w:spacing w:val="0"/>
                <w:position w:val="0"/>
                <w:sz w:val="21"/>
                <w:szCs w:val="21"/>
                <w:highlight w:val="none"/>
              </w:rPr>
              <w:t>13</w:t>
            </w:r>
          </w:p>
        </w:tc>
        <w:tc>
          <w:tcPr>
            <w:tcW w:w="1663" w:type="dxa"/>
            <w:vAlign w:val="top"/>
          </w:tcPr>
          <w:p w14:paraId="42A1B2A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A200C3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5E5E18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554AC30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00EBCC7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DE937F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谈判报价及采购预算金额</w:t>
            </w:r>
          </w:p>
        </w:tc>
        <w:tc>
          <w:tcPr>
            <w:tcW w:w="6588" w:type="dxa"/>
            <w:vAlign w:val="top"/>
          </w:tcPr>
          <w:p w14:paraId="07351A9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13.1 供应商必须就“采购需求 ”中的所有内容作完整唯一报价，响应文件只允许有一个报价，有选择的或有条件的报价将不予接受。</w:t>
            </w:r>
          </w:p>
          <w:p w14:paraId="3069750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13.2 采购预算金额（人民币）：</w:t>
            </w:r>
            <w:r>
              <w:rPr>
                <w:rFonts w:hint="eastAsia" w:ascii="宋体" w:hAnsi="宋体" w:eastAsia="宋体" w:cs="宋体"/>
                <w:color w:val="auto"/>
                <w:spacing w:val="0"/>
                <w:position w:val="0"/>
                <w:sz w:val="21"/>
                <w:szCs w:val="21"/>
                <w:highlight w:val="none"/>
              </w:rPr>
              <w:t>1110150.00</w:t>
            </w:r>
            <w:r>
              <w:rPr>
                <w:rFonts w:hint="eastAsia" w:cs="宋体"/>
                <w:color w:val="auto"/>
                <w:spacing w:val="0"/>
                <w:position w:val="0"/>
                <w:sz w:val="21"/>
                <w:szCs w:val="21"/>
                <w:highlight w:val="none"/>
                <w:lang w:val="en-US" w:eastAsia="zh-CN"/>
              </w:rPr>
              <w:t>元，最高限价：</w:t>
            </w:r>
            <w:r>
              <w:rPr>
                <w:rFonts w:hint="eastAsia" w:ascii="宋体" w:hAnsi="宋体" w:eastAsia="宋体" w:cs="宋体"/>
                <w:color w:val="auto"/>
                <w:spacing w:val="0"/>
                <w:position w:val="0"/>
                <w:sz w:val="21"/>
                <w:szCs w:val="21"/>
                <w:highlight w:val="none"/>
                <w:lang w:eastAsia="zh-CN"/>
              </w:rPr>
              <w:t>1107200</w:t>
            </w:r>
            <w:r>
              <w:rPr>
                <w:rFonts w:hint="eastAsia" w:ascii="宋体" w:hAnsi="宋体" w:eastAsia="宋体" w:cs="宋体"/>
                <w:color w:val="auto"/>
                <w:spacing w:val="0"/>
                <w:position w:val="0"/>
                <w:sz w:val="21"/>
                <w:szCs w:val="21"/>
                <w:highlight w:val="none"/>
                <w:lang w:val="en-US" w:eastAsia="zh-CN"/>
              </w:rPr>
              <w:t>.00</w:t>
            </w:r>
            <w:r>
              <w:rPr>
                <w:rFonts w:hint="eastAsia" w:ascii="宋体" w:hAnsi="宋体" w:eastAsia="宋体" w:cs="宋体"/>
                <w:color w:val="auto"/>
                <w:spacing w:val="0"/>
                <w:position w:val="0"/>
                <w:sz w:val="21"/>
                <w:szCs w:val="21"/>
                <w:highlight w:val="none"/>
                <w:lang w:eastAsia="zh-CN"/>
              </w:rPr>
              <w:t>元</w:t>
            </w:r>
            <w:r>
              <w:rPr>
                <w:color w:val="auto"/>
                <w:spacing w:val="0"/>
                <w:position w:val="0"/>
                <w:sz w:val="21"/>
                <w:szCs w:val="21"/>
                <w:highlight w:val="none"/>
              </w:rPr>
              <w:t>。 报价超</w:t>
            </w:r>
            <w:r>
              <w:rPr>
                <w:rFonts w:hint="eastAsia"/>
                <w:color w:val="auto"/>
                <w:spacing w:val="0"/>
                <w:position w:val="0"/>
                <w:sz w:val="21"/>
                <w:szCs w:val="21"/>
                <w:highlight w:val="none"/>
                <w:lang w:val="en-US" w:eastAsia="zh-CN"/>
              </w:rPr>
              <w:t>最高限价</w:t>
            </w:r>
            <w:r>
              <w:rPr>
                <w:color w:val="auto"/>
                <w:spacing w:val="0"/>
                <w:position w:val="0"/>
                <w:sz w:val="21"/>
                <w:szCs w:val="21"/>
                <w:highlight w:val="none"/>
              </w:rPr>
              <w:t>金额的，响应文件作无效处理。</w:t>
            </w:r>
          </w:p>
          <w:p w14:paraId="33D9850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13.3 供应商谈判报价应包括本次采购范围内货物价款、货物随配标准附件、包装、运输、装卸、保险、税金、货到位以及安装、安装所需辅材、调试、检验、售后服务、培训、保修、运维、验收及其他所有成本费用的总和，供应商应综合考虑在报价中。</w:t>
            </w:r>
          </w:p>
          <w:p w14:paraId="7C7CD79E">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13.4 未书面退出谈判的供应商必须在规定时间内登录广西政府采购云平台在线提交最后报价，其最后报价不得超出采购预算；谈判过程中 谈判文件未作实质性变动的，</w:t>
            </w:r>
            <w:r>
              <w:rPr>
                <w:b/>
                <w:bCs/>
                <w:color w:val="auto"/>
                <w:spacing w:val="0"/>
                <w:position w:val="0"/>
                <w:sz w:val="21"/>
                <w:szCs w:val="21"/>
                <w:highlight w:val="none"/>
              </w:rPr>
              <w:t>最后报价不得超过首次报价。</w:t>
            </w:r>
          </w:p>
        </w:tc>
      </w:tr>
      <w:tr w14:paraId="1D39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618" w:type="dxa"/>
            <w:vAlign w:val="center"/>
          </w:tcPr>
          <w:p w14:paraId="6BACCCD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color w:val="auto"/>
                <w:spacing w:val="0"/>
                <w:position w:val="0"/>
                <w:sz w:val="21"/>
                <w:szCs w:val="21"/>
                <w:highlight w:val="none"/>
              </w:rPr>
            </w:pPr>
            <w:r>
              <w:rPr>
                <w:color w:val="auto"/>
                <w:spacing w:val="0"/>
                <w:position w:val="0"/>
                <w:sz w:val="21"/>
                <w:szCs w:val="21"/>
                <w:highlight w:val="none"/>
              </w:rPr>
              <w:t>5</w:t>
            </w:r>
          </w:p>
        </w:tc>
        <w:tc>
          <w:tcPr>
            <w:tcW w:w="885" w:type="dxa"/>
            <w:gridSpan w:val="2"/>
            <w:vAlign w:val="center"/>
          </w:tcPr>
          <w:p w14:paraId="26B0396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color w:val="auto"/>
                <w:spacing w:val="0"/>
                <w:position w:val="0"/>
                <w:sz w:val="21"/>
                <w:szCs w:val="21"/>
                <w:highlight w:val="none"/>
              </w:rPr>
            </w:pPr>
            <w:r>
              <w:rPr>
                <w:color w:val="auto"/>
                <w:spacing w:val="0"/>
                <w:position w:val="0"/>
                <w:sz w:val="21"/>
                <w:szCs w:val="21"/>
                <w:highlight w:val="none"/>
              </w:rPr>
              <w:t>14.1</w:t>
            </w:r>
          </w:p>
        </w:tc>
        <w:tc>
          <w:tcPr>
            <w:tcW w:w="1663" w:type="dxa"/>
            <w:vAlign w:val="center"/>
          </w:tcPr>
          <w:p w14:paraId="1608B6F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响应文件有效期</w:t>
            </w:r>
          </w:p>
        </w:tc>
        <w:tc>
          <w:tcPr>
            <w:tcW w:w="6588" w:type="dxa"/>
            <w:vAlign w:val="center"/>
          </w:tcPr>
          <w:p w14:paraId="682F970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自响应文件提交截止时间之日起 90 天，有效期不足的响应文件将被拒绝。</w:t>
            </w:r>
          </w:p>
        </w:tc>
      </w:tr>
      <w:tr w14:paraId="63199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18" w:type="dxa"/>
            <w:vAlign w:val="top"/>
          </w:tcPr>
          <w:p w14:paraId="6CF1A30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2C517B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D4445F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000810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9058B1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4CB376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7C54B1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221EE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843C9D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6</w:t>
            </w:r>
          </w:p>
        </w:tc>
        <w:tc>
          <w:tcPr>
            <w:tcW w:w="885" w:type="dxa"/>
            <w:gridSpan w:val="2"/>
            <w:vAlign w:val="top"/>
          </w:tcPr>
          <w:p w14:paraId="786C8A3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C661D7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B16216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0733E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25D285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46E09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68068F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95177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58877B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w:t>
            </w:r>
          </w:p>
        </w:tc>
        <w:tc>
          <w:tcPr>
            <w:tcW w:w="1663" w:type="dxa"/>
            <w:vAlign w:val="top"/>
          </w:tcPr>
          <w:p w14:paraId="503303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B6016F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AF33F9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244732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C4C4F6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BD0E56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75CAE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98E84A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B12FC5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电子响应文件的制作、加密</w:t>
            </w:r>
          </w:p>
        </w:tc>
        <w:tc>
          <w:tcPr>
            <w:tcW w:w="6588" w:type="dxa"/>
            <w:vAlign w:val="top"/>
          </w:tcPr>
          <w:p w14:paraId="7B2A929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15.1 供应商制作电子响应文件前，应登陆广西政府采购云平台进行“申请获取采购文件 ”操作，否则，有可能导致无法在线编制响应文件并参与竞标，其不利后果由供应商自行承担。</w:t>
            </w:r>
          </w:p>
          <w:p w14:paraId="2D875B8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15.2 供应商下载或获取竞争性谈判文件后，登录“广西政府采购云平台电子投标客户端 ”，按照本谈判文件规定的响应文件格式、顺序以 及广西政府采购云平台的要求，通过“广西政府采购云平台电子投标客户端 ”编制电子响应文件。</w:t>
            </w:r>
          </w:p>
          <w:p w14:paraId="7FE58B4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15.3 供应商应按“广西政府采购云平台电子投标客户端 ”载明的“标书关联 ”功能进行电子响应文件的关联定位，以便谈判小组在评审时点击相应评审项可直接定位到该评审内容；如供应商的电子响应文件未能关联定位相应内容，或者关联定位的内容与该评审项不符，导致 谈判小组无法查询并做出对供应商不利的评审，相关后果由供应商自行承担。</w:t>
            </w:r>
          </w:p>
          <w:p w14:paraId="7EECBAB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15.4 电子响应文件不得涂改，若有修改错漏处，须由法定代表人（负责人、 自然人）或授权委托代理人通过“广西政府采购云平台电子投标客户端 ”采用广西政府采购云平台个人 CA 证书签章，没有办理广西政府采购云平台个人 CA 证书签章的，在响应文件中响应位置手写签字后扫描或者拍照做成 PDF 的格式上传。因响应文件字迹潦草、表达不清、内容不完整、编排混乱导致响应文件被误读、漏读，或者在按竞争性谈判文件规定的部位查找不到相关内容的，其不利后果由供应商自行承担。</w:t>
            </w:r>
          </w:p>
          <w:p w14:paraId="69AE67A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15.5 供应商编制、生成电子响应文件后应当加密响应文件。供应商未按规定编制并加密的响应文件，广西政府采购云平台将予以拒收。</w:t>
            </w:r>
          </w:p>
        </w:tc>
      </w:tr>
      <w:tr w14:paraId="2CDBE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6" w:hRule="atLeast"/>
        </w:trPr>
        <w:tc>
          <w:tcPr>
            <w:tcW w:w="618" w:type="dxa"/>
            <w:vAlign w:val="top"/>
          </w:tcPr>
          <w:p w14:paraId="7DF84D8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1D5B55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05DD33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836993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CD4A43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FC14DF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7</w:t>
            </w:r>
          </w:p>
        </w:tc>
        <w:tc>
          <w:tcPr>
            <w:tcW w:w="885" w:type="dxa"/>
            <w:gridSpan w:val="2"/>
            <w:vAlign w:val="top"/>
          </w:tcPr>
          <w:p w14:paraId="6E3790D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52D48F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3E266C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DCD72C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A24ED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5F2E66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15.6</w:t>
            </w:r>
          </w:p>
        </w:tc>
        <w:tc>
          <w:tcPr>
            <w:tcW w:w="1663" w:type="dxa"/>
            <w:vAlign w:val="top"/>
          </w:tcPr>
          <w:p w14:paraId="2A2DA7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50008E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297E0A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9E9E46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FDBE4D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D99185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供应商公章及签字</w:t>
            </w:r>
          </w:p>
        </w:tc>
        <w:tc>
          <w:tcPr>
            <w:tcW w:w="6588" w:type="dxa"/>
            <w:vAlign w:val="top"/>
          </w:tcPr>
          <w:p w14:paraId="204EB81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15.6.1 本竞争性谈判文件中描述供应商的“公章 ”是指供应商通过指定电子化政府采购平台办理数字证书（CA 认证证书）获得的以法定主体行为名称制作的电子印章。</w:t>
            </w:r>
          </w:p>
          <w:p w14:paraId="3951345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15.6.2 本竞争性谈判文件中要求供应商对其电子响应文件的相关内容加盖公章的，均指采用CA 证书签章。</w:t>
            </w:r>
          </w:p>
          <w:p w14:paraId="0F10BB49">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15.6.3 本谈判文件中描述供应商的“签字 ”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tc>
      </w:tr>
      <w:tr w14:paraId="043C6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0" w:hRule="atLeast"/>
        </w:trPr>
        <w:tc>
          <w:tcPr>
            <w:tcW w:w="618" w:type="dxa"/>
            <w:vAlign w:val="top"/>
          </w:tcPr>
          <w:p w14:paraId="128CE4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1BEB4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679971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632DEB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B43742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05941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C1CB16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8</w:t>
            </w:r>
          </w:p>
        </w:tc>
        <w:tc>
          <w:tcPr>
            <w:tcW w:w="885" w:type="dxa"/>
            <w:gridSpan w:val="2"/>
            <w:vAlign w:val="top"/>
          </w:tcPr>
          <w:p w14:paraId="598BFBB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679128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97839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5AA7D4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031DB9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CFC7A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1E0EB2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16</w:t>
            </w:r>
          </w:p>
        </w:tc>
        <w:tc>
          <w:tcPr>
            <w:tcW w:w="1663" w:type="dxa"/>
            <w:vAlign w:val="top"/>
          </w:tcPr>
          <w:p w14:paraId="5734A93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4D3A69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81FBA3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C975D9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D80F70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670BD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B8E3DE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首次响应文件的提交、撤回、修改</w:t>
            </w:r>
          </w:p>
        </w:tc>
        <w:tc>
          <w:tcPr>
            <w:tcW w:w="6588" w:type="dxa"/>
            <w:vAlign w:val="top"/>
          </w:tcPr>
          <w:p w14:paraId="29B27C7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16.1 响应文件的提交截止时间：</w:t>
            </w:r>
            <w:r>
              <w:rPr>
                <w:rFonts w:hint="eastAsia"/>
                <w:color w:val="auto"/>
                <w:spacing w:val="0"/>
                <w:position w:val="0"/>
                <w:sz w:val="21"/>
                <w:szCs w:val="21"/>
                <w:highlight w:val="none"/>
                <w:lang w:eastAsia="zh-CN"/>
              </w:rPr>
              <w:t>2026</w:t>
            </w:r>
            <w:r>
              <w:rPr>
                <w:color w:val="auto"/>
                <w:spacing w:val="0"/>
                <w:position w:val="0"/>
                <w:sz w:val="21"/>
                <w:szCs w:val="21"/>
                <w:highlight w:val="none"/>
              </w:rPr>
              <w:t xml:space="preserve"> 年 </w:t>
            </w:r>
            <w:r>
              <w:rPr>
                <w:rFonts w:hint="eastAsia"/>
                <w:color w:val="auto"/>
                <w:spacing w:val="0"/>
                <w:position w:val="0"/>
                <w:sz w:val="21"/>
                <w:szCs w:val="21"/>
                <w:highlight w:val="none"/>
                <w:lang w:val="en-US" w:eastAsia="zh-CN"/>
              </w:rPr>
              <w:t xml:space="preserve">8 </w:t>
            </w:r>
            <w:r>
              <w:rPr>
                <w:color w:val="auto"/>
                <w:spacing w:val="0"/>
                <w:position w:val="0"/>
                <w:sz w:val="21"/>
                <w:szCs w:val="21"/>
                <w:highlight w:val="none"/>
              </w:rPr>
              <w:t>月</w:t>
            </w:r>
            <w:r>
              <w:rPr>
                <w:rFonts w:hint="eastAsia"/>
                <w:color w:val="auto"/>
                <w:spacing w:val="0"/>
                <w:position w:val="0"/>
                <w:sz w:val="21"/>
                <w:szCs w:val="21"/>
                <w:highlight w:val="none"/>
                <w:lang w:val="en-US" w:eastAsia="zh-CN"/>
              </w:rPr>
              <w:t>11</w:t>
            </w:r>
            <w:r>
              <w:rPr>
                <w:color w:val="auto"/>
                <w:spacing w:val="0"/>
                <w:position w:val="0"/>
                <w:sz w:val="21"/>
                <w:szCs w:val="21"/>
                <w:highlight w:val="none"/>
              </w:rPr>
              <w:t>日上午</w:t>
            </w:r>
            <w:r>
              <w:rPr>
                <w:rFonts w:hint="eastAsia"/>
                <w:color w:val="auto"/>
                <w:spacing w:val="0"/>
                <w:position w:val="0"/>
                <w:sz w:val="21"/>
                <w:szCs w:val="21"/>
                <w:highlight w:val="none"/>
                <w:lang w:val="en-US" w:eastAsia="zh-CN"/>
              </w:rPr>
              <w:t>09</w:t>
            </w:r>
            <w:r>
              <w:rPr>
                <w:color w:val="auto"/>
                <w:spacing w:val="0"/>
                <w:position w:val="0"/>
                <w:sz w:val="21"/>
                <w:szCs w:val="21"/>
                <w:highlight w:val="none"/>
              </w:rPr>
              <w:t xml:space="preserve"> 时 30 分（北京时间）</w:t>
            </w:r>
          </w:p>
          <w:p w14:paraId="5DA6E0D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16.2 地点：通过广西政府采购云平台在线提交。</w:t>
            </w:r>
          </w:p>
          <w:p w14:paraId="3C9D75E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16.3 供应商应当在响应文件提交截止时间前，将生成的电子响应文件上传提交至广西政府采购云平台。响应文件提交截止时间前可以补充、修改或撤回电子响应文件，补充、修改电子响应文件的，应当先行撤 回原文件，补充、修改后重新传输提交。在响应文件提交截止时间后的响应文件有效期内，供应商不得撤回其响应文件。响应文件提交截止时间前未成功将电子响应文件上传广西政府采购云平台的，视为未 提交响应文件。</w:t>
            </w:r>
          </w:p>
          <w:p w14:paraId="7A76BB6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16.4 除竞争性谈判文件另有规定外，供应商所提交的响应文件不予退还。</w:t>
            </w:r>
          </w:p>
        </w:tc>
      </w:tr>
      <w:tr w14:paraId="39EC2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18" w:type="dxa"/>
            <w:vAlign w:val="top"/>
          </w:tcPr>
          <w:p w14:paraId="7106A63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16DCE8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B3C3EE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2E6DDE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9</w:t>
            </w:r>
          </w:p>
        </w:tc>
        <w:tc>
          <w:tcPr>
            <w:tcW w:w="885" w:type="dxa"/>
            <w:gridSpan w:val="2"/>
            <w:vAlign w:val="top"/>
          </w:tcPr>
          <w:p w14:paraId="0061AE3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85FC1C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681917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A1C2A9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17</w:t>
            </w:r>
          </w:p>
        </w:tc>
        <w:tc>
          <w:tcPr>
            <w:tcW w:w="1663" w:type="dxa"/>
            <w:vAlign w:val="top"/>
          </w:tcPr>
          <w:p w14:paraId="714DAF9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F8AF40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DF8B1C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p>
          <w:p w14:paraId="090350A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响应文件的解密</w:t>
            </w:r>
          </w:p>
        </w:tc>
        <w:tc>
          <w:tcPr>
            <w:tcW w:w="6588" w:type="dxa"/>
            <w:vAlign w:val="top"/>
          </w:tcPr>
          <w:p w14:paraId="37EB1D4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响应文件提交截止时间后，采购代理机构开启解密响应文件操作，广西政府采购云平台向各供应商发出电子加密响应文件解密通知，由供应商在系统发出解密通知后 30 分钟内自行使用加密时的CA 通过“项 目采购-开标评标 ”功能对响应文件进行解密。若供应商在上述规定的 时间内无法解密或解密失败的，可以在响应文件解密截止时间后 30 分钟内向采购代理机构现场提交电子备份响应文件【现场提交电子响应文件地址：桂林市公共资源交易中心</w:t>
            </w:r>
            <w:r>
              <w:rPr>
                <w:rFonts w:hint="eastAsia"/>
                <w:color w:val="auto"/>
                <w:spacing w:val="0"/>
                <w:position w:val="0"/>
                <w:sz w:val="21"/>
                <w:szCs w:val="21"/>
                <w:highlight w:val="none"/>
                <w:lang w:val="en-US" w:eastAsia="zh-CN"/>
              </w:rPr>
              <w:t>9号开标室（1号仓）</w:t>
            </w:r>
            <w:r>
              <w:rPr>
                <w:color w:val="auto"/>
                <w:spacing w:val="0"/>
                <w:position w:val="0"/>
                <w:sz w:val="21"/>
                <w:szCs w:val="21"/>
                <w:highlight w:val="none"/>
              </w:rPr>
              <w:t>（广西桂林市临桂区西城中路 69 号创业大厦西辅楼 4 楼北区）】，或以电子邮件的形式提交电子备份响应文件（以通知时所告知的电子邮箱地址为准） ；供应商未在上述规定的时间、地点（电子邮箱）提交的电子备份响应文件，采购代理机构不予接收或承认。采购代理机构收到电子备份响应文件后按“政府采购云平台 ”操作规范上传至“政府采购云平台 ”， 电子备份响应文件上传成功后，供应商原上传的“ 电子加密响应文件 ” 自 动失效。若供应商在规定时间内无法解密或解密失败且未在规定的时 间内提供电子备份响应文件的（包含提供的电子备份响应文件无效或 无法解密的情况），视为供应商放弃谈判。</w:t>
            </w:r>
          </w:p>
        </w:tc>
      </w:tr>
      <w:tr w14:paraId="7EDB7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618" w:type="dxa"/>
            <w:vAlign w:val="top"/>
          </w:tcPr>
          <w:p w14:paraId="641BD4E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63AB86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10</w:t>
            </w:r>
          </w:p>
        </w:tc>
        <w:tc>
          <w:tcPr>
            <w:tcW w:w="885" w:type="dxa"/>
            <w:gridSpan w:val="2"/>
            <w:vAlign w:val="top"/>
          </w:tcPr>
          <w:p w14:paraId="1C328FE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4A3D8D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18.1</w:t>
            </w:r>
          </w:p>
        </w:tc>
        <w:tc>
          <w:tcPr>
            <w:tcW w:w="1663" w:type="dxa"/>
            <w:vAlign w:val="top"/>
          </w:tcPr>
          <w:p w14:paraId="1FC637D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B2274E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谈判小组组成</w:t>
            </w:r>
          </w:p>
        </w:tc>
        <w:tc>
          <w:tcPr>
            <w:tcW w:w="6588" w:type="dxa"/>
            <w:vAlign w:val="top"/>
          </w:tcPr>
          <w:p w14:paraId="4999F98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谈判及评审组织工作由采购代理机构负责，具体谈判、评审工作由依法组建的谈判小组负责，本项目的谈判小组由有关方面的评审专家组成，谈判小组的构成：3 人。</w:t>
            </w:r>
          </w:p>
        </w:tc>
      </w:tr>
      <w:tr w14:paraId="2001E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7" w:hRule="atLeast"/>
        </w:trPr>
        <w:tc>
          <w:tcPr>
            <w:tcW w:w="618" w:type="dxa"/>
            <w:vAlign w:val="top"/>
          </w:tcPr>
          <w:p w14:paraId="6BF48D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7F5DD4C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5170B7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51A1136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124A4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1B1F051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02DD1A2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11</w:t>
            </w:r>
          </w:p>
        </w:tc>
        <w:tc>
          <w:tcPr>
            <w:tcW w:w="885" w:type="dxa"/>
            <w:gridSpan w:val="2"/>
            <w:vAlign w:val="top"/>
          </w:tcPr>
          <w:p w14:paraId="03F721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82709F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D17A08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8F9D7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819FBB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AEAFE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72282B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18.2</w:t>
            </w:r>
          </w:p>
        </w:tc>
        <w:tc>
          <w:tcPr>
            <w:tcW w:w="1663" w:type="dxa"/>
            <w:vAlign w:val="top"/>
          </w:tcPr>
          <w:p w14:paraId="36297D9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37562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0F99C0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FB8E4D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814AD2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71DD95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22591EA">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谈判时间、地点、人员</w:t>
            </w:r>
          </w:p>
        </w:tc>
        <w:tc>
          <w:tcPr>
            <w:tcW w:w="6588" w:type="dxa"/>
            <w:vAlign w:val="top"/>
          </w:tcPr>
          <w:p w14:paraId="36BC523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18.2.1 谈判时间：首次响应文件提交截止时间后。</w:t>
            </w:r>
          </w:p>
          <w:p w14:paraId="3546598A">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18.2.2 谈判地点：供应商代表在响应文件提交当天实时登陆登录广西政府采购云平台，按谈判小组要求在线等候参与谈判及提交最后报价。 因供应商未保持实时在线，导致谈判小组无法及时与其取得联系，从而造成供应商未按规定参与谈判或报价的，其不利后果由供应商自行 承担。</w:t>
            </w:r>
          </w:p>
          <w:p w14:paraId="69EE088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18.2.3 谈判参加人员：供应商法定代表人(负责人、 自然人)或相应的委托代理人参加谈判。请供应商实时登陆登录广西政府采购云平台等 候在线谈判。</w:t>
            </w:r>
          </w:p>
          <w:p w14:paraId="79EED3B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18.2.4 首次响应文件提交截止时间后，登录广西政府采购云平台在线解密开启。</w:t>
            </w:r>
          </w:p>
        </w:tc>
      </w:tr>
      <w:tr w14:paraId="59B04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618" w:type="dxa"/>
            <w:vAlign w:val="top"/>
          </w:tcPr>
          <w:p w14:paraId="10511E7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12</w:t>
            </w:r>
          </w:p>
        </w:tc>
        <w:tc>
          <w:tcPr>
            <w:tcW w:w="885" w:type="dxa"/>
            <w:gridSpan w:val="2"/>
            <w:vAlign w:val="top"/>
          </w:tcPr>
          <w:p w14:paraId="31FA372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19.2</w:t>
            </w:r>
          </w:p>
        </w:tc>
        <w:tc>
          <w:tcPr>
            <w:tcW w:w="1663" w:type="dxa"/>
            <w:vAlign w:val="top"/>
          </w:tcPr>
          <w:p w14:paraId="24D6D35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评审办法</w:t>
            </w:r>
          </w:p>
        </w:tc>
        <w:tc>
          <w:tcPr>
            <w:tcW w:w="6588" w:type="dxa"/>
            <w:vAlign w:val="top"/>
          </w:tcPr>
          <w:p w14:paraId="6AAE13E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具体详见第四章“评审办法 ”。</w:t>
            </w:r>
          </w:p>
        </w:tc>
      </w:tr>
      <w:tr w14:paraId="2B49C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618" w:type="dxa"/>
            <w:vAlign w:val="top"/>
          </w:tcPr>
          <w:p w14:paraId="3F757F0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AF2C06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A32D55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5C3E4C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1ED5750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rightChars="0"/>
              <w:jc w:val="center"/>
              <w:textAlignment w:val="baseline"/>
              <w:rPr>
                <w:color w:val="auto"/>
                <w:spacing w:val="0"/>
                <w:position w:val="0"/>
                <w:sz w:val="21"/>
                <w:szCs w:val="21"/>
                <w:highlight w:val="none"/>
              </w:rPr>
            </w:pPr>
            <w:r>
              <w:rPr>
                <w:color w:val="auto"/>
                <w:spacing w:val="0"/>
                <w:position w:val="0"/>
                <w:sz w:val="21"/>
                <w:szCs w:val="21"/>
                <w:highlight w:val="none"/>
              </w:rPr>
              <w:t>13</w:t>
            </w:r>
          </w:p>
        </w:tc>
        <w:tc>
          <w:tcPr>
            <w:tcW w:w="885" w:type="dxa"/>
            <w:gridSpan w:val="2"/>
            <w:vAlign w:val="top"/>
          </w:tcPr>
          <w:p w14:paraId="455080B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3EF0ACC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6CD729F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622C465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9C607B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420" w:firstLineChars="200"/>
              <w:jc w:val="center"/>
              <w:textAlignment w:val="baseline"/>
              <w:rPr>
                <w:color w:val="auto"/>
                <w:spacing w:val="0"/>
                <w:position w:val="0"/>
                <w:sz w:val="21"/>
                <w:szCs w:val="21"/>
                <w:highlight w:val="none"/>
              </w:rPr>
            </w:pPr>
            <w:r>
              <w:rPr>
                <w:color w:val="auto"/>
                <w:spacing w:val="0"/>
                <w:position w:val="0"/>
                <w:sz w:val="21"/>
                <w:szCs w:val="21"/>
                <w:highlight w:val="none"/>
              </w:rPr>
              <w:t>26</w:t>
            </w:r>
          </w:p>
        </w:tc>
        <w:tc>
          <w:tcPr>
            <w:tcW w:w="1663" w:type="dxa"/>
            <w:vAlign w:val="top"/>
          </w:tcPr>
          <w:p w14:paraId="7DC589A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93829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B3A9FA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AF5A96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A40B1A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420" w:firstLineChars="200"/>
              <w:textAlignment w:val="baseline"/>
              <w:rPr>
                <w:color w:val="auto"/>
                <w:spacing w:val="0"/>
                <w:position w:val="0"/>
                <w:sz w:val="21"/>
                <w:szCs w:val="21"/>
                <w:highlight w:val="none"/>
              </w:rPr>
            </w:pPr>
            <w:r>
              <w:rPr>
                <w:color w:val="auto"/>
                <w:spacing w:val="0"/>
                <w:position w:val="0"/>
                <w:sz w:val="21"/>
                <w:szCs w:val="21"/>
                <w:highlight w:val="none"/>
              </w:rPr>
              <w:t>信用查询</w:t>
            </w:r>
          </w:p>
        </w:tc>
        <w:tc>
          <w:tcPr>
            <w:tcW w:w="6588" w:type="dxa"/>
            <w:vAlign w:val="top"/>
          </w:tcPr>
          <w:p w14:paraId="6B0FA2AE">
            <w:pPr>
              <w:pStyle w:val="30"/>
              <w:keepNext w:val="0"/>
              <w:keepLines w:val="0"/>
              <w:pageBreakBefore w:val="0"/>
              <w:widowControl w:val="0"/>
              <w:kinsoku w:val="0"/>
              <w:wordWrap w:val="0"/>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5120B823">
            <w:pPr>
              <w:pStyle w:val="30"/>
              <w:keepNext w:val="0"/>
              <w:keepLines w:val="0"/>
              <w:pageBreakBefore w:val="0"/>
              <w:widowControl w:val="0"/>
              <w:kinsoku w:val="0"/>
              <w:wordWrap w:val="0"/>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（1）查询渠道：“信用中国”网站(</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"https://www.creditchina.gov.cn" </w:instrText>
            </w:r>
            <w:r>
              <w:rPr>
                <w:color w:val="auto"/>
                <w:spacing w:val="0"/>
                <w:position w:val="0"/>
                <w:sz w:val="21"/>
                <w:szCs w:val="21"/>
                <w:highlight w:val="none"/>
              </w:rPr>
              <w:fldChar w:fldCharType="separate"/>
            </w:r>
            <w:r>
              <w:rPr>
                <w:color w:val="auto"/>
                <w:spacing w:val="0"/>
                <w:position w:val="0"/>
                <w:sz w:val="21"/>
                <w:szCs w:val="21"/>
                <w:highlight w:val="none"/>
              </w:rPr>
              <w:t>www.creditchina.gov.cn</w:t>
            </w:r>
            <w:r>
              <w:rPr>
                <w:color w:val="auto"/>
                <w:spacing w:val="0"/>
                <w:position w:val="0"/>
                <w:sz w:val="21"/>
                <w:szCs w:val="21"/>
                <w:highlight w:val="none"/>
              </w:rPr>
              <w:fldChar w:fldCharType="end"/>
            </w:r>
            <w:r>
              <w:rPr>
                <w:color w:val="auto"/>
                <w:spacing w:val="0"/>
                <w:position w:val="0"/>
                <w:sz w:val="21"/>
                <w:szCs w:val="21"/>
                <w:highlight w:val="none"/>
              </w:rPr>
              <w:t>)、中国政府采购网(</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"https://www.ccgp.gov.cn" </w:instrText>
            </w:r>
            <w:r>
              <w:rPr>
                <w:color w:val="auto"/>
                <w:spacing w:val="0"/>
                <w:position w:val="0"/>
                <w:sz w:val="21"/>
                <w:szCs w:val="21"/>
                <w:highlight w:val="none"/>
              </w:rPr>
              <w:fldChar w:fldCharType="separate"/>
            </w:r>
            <w:r>
              <w:rPr>
                <w:color w:val="auto"/>
                <w:spacing w:val="0"/>
                <w:position w:val="0"/>
                <w:sz w:val="21"/>
                <w:szCs w:val="21"/>
                <w:highlight w:val="none"/>
              </w:rPr>
              <w:t>www.ccgp.gov.cn</w:t>
            </w:r>
            <w:r>
              <w:rPr>
                <w:color w:val="auto"/>
                <w:spacing w:val="0"/>
                <w:position w:val="0"/>
                <w:sz w:val="21"/>
                <w:szCs w:val="21"/>
                <w:highlight w:val="none"/>
              </w:rPr>
              <w:fldChar w:fldCharType="end"/>
            </w:r>
            <w:r>
              <w:rPr>
                <w:color w:val="auto"/>
                <w:spacing w:val="0"/>
                <w:position w:val="0"/>
                <w:sz w:val="21"/>
                <w:szCs w:val="21"/>
                <w:highlight w:val="none"/>
              </w:rPr>
              <w:t>)等；</w:t>
            </w:r>
          </w:p>
          <w:p w14:paraId="63D30B83">
            <w:pPr>
              <w:pStyle w:val="30"/>
              <w:keepNext w:val="0"/>
              <w:keepLines w:val="0"/>
              <w:pageBreakBefore w:val="0"/>
              <w:widowControl w:val="0"/>
              <w:kinsoku w:val="0"/>
              <w:wordWrap w:val="0"/>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（2）查询截止时间：成交通知书发出前；</w:t>
            </w:r>
          </w:p>
          <w:p w14:paraId="0CB0E8A2">
            <w:pPr>
              <w:pStyle w:val="30"/>
              <w:keepNext w:val="0"/>
              <w:keepLines w:val="0"/>
              <w:pageBreakBefore w:val="0"/>
              <w:widowControl w:val="0"/>
              <w:kinsoku w:val="0"/>
              <w:wordWrap w:val="0"/>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（3）信用信息查询记录和证据留存方式：在查询网站中直接打印查询记录，打印材料作为采购活动资料保存；</w:t>
            </w:r>
          </w:p>
          <w:p w14:paraId="06100AF5">
            <w:pPr>
              <w:pStyle w:val="30"/>
              <w:keepNext w:val="0"/>
              <w:keepLines w:val="0"/>
              <w:pageBreakBefore w:val="0"/>
              <w:widowControl w:val="0"/>
              <w:kinsoku w:val="0"/>
              <w:wordWrap w:val="0"/>
              <w:overflowPunct/>
              <w:topLinePunct w:val="0"/>
              <w:autoSpaceDE w:val="0"/>
              <w:autoSpaceDN w:val="0"/>
              <w:bidi w:val="0"/>
              <w:adjustRightInd w:val="0"/>
              <w:snapToGrid w:val="0"/>
              <w:spacing w:line="360" w:lineRule="auto"/>
              <w:ind w:left="0" w:leftChars="0" w:right="0" w:rightChars="0" w:firstLine="420" w:firstLineChars="200"/>
              <w:textAlignment w:val="baseline"/>
              <w:rPr>
                <w:color w:val="auto"/>
                <w:spacing w:val="0"/>
                <w:position w:val="0"/>
                <w:sz w:val="21"/>
                <w:szCs w:val="21"/>
                <w:highlight w:val="none"/>
              </w:rPr>
            </w:pPr>
            <w:r>
              <w:rPr>
                <w:color w:val="auto"/>
                <w:spacing w:val="0"/>
                <w:position w:val="0"/>
                <w:sz w:val="21"/>
                <w:szCs w:val="21"/>
                <w:highlight w:val="none"/>
              </w:rPr>
              <w:t>（ 4 ） 信用信息使用规则：对在“信用中 ”网 站 (</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"https://www.creditchina.gov.cn" </w:instrText>
            </w:r>
            <w:r>
              <w:rPr>
                <w:color w:val="auto"/>
                <w:spacing w:val="0"/>
                <w:position w:val="0"/>
                <w:sz w:val="21"/>
                <w:szCs w:val="21"/>
                <w:highlight w:val="none"/>
              </w:rPr>
              <w:fldChar w:fldCharType="separate"/>
            </w:r>
            <w:r>
              <w:rPr>
                <w:color w:val="auto"/>
                <w:spacing w:val="0"/>
                <w:position w:val="0"/>
                <w:sz w:val="21"/>
                <w:szCs w:val="21"/>
                <w:highlight w:val="none"/>
              </w:rPr>
              <w:t>www.creditchina.gov.cn</w:t>
            </w:r>
            <w:r>
              <w:rPr>
                <w:color w:val="auto"/>
                <w:spacing w:val="0"/>
                <w:position w:val="0"/>
                <w:sz w:val="21"/>
                <w:szCs w:val="21"/>
                <w:highlight w:val="none"/>
              </w:rPr>
              <w:fldChar w:fldCharType="end"/>
            </w:r>
            <w:r>
              <w:rPr>
                <w:color w:val="auto"/>
                <w:spacing w:val="0"/>
                <w:position w:val="0"/>
                <w:sz w:val="21"/>
                <w:szCs w:val="21"/>
                <w:highlight w:val="none"/>
              </w:rPr>
              <w:t>)、中国政府采购网(</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"https://www.ccgp.gov.cn" </w:instrText>
            </w:r>
            <w:r>
              <w:rPr>
                <w:color w:val="auto"/>
                <w:spacing w:val="0"/>
                <w:position w:val="0"/>
                <w:sz w:val="21"/>
                <w:szCs w:val="21"/>
                <w:highlight w:val="none"/>
              </w:rPr>
              <w:fldChar w:fldCharType="separate"/>
            </w:r>
            <w:r>
              <w:rPr>
                <w:color w:val="auto"/>
                <w:spacing w:val="0"/>
                <w:position w:val="0"/>
                <w:sz w:val="21"/>
                <w:szCs w:val="21"/>
                <w:highlight w:val="none"/>
              </w:rPr>
              <w:t>www.ccgp.gov.cn</w:t>
            </w:r>
            <w:r>
              <w:rPr>
                <w:color w:val="auto"/>
                <w:spacing w:val="0"/>
                <w:position w:val="0"/>
                <w:sz w:val="21"/>
                <w:szCs w:val="21"/>
                <w:highlight w:val="none"/>
              </w:rPr>
              <w:fldChar w:fldCharType="end"/>
            </w:r>
            <w:r>
              <w:rPr>
                <w:color w:val="auto"/>
                <w:spacing w:val="0"/>
                <w:position w:val="0"/>
                <w:sz w:val="21"/>
                <w:szCs w:val="21"/>
                <w:highlight w:val="none"/>
              </w:rPr>
              <w:t>)等渠道列入失信被执行人、重大税收违法案件当事人名单、政府采购严重违法失信行为记录名单及其他不符合《中华人民共和国政府采购法》 第二十二条规定条件的供应商，取消其成交候选人资格。</w:t>
            </w:r>
          </w:p>
        </w:tc>
      </w:tr>
      <w:tr w14:paraId="745B5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30" w:type="dxa"/>
            <w:gridSpan w:val="2"/>
            <w:vAlign w:val="top"/>
          </w:tcPr>
          <w:p w14:paraId="70BF27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594F30B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15B7743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6963B5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03A9ACFA">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14</w:t>
            </w:r>
          </w:p>
        </w:tc>
        <w:tc>
          <w:tcPr>
            <w:tcW w:w="873" w:type="dxa"/>
            <w:vAlign w:val="top"/>
          </w:tcPr>
          <w:p w14:paraId="08C440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CBA10F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24B520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CCFCA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2826433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27</w:t>
            </w:r>
          </w:p>
        </w:tc>
        <w:tc>
          <w:tcPr>
            <w:tcW w:w="1663" w:type="dxa"/>
            <w:vAlign w:val="top"/>
          </w:tcPr>
          <w:p w14:paraId="2DE8A74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B2904C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D837CD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5A5DAF8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4F0F49A">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成交公告及成交通知书</w:t>
            </w:r>
          </w:p>
        </w:tc>
        <w:tc>
          <w:tcPr>
            <w:tcW w:w="6588" w:type="dxa"/>
            <w:vAlign w:val="top"/>
          </w:tcPr>
          <w:p w14:paraId="77C0B509">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27.1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29E985B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27.3 在发布成交公告的同时，采购代理机构向成交供应商发出成交通知书。成交供应商应自接到通知之日起七个工作日内，办理成交通知书领取手续。</w:t>
            </w:r>
          </w:p>
        </w:tc>
      </w:tr>
      <w:tr w14:paraId="6F71F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1" w:hRule="atLeast"/>
        </w:trPr>
        <w:tc>
          <w:tcPr>
            <w:tcW w:w="630" w:type="dxa"/>
            <w:gridSpan w:val="2"/>
            <w:vAlign w:val="top"/>
          </w:tcPr>
          <w:p w14:paraId="5E2AD46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6C9AB439">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15</w:t>
            </w:r>
          </w:p>
        </w:tc>
        <w:tc>
          <w:tcPr>
            <w:tcW w:w="873" w:type="dxa"/>
            <w:vAlign w:val="top"/>
          </w:tcPr>
          <w:p w14:paraId="3D1BF5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5C379A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28.1</w:t>
            </w:r>
          </w:p>
        </w:tc>
        <w:tc>
          <w:tcPr>
            <w:tcW w:w="1663" w:type="dxa"/>
            <w:vAlign w:val="top"/>
          </w:tcPr>
          <w:p w14:paraId="0D2AD35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075ABE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履约保证金</w:t>
            </w:r>
          </w:p>
        </w:tc>
        <w:tc>
          <w:tcPr>
            <w:tcW w:w="6588" w:type="dxa"/>
            <w:vAlign w:val="top"/>
          </w:tcPr>
          <w:p w14:paraId="6D1DD53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color w:val="auto"/>
                <w:spacing w:val="0"/>
                <w:position w:val="0"/>
                <w:sz w:val="21"/>
                <w:szCs w:val="21"/>
                <w:highlight w:val="none"/>
              </w:rPr>
            </w:pPr>
            <w:r>
              <w:rPr>
                <w:color w:val="auto"/>
                <w:spacing w:val="0"/>
                <w:position w:val="0"/>
                <w:sz w:val="21"/>
                <w:szCs w:val="21"/>
                <w:highlight w:val="none"/>
              </w:rPr>
              <w:t>履约保证金：根据《桂林市财政局关于贯彻落实政府采购优化营商环境百日攻坚行动方案的通知》（市财采〔2020〕24 号）第四条的规定，本项目免收履约保证金。</w:t>
            </w:r>
          </w:p>
        </w:tc>
      </w:tr>
      <w:tr w14:paraId="2B040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30" w:type="dxa"/>
            <w:gridSpan w:val="2"/>
            <w:vAlign w:val="top"/>
          </w:tcPr>
          <w:p w14:paraId="432D3B1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16</w:t>
            </w:r>
          </w:p>
        </w:tc>
        <w:tc>
          <w:tcPr>
            <w:tcW w:w="873" w:type="dxa"/>
            <w:vAlign w:val="top"/>
          </w:tcPr>
          <w:p w14:paraId="5D17330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29.1</w:t>
            </w:r>
          </w:p>
        </w:tc>
        <w:tc>
          <w:tcPr>
            <w:tcW w:w="1663" w:type="dxa"/>
            <w:vAlign w:val="top"/>
          </w:tcPr>
          <w:p w14:paraId="2223A15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签订合同时间</w:t>
            </w:r>
          </w:p>
        </w:tc>
        <w:tc>
          <w:tcPr>
            <w:tcW w:w="6588" w:type="dxa"/>
            <w:vAlign w:val="top"/>
          </w:tcPr>
          <w:p w14:paraId="2322CE1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成交通知书发出之日起 8 个工作日内。成交供应商领取成交通知书后，应按规定与采购人签订合同。</w:t>
            </w:r>
          </w:p>
        </w:tc>
      </w:tr>
      <w:tr w14:paraId="1F02D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30" w:type="dxa"/>
            <w:gridSpan w:val="2"/>
            <w:vAlign w:val="top"/>
          </w:tcPr>
          <w:p w14:paraId="7D34BCC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7EE879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3B921D1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17</w:t>
            </w:r>
          </w:p>
        </w:tc>
        <w:tc>
          <w:tcPr>
            <w:tcW w:w="873" w:type="dxa"/>
            <w:vAlign w:val="top"/>
          </w:tcPr>
          <w:p w14:paraId="49AE4B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3A7C9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5F81EC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29.3</w:t>
            </w:r>
          </w:p>
        </w:tc>
        <w:tc>
          <w:tcPr>
            <w:tcW w:w="1663" w:type="dxa"/>
            <w:vAlign w:val="top"/>
          </w:tcPr>
          <w:p w14:paraId="7D49B8B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02CEA7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D1057D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合同备案存档</w:t>
            </w:r>
          </w:p>
        </w:tc>
        <w:tc>
          <w:tcPr>
            <w:tcW w:w="6588" w:type="dxa"/>
            <w:vAlign w:val="top"/>
          </w:tcPr>
          <w:p w14:paraId="482525B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jc w:val="both"/>
              <w:textAlignment w:val="baseline"/>
              <w:rPr>
                <w:color w:val="auto"/>
                <w:spacing w:val="0"/>
                <w:position w:val="0"/>
                <w:sz w:val="21"/>
                <w:szCs w:val="21"/>
                <w:highlight w:val="none"/>
              </w:rPr>
            </w:pPr>
            <w:r>
              <w:rPr>
                <w:rFonts w:hint="eastAsia" w:ascii="宋体" w:hAnsi="宋体" w:cs="宋体"/>
                <w:color w:val="auto"/>
                <w:spacing w:val="0"/>
                <w:position w:val="0"/>
                <w:sz w:val="21"/>
                <w:szCs w:val="21"/>
                <w:highlight w:val="none"/>
              </w:rPr>
              <w:t>政府采购合同双方自签订之日起</w:t>
            </w:r>
            <w:r>
              <w:rPr>
                <w:rFonts w:hint="eastAsia" w:cs="宋体"/>
                <w:color w:val="auto"/>
                <w:spacing w:val="0"/>
                <w:position w:val="0"/>
                <w:sz w:val="21"/>
                <w:szCs w:val="21"/>
                <w:highlight w:val="none"/>
                <w:lang w:val="en-US" w:eastAsia="zh-CN"/>
              </w:rPr>
              <w:t>1</w:t>
            </w:r>
            <w:r>
              <w:rPr>
                <w:rFonts w:hint="eastAsia" w:ascii="宋体" w:hAnsi="宋体" w:cs="宋体"/>
                <w:color w:val="auto"/>
                <w:spacing w:val="0"/>
                <w:position w:val="0"/>
                <w:sz w:val="21"/>
                <w:szCs w:val="21"/>
                <w:highlight w:val="none"/>
              </w:rPr>
              <w:t>个工作日内将合同原件</w:t>
            </w:r>
            <w:r>
              <w:rPr>
                <w:rFonts w:hint="eastAsia" w:cs="宋体"/>
                <w:color w:val="auto"/>
                <w:spacing w:val="0"/>
                <w:position w:val="0"/>
                <w:sz w:val="21"/>
                <w:szCs w:val="21"/>
                <w:highlight w:val="none"/>
                <w:lang w:val="en-US" w:eastAsia="zh-CN"/>
              </w:rPr>
              <w:t>1</w:t>
            </w:r>
            <w:r>
              <w:rPr>
                <w:rFonts w:hint="eastAsia" w:ascii="宋体" w:hAnsi="宋体" w:cs="宋体"/>
                <w:color w:val="auto"/>
                <w:spacing w:val="0"/>
                <w:position w:val="0"/>
                <w:sz w:val="21"/>
                <w:szCs w:val="21"/>
                <w:highlight w:val="none"/>
              </w:rPr>
              <w:t>份交采购代理机构，采购代理机构将政府采购合同在省级以上人民政府财政部门指定媒体上公告。采购人于合同签订之日起</w:t>
            </w:r>
            <w:r>
              <w:rPr>
                <w:rFonts w:hint="eastAsia" w:cs="宋体"/>
                <w:color w:val="auto"/>
                <w:spacing w:val="0"/>
                <w:position w:val="0"/>
                <w:sz w:val="21"/>
                <w:szCs w:val="21"/>
                <w:highlight w:val="none"/>
                <w:lang w:val="en-US" w:eastAsia="zh-CN"/>
              </w:rPr>
              <w:t>7</w:t>
            </w:r>
            <w:r>
              <w:rPr>
                <w:rFonts w:hint="eastAsia" w:ascii="宋体" w:hAnsi="宋体" w:cs="宋体"/>
                <w:color w:val="auto"/>
                <w:spacing w:val="0"/>
                <w:position w:val="0"/>
                <w:sz w:val="21"/>
                <w:szCs w:val="21"/>
                <w:highlight w:val="none"/>
              </w:rPr>
              <w:t>个工作日内将一份合同原件送本级财政部门备案，一份由</w:t>
            </w:r>
            <w:r>
              <w:rPr>
                <w:rFonts w:hint="eastAsia" w:cs="宋体"/>
                <w:color w:val="auto"/>
                <w:spacing w:val="0"/>
                <w:position w:val="0"/>
                <w:sz w:val="21"/>
                <w:szCs w:val="21"/>
                <w:highlight w:val="none"/>
                <w:lang w:eastAsia="zh-CN"/>
              </w:rPr>
              <w:t>广西昶吉工程项目管理有限公司</w:t>
            </w:r>
            <w:r>
              <w:rPr>
                <w:rFonts w:hint="eastAsia" w:ascii="宋体" w:hAnsi="宋体" w:cs="宋体"/>
                <w:color w:val="auto"/>
                <w:spacing w:val="0"/>
                <w:position w:val="0"/>
                <w:sz w:val="21"/>
                <w:szCs w:val="21"/>
                <w:highlight w:val="none"/>
              </w:rPr>
              <w:t>存档。</w:t>
            </w:r>
          </w:p>
        </w:tc>
      </w:tr>
      <w:tr w14:paraId="46509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630" w:type="dxa"/>
            <w:gridSpan w:val="2"/>
            <w:vAlign w:val="top"/>
          </w:tcPr>
          <w:p w14:paraId="4D45842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6DA17E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82ECD9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18</w:t>
            </w:r>
          </w:p>
        </w:tc>
        <w:tc>
          <w:tcPr>
            <w:tcW w:w="873" w:type="dxa"/>
            <w:vAlign w:val="top"/>
          </w:tcPr>
          <w:p w14:paraId="6DDC468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4D26478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6E3D65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30.1</w:t>
            </w:r>
          </w:p>
        </w:tc>
        <w:tc>
          <w:tcPr>
            <w:tcW w:w="1663" w:type="dxa"/>
            <w:vAlign w:val="top"/>
          </w:tcPr>
          <w:p w14:paraId="70A62F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88E3FA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EB41E7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采购代理服务费</w:t>
            </w:r>
          </w:p>
        </w:tc>
        <w:tc>
          <w:tcPr>
            <w:tcW w:w="6588" w:type="dxa"/>
            <w:vAlign w:val="top"/>
          </w:tcPr>
          <w:p w14:paraId="40013D9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eastAsia="宋体"/>
                <w:color w:val="auto"/>
                <w:spacing w:val="0"/>
                <w:position w:val="0"/>
                <w:sz w:val="21"/>
                <w:szCs w:val="21"/>
                <w:highlight w:val="none"/>
                <w:lang w:eastAsia="zh-CN"/>
              </w:rPr>
            </w:pPr>
            <w:r>
              <w:rPr>
                <w:color w:val="auto"/>
                <w:spacing w:val="0"/>
                <w:position w:val="0"/>
                <w:sz w:val="21"/>
                <w:szCs w:val="21"/>
                <w:highlight w:val="none"/>
              </w:rPr>
              <w:t>成交供应商领取成交通知书前，向</w:t>
            </w:r>
            <w:r>
              <w:rPr>
                <w:rFonts w:hint="eastAsia"/>
                <w:color w:val="auto"/>
                <w:spacing w:val="0"/>
                <w:position w:val="0"/>
                <w:sz w:val="21"/>
                <w:szCs w:val="21"/>
                <w:highlight w:val="none"/>
                <w:lang w:eastAsia="zh-CN"/>
              </w:rPr>
              <w:t>广西昶吉工程项目管理有限公司</w:t>
            </w:r>
            <w:r>
              <w:rPr>
                <w:color w:val="auto"/>
                <w:spacing w:val="0"/>
                <w:position w:val="0"/>
                <w:sz w:val="21"/>
                <w:szCs w:val="21"/>
                <w:highlight w:val="none"/>
              </w:rPr>
              <w:t>一次性付清招标代理服务费，本项目的招标代理服务收费标准参照</w:t>
            </w:r>
            <w:r>
              <w:rPr>
                <w:rFonts w:hint="eastAsia"/>
                <w:color w:val="auto"/>
                <w:spacing w:val="0"/>
                <w:position w:val="0"/>
                <w:sz w:val="21"/>
                <w:szCs w:val="21"/>
                <w:highlight w:val="none"/>
                <w:lang w:val="en-US" w:eastAsia="zh-CN"/>
              </w:rPr>
              <w:t>30.2</w:t>
            </w:r>
            <w:r>
              <w:rPr>
                <w:color w:val="auto"/>
                <w:spacing w:val="0"/>
                <w:position w:val="0"/>
                <w:sz w:val="21"/>
                <w:szCs w:val="21"/>
                <w:highlight w:val="none"/>
              </w:rPr>
              <w:t>收费标准向成交供应商收取。</w:t>
            </w:r>
            <w:r>
              <w:rPr>
                <w:rFonts w:hint="eastAsia"/>
                <w:color w:val="auto"/>
                <w:spacing w:val="0"/>
                <w:position w:val="0"/>
                <w:sz w:val="21"/>
                <w:szCs w:val="21"/>
                <w:highlight w:val="none"/>
                <w:lang w:eastAsia="zh-CN"/>
              </w:rPr>
              <w:t>（</w:t>
            </w:r>
            <w:r>
              <w:rPr>
                <w:b/>
                <w:bCs/>
                <w:color w:val="auto"/>
                <w:spacing w:val="0"/>
                <w:position w:val="0"/>
                <w:sz w:val="21"/>
                <w:szCs w:val="21"/>
                <w:highlight w:val="none"/>
              </w:rPr>
              <w:t>注：如不足</w:t>
            </w:r>
            <w:r>
              <w:rPr>
                <w:color w:val="auto"/>
                <w:spacing w:val="0"/>
                <w:position w:val="0"/>
                <w:sz w:val="21"/>
                <w:szCs w:val="21"/>
                <w:highlight w:val="none"/>
              </w:rPr>
              <w:t xml:space="preserve"> </w:t>
            </w:r>
            <w:r>
              <w:rPr>
                <w:b/>
                <w:bCs/>
                <w:color w:val="auto"/>
                <w:spacing w:val="0"/>
                <w:position w:val="0"/>
                <w:sz w:val="21"/>
                <w:szCs w:val="21"/>
                <w:highlight w:val="none"/>
              </w:rPr>
              <w:t>6000</w:t>
            </w:r>
            <w:r>
              <w:rPr>
                <w:color w:val="auto"/>
                <w:spacing w:val="0"/>
                <w:position w:val="0"/>
                <w:sz w:val="21"/>
                <w:szCs w:val="21"/>
                <w:highlight w:val="none"/>
              </w:rPr>
              <w:t xml:space="preserve"> </w:t>
            </w:r>
            <w:r>
              <w:rPr>
                <w:b/>
                <w:bCs/>
                <w:color w:val="auto"/>
                <w:spacing w:val="0"/>
                <w:position w:val="0"/>
                <w:sz w:val="21"/>
                <w:szCs w:val="21"/>
                <w:highlight w:val="none"/>
              </w:rPr>
              <w:t>元，则按</w:t>
            </w:r>
            <w:r>
              <w:rPr>
                <w:color w:val="auto"/>
                <w:spacing w:val="0"/>
                <w:position w:val="0"/>
                <w:sz w:val="21"/>
                <w:szCs w:val="21"/>
                <w:highlight w:val="none"/>
              </w:rPr>
              <w:t xml:space="preserve"> </w:t>
            </w:r>
            <w:r>
              <w:rPr>
                <w:b/>
                <w:bCs/>
                <w:color w:val="auto"/>
                <w:spacing w:val="0"/>
                <w:position w:val="0"/>
                <w:sz w:val="21"/>
                <w:szCs w:val="21"/>
                <w:highlight w:val="none"/>
              </w:rPr>
              <w:t>6000</w:t>
            </w:r>
            <w:r>
              <w:rPr>
                <w:color w:val="auto"/>
                <w:spacing w:val="0"/>
                <w:position w:val="0"/>
                <w:sz w:val="21"/>
                <w:szCs w:val="21"/>
                <w:highlight w:val="none"/>
              </w:rPr>
              <w:t xml:space="preserve"> </w:t>
            </w:r>
            <w:r>
              <w:rPr>
                <w:b/>
                <w:bCs/>
                <w:color w:val="auto"/>
                <w:spacing w:val="0"/>
                <w:position w:val="0"/>
                <w:sz w:val="21"/>
                <w:szCs w:val="21"/>
                <w:highlight w:val="none"/>
              </w:rPr>
              <w:t>元收取。</w:t>
            </w:r>
            <w:r>
              <w:rPr>
                <w:rFonts w:hint="eastAsia"/>
                <w:b/>
                <w:bCs/>
                <w:color w:val="auto"/>
                <w:spacing w:val="0"/>
                <w:position w:val="0"/>
                <w:sz w:val="21"/>
                <w:szCs w:val="21"/>
                <w:highlight w:val="none"/>
                <w:lang w:eastAsia="zh-CN"/>
              </w:rPr>
              <w:t>）</w:t>
            </w:r>
          </w:p>
        </w:tc>
      </w:tr>
      <w:tr w14:paraId="404CC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30" w:type="dxa"/>
            <w:gridSpan w:val="2"/>
            <w:vAlign w:val="top"/>
          </w:tcPr>
          <w:p w14:paraId="172F380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7BB2E36C">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Arial"/>
                <w:color w:val="auto"/>
                <w:spacing w:val="0"/>
                <w:position w:val="0"/>
                <w:sz w:val="21"/>
                <w:szCs w:val="21"/>
                <w:highlight w:val="none"/>
              </w:rPr>
            </w:pPr>
          </w:p>
          <w:p w14:paraId="7ED5084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19</w:t>
            </w:r>
          </w:p>
        </w:tc>
        <w:tc>
          <w:tcPr>
            <w:tcW w:w="873" w:type="dxa"/>
            <w:vAlign w:val="top"/>
          </w:tcPr>
          <w:p w14:paraId="777E0FE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3BD1123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60CD874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32</w:t>
            </w:r>
          </w:p>
        </w:tc>
        <w:tc>
          <w:tcPr>
            <w:tcW w:w="1663" w:type="dxa"/>
            <w:vAlign w:val="top"/>
          </w:tcPr>
          <w:p w14:paraId="359CA4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7D34F1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12C5F2B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解释权</w:t>
            </w:r>
          </w:p>
        </w:tc>
        <w:tc>
          <w:tcPr>
            <w:tcW w:w="6588" w:type="dxa"/>
            <w:vAlign w:val="top"/>
          </w:tcPr>
          <w:p w14:paraId="5EEBB45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本竞争性谈判文件是根据《中华人民共和国政府采购法》、《中华人民共和国政府采购法实施条例》、《政府采购非招标采购方式管理办法》和政府采购管理有关规定编制，本竞争性谈判文件的解释权属于 采购代理机构。</w:t>
            </w:r>
          </w:p>
        </w:tc>
      </w:tr>
      <w:tr w14:paraId="5A0DD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30" w:type="dxa"/>
            <w:gridSpan w:val="2"/>
            <w:vAlign w:val="top"/>
          </w:tcPr>
          <w:p w14:paraId="30F684B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20</w:t>
            </w:r>
          </w:p>
        </w:tc>
        <w:tc>
          <w:tcPr>
            <w:tcW w:w="873" w:type="dxa"/>
            <w:vAlign w:val="top"/>
          </w:tcPr>
          <w:p w14:paraId="75642ED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34</w:t>
            </w:r>
          </w:p>
        </w:tc>
        <w:tc>
          <w:tcPr>
            <w:tcW w:w="1663" w:type="dxa"/>
            <w:vAlign w:val="top"/>
          </w:tcPr>
          <w:p w14:paraId="6437B39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监督管理机构</w:t>
            </w:r>
          </w:p>
        </w:tc>
        <w:tc>
          <w:tcPr>
            <w:tcW w:w="6588" w:type="dxa"/>
            <w:vAlign w:val="top"/>
          </w:tcPr>
          <w:p w14:paraId="414DFE3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桂林市财政局     电话：0773-2862142</w:t>
            </w:r>
          </w:p>
        </w:tc>
      </w:tr>
    </w:tbl>
    <w:p w14:paraId="1C4765A4">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B75493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sectPr>
          <w:footerReference r:id="rId7" w:type="default"/>
          <w:pgSz w:w="11906" w:h="16839"/>
          <w:pgMar w:top="1417" w:right="1417" w:bottom="1417" w:left="1417" w:header="0" w:footer="823" w:gutter="0"/>
          <w:pgNumType w:fmt="decimal"/>
          <w:cols w:space="720" w:num="1"/>
          <w:rtlGutter w:val="0"/>
          <w:docGrid w:linePitch="0" w:charSpace="0"/>
        </w:sectPr>
      </w:pPr>
    </w:p>
    <w:p w14:paraId="6F4B160D">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一、总则</w:t>
      </w:r>
    </w:p>
    <w:p w14:paraId="5D4E606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1.适应范围</w:t>
      </w:r>
    </w:p>
    <w:p w14:paraId="7FFED4E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1.1 项目名称及项目编号：</w:t>
      </w:r>
    </w:p>
    <w:p w14:paraId="0B56B08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项目名称：</w:t>
      </w:r>
      <w:r>
        <w:rPr>
          <w:rFonts w:hint="eastAsia" w:ascii="宋体" w:hAnsi="宋体" w:eastAsia="宋体" w:cs="宋体"/>
          <w:color w:val="auto"/>
          <w:spacing w:val="0"/>
          <w:position w:val="0"/>
          <w:sz w:val="21"/>
          <w:szCs w:val="21"/>
          <w:highlight w:val="none"/>
          <w:lang w:eastAsia="zh-CN"/>
        </w:rPr>
        <w:t>桂林市产品质量检验所检验设备采购</w:t>
      </w:r>
    </w:p>
    <w:p w14:paraId="643B3D2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项目编号：</w:t>
      </w:r>
      <w:r>
        <w:rPr>
          <w:rFonts w:hint="eastAsia" w:ascii="宋体" w:hAnsi="宋体" w:eastAsia="宋体" w:cs="宋体"/>
          <w:color w:val="auto"/>
          <w:spacing w:val="0"/>
          <w:position w:val="0"/>
          <w:sz w:val="21"/>
          <w:szCs w:val="21"/>
          <w:highlight w:val="none"/>
          <w:lang w:eastAsia="zh-CN"/>
        </w:rPr>
        <w:t>GLZC2026-J1-990345-GXCJ</w:t>
      </w:r>
    </w:p>
    <w:p w14:paraId="6BD7336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1.2 本竞争性谈判文件（以下简称谈判文件）适用于本谈判项目的谈判、评审、合同履约、验收、 付款等行为（法律、法规另有规定的，从其规定）。</w:t>
      </w:r>
    </w:p>
    <w:p w14:paraId="7EF0523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2.定义</w:t>
      </w:r>
    </w:p>
    <w:p w14:paraId="2B929B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2.1“供应商 ”：是指符合本次采购项目的供应商资格并提交响应文件、参加谈判的供应商。如果 该供应商在本次谈判中成交，即成为“成交供应商 ”。</w:t>
      </w:r>
    </w:p>
    <w:p w14:paraId="0FCC98A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2.2“服务 ”：系指按谈判文件规定，供应商须承担的安装、调试、技术协助、校准、培训、技术 指导以及其他类似的义务。</w:t>
      </w:r>
    </w:p>
    <w:p w14:paraId="3987FE3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2.3 “项目 ”：系指供应商按谈判文件规定向采购人提供的服务。</w:t>
      </w:r>
    </w:p>
    <w:p w14:paraId="7CD7514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2.4 “书面形式 ”：包括信函、传真、电报等。</w:t>
      </w:r>
    </w:p>
    <w:p w14:paraId="5B7A8D9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2.5“响应文件</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”：本项目实行全流程电子化采购，供应商通过广西政府采购云平台参与电子竞标。</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响应文件特指供应商按本谈判文件规定提交的电子响应文件（包括因特殊情况无法解密或解密失败提交的电子备份响应文件）。</w:t>
      </w:r>
    </w:p>
    <w:p w14:paraId="6B2736A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2.6</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实质性要求：谈判文件“采购需求</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”中所有条款以及谈判文件要求“必须提供</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”的条款均属</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于实质性要求，必须满足。</w:t>
      </w:r>
    </w:p>
    <w:p w14:paraId="7606DC1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3.供应商资格</w:t>
      </w:r>
    </w:p>
    <w:p w14:paraId="7C739E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3.1 满足《中华人民共和国政府采购法》第二十二条规定。</w:t>
      </w:r>
    </w:p>
    <w:p w14:paraId="1049AC0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val="en-US" w:eastAsia="zh-CN"/>
        </w:rPr>
      </w:pPr>
      <w:r>
        <w:rPr>
          <w:rFonts w:ascii="宋体" w:hAnsi="宋体" w:eastAsia="宋体" w:cs="宋体"/>
          <w:color w:val="auto"/>
          <w:spacing w:val="0"/>
          <w:position w:val="0"/>
          <w:sz w:val="21"/>
          <w:szCs w:val="21"/>
          <w:highlight w:val="none"/>
        </w:rPr>
        <w:t>3.2 落实政府采购政策需满足的资格要求：</w:t>
      </w:r>
      <w:r>
        <w:rPr>
          <w:rFonts w:hint="eastAsia" w:ascii="宋体" w:hAnsi="宋体" w:eastAsia="宋体" w:cs="宋体"/>
          <w:color w:val="auto"/>
          <w:spacing w:val="0"/>
          <w:position w:val="0"/>
          <w:sz w:val="21"/>
          <w:szCs w:val="21"/>
          <w:highlight w:val="none"/>
          <w:lang w:val="en-US" w:eastAsia="zh-CN"/>
        </w:rPr>
        <w:t>无</w:t>
      </w:r>
    </w:p>
    <w:p w14:paraId="78765A6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3.3 本项目的特定资格要求：无。</w:t>
      </w:r>
    </w:p>
    <w:p w14:paraId="18BBDF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3.4 资格条件特别说明：</w:t>
      </w:r>
    </w:p>
    <w:p w14:paraId="1CC0E6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（1）单位负责人为同一人或者存在直接控股、管理关系的不同供应商，不得参加同一合同项下的政府采购活动。除单一来源采购项目外，为采购项目提供整体设计、规范编制或者项目管理、监理、 检测等服务的供应商，不得再参加该采购项目的其他采购活动。</w:t>
      </w:r>
    </w:p>
    <w:p w14:paraId="1158563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（2）对在“信用中国”网站(</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"https://www.creditchina.gov.cn"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www.creditchina.gov.cn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 、中国政府采购网(</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"https://www.ccgp.gov.cn"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www.ccgp.gov.cn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2E6202A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4.参与电子竞标的准备工作</w:t>
      </w:r>
    </w:p>
    <w:p w14:paraId="61864E2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4.1 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 CA 证书申领和绑定（费用由供应商自行承担，办理流程详见广西壮族自治区政府采购网—办事服务—下载专区，完成 CA 证书办理预计一周左右，建议供应商尽快办 理）；③下载“广西壮族自治区全流程电子招投标项目管理系统--供应商客户端 ”（操作方法详见广西壮族自治区政府采购网—办事服务—下载专区， 以下称“广西政府采购云平台电子投标客户端 ”） 并安装成功，供应商应当在响应文件提交截止时间前在广西政府采购云平台完成的身份认证，确保能 够对相关数据电文进行加密和使用电子签章；④自备计算机和网络设备并确保能接入互联网（费用由 供应商自行承担，设备确保可进行视频通话和读取广西政府采购云平台CA 证书）。因供应商未做好相 关准备工作等自身原因导致无法参加本项目电子竞标或竞标失败的，造成的一切后果， 由供应商自行 承担。</w:t>
      </w:r>
    </w:p>
    <w:p w14:paraId="5C129F8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4.2 电子竞标具体操作流程参考《政府采购项目电子交易管理操作指南-供应商》（详见桂林市政府采购网—采购资讯—重要通知）；如遇平台技术问题详询 95763 或者 0771-3381253。</w:t>
      </w:r>
    </w:p>
    <w:p w14:paraId="0ED2DA2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4.3 不论谈判结果如何，供应商均应自行承担所有与谈判有关的全部费用。</w:t>
      </w:r>
    </w:p>
    <w:p w14:paraId="63F75F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5.联合体要求：</w:t>
      </w:r>
    </w:p>
    <w:p w14:paraId="7A35AD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本项目不接受联合体参与谈判。</w:t>
      </w:r>
    </w:p>
    <w:p w14:paraId="752C9C3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6.质疑和投诉</w:t>
      </w:r>
    </w:p>
    <w:p w14:paraId="5910FCF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6.1 供应商认为谈判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 以书面形式向采购代理机构提出质疑</w:t>
      </w:r>
      <w:r>
        <w:rPr>
          <w:rFonts w:ascii="宋体" w:hAnsi="宋体" w:eastAsia="宋体" w:cs="宋体"/>
          <w:b/>
          <w:bCs/>
          <w:color w:val="auto"/>
          <w:spacing w:val="0"/>
          <w:position w:val="0"/>
          <w:sz w:val="21"/>
          <w:szCs w:val="21"/>
          <w:highlight w:val="none"/>
        </w:rPr>
        <w:t>（“质疑函”格式见附表1）</w:t>
      </w:r>
      <w:r>
        <w:rPr>
          <w:rFonts w:ascii="宋体" w:hAnsi="宋体" w:eastAsia="宋体" w:cs="宋体"/>
          <w:color w:val="auto"/>
          <w:spacing w:val="0"/>
          <w:position w:val="0"/>
          <w:sz w:val="21"/>
          <w:szCs w:val="21"/>
          <w:highlight w:val="none"/>
        </w:rPr>
        <w:t xml:space="preserve"> 。否则，采购代理机构有权拒收。</w:t>
      </w:r>
    </w:p>
    <w:p w14:paraId="348445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采购代理机构应认真做好质疑处理工作，对于质疑供应商在法定质疑期内提出的质疑函，应当在收到质疑函后 7 个工作日内作出答复，并以书面形式通知质疑供应商和其他有关供应商。</w:t>
      </w:r>
    </w:p>
    <w:p w14:paraId="0B26120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52DDA60A">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6.2 供应商对采购代理机构的质疑答复不满意或者采购代理机构未在规定的时间内作出答复的，可以在答复期满后十五个工作日内向桂林市财政局投诉</w:t>
      </w:r>
      <w:r>
        <w:rPr>
          <w:rFonts w:ascii="宋体" w:hAnsi="宋体" w:eastAsia="宋体" w:cs="宋体"/>
          <w:b/>
          <w:bCs/>
          <w:color w:val="auto"/>
          <w:spacing w:val="0"/>
          <w:position w:val="0"/>
          <w:sz w:val="21"/>
          <w:szCs w:val="21"/>
          <w:highlight w:val="none"/>
        </w:rPr>
        <w:t>（“投诉书”格式见附表</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2）</w:t>
      </w:r>
      <w:r>
        <w:rPr>
          <w:rFonts w:ascii="宋体" w:hAnsi="宋体" w:eastAsia="宋体" w:cs="宋体"/>
          <w:color w:val="auto"/>
          <w:spacing w:val="0"/>
          <w:position w:val="0"/>
          <w:sz w:val="21"/>
          <w:szCs w:val="21"/>
          <w:highlight w:val="none"/>
        </w:rPr>
        <w:t>。</w:t>
      </w:r>
    </w:p>
    <w:p w14:paraId="25A4571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6.3 质疑、投诉应当采用书面形式，质疑书、投诉书实行实名制，均应明确阐述谈判文件、谈判过程或成交结果中使自己合法权益受到损害的实质性内容，并提供必要的证明材料。</w:t>
      </w:r>
    </w:p>
    <w:p w14:paraId="7115A72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供应商提出质疑应当提交质疑函和必要的证明材料，针对同一采购程序环节的质疑必须在法定质疑期内一次性提出。质疑函应当包括下列内容：</w:t>
      </w:r>
    </w:p>
    <w:p w14:paraId="01FFCA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（1）供应商的姓名或者名称、地址、邮编、联系人及联系电话；</w:t>
      </w:r>
    </w:p>
    <w:p w14:paraId="38E9642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（2）质疑项目的名称、编号；</w:t>
      </w:r>
    </w:p>
    <w:p w14:paraId="0C107A7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（3）具体、明确的质疑事项和与质疑事项相关的请求；</w:t>
      </w:r>
    </w:p>
    <w:p w14:paraId="14FE54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（4）事实依据；</w:t>
      </w:r>
    </w:p>
    <w:p w14:paraId="46B462B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（5）必要的法律依据；</w:t>
      </w:r>
    </w:p>
    <w:p w14:paraId="11DF5CA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（6）提出质疑的日期。</w:t>
      </w:r>
    </w:p>
    <w:p w14:paraId="7AB1B26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供应商为自然人的，应当由本人签字；供应商为法人或者其他组织的，应当由法定代表人、主要 负责人，或者其授权代表签字或者盖章，并加盖公章。</w:t>
      </w:r>
    </w:p>
    <w:p w14:paraId="590392D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接收质疑函方式： 以书面形式</w:t>
      </w:r>
    </w:p>
    <w:p w14:paraId="3FC93BC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质疑联系部门及联系方式：</w:t>
      </w:r>
      <w:r>
        <w:rPr>
          <w:rFonts w:hint="eastAsia" w:ascii="宋体" w:hAnsi="宋体" w:eastAsia="宋体" w:cs="宋体"/>
          <w:color w:val="auto"/>
          <w:spacing w:val="0"/>
          <w:position w:val="0"/>
          <w:sz w:val="21"/>
          <w:szCs w:val="21"/>
          <w:highlight w:val="none"/>
          <w:lang w:eastAsia="zh-CN"/>
        </w:rPr>
        <w:t>广西昶吉工程项目管理有限公司</w:t>
      </w:r>
      <w:r>
        <w:rPr>
          <w:rFonts w:ascii="宋体" w:hAnsi="宋体" w:eastAsia="宋体" w:cs="宋体"/>
          <w:color w:val="auto"/>
          <w:spacing w:val="0"/>
          <w:position w:val="0"/>
          <w:sz w:val="21"/>
          <w:szCs w:val="21"/>
          <w:highlight w:val="none"/>
        </w:rPr>
        <w:t>，联系人：</w:t>
      </w:r>
      <w:r>
        <w:rPr>
          <w:rFonts w:hint="eastAsia" w:ascii="宋体" w:hAnsi="宋体" w:eastAsia="宋体" w:cs="宋体"/>
          <w:color w:val="auto"/>
          <w:spacing w:val="0"/>
          <w:position w:val="0"/>
          <w:sz w:val="21"/>
          <w:szCs w:val="21"/>
          <w:highlight w:val="none"/>
          <w:lang w:val="en-US" w:eastAsia="zh-CN"/>
        </w:rPr>
        <w:t>周工</w:t>
      </w:r>
      <w:r>
        <w:rPr>
          <w:rFonts w:ascii="宋体" w:hAnsi="宋体" w:eastAsia="宋体" w:cs="宋体"/>
          <w:color w:val="auto"/>
          <w:spacing w:val="0"/>
          <w:position w:val="0"/>
          <w:sz w:val="21"/>
          <w:szCs w:val="21"/>
          <w:highlight w:val="none"/>
        </w:rPr>
        <w:t>，联系电话：</w:t>
      </w:r>
      <w:r>
        <w:rPr>
          <w:rFonts w:hint="eastAsia" w:ascii="宋体" w:hAnsi="宋体" w:eastAsia="宋体" w:cs="宋体"/>
          <w:color w:val="auto"/>
          <w:spacing w:val="0"/>
          <w:position w:val="0"/>
          <w:sz w:val="21"/>
          <w:szCs w:val="21"/>
          <w:highlight w:val="none"/>
          <w:lang w:eastAsia="zh-CN"/>
        </w:rPr>
        <w:t>0773-2534755</w:t>
      </w:r>
      <w:r>
        <w:rPr>
          <w:rFonts w:ascii="宋体" w:hAnsi="宋体" w:eastAsia="宋体" w:cs="宋体"/>
          <w:color w:val="auto"/>
          <w:spacing w:val="0"/>
          <w:position w:val="0"/>
          <w:sz w:val="21"/>
          <w:szCs w:val="21"/>
          <w:highlight w:val="none"/>
        </w:rPr>
        <w:t>。通讯地址：</w:t>
      </w:r>
      <w:r>
        <w:rPr>
          <w:rFonts w:hint="eastAsia" w:ascii="宋体" w:hAnsi="宋体" w:eastAsia="宋体" w:cs="宋体"/>
          <w:color w:val="auto"/>
          <w:spacing w:val="0"/>
          <w:position w:val="0"/>
          <w:sz w:val="21"/>
          <w:szCs w:val="21"/>
          <w:highlight w:val="none"/>
          <w:lang w:eastAsia="zh-CN"/>
        </w:rPr>
        <w:t>桂林市七星区莫家里二路文化楼二楼</w:t>
      </w:r>
      <w:r>
        <w:rPr>
          <w:rFonts w:ascii="宋体" w:hAnsi="宋体" w:eastAsia="宋体" w:cs="宋体"/>
          <w:color w:val="auto"/>
          <w:spacing w:val="0"/>
          <w:position w:val="0"/>
          <w:sz w:val="21"/>
          <w:szCs w:val="21"/>
          <w:highlight w:val="none"/>
        </w:rPr>
        <w:t>。</w:t>
      </w:r>
    </w:p>
    <w:p w14:paraId="043BDD3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7.转包与分包</w:t>
      </w:r>
    </w:p>
    <w:p w14:paraId="5219121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7.1 本项目不允许转包。</w:t>
      </w:r>
    </w:p>
    <w:p w14:paraId="4D78BC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7.2 本项目不可以分包。</w:t>
      </w:r>
    </w:p>
    <w:p w14:paraId="718E0C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8.</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特别说明</w:t>
      </w:r>
    </w:p>
    <w:p w14:paraId="72AB2F5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8.1 提供相同品牌产品的不同供应商参加同一合同项下谈判的，以其中通过资格审查、符合性审查且最后报价最低的参加评审，最后报价相同的， 由采购人自主选择确定一个参加评审的供应商；非单一产品采购项目中，多家供应商提供的核心产品品牌相同的，视为提供相同品牌产品。</w:t>
      </w:r>
    </w:p>
    <w:p w14:paraId="2878E9F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8.2 关联供应商不得参加同一合同项下政府采购活动，否则响应文件将被视为无效：</w:t>
      </w:r>
    </w:p>
    <w:p w14:paraId="504B593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（1）单位负责人为同一人或者存在直接控股、管理关系的不同供应商，不得参加同一合同项下的 政府采购活动。</w:t>
      </w:r>
    </w:p>
    <w:p w14:paraId="458A907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（2）为本采购项目提供整体设计、规范编制或者项目管理、监理、检测等服务的供应商，不得再 参加本次采购活动。</w:t>
      </w:r>
    </w:p>
    <w:p w14:paraId="2D67F05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（3）生产厂商授权给供应商后自己不得参加同一合同项下的政府采购活动；生产厂商对同一品牌 同一型号的货物，仅能委托一个代理商参加谈判。</w:t>
      </w:r>
    </w:p>
    <w:p w14:paraId="196B770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8.3 供应商必须仔细阅读招标文件的所有内容，按照谈判文件的要求提交响应文件，并对所提供的全部资料的真实性承担法律责任。</w:t>
      </w:r>
    </w:p>
    <w:p w14:paraId="408BD3C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9.4 供应商在采购活动中提供任何虚假材料，其响应无效，并报监管部门查处；成交后发现的，成交供应商须依照《中华人民共和国消费者权益保护法》规定赔偿采购人，且民事赔偿并不免除违法供应商的行政与刑事责任。</w:t>
      </w:r>
    </w:p>
    <w:p w14:paraId="47557F11">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6CF82B2">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二、谈判文件</w:t>
      </w:r>
    </w:p>
    <w:p w14:paraId="095EE3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9.谈判文件的构成</w:t>
      </w:r>
    </w:p>
    <w:p w14:paraId="5DE2BBF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（1）竞争性谈判公告；</w:t>
      </w:r>
    </w:p>
    <w:p w14:paraId="41B8B1A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（2）供应商须知；</w:t>
      </w:r>
    </w:p>
    <w:p w14:paraId="7F38435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（3）采购需求；</w:t>
      </w:r>
    </w:p>
    <w:p w14:paraId="77B62FF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（4）评审办法；</w:t>
      </w:r>
    </w:p>
    <w:p w14:paraId="234A686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（5）政府采购合同（合同主要条款及格式）；</w:t>
      </w:r>
    </w:p>
    <w:p w14:paraId="4FA706E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（6）响应文件（格式）。</w:t>
      </w:r>
    </w:p>
    <w:p w14:paraId="463234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10.谈判文件的澄清与修改</w:t>
      </w:r>
    </w:p>
    <w:p w14:paraId="756590C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10.1 提交首次响应文件截止之日前，采购代理机构可以对已发出的谈判文件进行必要澄清或者修改，澄清或者修改的内容可能影响响应文件编制的，采购代理机构应当在提交首次响应文件提交截止时间三个工作日前在本项目竞争性谈判公告发布的同一媒体上发布更正公告，不足三个工作日的，应当顺延首次响应文件提交截止时间。</w:t>
      </w:r>
    </w:p>
    <w:p w14:paraId="10F3414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10.2 供应商应实时关注本项目信息公告发布媒体相关网站了解澄清、修改等与项目有关的内容，如因供应商未及时登录本项目信息公告发布媒体相关网站了解澄清、修改等与项目有关的内容，从而导致响应文件无效的， 由供应商自行承担责任。</w:t>
      </w:r>
    </w:p>
    <w:p w14:paraId="079AC1C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10.3 澄清或者修改的内容为谈判文件的组成部分。当澄清或者修改通知就同一内容的表述不一致时， 以最后发出的书面文件为准。</w:t>
      </w:r>
    </w:p>
    <w:p w14:paraId="491C0FC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10.4 谈判文件的澄清或者修改都应该通过本项目采购代理机构以法定形式发布，采购人非通过本机构，不得擅自澄清、答复、修改或补充谈判文件。</w:t>
      </w:r>
    </w:p>
    <w:p w14:paraId="02AEB77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10.5 采购代理机构可以视采购具体情况，延长响应文件提交截止时间和谈判时间，并在本项目竞争性谈判公告发布的同一媒体上发布变更公告。</w:t>
      </w:r>
    </w:p>
    <w:p w14:paraId="15733C7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C554EF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61E4153">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三、响应文件的编制</w:t>
      </w:r>
    </w:p>
    <w:p w14:paraId="3545A6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11.响应文件（以下简称响应文件）的组成及要求</w:t>
      </w:r>
    </w:p>
    <w:p w14:paraId="24ACC1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11.1</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响应文件组成【格式见第六章“响应文件（格式）</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w:t>
      </w:r>
    </w:p>
    <w:p w14:paraId="2CB760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11.1.1</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资格性响应证明材料：</w:t>
      </w:r>
    </w:p>
    <w:p w14:paraId="5ADF3AD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1</w:t>
      </w:r>
      <w:r>
        <w:rPr>
          <w:rFonts w:ascii="宋体" w:hAnsi="宋体" w:eastAsia="宋体" w:cs="宋体"/>
          <w:color w:val="auto"/>
          <w:spacing w:val="0"/>
          <w:position w:val="0"/>
          <w:sz w:val="21"/>
          <w:szCs w:val="21"/>
          <w:highlight w:val="none"/>
        </w:rPr>
        <w:t>）供应商相应的法定代表人(负责人、 自然人)身份证正反两面复印件</w:t>
      </w:r>
      <w:r>
        <w:rPr>
          <w:rFonts w:ascii="宋体" w:hAnsi="宋体" w:eastAsia="宋体" w:cs="宋体"/>
          <w:b/>
          <w:bCs/>
          <w:color w:val="auto"/>
          <w:spacing w:val="0"/>
          <w:position w:val="0"/>
          <w:sz w:val="21"/>
          <w:szCs w:val="21"/>
          <w:highlight w:val="none"/>
        </w:rPr>
        <w:t>（必须提供）</w:t>
      </w:r>
      <w:r>
        <w:rPr>
          <w:rFonts w:ascii="宋体" w:hAnsi="宋体" w:eastAsia="宋体" w:cs="宋体"/>
          <w:color w:val="auto"/>
          <w:spacing w:val="0"/>
          <w:position w:val="0"/>
          <w:sz w:val="21"/>
          <w:szCs w:val="21"/>
          <w:highlight w:val="none"/>
        </w:rPr>
        <w:t>；</w:t>
      </w:r>
    </w:p>
    <w:p w14:paraId="609155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2</w:t>
      </w:r>
      <w:r>
        <w:rPr>
          <w:rFonts w:ascii="宋体" w:hAnsi="宋体" w:eastAsia="宋体" w:cs="宋体"/>
          <w:color w:val="auto"/>
          <w:spacing w:val="0"/>
          <w:position w:val="0"/>
          <w:sz w:val="21"/>
          <w:szCs w:val="21"/>
          <w:highlight w:val="none"/>
        </w:rPr>
        <w:t>）供应商的授权委托书原件、委托代理人身份证正反面复印</w:t>
      </w:r>
      <w:r>
        <w:rPr>
          <w:rFonts w:hint="eastAsia" w:ascii="宋体" w:hAnsi="宋体" w:eastAsia="宋体" w:cs="宋体"/>
          <w:color w:val="auto"/>
          <w:spacing w:val="0"/>
          <w:position w:val="0"/>
          <w:sz w:val="21"/>
          <w:szCs w:val="21"/>
          <w:highlight w:val="none"/>
          <w:lang w:val="en-US" w:eastAsia="zh-CN"/>
        </w:rPr>
        <w:t>件</w:t>
      </w:r>
      <w:r>
        <w:rPr>
          <w:rFonts w:ascii="宋体" w:hAnsi="宋体" w:eastAsia="宋体" w:cs="宋体"/>
          <w:b/>
          <w:bCs/>
          <w:color w:val="auto"/>
          <w:spacing w:val="0"/>
          <w:position w:val="0"/>
          <w:sz w:val="21"/>
          <w:szCs w:val="21"/>
          <w:highlight w:val="none"/>
        </w:rPr>
        <w:t>（委托代理时必须提供）</w:t>
      </w:r>
      <w:r>
        <w:rPr>
          <w:rFonts w:ascii="宋体" w:hAnsi="宋体" w:eastAsia="宋体" w:cs="宋体"/>
          <w:color w:val="auto"/>
          <w:spacing w:val="0"/>
          <w:position w:val="0"/>
          <w:sz w:val="21"/>
          <w:szCs w:val="21"/>
          <w:highlight w:val="none"/>
        </w:rPr>
        <w:t>；</w:t>
      </w:r>
    </w:p>
    <w:p w14:paraId="5C649D0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3</w:t>
      </w:r>
      <w:r>
        <w:rPr>
          <w:rFonts w:ascii="宋体" w:hAnsi="宋体" w:eastAsia="宋体" w:cs="宋体"/>
          <w:color w:val="auto"/>
          <w:spacing w:val="0"/>
          <w:position w:val="0"/>
          <w:sz w:val="21"/>
          <w:szCs w:val="21"/>
          <w:highlight w:val="none"/>
        </w:rPr>
        <w:t>）供应商的法人或者其他组织营业执照等证明文件复印件</w:t>
      </w:r>
      <w:r>
        <w:rPr>
          <w:rFonts w:ascii="宋体" w:hAnsi="宋体" w:eastAsia="宋体" w:cs="宋体"/>
          <w:b/>
          <w:bCs/>
          <w:color w:val="auto"/>
          <w:spacing w:val="0"/>
          <w:position w:val="0"/>
          <w:sz w:val="21"/>
          <w:szCs w:val="21"/>
          <w:highlight w:val="none"/>
        </w:rPr>
        <w:t>（必须提供，</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自然人除外）；</w:t>
      </w:r>
    </w:p>
    <w:p w14:paraId="62954DB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”或“营业执照；供应商为事业单位，应提供有效的“事业单位法人证书</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”；供应商为非企业专业服务机构的，应提供执业许可证等证明文件；供应商为个体工商户，应提供有效的“个体工商户营业执照</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”。③如供应商为企业法人的分支机构的，除应提供营业执照复印件外，还应提供其所属的总公司授权其参加政府采购活动的授权文件或授权其独立开展经营业务活动的证明材料复印件。</w:t>
      </w:r>
    </w:p>
    <w:p w14:paraId="58314E7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Chars="200" w:right="0" w:rightChars="0"/>
        <w:jc w:val="both"/>
        <w:textAlignment w:val="baseline"/>
        <w:rPr>
          <w:rFonts w:ascii="宋体" w:hAnsi="宋体" w:eastAsia="宋体" w:cs="宋体"/>
          <w:b/>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lang w:val="en-US" w:eastAsia="zh-CN"/>
        </w:rPr>
        <w:t>4）</w:t>
      </w:r>
      <w:r>
        <w:rPr>
          <w:rFonts w:hint="eastAsia" w:ascii="宋体" w:hAnsi="宋体" w:eastAsia="宋体" w:cs="宋体"/>
          <w:color w:val="auto"/>
          <w:spacing w:val="0"/>
          <w:position w:val="0"/>
          <w:sz w:val="21"/>
          <w:szCs w:val="21"/>
          <w:highlight w:val="none"/>
          <w:lang w:eastAsia="zh-CN"/>
        </w:rPr>
        <w:t>供应商的财务状况报告复印件</w:t>
      </w:r>
      <w:r>
        <w:rPr>
          <w:rFonts w:ascii="宋体" w:hAnsi="宋体" w:eastAsia="宋体" w:cs="宋体"/>
          <w:b/>
          <w:bCs/>
          <w:color w:val="auto"/>
          <w:spacing w:val="0"/>
          <w:position w:val="0"/>
          <w:sz w:val="21"/>
          <w:szCs w:val="21"/>
          <w:highlight w:val="none"/>
        </w:rPr>
        <w:t>（必须提供）；</w:t>
      </w:r>
    </w:p>
    <w:p w14:paraId="0DB998D0">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exact"/>
        <w:ind w:firstLine="420" w:firstLineChars="200"/>
        <w:jc w:val="left"/>
        <w:textAlignment w:val="auto"/>
        <w:rPr>
          <w:rFonts w:hAnsi="宋体"/>
          <w:b/>
          <w:color w:val="auto"/>
          <w:highlight w:val="none"/>
        </w:rPr>
      </w:pPr>
      <w:r>
        <w:rPr>
          <w:rFonts w:hint="eastAsia" w:hAnsi="宋体"/>
          <w:b/>
          <w:color w:val="auto"/>
          <w:highlight w:val="none"/>
        </w:rPr>
        <w:t>注：</w:t>
      </w:r>
      <w:r>
        <w:rPr>
          <w:rFonts w:hint="eastAsia" w:hAnsi="宋体" w:eastAsia="宋体"/>
          <w:b/>
          <w:color w:val="auto"/>
          <w:highlight w:val="none"/>
          <w:lang w:val="en-US" w:eastAsia="zh-CN"/>
        </w:rPr>
        <w:t>供应商</w:t>
      </w:r>
      <w:r>
        <w:rPr>
          <w:rFonts w:hint="eastAsia" w:hAnsi="宋体"/>
          <w:b/>
          <w:color w:val="auto"/>
          <w:highlight w:val="none"/>
        </w:rPr>
        <w:t>2025年度的财务报表复印件，或者2026年以来银行出具的资信证明，或者2026年以来中国人民银行征信中心出具的信用报告（企业参与</w:t>
      </w:r>
      <w:r>
        <w:rPr>
          <w:rFonts w:hint="eastAsia" w:hAnsi="宋体" w:eastAsia="宋体"/>
          <w:b/>
          <w:color w:val="auto"/>
          <w:highlight w:val="none"/>
          <w:lang w:val="en-US" w:eastAsia="zh-CN"/>
        </w:rPr>
        <w:t>竞</w:t>
      </w:r>
      <w:r>
        <w:rPr>
          <w:rFonts w:hint="eastAsia" w:hAnsi="宋体"/>
          <w:b/>
          <w:color w:val="auto"/>
          <w:highlight w:val="none"/>
        </w:rPr>
        <w:t>标的提供企业信用报告，自然人参与</w:t>
      </w:r>
      <w:r>
        <w:rPr>
          <w:rFonts w:hint="eastAsia" w:hAnsi="宋体" w:eastAsia="宋体"/>
          <w:b/>
          <w:color w:val="auto"/>
          <w:highlight w:val="none"/>
          <w:lang w:val="en-US" w:eastAsia="zh-CN"/>
        </w:rPr>
        <w:t>竞</w:t>
      </w:r>
      <w:r>
        <w:rPr>
          <w:rFonts w:hint="eastAsia" w:hAnsi="宋体"/>
          <w:b/>
          <w:color w:val="auto"/>
          <w:highlight w:val="none"/>
        </w:rPr>
        <w:t>标的提供个人信用报告，</w:t>
      </w:r>
      <w:r>
        <w:rPr>
          <w:rFonts w:hint="eastAsia" w:hAnsi="宋体" w:eastAsia="宋体"/>
          <w:b/>
          <w:color w:val="auto"/>
          <w:highlight w:val="none"/>
          <w:lang w:val="en-US" w:eastAsia="zh-CN"/>
        </w:rPr>
        <w:t>供应商</w:t>
      </w:r>
      <w:r>
        <w:rPr>
          <w:rFonts w:hint="eastAsia" w:hAnsi="宋体"/>
          <w:b/>
          <w:color w:val="auto"/>
          <w:highlight w:val="none"/>
        </w:rPr>
        <w:t>属于成立时间在规定年度之后的法人或其他组织，需提供成立之日起至投标文件递交截止时间前的月报表或银行出具的资信证明或者中国人民银行征信中心出具的企业信用报告；资信证明应在有效期内）</w:t>
      </w:r>
      <w:r>
        <w:rPr>
          <w:rFonts w:ascii="宋体" w:hAnsi="宋体" w:eastAsia="宋体" w:cs="宋体"/>
          <w:b/>
          <w:bCs/>
          <w:color w:val="auto"/>
          <w:spacing w:val="0"/>
          <w:position w:val="0"/>
          <w:sz w:val="21"/>
          <w:szCs w:val="21"/>
          <w:highlight w:val="none"/>
        </w:rPr>
        <w:t>（必须提供）</w:t>
      </w:r>
      <w:r>
        <w:rPr>
          <w:rFonts w:hint="eastAsia" w:hAnsi="宋体"/>
          <w:b/>
          <w:color w:val="auto"/>
          <w:highlight w:val="none"/>
        </w:rPr>
        <w:t>。</w:t>
      </w:r>
    </w:p>
    <w:p w14:paraId="7D983A0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5</w:t>
      </w: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eastAsia="zh-CN"/>
        </w:rPr>
        <w:t>供应商 2026年以来任意一个月依法缴纳税收的相关材料复印件</w:t>
      </w:r>
      <w:r>
        <w:rPr>
          <w:rFonts w:hint="eastAsia" w:ascii="宋体" w:hAnsi="宋体"/>
          <w:bCs/>
          <w:color w:val="auto"/>
          <w:szCs w:val="21"/>
          <w:highlight w:val="none"/>
        </w:rPr>
        <w:t>【增值税发票(税收完税证明) 或企业所得税完税证明或税务部门出具的免税（无欠税）证明等证明材料】复印件</w:t>
      </w:r>
      <w:r>
        <w:rPr>
          <w:rFonts w:hint="eastAsia" w:ascii="宋体" w:hAnsi="宋体"/>
          <w:b/>
          <w:color w:val="auto"/>
          <w:szCs w:val="21"/>
          <w:highlight w:val="none"/>
        </w:rPr>
        <w:t>（必须提供，从成立之日起到</w:t>
      </w:r>
      <w:r>
        <w:rPr>
          <w:rFonts w:hint="eastAsia" w:ascii="宋体" w:hAnsi="宋体" w:eastAsia="宋体"/>
          <w:b/>
          <w:color w:val="auto"/>
          <w:szCs w:val="21"/>
          <w:highlight w:val="none"/>
          <w:lang w:val="en-US" w:eastAsia="zh-CN"/>
        </w:rPr>
        <w:t>响应</w:t>
      </w:r>
      <w:r>
        <w:rPr>
          <w:rFonts w:hint="eastAsia" w:ascii="宋体" w:hAnsi="宋体"/>
          <w:b/>
          <w:color w:val="auto"/>
          <w:szCs w:val="21"/>
          <w:highlight w:val="none"/>
        </w:rPr>
        <w:t>文件提交截止时间止不足一个月的，则无需提供）</w:t>
      </w:r>
      <w:r>
        <w:rPr>
          <w:rFonts w:ascii="宋体" w:hAnsi="宋体" w:eastAsia="宋体" w:cs="宋体"/>
          <w:b/>
          <w:bCs/>
          <w:color w:val="auto"/>
          <w:spacing w:val="0"/>
          <w:position w:val="0"/>
          <w:sz w:val="21"/>
          <w:szCs w:val="21"/>
          <w:highlight w:val="none"/>
        </w:rPr>
        <w:t>；</w:t>
      </w:r>
    </w:p>
    <w:p w14:paraId="0E0384D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6</w:t>
      </w:r>
      <w:r>
        <w:rPr>
          <w:rFonts w:ascii="宋体" w:hAnsi="宋体" w:eastAsia="宋体" w:cs="宋体"/>
          <w:color w:val="auto"/>
          <w:spacing w:val="0"/>
          <w:position w:val="0"/>
          <w:sz w:val="21"/>
          <w:szCs w:val="21"/>
          <w:highlight w:val="none"/>
        </w:rPr>
        <w:t>）供应商参加政府采购活动前 3 年内在经营活动中没有重大违法记录及有关信用信息的书面声明</w:t>
      </w:r>
      <w:r>
        <w:rPr>
          <w:rFonts w:ascii="宋体" w:hAnsi="宋体" w:eastAsia="宋体" w:cs="宋体"/>
          <w:b/>
          <w:bCs/>
          <w:color w:val="auto"/>
          <w:spacing w:val="0"/>
          <w:position w:val="0"/>
          <w:sz w:val="21"/>
          <w:szCs w:val="21"/>
          <w:highlight w:val="none"/>
        </w:rPr>
        <w:t>（必须提供）；</w:t>
      </w:r>
    </w:p>
    <w:p w14:paraId="6B9124A3">
      <w:pPr>
        <w:numPr>
          <w:ilvl w:val="0"/>
          <w:numId w:val="0"/>
        </w:numPr>
        <w:autoSpaceDE w:val="0"/>
        <w:autoSpaceDN w:val="0"/>
        <w:snapToGrid w:val="0"/>
        <w:spacing w:line="360" w:lineRule="exact"/>
        <w:ind w:firstLine="420" w:firstLineChars="200"/>
        <w:jc w:val="left"/>
        <w:rPr>
          <w:rFonts w:hAnsi="宋体"/>
          <w:b/>
          <w:color w:val="auto"/>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7</w:t>
      </w:r>
      <w:r>
        <w:rPr>
          <w:rFonts w:ascii="宋体" w:hAnsi="宋体" w:eastAsia="宋体" w:cs="宋体"/>
          <w:color w:val="auto"/>
          <w:spacing w:val="0"/>
          <w:position w:val="0"/>
          <w:sz w:val="21"/>
          <w:szCs w:val="21"/>
          <w:highlight w:val="none"/>
        </w:rPr>
        <w:t>）</w:t>
      </w:r>
      <w:r>
        <w:rPr>
          <w:rFonts w:hint="eastAsia" w:hAnsi="宋体" w:eastAsia="宋体"/>
          <w:b w:val="0"/>
          <w:bCs/>
          <w:color w:val="auto"/>
          <w:highlight w:val="none"/>
          <w:lang w:val="en-US" w:eastAsia="zh-CN"/>
        </w:rPr>
        <w:t>供应商</w:t>
      </w:r>
      <w:r>
        <w:rPr>
          <w:rFonts w:hint="eastAsia" w:hAnsi="宋体"/>
          <w:b w:val="0"/>
          <w:bCs/>
          <w:color w:val="auto"/>
          <w:highlight w:val="none"/>
        </w:rPr>
        <w:t>依法缴纳社会保障资金的相关材料</w:t>
      </w:r>
      <w:r>
        <w:rPr>
          <w:rFonts w:hint="eastAsia" w:hAnsi="宋体"/>
          <w:b/>
          <w:color w:val="auto"/>
          <w:highlight w:val="none"/>
        </w:rPr>
        <w:t>（必须提供）；</w:t>
      </w:r>
    </w:p>
    <w:p w14:paraId="73F89EEF">
      <w:pPr>
        <w:autoSpaceDE w:val="0"/>
        <w:autoSpaceDN w:val="0"/>
        <w:snapToGrid w:val="0"/>
        <w:spacing w:line="360" w:lineRule="exact"/>
        <w:ind w:firstLine="420" w:firstLineChars="200"/>
        <w:jc w:val="left"/>
        <w:rPr>
          <w:rFonts w:hAnsi="宋体"/>
          <w:b/>
          <w:color w:val="auto"/>
          <w:highlight w:val="none"/>
        </w:rPr>
      </w:pPr>
      <w:r>
        <w:rPr>
          <w:rFonts w:hint="eastAsia" w:hAnsi="宋体"/>
          <w:b/>
          <w:color w:val="auto"/>
          <w:highlight w:val="none"/>
        </w:rPr>
        <w:t>注：</w:t>
      </w:r>
      <w:r>
        <w:rPr>
          <w:rFonts w:hint="eastAsia" w:hAnsi="宋体" w:eastAsia="宋体"/>
          <w:b/>
          <w:color w:val="auto"/>
          <w:highlight w:val="none"/>
          <w:lang w:val="en-US" w:eastAsia="zh-CN"/>
        </w:rPr>
        <w:t>供应商</w:t>
      </w:r>
      <w:r>
        <w:rPr>
          <w:rFonts w:hint="eastAsia" w:hAnsi="宋体"/>
          <w:b/>
          <w:color w:val="auto"/>
          <w:highlight w:val="none"/>
        </w:rPr>
        <w:t>2026年1月以来任意1个月的依法缴纳社会保障资金的缴费证明材料（如：专用收据、社会保险缴纳清单或者社保部门的证明）复印件；依法不需要缴纳社会保障资金的</w:t>
      </w:r>
      <w:r>
        <w:rPr>
          <w:rFonts w:hint="eastAsia" w:hAnsi="宋体" w:eastAsia="宋体"/>
          <w:b/>
          <w:color w:val="auto"/>
          <w:highlight w:val="none"/>
          <w:lang w:val="en-US" w:eastAsia="zh-CN"/>
        </w:rPr>
        <w:t>供应商</w:t>
      </w:r>
      <w:r>
        <w:rPr>
          <w:rFonts w:hint="eastAsia" w:hAnsi="宋体"/>
          <w:b/>
          <w:color w:val="auto"/>
          <w:highlight w:val="none"/>
        </w:rPr>
        <w:t>，必须提供相应文件证明不需要缴纳社会保障资金。从成立之日起到</w:t>
      </w:r>
      <w:r>
        <w:rPr>
          <w:rFonts w:hint="eastAsia" w:hAnsi="宋体" w:eastAsia="宋体"/>
          <w:b/>
          <w:color w:val="auto"/>
          <w:highlight w:val="none"/>
          <w:lang w:val="en-US" w:eastAsia="zh-CN"/>
        </w:rPr>
        <w:t>响应</w:t>
      </w:r>
      <w:r>
        <w:rPr>
          <w:rFonts w:hint="eastAsia" w:hAnsi="宋体"/>
          <w:b/>
          <w:color w:val="auto"/>
          <w:highlight w:val="none"/>
        </w:rPr>
        <w:t>文件提交截止时间止不足要求月数的，则无需提交。</w:t>
      </w:r>
    </w:p>
    <w:p w14:paraId="0C11F97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供应商参加本项目无围标串标行为的承诺函</w:t>
      </w:r>
      <w:r>
        <w:rPr>
          <w:rFonts w:ascii="宋体" w:hAnsi="宋体" w:eastAsia="宋体" w:cs="宋体"/>
          <w:b/>
          <w:bCs/>
          <w:color w:val="auto"/>
          <w:spacing w:val="0"/>
          <w:position w:val="0"/>
          <w:sz w:val="21"/>
          <w:szCs w:val="21"/>
          <w:highlight w:val="none"/>
        </w:rPr>
        <w:t>（必须提供）</w:t>
      </w:r>
      <w:r>
        <w:rPr>
          <w:rFonts w:ascii="宋体" w:hAnsi="宋体" w:eastAsia="宋体" w:cs="宋体"/>
          <w:color w:val="auto"/>
          <w:spacing w:val="0"/>
          <w:position w:val="0"/>
          <w:sz w:val="21"/>
          <w:szCs w:val="21"/>
          <w:highlight w:val="none"/>
        </w:rPr>
        <w:t>。</w:t>
      </w:r>
    </w:p>
    <w:p w14:paraId="2C98910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11.1.2</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符合性响应证明材料：</w:t>
      </w:r>
    </w:p>
    <w:p w14:paraId="37563FF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lang w:val="en-US" w:eastAsia="zh-CN"/>
        </w:rPr>
        <w:t>1）</w:t>
      </w:r>
      <w:r>
        <w:rPr>
          <w:rFonts w:ascii="宋体" w:hAnsi="宋体" w:eastAsia="宋体" w:cs="宋体"/>
          <w:color w:val="auto"/>
          <w:spacing w:val="0"/>
          <w:position w:val="0"/>
          <w:sz w:val="21"/>
          <w:szCs w:val="21"/>
          <w:highlight w:val="none"/>
        </w:rPr>
        <w:t>响应函</w:t>
      </w:r>
      <w:r>
        <w:rPr>
          <w:rFonts w:ascii="宋体" w:hAnsi="宋体" w:eastAsia="宋体" w:cs="宋体"/>
          <w:b/>
          <w:bCs/>
          <w:color w:val="auto"/>
          <w:spacing w:val="0"/>
          <w:position w:val="0"/>
          <w:sz w:val="21"/>
          <w:szCs w:val="21"/>
          <w:highlight w:val="none"/>
        </w:rPr>
        <w:t>（必须提供）</w:t>
      </w:r>
      <w:r>
        <w:rPr>
          <w:rFonts w:hint="eastAsia" w:ascii="宋体" w:hAnsi="宋体" w:eastAsia="宋体" w:cs="宋体"/>
          <w:b/>
          <w:bCs/>
          <w:color w:val="auto"/>
          <w:spacing w:val="0"/>
          <w:position w:val="0"/>
          <w:sz w:val="21"/>
          <w:szCs w:val="21"/>
          <w:highlight w:val="none"/>
          <w:lang w:eastAsia="zh-CN"/>
        </w:rPr>
        <w:t>；</w:t>
      </w:r>
    </w:p>
    <w:p w14:paraId="3828385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2</w:t>
      </w:r>
      <w:r>
        <w:rPr>
          <w:rFonts w:ascii="宋体" w:hAnsi="宋体" w:eastAsia="宋体" w:cs="宋体"/>
          <w:color w:val="auto"/>
          <w:spacing w:val="0"/>
          <w:position w:val="0"/>
          <w:sz w:val="21"/>
          <w:szCs w:val="21"/>
          <w:highlight w:val="none"/>
        </w:rPr>
        <w:t>）谈判报价表</w:t>
      </w:r>
      <w:r>
        <w:rPr>
          <w:rFonts w:ascii="宋体" w:hAnsi="宋体" w:eastAsia="宋体" w:cs="宋体"/>
          <w:b/>
          <w:bCs/>
          <w:color w:val="auto"/>
          <w:spacing w:val="0"/>
          <w:position w:val="0"/>
          <w:sz w:val="21"/>
          <w:szCs w:val="21"/>
          <w:highlight w:val="none"/>
        </w:rPr>
        <w:t>（必须提供）</w:t>
      </w:r>
      <w:r>
        <w:rPr>
          <w:rFonts w:ascii="宋体" w:hAnsi="宋体" w:eastAsia="宋体" w:cs="宋体"/>
          <w:color w:val="auto"/>
          <w:spacing w:val="0"/>
          <w:position w:val="0"/>
          <w:sz w:val="21"/>
          <w:szCs w:val="21"/>
          <w:highlight w:val="none"/>
        </w:rPr>
        <w:t>；</w:t>
      </w:r>
    </w:p>
    <w:p w14:paraId="47DF5B1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3</w:t>
      </w:r>
      <w:r>
        <w:rPr>
          <w:rFonts w:ascii="宋体" w:hAnsi="宋体" w:eastAsia="宋体" w:cs="宋体"/>
          <w:color w:val="auto"/>
          <w:spacing w:val="0"/>
          <w:position w:val="0"/>
          <w:sz w:val="21"/>
          <w:szCs w:val="21"/>
          <w:highlight w:val="none"/>
        </w:rPr>
        <w:t>）技术响应表</w:t>
      </w:r>
      <w:r>
        <w:rPr>
          <w:rFonts w:ascii="宋体" w:hAnsi="宋体" w:eastAsia="宋体" w:cs="宋体"/>
          <w:b/>
          <w:bCs/>
          <w:color w:val="auto"/>
          <w:spacing w:val="0"/>
          <w:position w:val="0"/>
          <w:sz w:val="21"/>
          <w:szCs w:val="21"/>
          <w:highlight w:val="none"/>
        </w:rPr>
        <w:t>（必须提供）</w:t>
      </w:r>
      <w:r>
        <w:rPr>
          <w:rFonts w:ascii="宋体" w:hAnsi="宋体" w:eastAsia="宋体" w:cs="宋体"/>
          <w:color w:val="auto"/>
          <w:spacing w:val="0"/>
          <w:position w:val="0"/>
          <w:sz w:val="21"/>
          <w:szCs w:val="21"/>
          <w:highlight w:val="none"/>
        </w:rPr>
        <w:t>；</w:t>
      </w:r>
    </w:p>
    <w:p w14:paraId="4E64A31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4</w:t>
      </w:r>
      <w:r>
        <w:rPr>
          <w:rFonts w:ascii="宋体" w:hAnsi="宋体" w:eastAsia="宋体" w:cs="宋体"/>
          <w:color w:val="auto"/>
          <w:spacing w:val="0"/>
          <w:position w:val="0"/>
          <w:sz w:val="21"/>
          <w:szCs w:val="21"/>
          <w:highlight w:val="none"/>
        </w:rPr>
        <w:t>）商务响应表</w:t>
      </w:r>
      <w:r>
        <w:rPr>
          <w:rFonts w:ascii="宋体" w:hAnsi="宋体" w:eastAsia="宋体" w:cs="宋体"/>
          <w:b/>
          <w:bCs/>
          <w:color w:val="auto"/>
          <w:spacing w:val="0"/>
          <w:position w:val="0"/>
          <w:sz w:val="21"/>
          <w:szCs w:val="21"/>
          <w:highlight w:val="none"/>
        </w:rPr>
        <w:t>（必须提供）</w:t>
      </w:r>
      <w:r>
        <w:rPr>
          <w:rFonts w:ascii="宋体" w:hAnsi="宋体" w:eastAsia="宋体" w:cs="宋体"/>
          <w:color w:val="auto"/>
          <w:spacing w:val="0"/>
          <w:position w:val="0"/>
          <w:sz w:val="21"/>
          <w:szCs w:val="21"/>
          <w:highlight w:val="none"/>
        </w:rPr>
        <w:t>；</w:t>
      </w:r>
    </w:p>
    <w:p w14:paraId="7401EA8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b/>
          <w:bCs/>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5</w:t>
      </w:r>
      <w:r>
        <w:rPr>
          <w:rFonts w:ascii="宋体" w:hAnsi="宋体" w:eastAsia="宋体" w:cs="宋体"/>
          <w:color w:val="auto"/>
          <w:spacing w:val="0"/>
          <w:position w:val="0"/>
          <w:sz w:val="21"/>
          <w:szCs w:val="21"/>
          <w:highlight w:val="none"/>
        </w:rPr>
        <w:t>）售后服务承诺书</w:t>
      </w:r>
      <w:r>
        <w:rPr>
          <w:rFonts w:ascii="宋体" w:hAnsi="宋体" w:eastAsia="宋体" w:cs="宋体"/>
          <w:b/>
          <w:bCs/>
          <w:color w:val="auto"/>
          <w:spacing w:val="0"/>
          <w:position w:val="0"/>
          <w:sz w:val="21"/>
          <w:szCs w:val="21"/>
          <w:highlight w:val="none"/>
        </w:rPr>
        <w:t>（必须提供）</w:t>
      </w:r>
      <w:r>
        <w:rPr>
          <w:rFonts w:hint="eastAsia" w:ascii="宋体" w:hAnsi="宋体" w:eastAsia="宋体" w:cs="宋体"/>
          <w:b/>
          <w:bCs/>
          <w:color w:val="auto"/>
          <w:spacing w:val="0"/>
          <w:position w:val="0"/>
          <w:sz w:val="21"/>
          <w:szCs w:val="21"/>
          <w:highlight w:val="none"/>
          <w:lang w:eastAsia="zh-CN"/>
        </w:rPr>
        <w:t>。</w:t>
      </w:r>
    </w:p>
    <w:p w14:paraId="1DEB86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11.1.3</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其它有效证明材料：</w:t>
      </w:r>
    </w:p>
    <w:p w14:paraId="0CB6EA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（1）增值售后服务方案</w:t>
      </w:r>
      <w:r>
        <w:rPr>
          <w:rFonts w:ascii="宋体" w:hAnsi="宋体" w:eastAsia="宋体" w:cs="宋体"/>
          <w:b/>
          <w:bCs/>
          <w:color w:val="auto"/>
          <w:spacing w:val="0"/>
          <w:position w:val="0"/>
          <w:sz w:val="21"/>
          <w:szCs w:val="21"/>
          <w:highlight w:val="none"/>
        </w:rPr>
        <w:t>（包括但不限于：①故障出现解决方案；②免费技术培训方案；③免费保修期外维修方案；④其它优惠方案等）</w:t>
      </w:r>
      <w:r>
        <w:rPr>
          <w:rFonts w:ascii="宋体" w:hAnsi="宋体" w:eastAsia="宋体" w:cs="宋体"/>
          <w:color w:val="auto"/>
          <w:spacing w:val="0"/>
          <w:position w:val="0"/>
          <w:sz w:val="21"/>
          <w:szCs w:val="21"/>
          <w:highlight w:val="none"/>
        </w:rPr>
        <w:t>（如有，请提供）；</w:t>
      </w:r>
    </w:p>
    <w:p w14:paraId="45B02CA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w:t>
      </w:r>
      <w:r>
        <w:rPr>
          <w:rFonts w:hint="eastAsia" w:ascii="宋体" w:hAnsi="宋体" w:eastAsia="宋体" w:cs="宋体"/>
          <w:color w:val="auto"/>
          <w:spacing w:val="0"/>
          <w:position w:val="0"/>
          <w:sz w:val="21"/>
          <w:szCs w:val="21"/>
          <w:highlight w:val="none"/>
          <w:lang w:val="en-US" w:eastAsia="zh-CN"/>
        </w:rPr>
        <w:t>供应商</w:t>
      </w:r>
      <w:r>
        <w:rPr>
          <w:rFonts w:ascii="宋体" w:hAnsi="宋体" w:eastAsia="宋体" w:cs="宋体"/>
          <w:color w:val="auto"/>
          <w:spacing w:val="0"/>
          <w:position w:val="0"/>
          <w:sz w:val="21"/>
          <w:szCs w:val="21"/>
          <w:highlight w:val="none"/>
        </w:rPr>
        <w:t>为生产厂家的，供应商的生产制造设备清单及专业技术能力说明</w:t>
      </w:r>
      <w:r>
        <w:rPr>
          <w:rFonts w:ascii="宋体" w:hAnsi="宋体" w:eastAsia="宋体" w:cs="宋体"/>
          <w:b/>
          <w:bCs/>
          <w:color w:val="auto"/>
          <w:spacing w:val="0"/>
          <w:position w:val="0"/>
          <w:sz w:val="21"/>
          <w:szCs w:val="21"/>
          <w:highlight w:val="none"/>
        </w:rPr>
        <w:t>（如有，请提供</w:t>
      </w:r>
      <w:r>
        <w:rPr>
          <w:rFonts w:ascii="宋体" w:hAnsi="宋体" w:eastAsia="宋体" w:cs="宋体"/>
          <w:b/>
          <w:bCs/>
          <w:color w:val="auto"/>
          <w:spacing w:val="0"/>
          <w:w w:val="90"/>
          <w:position w:val="0"/>
          <w:sz w:val="21"/>
          <w:szCs w:val="21"/>
          <w:highlight w:val="none"/>
        </w:rPr>
        <w:t>）</w:t>
      </w:r>
      <w:r>
        <w:rPr>
          <w:rFonts w:ascii="宋体" w:hAnsi="宋体" w:eastAsia="宋体" w:cs="宋体"/>
          <w:color w:val="auto"/>
          <w:spacing w:val="0"/>
          <w:w w:val="90"/>
          <w:position w:val="0"/>
          <w:sz w:val="21"/>
          <w:szCs w:val="21"/>
          <w:highlight w:val="none"/>
        </w:rPr>
        <w:t>；</w:t>
      </w:r>
    </w:p>
    <w:p w14:paraId="5AE1E43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（3）节能、环保方面的证书复印件</w:t>
      </w:r>
      <w:r>
        <w:rPr>
          <w:rFonts w:ascii="宋体" w:hAnsi="宋体" w:eastAsia="宋体" w:cs="宋体"/>
          <w:b/>
          <w:bCs/>
          <w:color w:val="auto"/>
          <w:spacing w:val="0"/>
          <w:position w:val="0"/>
          <w:sz w:val="21"/>
          <w:szCs w:val="21"/>
          <w:highlight w:val="none"/>
        </w:rPr>
        <w:t>（若采购货物含有政府强制采购的节能产品时，供应商必须提供所投产品国家确定的认证机构出具的、处于有效期之内的节能产品认证证书复印件并加盖供应商公章）</w:t>
      </w:r>
      <w:r>
        <w:rPr>
          <w:rFonts w:ascii="宋体" w:hAnsi="宋体" w:eastAsia="宋体" w:cs="宋体"/>
          <w:color w:val="auto"/>
          <w:spacing w:val="0"/>
          <w:position w:val="0"/>
          <w:sz w:val="21"/>
          <w:szCs w:val="21"/>
          <w:highlight w:val="none"/>
        </w:rPr>
        <w:t>；</w:t>
      </w:r>
    </w:p>
    <w:p w14:paraId="64DF136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（4）供应商具有同类产品的销售业绩的相关证明材料（无不良记录，以中标、成交通知书或签订的销售合同为准，并能清晰反映所销售的货物名称、种类、金额）</w:t>
      </w:r>
      <w:r>
        <w:rPr>
          <w:rFonts w:ascii="宋体" w:hAnsi="宋体" w:eastAsia="宋体" w:cs="宋体"/>
          <w:b/>
          <w:bCs/>
          <w:color w:val="auto"/>
          <w:spacing w:val="0"/>
          <w:position w:val="0"/>
          <w:sz w:val="21"/>
          <w:szCs w:val="21"/>
          <w:highlight w:val="none"/>
        </w:rPr>
        <w:t>（如有，请提供）</w:t>
      </w:r>
      <w:r>
        <w:rPr>
          <w:rFonts w:ascii="宋体" w:hAnsi="宋体" w:eastAsia="宋体" w:cs="宋体"/>
          <w:color w:val="auto"/>
          <w:spacing w:val="0"/>
          <w:position w:val="0"/>
          <w:sz w:val="21"/>
          <w:szCs w:val="21"/>
          <w:highlight w:val="none"/>
        </w:rPr>
        <w:t>；</w:t>
      </w:r>
    </w:p>
    <w:p w14:paraId="0465D9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5</w:t>
      </w:r>
      <w:r>
        <w:rPr>
          <w:rFonts w:ascii="宋体" w:hAnsi="宋体" w:eastAsia="宋体" w:cs="宋体"/>
          <w:color w:val="auto"/>
          <w:spacing w:val="0"/>
          <w:position w:val="0"/>
          <w:sz w:val="21"/>
          <w:szCs w:val="21"/>
          <w:highlight w:val="none"/>
        </w:rPr>
        <w:t>）供应商相关获奖证书、认证证书等复印件</w:t>
      </w:r>
      <w:r>
        <w:rPr>
          <w:rFonts w:ascii="宋体" w:hAnsi="宋体" w:eastAsia="宋体" w:cs="宋体"/>
          <w:b/>
          <w:bCs/>
          <w:color w:val="auto"/>
          <w:spacing w:val="0"/>
          <w:position w:val="0"/>
          <w:sz w:val="21"/>
          <w:szCs w:val="21"/>
          <w:highlight w:val="none"/>
        </w:rPr>
        <w:t>（如有，请提供）</w:t>
      </w:r>
      <w:r>
        <w:rPr>
          <w:rFonts w:ascii="宋体" w:hAnsi="宋体" w:eastAsia="宋体" w:cs="宋体"/>
          <w:color w:val="auto"/>
          <w:spacing w:val="0"/>
          <w:position w:val="0"/>
          <w:sz w:val="21"/>
          <w:szCs w:val="21"/>
          <w:highlight w:val="none"/>
        </w:rPr>
        <w:t>；</w:t>
      </w:r>
    </w:p>
    <w:p w14:paraId="6E3152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6</w:t>
      </w:r>
      <w:r>
        <w:rPr>
          <w:rFonts w:ascii="宋体" w:hAnsi="宋体" w:eastAsia="宋体" w:cs="宋体"/>
          <w:color w:val="auto"/>
          <w:spacing w:val="0"/>
          <w:position w:val="0"/>
          <w:sz w:val="21"/>
          <w:szCs w:val="21"/>
          <w:highlight w:val="none"/>
        </w:rPr>
        <w:t>）中小企业声明函</w:t>
      </w:r>
      <w:r>
        <w:rPr>
          <w:rFonts w:ascii="宋体" w:hAnsi="宋体" w:eastAsia="宋体" w:cs="宋体"/>
          <w:b/>
          <w:bCs/>
          <w:color w:val="auto"/>
          <w:spacing w:val="0"/>
          <w:position w:val="0"/>
          <w:sz w:val="21"/>
          <w:szCs w:val="21"/>
          <w:highlight w:val="none"/>
        </w:rPr>
        <w:t>【如供应商提供的货物由小型、微型企业（中小微型企业划分标准按照《国</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家统计局关于印发《统计上大中小微型企业划分办法〔2017〕》的通知》（国统字〔2017〕213</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号）执行）制造的，供应商应如实声明并对出具声明函的真实性负责。成交结果将同时公告该企业《中小企业声明函》，接受社会监督。】（格式见附件，如有，请提供）</w:t>
      </w:r>
      <w:r>
        <w:rPr>
          <w:rFonts w:ascii="宋体" w:hAnsi="宋体" w:eastAsia="宋体" w:cs="宋体"/>
          <w:color w:val="auto"/>
          <w:spacing w:val="0"/>
          <w:position w:val="0"/>
          <w:sz w:val="21"/>
          <w:szCs w:val="21"/>
          <w:highlight w:val="none"/>
        </w:rPr>
        <w:t>；</w:t>
      </w:r>
    </w:p>
    <w:p w14:paraId="74A513F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7</w:t>
      </w:r>
      <w:r>
        <w:rPr>
          <w:rFonts w:ascii="宋体" w:hAnsi="宋体" w:eastAsia="宋体" w:cs="宋体"/>
          <w:color w:val="auto"/>
          <w:spacing w:val="0"/>
          <w:position w:val="0"/>
          <w:sz w:val="21"/>
          <w:szCs w:val="21"/>
          <w:highlight w:val="none"/>
        </w:rPr>
        <w:t>）属于监狱企业的，应当提供由省级以上监狱管理局、戒毒管理局(含新疆生产建设兵团)出具 的属于监狱企业的证明文件</w:t>
      </w:r>
      <w:r>
        <w:rPr>
          <w:rFonts w:ascii="宋体" w:hAnsi="宋体" w:eastAsia="宋体" w:cs="宋体"/>
          <w:b/>
          <w:bCs/>
          <w:color w:val="auto"/>
          <w:spacing w:val="0"/>
          <w:position w:val="0"/>
          <w:sz w:val="21"/>
          <w:szCs w:val="21"/>
          <w:highlight w:val="none"/>
        </w:rPr>
        <w:t>（如有，请提供）</w:t>
      </w:r>
      <w:r>
        <w:rPr>
          <w:rFonts w:ascii="宋体" w:hAnsi="宋体" w:eastAsia="宋体" w:cs="宋体"/>
          <w:color w:val="auto"/>
          <w:spacing w:val="0"/>
          <w:position w:val="0"/>
          <w:sz w:val="21"/>
          <w:szCs w:val="21"/>
          <w:highlight w:val="none"/>
        </w:rPr>
        <w:t>；</w:t>
      </w:r>
    </w:p>
    <w:p w14:paraId="7EDB58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）符合条件的残疾人福利性单位在参加政府采购活动时，提供《残疾人福利性单位声明函》， 并对声明的真实性负责</w:t>
      </w:r>
      <w:r>
        <w:rPr>
          <w:rFonts w:ascii="宋体" w:hAnsi="宋体" w:eastAsia="宋体" w:cs="宋体"/>
          <w:b/>
          <w:bCs/>
          <w:color w:val="auto"/>
          <w:spacing w:val="0"/>
          <w:position w:val="0"/>
          <w:sz w:val="21"/>
          <w:szCs w:val="21"/>
          <w:highlight w:val="none"/>
        </w:rPr>
        <w:t>（如有，请提供）</w:t>
      </w:r>
      <w:r>
        <w:rPr>
          <w:rFonts w:ascii="宋体" w:hAnsi="宋体" w:eastAsia="宋体" w:cs="宋体"/>
          <w:color w:val="auto"/>
          <w:spacing w:val="0"/>
          <w:position w:val="0"/>
          <w:sz w:val="21"/>
          <w:szCs w:val="21"/>
          <w:highlight w:val="none"/>
        </w:rPr>
        <w:t>；</w:t>
      </w:r>
    </w:p>
    <w:p w14:paraId="5C28A9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9</w:t>
      </w:r>
      <w:r>
        <w:rPr>
          <w:rFonts w:ascii="宋体" w:hAnsi="宋体" w:eastAsia="宋体" w:cs="宋体"/>
          <w:color w:val="auto"/>
          <w:spacing w:val="0"/>
          <w:position w:val="0"/>
          <w:sz w:val="21"/>
          <w:szCs w:val="21"/>
          <w:highlight w:val="none"/>
        </w:rPr>
        <w:t>）供应商可结合本项目</w:t>
      </w:r>
      <w:r>
        <w:rPr>
          <w:rFonts w:ascii="宋体" w:hAnsi="宋体" w:eastAsia="宋体" w:cs="宋体"/>
          <w:color w:val="auto"/>
          <w:spacing w:val="-20"/>
          <w:position w:val="0"/>
          <w:sz w:val="21"/>
          <w:szCs w:val="21"/>
          <w:highlight w:val="none"/>
        </w:rPr>
        <w:t>的评审办法视自身情况自行提交相关证明</w:t>
      </w:r>
      <w:r>
        <w:rPr>
          <w:rFonts w:ascii="宋体" w:hAnsi="宋体" w:eastAsia="宋体" w:cs="宋体"/>
          <w:color w:val="auto"/>
          <w:spacing w:val="0"/>
          <w:position w:val="0"/>
          <w:sz w:val="21"/>
          <w:szCs w:val="21"/>
          <w:highlight w:val="none"/>
        </w:rPr>
        <w:t>材料</w:t>
      </w:r>
      <w:r>
        <w:rPr>
          <w:rFonts w:ascii="宋体" w:hAnsi="宋体" w:eastAsia="宋体" w:cs="宋体"/>
          <w:b/>
          <w:bCs/>
          <w:color w:val="auto"/>
          <w:spacing w:val="0"/>
          <w:position w:val="0"/>
          <w:sz w:val="21"/>
          <w:szCs w:val="21"/>
          <w:highlight w:val="none"/>
        </w:rPr>
        <w:t>（如有，请提供）</w:t>
      </w:r>
      <w:r>
        <w:rPr>
          <w:rFonts w:ascii="宋体" w:hAnsi="宋体" w:eastAsia="宋体" w:cs="宋体"/>
          <w:color w:val="auto"/>
          <w:spacing w:val="0"/>
          <w:position w:val="0"/>
          <w:sz w:val="21"/>
          <w:szCs w:val="21"/>
          <w:highlight w:val="none"/>
        </w:rPr>
        <w:t>。</w:t>
      </w:r>
    </w:p>
    <w:p w14:paraId="6BC02E6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供应商提供的以上相关证明材料必须真实有效，属于“必须提供</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”的文件应加盖供应商</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章，否则响应无效；其中“必须提供</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”的文件“响应文件（格式）</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”中有要求法定代表人(负责人、</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自然人)或相应的授权委托代理人在规定位置签字的，可使用法定代表人(负责人、自然人)或相应的授权委托代理人个人CA证书签章，没有办理广西政府采购云平台个人</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证书签章的可在响应文件中涉及</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到签字的位置手写签字后扫描或者拍照做成</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PDF</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的格式上传，无个人</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证书签章及手写签字的，响应文件按无效处理。</w:t>
      </w:r>
    </w:p>
    <w:p w14:paraId="0A75C58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11.2 供应商应按竞争性谈判文件第六章“响应文件（格式） ”编制响应文件。</w:t>
      </w:r>
    </w:p>
    <w:p w14:paraId="2F6F12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12.响应文件的语言及计量</w:t>
      </w:r>
    </w:p>
    <w:p w14:paraId="419C586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12.1 响应文件以及供应商与采购代理机构就有关响应事宜的所有来往函电，均必须以中文汉语书 写。供应商提交的支持文件和印刷的文献可以使用别的语言，但其相应内容必须附有中文翻译文本， 在解释响应文件时以中文翻译文本为主。</w:t>
      </w:r>
    </w:p>
    <w:p w14:paraId="3B7F16A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12.2 响应计量单位，谈判文件已有明确规定的，使用谈判文件规定的计量单位；谈判文件没有规 定的，必须采用中华人民共和国法定计量单位（货币单位：人民币元），否则视同未响应。</w:t>
      </w:r>
    </w:p>
    <w:p w14:paraId="41F620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13.谈判报价及采购预算金额</w:t>
      </w:r>
    </w:p>
    <w:p w14:paraId="1DE0A91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13.1 供应商必须就“采购需求 ”中的所有内容作完整唯一报价，响应文件只允许有一个报价，有 选择的或有条件的报价将不予接受。</w:t>
      </w:r>
    </w:p>
    <w:p w14:paraId="2083A1B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13.2 </w:t>
      </w:r>
      <w:r>
        <w:rPr>
          <w:color w:val="auto"/>
          <w:spacing w:val="0"/>
          <w:position w:val="0"/>
          <w:sz w:val="21"/>
          <w:szCs w:val="21"/>
          <w:highlight w:val="none"/>
        </w:rPr>
        <w:t>采购预算金额（人民币）：</w:t>
      </w:r>
      <w:r>
        <w:rPr>
          <w:rFonts w:hint="eastAsia" w:ascii="宋体" w:hAnsi="宋体" w:eastAsia="宋体" w:cs="宋体"/>
          <w:color w:val="auto"/>
          <w:spacing w:val="0"/>
          <w:position w:val="0"/>
          <w:sz w:val="21"/>
          <w:szCs w:val="21"/>
          <w:highlight w:val="none"/>
        </w:rPr>
        <w:t>1110150.00</w:t>
      </w:r>
      <w:r>
        <w:rPr>
          <w:rFonts w:hint="eastAsia" w:cs="宋体"/>
          <w:color w:val="auto"/>
          <w:spacing w:val="0"/>
          <w:position w:val="0"/>
          <w:sz w:val="21"/>
          <w:szCs w:val="21"/>
          <w:highlight w:val="none"/>
          <w:lang w:val="en-US" w:eastAsia="zh-CN"/>
        </w:rPr>
        <w:t>元，最高限价：</w:t>
      </w:r>
      <w:r>
        <w:rPr>
          <w:rFonts w:hint="eastAsia" w:ascii="宋体" w:hAnsi="宋体" w:eastAsia="宋体" w:cs="宋体"/>
          <w:color w:val="auto"/>
          <w:spacing w:val="0"/>
          <w:position w:val="0"/>
          <w:sz w:val="21"/>
          <w:szCs w:val="21"/>
          <w:highlight w:val="none"/>
          <w:lang w:eastAsia="zh-CN"/>
        </w:rPr>
        <w:t>1107200</w:t>
      </w:r>
      <w:r>
        <w:rPr>
          <w:rFonts w:hint="eastAsia" w:ascii="宋体" w:hAnsi="宋体" w:eastAsia="宋体" w:cs="宋体"/>
          <w:color w:val="auto"/>
          <w:spacing w:val="0"/>
          <w:position w:val="0"/>
          <w:sz w:val="21"/>
          <w:szCs w:val="21"/>
          <w:highlight w:val="none"/>
          <w:lang w:val="en-US" w:eastAsia="zh-CN"/>
        </w:rPr>
        <w:t>.00</w:t>
      </w:r>
      <w:r>
        <w:rPr>
          <w:rFonts w:hint="eastAsia" w:ascii="宋体" w:hAnsi="宋体" w:eastAsia="宋体" w:cs="宋体"/>
          <w:color w:val="auto"/>
          <w:spacing w:val="0"/>
          <w:position w:val="0"/>
          <w:sz w:val="21"/>
          <w:szCs w:val="21"/>
          <w:highlight w:val="none"/>
          <w:lang w:eastAsia="zh-CN"/>
        </w:rPr>
        <w:t>元</w:t>
      </w:r>
      <w:r>
        <w:rPr>
          <w:color w:val="auto"/>
          <w:spacing w:val="0"/>
          <w:position w:val="0"/>
          <w:sz w:val="21"/>
          <w:szCs w:val="21"/>
          <w:highlight w:val="none"/>
        </w:rPr>
        <w:t>。 报价超</w:t>
      </w:r>
      <w:r>
        <w:rPr>
          <w:rFonts w:hint="eastAsia"/>
          <w:color w:val="auto"/>
          <w:spacing w:val="0"/>
          <w:position w:val="0"/>
          <w:sz w:val="21"/>
          <w:szCs w:val="21"/>
          <w:highlight w:val="none"/>
          <w:lang w:val="en-US" w:eastAsia="zh-CN"/>
        </w:rPr>
        <w:t>最高限价</w:t>
      </w:r>
      <w:r>
        <w:rPr>
          <w:color w:val="auto"/>
          <w:spacing w:val="0"/>
          <w:position w:val="0"/>
          <w:sz w:val="21"/>
          <w:szCs w:val="21"/>
          <w:highlight w:val="none"/>
        </w:rPr>
        <w:t>金额的，响应文件作无效处理。</w:t>
      </w:r>
    </w:p>
    <w:p w14:paraId="40696A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13.3 供应商谈判报价应包括本次采购范围内货物价款、货物随配标准附件、包装、运输、装卸、 保险、税金、货到位以及安装、安装所需辅材、调试、检验、售后服务、培训、保修、运维、验收及 其他所有成本费用的总和，供应商应综合考虑在报价中。</w:t>
      </w:r>
    </w:p>
    <w:p w14:paraId="2F6893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13.4 未书面退出谈判的供应商必须在规定时间内登录广西政府采购云平台在线提交最后报价，其 最后报价不得超出采购预算；谈判过程中谈判文件未作实质性变动的，</w:t>
      </w:r>
      <w:r>
        <w:rPr>
          <w:rFonts w:ascii="宋体" w:hAnsi="宋体" w:eastAsia="宋体" w:cs="宋体"/>
          <w:b/>
          <w:bCs/>
          <w:color w:val="auto"/>
          <w:spacing w:val="0"/>
          <w:position w:val="0"/>
          <w:sz w:val="21"/>
          <w:szCs w:val="21"/>
          <w:highlight w:val="none"/>
        </w:rPr>
        <w:t>最后报价不得超过首次报价。</w:t>
      </w:r>
    </w:p>
    <w:p w14:paraId="1661B41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14.响应文件有效期</w:t>
      </w:r>
    </w:p>
    <w:p w14:paraId="181F93D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14.1 响应文件有效期：自响应文件提交截止时间之日起90天，有效期不足的响应文件将被拒绝。</w:t>
      </w:r>
    </w:p>
    <w:p w14:paraId="176B3C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14.2 出现特殊情况下，需要延长响应文件有效期的，采购代理机构以书面形式通知供应商延长响应文件有效期。供应商同意延长的，不能修改响应文件。供应商拒绝延长的，其响应无效。</w:t>
      </w:r>
    </w:p>
    <w:p w14:paraId="5CD21E5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15.电子响应文件的制作、加密要求</w:t>
      </w:r>
    </w:p>
    <w:p w14:paraId="1FB0E0B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15.1 供应商制作电子响应文件前，应登陆广西政府采购云平台进行“申请获取采购文件”操作，否则，有可能导致无法在线编制响应文件并参与竞标，其不利后果由供应商自行承担。</w:t>
      </w:r>
    </w:p>
    <w:p w14:paraId="0F4964E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15.2 供应商下载或获取竞争性谈判文件后，登录“广西政府采购云平台电子投标客户端 ”，按照本谈判文件规定的响应文件格式、顺序以及广西政府采购云平台的要求，通过“广西政府采购云平台电子投标客户端 ”编制电子响应文件。</w:t>
      </w:r>
    </w:p>
    <w:p w14:paraId="496A9AC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15.3 供应商应按“广西政府采购云平台电子投标客户端 ”载明的“标书关联 ”功能进行电子响应文件的关联定位，以便谈判小组在评审时点击相应评审项可直接定位到该评审内容；如供应商的电子响应文件未能关联定位相应内容，或者关联定位的内容与该评审项不符，导致谈判小组无法查询并做出对供应商不利的评审，相关后果由供应商自行承担。</w:t>
      </w:r>
    </w:p>
    <w:p w14:paraId="320550C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15.4 电子响应文件不得涂改，若有修改错漏处，须由法定代表人（负责人、 自然人）或授权委托代理人通过“广西政府采购云平台电子投标客户端 ”采用广西政府采购云平台个人CA证书签章，没有办理广西政府采购云平台个人CA证书签章的，在响应文件中响应位置手写签字后扫描或者拍照做成PDF的格式上传。因响应文件字迹潦草、表达不清、内容不完整、编排混乱导致响应文件被误读、漏读，或者在按竞争性谈判文件规定的部位查找不到相关内容的，其不利后果由供应商自行承担。</w:t>
      </w:r>
    </w:p>
    <w:p w14:paraId="1136CD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15.5 供应商编制、生成电子响应文件后应当加密响应文件。供应商未按规定编制并加密的响应文件，广西政府采购云平台将予以拒收。</w:t>
      </w:r>
    </w:p>
    <w:p w14:paraId="57476B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15.6 </w:t>
      </w:r>
      <w:r>
        <w:rPr>
          <w:rFonts w:ascii="宋体" w:hAnsi="宋体" w:eastAsia="宋体" w:cs="宋体"/>
          <w:b/>
          <w:bCs/>
          <w:color w:val="auto"/>
          <w:spacing w:val="0"/>
          <w:position w:val="0"/>
          <w:sz w:val="21"/>
          <w:szCs w:val="21"/>
          <w:highlight w:val="none"/>
        </w:rPr>
        <w:t>供应商公章及签字</w:t>
      </w:r>
    </w:p>
    <w:p w14:paraId="71D0C2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15.6.1 本竞争性谈判文件中描述供应商的“公章”是指供应商通过指定电子化政府采购平台办理数字证书（CA 认证证书）获得的以法定主体行为名称制作的电子印章。</w:t>
      </w:r>
    </w:p>
    <w:p w14:paraId="4E9F20F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15.6.2 本竞争性谈判文件中要求供应商对其电子响应文件的相关内容加盖公章的，均指采用 CA证书签章。</w:t>
      </w:r>
    </w:p>
    <w:p w14:paraId="2F23515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15.6.3 本谈判文件中描述供应商的“签字 ”是指供应商通过指定电子化政府采购平台办理数字证书（CA 认证证书）获得的以供应商法定代表人（自负责人、 自然人）或者委托代理人姓名制作的个人电子印章或手写签字。没有办理个人CA证书的，可以为手写签字的形式。</w:t>
      </w:r>
    </w:p>
    <w:p w14:paraId="684279E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16.首次响应文件的提交、撤回、修改</w:t>
      </w:r>
    </w:p>
    <w:p w14:paraId="4EF0115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16.1 响应文件的提交截止时间：</w:t>
      </w:r>
      <w:r>
        <w:rPr>
          <w:rFonts w:hint="eastAsia" w:ascii="宋体" w:hAnsi="宋体" w:eastAsia="宋体" w:cs="宋体"/>
          <w:color w:val="auto"/>
          <w:spacing w:val="0"/>
          <w:position w:val="0"/>
          <w:sz w:val="21"/>
          <w:szCs w:val="21"/>
          <w:highlight w:val="none"/>
          <w:lang w:eastAsia="zh-CN"/>
        </w:rPr>
        <w:t>2026</w:t>
      </w:r>
      <w:r>
        <w:rPr>
          <w:rFonts w:ascii="宋体" w:hAnsi="宋体" w:eastAsia="宋体" w:cs="宋体"/>
          <w:color w:val="auto"/>
          <w:spacing w:val="0"/>
          <w:position w:val="0"/>
          <w:sz w:val="21"/>
          <w:szCs w:val="21"/>
          <w:highlight w:val="none"/>
        </w:rPr>
        <w:t xml:space="preserve"> 年 </w:t>
      </w: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 xml:space="preserve">月 </w:t>
      </w:r>
      <w:r>
        <w:rPr>
          <w:rFonts w:hint="eastAsia" w:ascii="宋体" w:hAnsi="宋体" w:eastAsia="宋体" w:cs="宋体"/>
          <w:color w:val="auto"/>
          <w:spacing w:val="0"/>
          <w:position w:val="0"/>
          <w:sz w:val="21"/>
          <w:szCs w:val="21"/>
          <w:highlight w:val="none"/>
          <w:lang w:val="en-US" w:eastAsia="zh-CN"/>
        </w:rPr>
        <w:t>11</w:t>
      </w:r>
      <w:r>
        <w:rPr>
          <w:rFonts w:ascii="宋体" w:hAnsi="宋体" w:eastAsia="宋体" w:cs="宋体"/>
          <w:color w:val="auto"/>
          <w:spacing w:val="0"/>
          <w:position w:val="0"/>
          <w:sz w:val="21"/>
          <w:szCs w:val="21"/>
          <w:highlight w:val="none"/>
        </w:rPr>
        <w:t>日上午</w:t>
      </w:r>
      <w:r>
        <w:rPr>
          <w:rFonts w:hint="eastAsia" w:ascii="宋体" w:hAnsi="宋体" w:eastAsia="宋体" w:cs="宋体"/>
          <w:color w:val="auto"/>
          <w:spacing w:val="0"/>
          <w:position w:val="0"/>
          <w:sz w:val="21"/>
          <w:szCs w:val="21"/>
          <w:highlight w:val="none"/>
          <w:lang w:val="en-US" w:eastAsia="zh-CN"/>
        </w:rPr>
        <w:t>9</w:t>
      </w:r>
      <w:r>
        <w:rPr>
          <w:rFonts w:ascii="宋体" w:hAnsi="宋体" w:eastAsia="宋体" w:cs="宋体"/>
          <w:color w:val="auto"/>
          <w:spacing w:val="0"/>
          <w:position w:val="0"/>
          <w:sz w:val="21"/>
          <w:szCs w:val="21"/>
          <w:highlight w:val="none"/>
        </w:rPr>
        <w:t xml:space="preserve"> 时 30 分（北京时间）</w:t>
      </w:r>
    </w:p>
    <w:p w14:paraId="2ED373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16.2 地点：通过广西政府采购云平台在线提交。</w:t>
      </w:r>
    </w:p>
    <w:p w14:paraId="3B1C1C2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16.3 供应商应当在响应文件提交截止时间前，将生成的电子响应文件上传提交至广西政府采购云平台。响应文件提交截止时间前可以补充、修改或撤回电子响应文件，补充、修改电子响应文件的， 应当先行撤回原文件，补充、修改后重新传输提交。在响应文件提交截止时间后的响应文件有效期内， 供应商不得撤回其响应文件。响应文件提交截止时间前未成功将电子响应文件上传广西政府采购云平 台的，视为未提交响应文件。</w:t>
      </w:r>
    </w:p>
    <w:p w14:paraId="2FD0E7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16.4 除竞争性谈判文件另有规定外，供应商所提交的响应文件不予退还。</w:t>
      </w:r>
    </w:p>
    <w:p w14:paraId="5F6B440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17.响应文件的解密</w:t>
      </w:r>
    </w:p>
    <w:p w14:paraId="5D25B0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响应文件提交截止时间后，采购代理机构开启解密响应文件操作，广西政府采购云平台向各供应商发出电子加密响应文件解密通知， 由供应商在系统发出解密通知后30分钟内自行使用加密时的CA通过“项目采购-开标评标 ”功能对响应文件进行解密。若供应商在上述规定的时间内无法解密或解密失败的，可以在响应文件解密截止时间后 30 分钟内向采购代理机构现场提交电子备份响应文件【现场提交电子响应文件地址：桂林市公共资源交易中心</w:t>
      </w:r>
      <w:r>
        <w:rPr>
          <w:rFonts w:hint="eastAsia" w:ascii="宋体" w:hAnsi="宋体" w:eastAsia="宋体" w:cs="宋体"/>
          <w:color w:val="auto"/>
          <w:spacing w:val="0"/>
          <w:position w:val="0"/>
          <w:sz w:val="21"/>
          <w:szCs w:val="21"/>
          <w:highlight w:val="none"/>
          <w:lang w:val="en-US" w:eastAsia="zh-CN"/>
        </w:rPr>
        <w:t>9号开标室（1号仓）</w:t>
      </w:r>
      <w:r>
        <w:rPr>
          <w:rFonts w:ascii="宋体" w:hAnsi="宋体" w:eastAsia="宋体" w:cs="宋体"/>
          <w:color w:val="auto"/>
          <w:spacing w:val="0"/>
          <w:position w:val="0"/>
          <w:sz w:val="21"/>
          <w:szCs w:val="21"/>
          <w:highlight w:val="none"/>
        </w:rPr>
        <w:t>（广西桂林市临桂区西城中路69号创业大厦西辅楼 4 楼北区）】，或以电子邮件的形式提交电子备份响应文件（以通知时所告知的电子邮箱地址为准）；供应商未在上述规定的时间、地点（电子邮箱）提交的电子备份响应文件，采购代理机构不予接收或承认。采购代理机构收到电子备份响应文件后按“政府采购云平台”操作规范上传至“政府采购云平台”，电子备份响应文件上传成功后，供应商原上传的“ 电子加密响应文件”自动失效。若供应商在规定时间内无法解密或解密失败且未在规定的时间内提供电子备份响应文件的（包含提供的电子备份响应文件无效或无法解密的情况），视为供应商放弃谈判。</w:t>
      </w:r>
    </w:p>
    <w:p w14:paraId="664E315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674B788">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四、竞争性谈判（简称谈判）与评审</w:t>
      </w:r>
    </w:p>
    <w:p w14:paraId="34AE4FD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18.谈判小组组成及谈判时间、地点、人员</w:t>
      </w:r>
    </w:p>
    <w:p w14:paraId="4B65015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18.1</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谈判小组组成：</w:t>
      </w:r>
    </w:p>
    <w:p w14:paraId="46F35C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谈判及评审组织工作由采购代理机构负责，具体谈判、评审工作由依法组建的谈判小组负责，本 项目的谈判小组由有关方面的评审专家组成，谈判小组的构成：3 人。</w:t>
      </w:r>
    </w:p>
    <w:p w14:paraId="2241C4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18.2</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谈判时间、地点、人员：</w:t>
      </w:r>
    </w:p>
    <w:p w14:paraId="4967EE5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18.2.1 谈判时间：首次响应文件提交截止时间后。</w:t>
      </w:r>
    </w:p>
    <w:p w14:paraId="6590E65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18.2.2 谈判地点：供应商代表在响应文件提交当天实时登陆登录广西政府采购云平台，按谈判小组要求在线等候参与谈判及提交最后报价。因供应商未保持实时在线，导致谈判小组无法及时与其取得联系，从而造成供应商未按规定参与谈判或报价的，其不利后果由供应商自行承担。</w:t>
      </w:r>
    </w:p>
    <w:p w14:paraId="00647E3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18.2.3 谈判参加人员：供应商法定代表人(负责人、 自然人)或相应的委托代理人参加谈判。请供应商实时登陆登录广西政府采购云平台等候在线谈判。</w:t>
      </w:r>
    </w:p>
    <w:p w14:paraId="6E44980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18.2.4 首次响应文件提交截止时间后，登录广西政府采购云平台在线解密开启。</w:t>
      </w:r>
    </w:p>
    <w:p w14:paraId="5E3F5AF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19.评审原则和评审办法</w:t>
      </w:r>
    </w:p>
    <w:p w14:paraId="3633BB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19.1 谈判小组必须坚持公平、公正、科学和择优的原则。</w:t>
      </w:r>
    </w:p>
    <w:p w14:paraId="31F82F0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19.2 具体详见第四章评审办法。</w:t>
      </w:r>
    </w:p>
    <w:p w14:paraId="68BD2F9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19.3 谈判小组应按谈判文件进行评审，不得擅自更改评审办法。</w:t>
      </w:r>
    </w:p>
    <w:p w14:paraId="136CA4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19.4 在评审过程中，谈判小组任何人不得对某个供应商发表任何倾向性意见，不得向其他谈判小 组成员明示或者暗示自己的评审意见。</w:t>
      </w:r>
    </w:p>
    <w:p w14:paraId="74137C6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19.5 谈判小组成员对需要共同认定的事项存在争议的，按照少数服从多数的原则作出结论。持不同意见的谈判小组成员应当在评审报告上签署不同意见并说明理由，否则视为同意。</w:t>
      </w:r>
    </w:p>
    <w:p w14:paraId="6F17DA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20.评审程序及谈判要求</w:t>
      </w:r>
    </w:p>
    <w:p w14:paraId="5C1B6CB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20.1 谈判小组成员的通讯工具或相关电子设备在桂林市公共资源交易中心统一保管后到达评标室，采购代理机构核实谈判小组成员身份，告知回避要求，宣布评审工作纪律和程序，推选谈判小组组长。</w:t>
      </w:r>
    </w:p>
    <w:p w14:paraId="5CEB328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20.2 谈判小组应当审查供应商的响应文件并作出评价；要求供应商解释或者澄清其响应文件；编写评审报告；告知采购人、采购代理机构在评审过程中发现的供应商的违法违规行为。</w:t>
      </w:r>
    </w:p>
    <w:p w14:paraId="4674C5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20.3 谈判小组依据法律法规和竞争性谈判文件的规定，首先对响应文件进行资格性审查，以确定 供应商是否具备本项目供应商资格；再对通过资格性审查的供应商响应文件的有效性、完整性和对谈判文件的响应程度进行符合性审查， 以确定是否对谈判文件的实质性要求做出响应。</w:t>
      </w:r>
    </w:p>
    <w:p w14:paraId="5A4A66B7">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2"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20.4</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谈判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30C5C74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20.4.1 查询渠道：《国家企业信用信息公示系统》（网址：</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"http://www.gsxt.gov.cn/index.html"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www.gsxt.gov.cn/index.html</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w:t>
      </w:r>
    </w:p>
    <w:p w14:paraId="4CD1972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20.4.2 审查流程：</w:t>
      </w:r>
    </w:p>
    <w:p w14:paraId="0E51A6F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（1）进入《国家企业信用信息公示系统》（网址：</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"https://www.gsxt.gov.cn/index.html"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www.gsxt.gov.cn/index.html</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），输入企业名称，进入企业信息主页面；</w:t>
      </w:r>
    </w:p>
    <w:p w14:paraId="6AD033D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（2）查看主页“股东及出资信息 ”栏，或年报中的“股东及出资信息 ”栏信息；</w:t>
      </w:r>
    </w:p>
    <w:p w14:paraId="575775B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（3）将各供应商的股东及出资信息进行比对，得出审查结论；</w:t>
      </w:r>
    </w:p>
    <w:p w14:paraId="49E19F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（4）将相关资料作为评审资料打印存档。</w:t>
      </w:r>
    </w:p>
    <w:p w14:paraId="094AB1C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商情形的，关联供应商均按响应文件无效处理。</w:t>
      </w:r>
    </w:p>
    <w:p w14:paraId="39D0E50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20.5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广西政府采购云平台采用在线书面形式，并加盖公章（CA 证书签章），或者由法定代表人（负责人）或其授权委托代理人个人 CA 证书签章（没有办理广西政府采购云平台个人 CA 证书签章的可在响应文件中涉及到签字的位置手写签字后扫描或者拍照做成 PDF 的格式上传），供应商为自然人的，应当由本人个人 CA 证书签章（没有办理广西政府采购云平台个人 CA 证书签章的可在响应文件中涉及到签字的位置手写签字后扫描或者拍照做成 PDF 的格式上传）并附身份证明。</w:t>
      </w:r>
    </w:p>
    <w:p w14:paraId="2F57E39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根据谈判文件规定的程序、评定成交的标准等事项与实质性响应竞争性谈判文件要求的供应商进行谈判。未实质性响应谈判文件的响应文件按无效处理，谈判小组应当告知有关供应商。</w:t>
      </w:r>
    </w:p>
    <w:p w14:paraId="06AE3B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谈判小组所有成员应当按已确定的谈判顺序集中与单一供应商分别进行谈判，并给予所有实质性响应竞争性谈判文件要求的供应商平等的谈判机会。</w:t>
      </w:r>
    </w:p>
    <w:p w14:paraId="668323C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谈判中，谈判小组不得透露与谈判有关的其他供应商的技术资料、价格和其他信息。</w:t>
      </w:r>
    </w:p>
    <w:p w14:paraId="527A9F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采购代理机构（谈判小组）对谈判过程和重要谈判内容进行记录，谈判双方在记录上签字确认（或 CA证书签章）。</w:t>
      </w:r>
    </w:p>
    <w:p w14:paraId="22EA8FC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20.6 在谈判过程中，谈判小组可以根据谈判文件和谈判情况实质性变动采购需求中的技术、服务要求以及合同草案条款，但不得变动谈判文件中的其他内容。实质性变动的内容，须经采购人代表确认。</w:t>
      </w:r>
    </w:p>
    <w:p w14:paraId="6488AA9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对谈判文件作出的实质性变动是谈判文件的有效组成部分，谈判小组应当及时通过广西政府采购云平台以书面形式同时通知所有参加谈判的供应商。</w:t>
      </w:r>
    </w:p>
    <w:p w14:paraId="76DB8A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供应商必须按照谈判文件的变动情况和谈判小组的要求重新提交响应文件，并由其法定代表人(负责人、自然人)或相应的授权委托代表个人 CA 证书签章（没有办理广西政府采购云平台个人 CA 证书签章的可在响应文件中涉及到签字的位置手写签字后扫描或者拍照做成 PDF 的格式上传）或者加盖供应商公章（CA 证书签章）。逾时不交的，视同放弃谈判。</w:t>
      </w:r>
    </w:p>
    <w:p w14:paraId="52A771D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20.7 最后报价</w:t>
      </w:r>
    </w:p>
    <w:p w14:paraId="159921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20.7.1 谈判文件能够详细列明采购标的的技术、服务要求的，谈判结束后，谈判小组应当要求所有继续参加谈判的供应商在规定时间内通过广西政府采购云平台在线提交最后报价，提交最后报价的供应商不得少于 3 家；谈判文件不能详细列明采购标的的技术、服务要求的，需由供应商提供最终设计方案或解决方案的，谈判结束后，谈判小组应当按照少数服从多数的原则投票推荐 3 家以上（含 3 家）供应商的设计方案或者解决方案，并要求其在规定时间内通过广西政府采购云平台在线提交最后报价。</w:t>
      </w:r>
    </w:p>
    <w:p w14:paraId="0372891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20.7.2 在采购过程中符合竞争要求的供应商或者报价未超过采购预算的供应商不足 3 家的，采购人或者采购代理机构应当终止竞争性谈判采购活动。</w:t>
      </w:r>
    </w:p>
    <w:p w14:paraId="5EEC790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20.7.3 最后报价是供应商响应文件的有效组成部分。</w:t>
      </w:r>
    </w:p>
    <w:p w14:paraId="208158F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20.8 已提交响应文件的供应商，在提交最后报价之前，可以根据谈判情况书面退出谈判。</w:t>
      </w:r>
    </w:p>
    <w:p w14:paraId="01BA55E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未书面退出谈判的供应商必须在规定时间内通过广西政府采购云平台在线提交最后报价；谈判过程中谈判文件未作实质性变动的，最后报价不得大于首次报价。</w:t>
      </w:r>
    </w:p>
    <w:p w14:paraId="4225DDD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20.9 评审报告</w:t>
      </w:r>
    </w:p>
    <w:p w14:paraId="53A006A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谈判小组应当从质量和服务均能满足谈判文件全部实质性响应要求的供应商中，按照评审报价（最后报价及享受政府采购政策的优惠扣除） 由低到高的顺序提出 3 名以上（含 3 名）成交候选人，并编写评审报告。</w:t>
      </w:r>
    </w:p>
    <w:p w14:paraId="07E39A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20.10 在评审过程中出现法律法规和谈判文件均没有明确规定的情形时，由谈判小组现场协商解 决，协商不一致的，由全体谈判小组投票表决，以得票率二分之一以上专家的意见为准。</w:t>
      </w:r>
    </w:p>
    <w:p w14:paraId="3854970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20.11采购代理机构发现谈判小组有明显的违规倾向或歧视现象，或不按评审办法进行，或其他不 正常行为的，应当及时制止。如制止无效，应及时向桂林市财政局报告。</w:t>
      </w:r>
    </w:p>
    <w:p w14:paraId="6AD47AA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21.推荐及确定成交候选供应商原则</w:t>
      </w:r>
    </w:p>
    <w:p w14:paraId="0A99786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（1）采购单位应当确定谈判小组推荐排名第一的成交候选人为成交供应商。</w:t>
      </w:r>
    </w:p>
    <w:p w14:paraId="6AA9A15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（2）排名第一的成交候选人放弃成交、因不可抗力提出不能履行合同，或者谈判文件规定应当提 交履约保证金而在规定的期限内未能提交的，或因失信行为被取消成交候选人资格的，采购单位可以 确定排名第二的成交候选人为成交供应商。</w:t>
      </w:r>
    </w:p>
    <w:p w14:paraId="2378E85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（3）排名第二的成交候选人因前款规定的同样原因不能签订合同的，采购单位可以确定排名第三 的成交候选人为成交供应商。</w:t>
      </w:r>
    </w:p>
    <w:p w14:paraId="0E72164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1"/>
        <w:rPr>
          <w:rFonts w:ascii="宋体" w:hAnsi="宋体" w:eastAsia="宋体" w:cs="宋体"/>
          <w:b/>
          <w:bCs/>
          <w:color w:val="auto"/>
          <w:spacing w:val="0"/>
          <w:position w:val="0"/>
          <w:sz w:val="21"/>
          <w:szCs w:val="21"/>
          <w:highlight w:val="none"/>
        </w:rPr>
      </w:pPr>
      <w:r>
        <w:rPr>
          <w:rFonts w:ascii="宋体" w:hAnsi="宋体" w:eastAsia="宋体" w:cs="宋体"/>
          <w:b/>
          <w:bCs/>
          <w:color w:val="auto"/>
          <w:spacing w:val="0"/>
          <w:position w:val="0"/>
          <w:sz w:val="21"/>
          <w:szCs w:val="21"/>
          <w:highlight w:val="none"/>
        </w:rPr>
        <w:t>22.属于下列情况之一者，响应文件无效：</w:t>
      </w:r>
    </w:p>
    <w:p w14:paraId="43EEFDA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（1）未按谈判文件规定完整提交响应文件或未按规定要求签字、签章的，或未提供授权委托书（委托代理的）；</w:t>
      </w:r>
    </w:p>
    <w:p w14:paraId="388AB7F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（2）超越了行政审批的经营范围的；</w:t>
      </w:r>
    </w:p>
    <w:p w14:paraId="280CB24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（3）不具备谈判文件规定的资格要求的；</w:t>
      </w:r>
    </w:p>
    <w:p w14:paraId="0187BED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（4）响应文件未按谈判文件的内容和要求编制，或提供虚假材料的；</w:t>
      </w:r>
    </w:p>
    <w:p w14:paraId="740904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（5）响应文件有效期、免费保修期、售后服务承诺不能满足谈判文件要求的；</w:t>
      </w:r>
    </w:p>
    <w:p w14:paraId="02F8A5A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（6）供应商未就“采购需求 ”中的所有服务内容作完整唯一报价的；</w:t>
      </w:r>
    </w:p>
    <w:p w14:paraId="79A08F1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（7）未在谈判小组规定的时间内重新提交响应文件的；</w:t>
      </w:r>
    </w:p>
    <w:p w14:paraId="0DC7D49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（8）未满足谈判文件实质性要求的；或者响应文件有采购人不能接受的附加条件的；</w:t>
      </w:r>
    </w:p>
    <w:p w14:paraId="57C9784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（9）不符合法律、法规和谈判文件规定的其他实质性要求和条件的。</w:t>
      </w:r>
    </w:p>
    <w:p w14:paraId="4068D46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供应商有下列情形之一的，视为串通参与谈判，响应文件将被视为无效：</w:t>
      </w:r>
    </w:p>
    <w:p w14:paraId="5864DD3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（1）不同供应商的响应文件由同一单位或者个人编制的；</w:t>
      </w:r>
    </w:p>
    <w:p w14:paraId="2E0911D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（2）不同供应商委托同一单位或者个人办理谈判事宜的；</w:t>
      </w:r>
    </w:p>
    <w:p w14:paraId="6CBACAF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（3）不同的供应商的响应文件载明的项目管理员为同一个人的；</w:t>
      </w:r>
    </w:p>
    <w:p w14:paraId="481F52F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（4）不同供应商的响应文件异常一致或最后报价呈规律性差异的；</w:t>
      </w:r>
    </w:p>
    <w:p w14:paraId="16B1CC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（5）不同供应商的响应文件相互混装的；</w:t>
      </w:r>
    </w:p>
    <w:p w14:paraId="392EA2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（6）谈判文件未作实质性变动，供应商最后报价高于首次报价的</w:t>
      </w:r>
      <w:r>
        <w:rPr>
          <w:rFonts w:ascii="宋体" w:hAnsi="宋体" w:eastAsia="宋体" w:cs="宋体"/>
          <w:b/>
          <w:bCs/>
          <w:color w:val="auto"/>
          <w:spacing w:val="0"/>
          <w:position w:val="0"/>
          <w:sz w:val="21"/>
          <w:szCs w:val="21"/>
          <w:highlight w:val="none"/>
        </w:rPr>
        <w:t>。</w:t>
      </w:r>
    </w:p>
    <w:p w14:paraId="05B55A1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23.出现下列情形之一的，采购人或者采购代理机构应当终止竞争性谈判采购活动，发布项目终止公告并说明原因，重新开展采购活动：</w:t>
      </w:r>
    </w:p>
    <w:p w14:paraId="4A8CF5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（1）因情况变化，不再符合规定的竞争性谈判采购方式适用情形的；</w:t>
      </w:r>
    </w:p>
    <w:p w14:paraId="390084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（2）出现影响采购公正的违法、违规行为的；</w:t>
      </w:r>
    </w:p>
    <w:p w14:paraId="570BDC4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（3）在采购过程中符合要求的供应商或者报价未超过采购预算的供应商不足 3 家的。</w:t>
      </w:r>
    </w:p>
    <w:p w14:paraId="580D590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24.在采购活动中因重大变故，采购任务取消的，采购人或者采购代理机构应当终止采购活动，通知所有参加采购活动的供应商，并将项目实施情况和采购任务取消原因报送本级财政部门。</w:t>
      </w:r>
    </w:p>
    <w:p w14:paraId="457EB03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25.谈判过程的监控</w:t>
      </w:r>
    </w:p>
    <w:p w14:paraId="5DFD743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本项目谈判过程实行全程录音、录像监控，供应商在谈判过程中所进行的试图影响谈判结果的不公正活动，可能导致其响应被拒绝。</w:t>
      </w:r>
    </w:p>
    <w:p w14:paraId="3616AB9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26.</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信用查询</w:t>
      </w:r>
    </w:p>
    <w:p w14:paraId="00386A7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根据《关于做好政府采购有关信用主体标识码登记及在政府采购活动中查询使用信用记录有关问题的通知》（桂财采〔2016〕37）， 由采购代理机构对第一成交候选人进行信用查询：</w:t>
      </w:r>
    </w:p>
    <w:p w14:paraId="73275DB1">
      <w:pPr>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20" w:firstLineChars="200"/>
        <w:jc w:val="left"/>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⑴查询渠道：“信用中国”网站(</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"https://www.creditchina.gov.cn"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www.creditchina.gov.cn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)、中国政府采购网(</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"https://www.ccgp.gov.cn"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www.ccgp.gov.cn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)等；</w:t>
      </w:r>
    </w:p>
    <w:p w14:paraId="76BE50B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⑵查询截止时间：成交通知书发出前；</w:t>
      </w:r>
    </w:p>
    <w:p w14:paraId="499121B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⑶信用信息查询记录和证据留存方式：在查询网站中直接打印查询记录，打印材料作为采购活动资料保存；</w:t>
      </w:r>
    </w:p>
    <w:p w14:paraId="7FC537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⑷信用信息使用规则： 对在“信用中国”网站(</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"https://www.creditchina.gov.cn"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www.creditchina.gov.cn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)、中国政府采购网(</w:t>
      </w:r>
      <w:r>
        <w:rPr>
          <w:color w:val="auto"/>
          <w:spacing w:val="0"/>
          <w:position w:val="0"/>
          <w:sz w:val="21"/>
          <w:szCs w:val="21"/>
          <w:highlight w:val="none"/>
        </w:rPr>
        <w:fldChar w:fldCharType="begin"/>
      </w:r>
      <w:r>
        <w:rPr>
          <w:color w:val="auto"/>
          <w:spacing w:val="0"/>
          <w:position w:val="0"/>
          <w:sz w:val="21"/>
          <w:szCs w:val="21"/>
          <w:highlight w:val="none"/>
        </w:rPr>
        <w:instrText xml:space="preserve"> HYPERLINK "https://www.ccgp.gov.cn" </w:instrText>
      </w:r>
      <w:r>
        <w:rPr>
          <w:color w:val="auto"/>
          <w:spacing w:val="0"/>
          <w:position w:val="0"/>
          <w:sz w:val="21"/>
          <w:szCs w:val="21"/>
          <w:highlight w:val="none"/>
        </w:rPr>
        <w:fldChar w:fldCharType="separate"/>
      </w:r>
      <w:r>
        <w:rPr>
          <w:rFonts w:ascii="宋体" w:hAnsi="宋体" w:eastAsia="宋体" w:cs="宋体"/>
          <w:color w:val="auto"/>
          <w:spacing w:val="0"/>
          <w:position w:val="0"/>
          <w:sz w:val="21"/>
          <w:szCs w:val="21"/>
          <w:highlight w:val="none"/>
        </w:rPr>
        <w:t>www.ccgp.gov.cn</w:t>
      </w:r>
      <w:r>
        <w:rPr>
          <w:rFonts w:ascii="宋体" w:hAnsi="宋体" w:eastAsia="宋体" w:cs="宋体"/>
          <w:color w:val="auto"/>
          <w:spacing w:val="0"/>
          <w:position w:val="0"/>
          <w:sz w:val="21"/>
          <w:szCs w:val="21"/>
          <w:highlight w:val="none"/>
        </w:rPr>
        <w:fldChar w:fldCharType="end"/>
      </w:r>
      <w:r>
        <w:rPr>
          <w:rFonts w:ascii="宋体" w:hAnsi="宋体" w:eastAsia="宋体" w:cs="宋体"/>
          <w:color w:val="auto"/>
          <w:spacing w:val="0"/>
          <w:position w:val="0"/>
          <w:sz w:val="21"/>
          <w:szCs w:val="21"/>
          <w:highlight w:val="none"/>
        </w:rPr>
        <w:t>)等渠道列入失信被执行人、重大税收违法案件当事人名单、政府采购严重违法失信行为记录名单及其他不符合《中华人民共和国政府采购法》第二十二条规定条件的供应商，取消其成交候选人资格。</w:t>
      </w:r>
    </w:p>
    <w:p w14:paraId="7D2E614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27.成交公告及成交通知书</w:t>
      </w:r>
    </w:p>
    <w:p w14:paraId="38749610">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27.1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75CD7B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27.2 中小企业在政府采购活动过程中，请根据自己的真实情况出具《中小企业声明函》。采购人或采购代理机构在公告成交结果时，同时公告其《中小企业声明函》，接受社会监督。</w:t>
      </w:r>
    </w:p>
    <w:p w14:paraId="57D738F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27.3 在发布成交公告的同时，采购代理机构向成交供应商发出成交通知书。成交供应商应自接到通知之日起七个工作日内，办理成交通知书领取手续。</w:t>
      </w:r>
    </w:p>
    <w:p w14:paraId="7BB40A9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27.4 采购代理机构无义务向未成交的供应商解释未成交原因和退还响应文件。</w:t>
      </w:r>
    </w:p>
    <w:p w14:paraId="2BC08132">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CF8D8D3">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五、签订合同</w:t>
      </w:r>
    </w:p>
    <w:p w14:paraId="7DF428F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28.履约保证金</w:t>
      </w:r>
    </w:p>
    <w:p w14:paraId="56E4C7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本项目不收取履约保证金。</w:t>
      </w:r>
    </w:p>
    <w:p w14:paraId="11595B5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29.签订合同</w:t>
      </w:r>
    </w:p>
    <w:p w14:paraId="79F32DB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29.1 签订合同时间：成交通知书发出之日起 8 个工作日内。成交供应商领取成交通知书后，应按规定与采购人签订合同。</w:t>
      </w:r>
    </w:p>
    <w:p w14:paraId="30992DE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29.2 如成交供应商有下列情形之一，情节严重的，由财政部门将其列入不良行为记录名单，在一至三年内禁止参加政府采购活动，并予以通报。采购代理机构可从谈判小组推荐的成交候选供应商中 按顺序重新确定成交供应商或重新组织采购。拒绝签订政府采购合同的成交供应商不得参加对该项目 重新开展的采购活动。</w:t>
      </w:r>
    </w:p>
    <w:p w14:paraId="3327CA5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（1）成交后不与采购人签订合同的（不可抗力除外）；</w:t>
      </w:r>
    </w:p>
    <w:p w14:paraId="4AE357B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（2）将成交项目转让给他人，或者在响应文件中未说明，且未经采购人同意，将成交项目分包给他人的；</w:t>
      </w:r>
    </w:p>
    <w:p w14:paraId="6B898E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1"/>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（3）拒绝履行合同义务的。</w:t>
      </w:r>
    </w:p>
    <w:p w14:paraId="7FAE648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29.3 合同备案存档：</w:t>
      </w:r>
      <w:r>
        <w:rPr>
          <w:rFonts w:hint="eastAsia" w:ascii="宋体" w:hAnsi="宋体" w:eastAsia="宋体" w:cs="宋体"/>
          <w:color w:val="auto"/>
          <w:spacing w:val="0"/>
          <w:position w:val="0"/>
          <w:sz w:val="21"/>
          <w:szCs w:val="21"/>
          <w:highlight w:val="non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hint="eastAsia" w:ascii="宋体" w:hAnsi="宋体" w:eastAsia="宋体" w:cs="宋体"/>
          <w:color w:val="auto"/>
          <w:spacing w:val="0"/>
          <w:position w:val="0"/>
          <w:sz w:val="21"/>
          <w:szCs w:val="21"/>
          <w:highlight w:val="none"/>
          <w:lang w:eastAsia="zh-CN"/>
        </w:rPr>
        <w:t>广西昶吉工程项目管理有限公司</w:t>
      </w:r>
      <w:r>
        <w:rPr>
          <w:rFonts w:hint="eastAsia" w:ascii="宋体" w:hAnsi="宋体" w:eastAsia="宋体" w:cs="宋体"/>
          <w:color w:val="auto"/>
          <w:spacing w:val="0"/>
          <w:position w:val="0"/>
          <w:sz w:val="21"/>
          <w:szCs w:val="21"/>
          <w:highlight w:val="none"/>
        </w:rPr>
        <w:t>存档</w:t>
      </w:r>
      <w:r>
        <w:rPr>
          <w:rFonts w:hint="eastAsia" w:ascii="宋体" w:hAnsi="宋体" w:eastAsia="宋体" w:cs="宋体"/>
          <w:color w:val="auto"/>
          <w:spacing w:val="0"/>
          <w:position w:val="0"/>
          <w:sz w:val="21"/>
          <w:szCs w:val="21"/>
          <w:highlight w:val="none"/>
          <w:lang w:eastAsia="zh-CN"/>
        </w:rPr>
        <w:t>。</w:t>
      </w:r>
    </w:p>
    <w:p w14:paraId="7E9FBE87">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hint="eastAsia" w:ascii="宋体" w:hAnsi="宋体" w:cs="宋体"/>
          <w:color w:val="auto"/>
          <w:spacing w:val="0"/>
          <w:position w:val="0"/>
          <w:highlight w:val="none"/>
        </w:rPr>
      </w:pPr>
    </w:p>
    <w:p w14:paraId="23CA6165">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六、其他事项</w:t>
      </w:r>
    </w:p>
    <w:p w14:paraId="5B8C9A7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30.采购代理服务费</w:t>
      </w:r>
    </w:p>
    <w:p w14:paraId="06599399">
      <w:pPr>
        <w:wordWrap w:val="0"/>
        <w:spacing w:line="360" w:lineRule="auto"/>
        <w:ind w:firstLine="420" w:firstLineChars="200"/>
        <w:rPr>
          <w:rFonts w:ascii="Arial" w:hAnsi="Arial" w:cs="Arial"/>
          <w:color w:val="auto"/>
          <w:szCs w:val="21"/>
          <w:highlight w:val="none"/>
        </w:rPr>
      </w:pPr>
      <w:r>
        <w:rPr>
          <w:rFonts w:ascii="宋体" w:hAnsi="宋体" w:eastAsia="宋体" w:cs="宋体"/>
          <w:color w:val="auto"/>
          <w:spacing w:val="0"/>
          <w:position w:val="0"/>
          <w:sz w:val="21"/>
          <w:szCs w:val="21"/>
          <w:highlight w:val="none"/>
        </w:rPr>
        <w:t xml:space="preserve">30.1 </w:t>
      </w:r>
      <w:r>
        <w:rPr>
          <w:rFonts w:hint="eastAsia" w:ascii="宋体" w:hAnsi="宋体"/>
          <w:color w:val="auto"/>
          <w:highlight w:val="none"/>
        </w:rPr>
        <w:t>本项目采购代理服务费按本须知第3</w:t>
      </w:r>
      <w:r>
        <w:rPr>
          <w:rFonts w:hint="eastAsia" w:ascii="宋体" w:hAnsi="宋体" w:eastAsia="宋体"/>
          <w:color w:val="auto"/>
          <w:highlight w:val="none"/>
          <w:lang w:val="en-US" w:eastAsia="zh-CN"/>
        </w:rPr>
        <w:t>0</w:t>
      </w:r>
      <w:r>
        <w:rPr>
          <w:rFonts w:hint="eastAsia" w:ascii="宋体" w:hAnsi="宋体"/>
          <w:color w:val="auto"/>
          <w:highlight w:val="none"/>
        </w:rPr>
        <w:t>.2条“采购代理服务收费标准”中“货物招标”收费标</w:t>
      </w:r>
      <w:r>
        <w:rPr>
          <w:rFonts w:ascii="Arial" w:hAnsi="Arial" w:cs="Arial"/>
          <w:color w:val="auto"/>
          <w:szCs w:val="21"/>
          <w:highlight w:val="none"/>
        </w:rPr>
        <w:t>准向中标供应商收取，由中标人在领取中标通知书前以银行转账或现金形式支付代理服务费，向采购代理机构一次性支付</w:t>
      </w:r>
      <w:r>
        <w:rPr>
          <w:rFonts w:hint="eastAsia" w:ascii="Arial" w:hAnsi="Arial" w:cs="Arial"/>
          <w:color w:val="auto"/>
          <w:szCs w:val="21"/>
          <w:highlight w:val="none"/>
        </w:rPr>
        <w:t>（不足6000元，按6000元收取）</w:t>
      </w:r>
      <w:r>
        <w:rPr>
          <w:rFonts w:ascii="Arial" w:hAnsi="Arial" w:cs="Arial"/>
          <w:color w:val="auto"/>
          <w:szCs w:val="21"/>
          <w:highlight w:val="none"/>
        </w:rPr>
        <w:t>。</w:t>
      </w:r>
    </w:p>
    <w:p w14:paraId="3CE40C05">
      <w:pPr>
        <w:wordWrap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w:t>
      </w:r>
      <w:r>
        <w:rPr>
          <w:rFonts w:hint="eastAsia" w:eastAsia="宋体" w:cs="Arial"/>
          <w:color w:val="auto"/>
          <w:szCs w:val="21"/>
          <w:highlight w:val="none"/>
          <w:lang w:val="en-US" w:eastAsia="zh-CN"/>
        </w:rPr>
        <w:t>0</w:t>
      </w:r>
      <w:r>
        <w:rPr>
          <w:rFonts w:ascii="Arial" w:hAnsi="Arial" w:cs="Arial"/>
          <w:color w:val="auto"/>
          <w:szCs w:val="21"/>
          <w:highlight w:val="none"/>
        </w:rPr>
        <w:t>.2招标代理服务收费标准：</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6FB2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53E62CE7">
            <w:pPr>
              <w:pStyle w:val="9"/>
              <w:wordWrap w:val="0"/>
              <w:spacing w:line="360" w:lineRule="auto"/>
              <w:ind w:left="25"/>
              <w:rPr>
                <w:rFonts w:ascii="Arial" w:hAnsi="Arial" w:cs="Arial"/>
                <w:color w:val="auto"/>
                <w:highlight w:val="none"/>
              </w:rPr>
            </w:pPr>
            <w:r>
              <w:rPr>
                <w:rFonts w:ascii="Arial" w:hAnsi="Arial" w:cs="Arial"/>
                <w:color w:val="auto"/>
                <w:highlight w:val="none"/>
              </w:rPr>
              <mc:AlternateContent>
                <mc:Choice Requires="wps">
                  <w:drawing>
                    <wp:anchor distT="0" distB="0" distL="114300" distR="114300" simplePos="0" relativeHeight="251677696"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3" name="直接连接符 3"/>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77696;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IBUzTWAAAACAEAAA8AAAAAAAAAAQAgAAAAIgAAAGRycy9kb3ducmV2LnhtbFBLAQIU&#10;ABQAAAAIAIdO4kBi05ME9QEAAOsDAAAOAAAAAAAAAAEAIAAAACUBAABkcnMvZTJvRG9jLnhtbFBL&#10;BQYAAAAABgAGAFkBAACMBQAAAAA=&#10;">
                      <v:fill on="f" focussize="0,0"/>
                      <v:stroke color="#000000" joinstyle="round"/>
                      <v:imagedata o:title=""/>
                      <o:lock v:ext="edit" aspectratio="f"/>
                    </v:line>
                  </w:pict>
                </mc:Fallback>
              </mc:AlternateContent>
            </w:r>
            <w:r>
              <w:rPr>
                <w:rFonts w:ascii="Arial" w:hAnsi="Arial" w:cs="Arial"/>
                <w:color w:val="auto"/>
                <w:highlight w:val="none"/>
              </w:rPr>
              <w:t>费率           服务类型</w:t>
            </w:r>
          </w:p>
          <w:p w14:paraId="4963ED78">
            <w:pPr>
              <w:pStyle w:val="9"/>
              <w:wordWrap w:val="0"/>
              <w:spacing w:line="360" w:lineRule="auto"/>
              <w:ind w:left="25"/>
              <w:rPr>
                <w:rFonts w:ascii="Arial" w:hAnsi="Arial" w:cs="Arial"/>
                <w:color w:val="auto"/>
                <w:highlight w:val="none"/>
              </w:rPr>
            </w:pPr>
            <w:r>
              <w:rPr>
                <w:rFonts w:ascii="Arial" w:hAnsi="Arial" w:cs="Arial"/>
                <w:color w:val="auto"/>
                <w:highlight w:val="none"/>
              </w:rPr>
              <mc:AlternateContent>
                <mc:Choice Requires="wps">
                  <w:drawing>
                    <wp:anchor distT="0" distB="0" distL="114300" distR="114300" simplePos="0" relativeHeight="251678720"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4" name="直接连接符 4"/>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78720;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A6vRNYAAAAIAQAADwAAAAAAAAABACAAAAAiAAAAZHJzL2Rvd25yZXYueG1sUEsB&#10;AhQAFAAAAAgAh07iQCWXDhr3AQAA6wMAAA4AAAAAAAAAAQAgAAAAJQEAAGRycy9lMm9Eb2MueG1s&#10;UEsFBgAAAAAGAAYAWQEAAI4FAAAAAA==&#10;">
                      <v:fill on="f" focussize="0,0"/>
                      <v:stroke color="#000000" joinstyle="round"/>
                      <v:imagedata o:title=""/>
                      <o:lock v:ext="edit" aspectratio="f"/>
                    </v:line>
                  </w:pict>
                </mc:Fallback>
              </mc:AlternateContent>
            </w:r>
          </w:p>
          <w:p w14:paraId="4AF3BB8A">
            <w:pPr>
              <w:pStyle w:val="9"/>
              <w:wordWrap w:val="0"/>
              <w:spacing w:line="360" w:lineRule="auto"/>
              <w:ind w:left="25"/>
              <w:rPr>
                <w:rFonts w:ascii="Arial" w:hAnsi="Arial" w:cs="Arial"/>
                <w:color w:val="auto"/>
                <w:highlight w:val="none"/>
              </w:rPr>
            </w:pPr>
            <w:r>
              <w:rPr>
                <w:rFonts w:ascii="Arial" w:hAnsi="Arial" w:cs="Arial"/>
                <w:color w:val="auto"/>
                <w:highlight w:val="none"/>
              </w:rPr>
              <w:t>中标金额</w:t>
            </w:r>
          </w:p>
        </w:tc>
        <w:tc>
          <w:tcPr>
            <w:tcW w:w="1841" w:type="dxa"/>
            <w:noWrap w:val="0"/>
            <w:vAlign w:val="center"/>
          </w:tcPr>
          <w:p w14:paraId="1CC7C39D">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货物招标</w:t>
            </w:r>
          </w:p>
        </w:tc>
        <w:tc>
          <w:tcPr>
            <w:tcW w:w="1992" w:type="dxa"/>
            <w:noWrap w:val="0"/>
            <w:vAlign w:val="center"/>
          </w:tcPr>
          <w:p w14:paraId="63DBEA24">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服务招标</w:t>
            </w:r>
          </w:p>
        </w:tc>
        <w:tc>
          <w:tcPr>
            <w:tcW w:w="2293" w:type="dxa"/>
            <w:noWrap w:val="0"/>
            <w:vAlign w:val="center"/>
          </w:tcPr>
          <w:p w14:paraId="31DE131F">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工程招标</w:t>
            </w:r>
          </w:p>
        </w:tc>
      </w:tr>
      <w:tr w14:paraId="599D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880" w:type="dxa"/>
            <w:noWrap w:val="0"/>
            <w:vAlign w:val="center"/>
          </w:tcPr>
          <w:p w14:paraId="45B4DC34">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100万元以下</w:t>
            </w:r>
          </w:p>
        </w:tc>
        <w:tc>
          <w:tcPr>
            <w:tcW w:w="1841" w:type="dxa"/>
            <w:noWrap w:val="0"/>
            <w:vAlign w:val="center"/>
          </w:tcPr>
          <w:p w14:paraId="65B5863D">
            <w:pPr>
              <w:pStyle w:val="32"/>
              <w:widowControl w:val="0"/>
              <w:wordWrap w:val="0"/>
              <w:spacing w:line="360" w:lineRule="auto"/>
              <w:ind w:left="25"/>
              <w:jc w:val="center"/>
              <w:rPr>
                <w:rFonts w:ascii="Arial" w:hAnsi="Arial" w:cs="Arial"/>
                <w:color w:val="auto"/>
                <w:highlight w:val="none"/>
              </w:rPr>
            </w:pPr>
            <w:r>
              <w:rPr>
                <w:rFonts w:ascii="Arial" w:hAnsi="Arial" w:cs="Arial"/>
                <w:color w:val="auto"/>
                <w:highlight w:val="none"/>
              </w:rPr>
              <w:t>1.5%</w:t>
            </w:r>
          </w:p>
        </w:tc>
        <w:tc>
          <w:tcPr>
            <w:tcW w:w="1992" w:type="dxa"/>
            <w:noWrap w:val="0"/>
            <w:vAlign w:val="center"/>
          </w:tcPr>
          <w:p w14:paraId="045F47EE">
            <w:pPr>
              <w:pStyle w:val="32"/>
              <w:widowControl w:val="0"/>
              <w:wordWrap w:val="0"/>
              <w:spacing w:line="360" w:lineRule="auto"/>
              <w:ind w:left="25"/>
              <w:jc w:val="center"/>
              <w:rPr>
                <w:rFonts w:ascii="Arial" w:hAnsi="Arial" w:cs="Arial"/>
                <w:color w:val="auto"/>
                <w:highlight w:val="none"/>
              </w:rPr>
            </w:pPr>
            <w:r>
              <w:rPr>
                <w:rFonts w:ascii="Arial" w:hAnsi="Arial" w:cs="Arial"/>
                <w:color w:val="auto"/>
                <w:highlight w:val="none"/>
              </w:rPr>
              <w:t>1.5%</w:t>
            </w:r>
          </w:p>
        </w:tc>
        <w:tc>
          <w:tcPr>
            <w:tcW w:w="2293" w:type="dxa"/>
            <w:noWrap w:val="0"/>
            <w:vAlign w:val="center"/>
          </w:tcPr>
          <w:p w14:paraId="4A4A5B10">
            <w:pPr>
              <w:pStyle w:val="32"/>
              <w:widowControl w:val="0"/>
              <w:wordWrap w:val="0"/>
              <w:spacing w:line="360" w:lineRule="auto"/>
              <w:ind w:left="25"/>
              <w:jc w:val="center"/>
              <w:rPr>
                <w:rFonts w:ascii="Arial" w:hAnsi="Arial" w:cs="Arial"/>
                <w:color w:val="auto"/>
                <w:highlight w:val="none"/>
              </w:rPr>
            </w:pPr>
            <w:r>
              <w:rPr>
                <w:rFonts w:ascii="Arial" w:hAnsi="Arial" w:cs="Arial"/>
                <w:color w:val="auto"/>
                <w:highlight w:val="none"/>
              </w:rPr>
              <w:t>1.0%</w:t>
            </w:r>
          </w:p>
        </w:tc>
      </w:tr>
      <w:tr w14:paraId="2C70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880" w:type="dxa"/>
            <w:noWrap w:val="0"/>
            <w:vAlign w:val="center"/>
          </w:tcPr>
          <w:p w14:paraId="24B750AC">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100～500万元</w:t>
            </w:r>
          </w:p>
        </w:tc>
        <w:tc>
          <w:tcPr>
            <w:tcW w:w="1841" w:type="dxa"/>
            <w:noWrap w:val="0"/>
            <w:vAlign w:val="center"/>
          </w:tcPr>
          <w:p w14:paraId="1C39B7DF">
            <w:pPr>
              <w:pStyle w:val="32"/>
              <w:widowControl w:val="0"/>
              <w:wordWrap w:val="0"/>
              <w:spacing w:line="360" w:lineRule="auto"/>
              <w:ind w:left="25"/>
              <w:jc w:val="center"/>
              <w:rPr>
                <w:rFonts w:ascii="Arial" w:hAnsi="Arial" w:cs="Arial"/>
                <w:color w:val="auto"/>
                <w:highlight w:val="none"/>
              </w:rPr>
            </w:pPr>
            <w:r>
              <w:rPr>
                <w:rFonts w:ascii="Arial" w:hAnsi="Arial" w:cs="Arial"/>
                <w:color w:val="auto"/>
                <w:highlight w:val="none"/>
              </w:rPr>
              <w:t>1.1%</w:t>
            </w:r>
          </w:p>
        </w:tc>
        <w:tc>
          <w:tcPr>
            <w:tcW w:w="1992" w:type="dxa"/>
            <w:noWrap w:val="0"/>
            <w:vAlign w:val="center"/>
          </w:tcPr>
          <w:p w14:paraId="3B5D54D5">
            <w:pPr>
              <w:pStyle w:val="32"/>
              <w:widowControl w:val="0"/>
              <w:wordWrap w:val="0"/>
              <w:spacing w:line="360" w:lineRule="auto"/>
              <w:ind w:left="25"/>
              <w:jc w:val="center"/>
              <w:rPr>
                <w:rFonts w:ascii="Arial" w:hAnsi="Arial" w:cs="Arial"/>
                <w:color w:val="auto"/>
                <w:highlight w:val="none"/>
              </w:rPr>
            </w:pPr>
            <w:r>
              <w:rPr>
                <w:rFonts w:ascii="Arial" w:hAnsi="Arial" w:cs="Arial"/>
                <w:color w:val="auto"/>
                <w:highlight w:val="none"/>
              </w:rPr>
              <w:t>0.8%</w:t>
            </w:r>
          </w:p>
        </w:tc>
        <w:tc>
          <w:tcPr>
            <w:tcW w:w="2293" w:type="dxa"/>
            <w:noWrap w:val="0"/>
            <w:vAlign w:val="center"/>
          </w:tcPr>
          <w:p w14:paraId="311FD863">
            <w:pPr>
              <w:pStyle w:val="32"/>
              <w:widowControl w:val="0"/>
              <w:wordWrap w:val="0"/>
              <w:spacing w:line="360" w:lineRule="auto"/>
              <w:ind w:left="25"/>
              <w:jc w:val="center"/>
              <w:rPr>
                <w:rFonts w:ascii="Arial" w:hAnsi="Arial" w:cs="Arial"/>
                <w:color w:val="auto"/>
                <w:highlight w:val="none"/>
              </w:rPr>
            </w:pPr>
            <w:r>
              <w:rPr>
                <w:rFonts w:ascii="Arial" w:hAnsi="Arial" w:cs="Arial"/>
                <w:color w:val="auto"/>
                <w:highlight w:val="none"/>
              </w:rPr>
              <w:t>0.7%</w:t>
            </w:r>
          </w:p>
        </w:tc>
      </w:tr>
      <w:tr w14:paraId="1B79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5E3D3F12">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500～1000万元</w:t>
            </w:r>
          </w:p>
        </w:tc>
        <w:tc>
          <w:tcPr>
            <w:tcW w:w="1841" w:type="dxa"/>
            <w:noWrap w:val="0"/>
            <w:vAlign w:val="center"/>
          </w:tcPr>
          <w:p w14:paraId="1B795000">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0.8%</w:t>
            </w:r>
          </w:p>
        </w:tc>
        <w:tc>
          <w:tcPr>
            <w:tcW w:w="1992" w:type="dxa"/>
            <w:noWrap w:val="0"/>
            <w:vAlign w:val="center"/>
          </w:tcPr>
          <w:p w14:paraId="43A84C65">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0.45%</w:t>
            </w:r>
          </w:p>
        </w:tc>
        <w:tc>
          <w:tcPr>
            <w:tcW w:w="2293" w:type="dxa"/>
            <w:noWrap w:val="0"/>
            <w:vAlign w:val="center"/>
          </w:tcPr>
          <w:p w14:paraId="00B8F659">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0.55%</w:t>
            </w:r>
          </w:p>
        </w:tc>
      </w:tr>
      <w:tr w14:paraId="38BE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77BF6A51">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1000～5000万元</w:t>
            </w:r>
          </w:p>
        </w:tc>
        <w:tc>
          <w:tcPr>
            <w:tcW w:w="1841" w:type="dxa"/>
            <w:noWrap w:val="0"/>
            <w:vAlign w:val="center"/>
          </w:tcPr>
          <w:p w14:paraId="20B71A6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0.5%</w:t>
            </w:r>
          </w:p>
        </w:tc>
        <w:tc>
          <w:tcPr>
            <w:tcW w:w="1992" w:type="dxa"/>
            <w:noWrap w:val="0"/>
            <w:vAlign w:val="center"/>
          </w:tcPr>
          <w:p w14:paraId="3C926151">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0.25%</w:t>
            </w:r>
          </w:p>
        </w:tc>
        <w:tc>
          <w:tcPr>
            <w:tcW w:w="2293" w:type="dxa"/>
            <w:noWrap w:val="0"/>
            <w:vAlign w:val="center"/>
          </w:tcPr>
          <w:p w14:paraId="3D8E00F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0.35%</w:t>
            </w:r>
          </w:p>
        </w:tc>
      </w:tr>
      <w:tr w14:paraId="6A13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5D4D0E08">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5000万元～1亿元</w:t>
            </w:r>
          </w:p>
        </w:tc>
        <w:tc>
          <w:tcPr>
            <w:tcW w:w="1841" w:type="dxa"/>
            <w:noWrap w:val="0"/>
            <w:vAlign w:val="center"/>
          </w:tcPr>
          <w:p w14:paraId="6A9C118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0.25%</w:t>
            </w:r>
          </w:p>
        </w:tc>
        <w:tc>
          <w:tcPr>
            <w:tcW w:w="1992" w:type="dxa"/>
            <w:noWrap w:val="0"/>
            <w:vAlign w:val="center"/>
          </w:tcPr>
          <w:p w14:paraId="6892F9B0">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0.1%</w:t>
            </w:r>
          </w:p>
        </w:tc>
        <w:tc>
          <w:tcPr>
            <w:tcW w:w="2293" w:type="dxa"/>
            <w:noWrap w:val="0"/>
            <w:vAlign w:val="center"/>
          </w:tcPr>
          <w:p w14:paraId="6A0FB789">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0.2%</w:t>
            </w:r>
          </w:p>
        </w:tc>
      </w:tr>
      <w:tr w14:paraId="6798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736332F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1～5亿元</w:t>
            </w:r>
          </w:p>
        </w:tc>
        <w:tc>
          <w:tcPr>
            <w:tcW w:w="1841" w:type="dxa"/>
            <w:noWrap w:val="0"/>
            <w:vAlign w:val="center"/>
          </w:tcPr>
          <w:p w14:paraId="5EBB2EF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0.05%</w:t>
            </w:r>
          </w:p>
        </w:tc>
        <w:tc>
          <w:tcPr>
            <w:tcW w:w="1992" w:type="dxa"/>
            <w:noWrap w:val="0"/>
            <w:vAlign w:val="center"/>
          </w:tcPr>
          <w:p w14:paraId="051A7F25">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0.05%</w:t>
            </w:r>
          </w:p>
        </w:tc>
        <w:tc>
          <w:tcPr>
            <w:tcW w:w="2293" w:type="dxa"/>
            <w:noWrap w:val="0"/>
            <w:vAlign w:val="center"/>
          </w:tcPr>
          <w:p w14:paraId="5EBDDD9C">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0.05%</w:t>
            </w:r>
          </w:p>
        </w:tc>
      </w:tr>
      <w:tr w14:paraId="58E9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60CFA5C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5～10亿元</w:t>
            </w:r>
          </w:p>
        </w:tc>
        <w:tc>
          <w:tcPr>
            <w:tcW w:w="1841" w:type="dxa"/>
            <w:noWrap w:val="0"/>
            <w:vAlign w:val="center"/>
          </w:tcPr>
          <w:p w14:paraId="08278BD1">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0.035%</w:t>
            </w:r>
          </w:p>
        </w:tc>
        <w:tc>
          <w:tcPr>
            <w:tcW w:w="1992" w:type="dxa"/>
            <w:noWrap w:val="0"/>
            <w:vAlign w:val="center"/>
          </w:tcPr>
          <w:p w14:paraId="05A0C5C6">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0.035%</w:t>
            </w:r>
          </w:p>
        </w:tc>
        <w:tc>
          <w:tcPr>
            <w:tcW w:w="2293" w:type="dxa"/>
            <w:noWrap w:val="0"/>
            <w:vAlign w:val="center"/>
          </w:tcPr>
          <w:p w14:paraId="1D829A06">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0.035%</w:t>
            </w:r>
          </w:p>
        </w:tc>
      </w:tr>
      <w:tr w14:paraId="73E5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761357E3">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10～50亿元</w:t>
            </w:r>
          </w:p>
        </w:tc>
        <w:tc>
          <w:tcPr>
            <w:tcW w:w="1841" w:type="dxa"/>
            <w:noWrap w:val="0"/>
            <w:vAlign w:val="center"/>
          </w:tcPr>
          <w:p w14:paraId="1F26DFD6">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0.008%</w:t>
            </w:r>
          </w:p>
        </w:tc>
        <w:tc>
          <w:tcPr>
            <w:tcW w:w="1992" w:type="dxa"/>
            <w:noWrap w:val="0"/>
            <w:vAlign w:val="center"/>
          </w:tcPr>
          <w:p w14:paraId="630BEFA8">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0.008%</w:t>
            </w:r>
          </w:p>
        </w:tc>
        <w:tc>
          <w:tcPr>
            <w:tcW w:w="2293" w:type="dxa"/>
            <w:noWrap w:val="0"/>
            <w:vAlign w:val="center"/>
          </w:tcPr>
          <w:p w14:paraId="4C8338B2">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0.008%</w:t>
            </w:r>
          </w:p>
        </w:tc>
      </w:tr>
      <w:tr w14:paraId="7E38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461B16DE">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50～100亿元</w:t>
            </w:r>
          </w:p>
        </w:tc>
        <w:tc>
          <w:tcPr>
            <w:tcW w:w="1841" w:type="dxa"/>
            <w:noWrap w:val="0"/>
            <w:vAlign w:val="center"/>
          </w:tcPr>
          <w:p w14:paraId="1074DEF9">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0.006%</w:t>
            </w:r>
          </w:p>
        </w:tc>
        <w:tc>
          <w:tcPr>
            <w:tcW w:w="1992" w:type="dxa"/>
            <w:noWrap w:val="0"/>
            <w:vAlign w:val="center"/>
          </w:tcPr>
          <w:p w14:paraId="043A2DE3">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0.006%</w:t>
            </w:r>
          </w:p>
        </w:tc>
        <w:tc>
          <w:tcPr>
            <w:tcW w:w="2293" w:type="dxa"/>
            <w:noWrap w:val="0"/>
            <w:vAlign w:val="center"/>
          </w:tcPr>
          <w:p w14:paraId="1086656A">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0.006%</w:t>
            </w:r>
          </w:p>
        </w:tc>
      </w:tr>
      <w:tr w14:paraId="7963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center"/>
          </w:tcPr>
          <w:p w14:paraId="10870693">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100亿以上</w:t>
            </w:r>
          </w:p>
        </w:tc>
        <w:tc>
          <w:tcPr>
            <w:tcW w:w="1841" w:type="dxa"/>
            <w:noWrap w:val="0"/>
            <w:vAlign w:val="center"/>
          </w:tcPr>
          <w:p w14:paraId="7360C2C0">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0.004%</w:t>
            </w:r>
          </w:p>
        </w:tc>
        <w:tc>
          <w:tcPr>
            <w:tcW w:w="1992" w:type="dxa"/>
            <w:noWrap w:val="0"/>
            <w:vAlign w:val="center"/>
          </w:tcPr>
          <w:p w14:paraId="6A175B0B">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0.004%</w:t>
            </w:r>
          </w:p>
        </w:tc>
        <w:tc>
          <w:tcPr>
            <w:tcW w:w="2293" w:type="dxa"/>
            <w:noWrap w:val="0"/>
            <w:vAlign w:val="center"/>
          </w:tcPr>
          <w:p w14:paraId="797F39AE">
            <w:pPr>
              <w:pStyle w:val="9"/>
              <w:wordWrap w:val="0"/>
              <w:spacing w:line="360" w:lineRule="auto"/>
              <w:ind w:left="25"/>
              <w:jc w:val="center"/>
              <w:rPr>
                <w:rFonts w:ascii="Arial" w:hAnsi="Arial" w:cs="Arial"/>
                <w:color w:val="auto"/>
                <w:highlight w:val="none"/>
              </w:rPr>
            </w:pPr>
            <w:r>
              <w:rPr>
                <w:rFonts w:ascii="Arial" w:hAnsi="Arial" w:cs="Arial"/>
                <w:color w:val="auto"/>
                <w:highlight w:val="none"/>
              </w:rPr>
              <w:t>0.004%</w:t>
            </w:r>
          </w:p>
        </w:tc>
      </w:tr>
    </w:tbl>
    <w:p w14:paraId="20F996B6">
      <w:pPr>
        <w:pStyle w:val="9"/>
        <w:wordWrap w:val="0"/>
        <w:spacing w:line="360" w:lineRule="auto"/>
        <w:ind w:left="25"/>
        <w:rPr>
          <w:rFonts w:ascii="Arial" w:hAnsi="Arial" w:cs="Arial"/>
          <w:color w:val="auto"/>
          <w:highlight w:val="none"/>
        </w:rPr>
      </w:pPr>
      <w:r>
        <w:rPr>
          <w:rFonts w:ascii="Arial" w:hAnsi="Arial" w:cs="Arial"/>
          <w:color w:val="auto"/>
          <w:highlight w:val="none"/>
        </w:rPr>
        <w:t>注：招标代理服务收费按差额定率累进法计算。</w:t>
      </w:r>
    </w:p>
    <w:p w14:paraId="10B1F54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p>
    <w:p w14:paraId="1858911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31.采购代理机构银行账户（用于缴纳采购代理服务费）：</w:t>
      </w:r>
    </w:p>
    <w:p w14:paraId="33F86A02">
      <w:pPr>
        <w:pStyle w:val="6"/>
        <w:keepNext w:val="0"/>
        <w:keepLines w:val="0"/>
        <w:pageBreakBefore w:val="0"/>
        <w:widowControl w:val="0"/>
        <w:kinsoku/>
        <w:wordWrap w:val="0"/>
        <w:overflowPunct/>
        <w:topLinePunct w:val="0"/>
        <w:bidi w:val="0"/>
        <w:spacing w:line="360" w:lineRule="auto"/>
        <w:ind w:left="0" w:right="0" w:firstLine="456" w:firstLineChars="200"/>
        <w:rPr>
          <w:color w:val="auto"/>
          <w:spacing w:val="9"/>
          <w:position w:val="0"/>
          <w:sz w:val="21"/>
          <w:szCs w:val="21"/>
          <w:highlight w:val="none"/>
        </w:rPr>
      </w:pPr>
      <w:r>
        <w:rPr>
          <w:color w:val="auto"/>
          <w:spacing w:val="9"/>
          <w:position w:val="0"/>
          <w:sz w:val="21"/>
          <w:szCs w:val="21"/>
          <w:highlight w:val="none"/>
        </w:rPr>
        <w:t>开户名称：</w:t>
      </w:r>
      <w:r>
        <w:rPr>
          <w:rFonts w:hint="eastAsia"/>
          <w:color w:val="auto"/>
          <w:spacing w:val="9"/>
          <w:position w:val="0"/>
          <w:sz w:val="21"/>
          <w:szCs w:val="21"/>
          <w:highlight w:val="none"/>
          <w:lang w:eastAsia="zh-CN"/>
        </w:rPr>
        <w:t xml:space="preserve">广西昶吉工程项目管理有限公司 </w:t>
      </w:r>
    </w:p>
    <w:p w14:paraId="7133CAAA">
      <w:pPr>
        <w:pStyle w:val="6"/>
        <w:keepNext w:val="0"/>
        <w:keepLines w:val="0"/>
        <w:pageBreakBefore w:val="0"/>
        <w:widowControl w:val="0"/>
        <w:kinsoku/>
        <w:wordWrap w:val="0"/>
        <w:overflowPunct/>
        <w:topLinePunct w:val="0"/>
        <w:bidi w:val="0"/>
        <w:spacing w:line="360" w:lineRule="auto"/>
        <w:ind w:left="0" w:right="0" w:firstLine="456" w:firstLineChars="200"/>
        <w:rPr>
          <w:color w:val="auto"/>
          <w:spacing w:val="9"/>
          <w:position w:val="0"/>
          <w:sz w:val="21"/>
          <w:szCs w:val="21"/>
          <w:highlight w:val="none"/>
        </w:rPr>
      </w:pPr>
      <w:r>
        <w:rPr>
          <w:color w:val="auto"/>
          <w:spacing w:val="9"/>
          <w:position w:val="0"/>
          <w:sz w:val="21"/>
          <w:szCs w:val="21"/>
          <w:highlight w:val="none"/>
        </w:rPr>
        <w:t>开户银行：</w:t>
      </w:r>
      <w:r>
        <w:rPr>
          <w:rFonts w:hint="eastAsia"/>
          <w:color w:val="auto"/>
          <w:spacing w:val="9"/>
          <w:position w:val="0"/>
          <w:sz w:val="21"/>
          <w:szCs w:val="21"/>
          <w:highlight w:val="none"/>
        </w:rPr>
        <w:t>广西桂林漓江农村合作银行</w:t>
      </w:r>
      <w:r>
        <w:rPr>
          <w:rFonts w:hint="eastAsia"/>
          <w:color w:val="auto"/>
          <w:spacing w:val="9"/>
          <w:position w:val="0"/>
          <w:sz w:val="21"/>
          <w:szCs w:val="21"/>
          <w:highlight w:val="none"/>
          <w:lang w:val="en-US" w:eastAsia="zh-CN"/>
        </w:rPr>
        <w:t>漓江路支行</w:t>
      </w:r>
    </w:p>
    <w:p w14:paraId="4FA5D141">
      <w:pPr>
        <w:pStyle w:val="6"/>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highlight w:val="none"/>
        </w:rPr>
      </w:pPr>
      <w:r>
        <w:rPr>
          <w:color w:val="auto"/>
          <w:spacing w:val="5"/>
          <w:position w:val="0"/>
          <w:sz w:val="21"/>
          <w:szCs w:val="21"/>
          <w:highlight w:val="none"/>
        </w:rPr>
        <w:t xml:space="preserve">账   </w:t>
      </w:r>
      <w:r>
        <w:rPr>
          <w:rFonts w:hint="eastAsia"/>
          <w:color w:val="auto"/>
          <w:spacing w:val="9"/>
          <w:position w:val="0"/>
          <w:sz w:val="21"/>
          <w:szCs w:val="21"/>
          <w:highlight w:val="none"/>
          <w:lang w:eastAsia="zh-CN"/>
        </w:rPr>
        <w:t xml:space="preserve"> </w:t>
      </w:r>
      <w:r>
        <w:rPr>
          <w:rFonts w:hint="eastAsia"/>
          <w:color w:val="auto"/>
          <w:spacing w:val="9"/>
          <w:position w:val="0"/>
          <w:sz w:val="21"/>
          <w:szCs w:val="21"/>
          <w:highlight w:val="none"/>
          <w:lang w:val="en-US" w:eastAsia="zh-CN"/>
        </w:rPr>
        <w:t xml:space="preserve">   </w:t>
      </w:r>
      <w:r>
        <w:rPr>
          <w:rFonts w:hint="eastAsia"/>
          <w:color w:val="auto"/>
          <w:spacing w:val="9"/>
          <w:position w:val="0"/>
          <w:sz w:val="21"/>
          <w:szCs w:val="21"/>
          <w:highlight w:val="none"/>
          <w:lang w:eastAsia="zh-CN"/>
        </w:rPr>
        <w:t>号：</w:t>
      </w:r>
      <w:r>
        <w:rPr>
          <w:rFonts w:hint="eastAsia"/>
          <w:color w:val="auto"/>
          <w:spacing w:val="9"/>
          <w:position w:val="0"/>
          <w:sz w:val="21"/>
          <w:szCs w:val="21"/>
          <w:highlight w:val="none"/>
          <w:lang w:val="en-US" w:eastAsia="zh-CN"/>
        </w:rPr>
        <w:t>376212010101926981</w:t>
      </w:r>
    </w:p>
    <w:p w14:paraId="4BF2A5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32.解释权：</w:t>
      </w:r>
      <w:r>
        <w:rPr>
          <w:rFonts w:ascii="宋体" w:hAnsi="宋体" w:eastAsia="宋体" w:cs="宋体"/>
          <w:color w:val="auto"/>
          <w:spacing w:val="0"/>
          <w:position w:val="0"/>
          <w:sz w:val="21"/>
          <w:szCs w:val="21"/>
          <w:highlight w:val="none"/>
        </w:rPr>
        <w:t>本竞争性谈判文件是根据《中华人民共和国政府采购法》、《中华人民共和国政府采 购法实施条例》、《政府采购非招标采购方式管理办法》和政府采购管理有关规定编制，本竞争性谈 判文件的解释权属于采购代理机构。</w:t>
      </w:r>
    </w:p>
    <w:p w14:paraId="0369F8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33.监督管理机构：</w:t>
      </w:r>
      <w:r>
        <w:rPr>
          <w:rFonts w:ascii="宋体" w:hAnsi="宋体" w:eastAsia="宋体" w:cs="宋体"/>
          <w:color w:val="auto"/>
          <w:spacing w:val="0"/>
          <w:position w:val="0"/>
          <w:sz w:val="21"/>
          <w:szCs w:val="21"/>
          <w:highlight w:val="none"/>
        </w:rPr>
        <w:t>桂林市财政局     电话：0773-2862142</w:t>
      </w:r>
    </w:p>
    <w:p w14:paraId="7072CA01">
      <w:pPr>
        <w:pStyle w:val="3"/>
        <w:spacing w:before="0" w:after="0" w:line="360" w:lineRule="exact"/>
        <w:ind w:firstLine="420"/>
        <w:rPr>
          <w:rFonts w:hint="eastAsia" w:ascii="宋体" w:hAnsi="宋体" w:eastAsia="宋体" w:cs="宋体"/>
          <w:b/>
          <w:bCs w:val="0"/>
          <w:color w:val="auto"/>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34.</w:t>
      </w:r>
      <w:bookmarkStart w:id="9" w:name="_Toc6373"/>
      <w:bookmarkStart w:id="10" w:name="_Toc12162"/>
      <w:bookmarkStart w:id="11" w:name="_Toc5947"/>
      <w:r>
        <w:rPr>
          <w:rFonts w:hint="eastAsia" w:ascii="宋体" w:hAnsi="宋体" w:eastAsia="宋体" w:cs="宋体"/>
          <w:b/>
          <w:bCs w:val="0"/>
          <w:color w:val="auto"/>
          <w:sz w:val="21"/>
          <w:szCs w:val="21"/>
          <w:highlight w:val="none"/>
          <w:lang w:val="en-US" w:eastAsia="zh-CN"/>
        </w:rPr>
        <w:t>本国产品标准及相关政策</w:t>
      </w:r>
      <w:bookmarkEnd w:id="9"/>
      <w:bookmarkEnd w:id="10"/>
      <w:bookmarkEnd w:id="11"/>
    </w:p>
    <w:p w14:paraId="392C4CA7">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cs="宋体"/>
          <w:b/>
          <w:bCs/>
          <w:color w:val="auto"/>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根据《</w:t>
      </w:r>
      <w:r>
        <w:rPr>
          <w:rFonts w:hint="eastAsia" w:ascii="宋体" w:hAnsi="宋体" w:eastAsia="宋体" w:cs="宋体"/>
          <w:b w:val="0"/>
          <w:bCs w:val="0"/>
          <w:i w:val="0"/>
          <w:iCs w:val="0"/>
          <w:caps w:val="0"/>
          <w:color w:val="auto"/>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val="0"/>
          <w:bCs w:val="0"/>
          <w:color w:val="auto"/>
          <w:sz w:val="21"/>
          <w:szCs w:val="21"/>
          <w:highlight w:val="none"/>
          <w:lang w:val="en-US" w:eastAsia="zh-CN"/>
        </w:rPr>
        <w:t>》（国办发〔2025〕34号）的规定，本国产品</w:t>
      </w:r>
      <w:r>
        <w:rPr>
          <w:rFonts w:hint="eastAsia" w:ascii="宋体" w:hAnsi="宋体" w:eastAsia="宋体" w:cs="宋体"/>
          <w:b w:val="0"/>
          <w:bCs w:val="0"/>
          <w:color w:val="auto"/>
          <w:szCs w:val="21"/>
          <w:highlight w:val="none"/>
          <w:lang w:val="en-US" w:eastAsia="zh-CN"/>
        </w:rPr>
        <w:t>标准及相关政策如下</w:t>
      </w:r>
      <w:r>
        <w:rPr>
          <w:rFonts w:hint="eastAsia" w:ascii="宋体" w:hAnsi="宋体" w:eastAsia="宋体" w:cs="宋体"/>
          <w:b w:val="0"/>
          <w:bCs w:val="0"/>
          <w:color w:val="auto"/>
          <w:sz w:val="21"/>
          <w:szCs w:val="21"/>
          <w:highlight w:val="none"/>
          <w:lang w:val="en-US" w:eastAsia="zh-CN"/>
        </w:rPr>
        <w:t>：</w:t>
      </w:r>
    </w:p>
    <w:p w14:paraId="59E233A8">
      <w:pPr>
        <w:numPr>
          <w:ilvl w:val="0"/>
          <w:numId w:val="0"/>
        </w:numPr>
        <w:spacing w:line="360" w:lineRule="exact"/>
        <w:ind w:left="0" w:firstLine="420"/>
        <w:jc w:val="left"/>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31.1 本国产品标准</w:t>
      </w:r>
    </w:p>
    <w:p w14:paraId="1317E30B">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（一）在中国境内生产</w:t>
      </w:r>
    </w:p>
    <w:p w14:paraId="621B8422">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产品应当在中国境内生产，即在中华人民共和国关境内实现从原材料、组件到产品的属性改变。</w:t>
      </w:r>
    </w:p>
    <w:p w14:paraId="796E9E8F">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属性改变是指经过制造、加工或者组装等工序，产生完全不同于原材料、组件的新产品，并具有新的名称和特征（用途）。属性改变不包括以下细微操作：</w:t>
      </w:r>
    </w:p>
    <w:p w14:paraId="2492D545">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1.为确保产品在运输或者储存期间保持某种状态而进行的操作；</w:t>
      </w:r>
    </w:p>
    <w:p w14:paraId="667A8779">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2.为产品运输或者销售进行的包装或者展示；</w:t>
      </w:r>
    </w:p>
    <w:p w14:paraId="57D04CC1">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3.在产品或者其包装上粘贴或者印刷品牌、标志、标识以及其他用于区别的标记；</w:t>
      </w:r>
    </w:p>
    <w:p w14:paraId="591BA61D">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4.简单的上漆、磨光和分装；</w:t>
      </w:r>
    </w:p>
    <w:p w14:paraId="6901AE6F">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5.其他不属于属性改变的情形。</w:t>
      </w:r>
    </w:p>
    <w:p w14:paraId="25EE2A25">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（二）在中国境内生产的组件成本占比达到规定比例</w:t>
      </w:r>
    </w:p>
    <w:p w14:paraId="0954B7B7">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bCs/>
          <w:color w:val="auto"/>
          <w:szCs w:val="21"/>
          <w:highlight w:val="none"/>
          <w:lang w:val="en-US" w:eastAsia="zh-CN"/>
        </w:rPr>
        <w:drawing>
          <wp:anchor distT="0" distB="0" distL="114300" distR="114300" simplePos="0" relativeHeight="251675648" behindDoc="0" locked="0" layoutInCell="1" allowOverlap="1">
            <wp:simplePos x="0" y="0"/>
            <wp:positionH relativeFrom="column">
              <wp:posOffset>160020</wp:posOffset>
            </wp:positionH>
            <wp:positionV relativeFrom="paragraph">
              <wp:posOffset>518160</wp:posOffset>
            </wp:positionV>
            <wp:extent cx="4829175" cy="762000"/>
            <wp:effectExtent l="0" t="0" r="9525" b="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28"/>
                    <a:stretch>
                      <a:fillRect/>
                    </a:stretch>
                  </pic:blipFill>
                  <pic:spPr>
                    <a:xfrm>
                      <a:off x="0" y="0"/>
                      <a:ext cx="4829175" cy="762000"/>
                    </a:xfrm>
                    <a:prstGeom prst="rect">
                      <a:avLst/>
                    </a:prstGeom>
                    <a:noFill/>
                    <a:ln>
                      <a:noFill/>
                    </a:ln>
                  </pic:spPr>
                </pic:pic>
              </a:graphicData>
            </a:graphic>
          </wp:anchor>
        </w:drawing>
      </w:r>
      <w:r>
        <w:rPr>
          <w:rFonts w:hint="default" w:ascii="宋体" w:hAnsi="宋体" w:cs="宋体"/>
          <w:b w:val="0"/>
          <w:bCs w:val="0"/>
          <w:color w:val="auto"/>
          <w:szCs w:val="21"/>
          <w:highlight w:val="none"/>
          <w:lang w:val="en-US" w:eastAsia="zh-CN"/>
        </w:rPr>
        <w:t>产品在中国境内生产的组件成本占比应当达到规定比例，计算公式为：</w:t>
      </w:r>
    </w:p>
    <w:p w14:paraId="6CAAFF85">
      <w:pPr>
        <w:numPr>
          <w:ilvl w:val="0"/>
          <w:numId w:val="0"/>
        </w:numPr>
        <w:spacing w:line="360" w:lineRule="exact"/>
        <w:ind w:left="0" w:firstLine="420"/>
        <w:jc w:val="left"/>
        <w:rPr>
          <w:rFonts w:hint="default" w:ascii="宋体" w:hAnsi="宋体" w:cs="宋体"/>
          <w:b/>
          <w:bCs/>
          <w:color w:val="auto"/>
          <w:szCs w:val="21"/>
          <w:highlight w:val="none"/>
          <w:lang w:val="en-US" w:eastAsia="zh-CN"/>
        </w:rPr>
      </w:pPr>
    </w:p>
    <w:p w14:paraId="3C09CE88">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D274359">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（三）特定产品的关键组件、关键工序符合相关要求</w:t>
      </w:r>
    </w:p>
    <w:p w14:paraId="6DDD6A01">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20E2B7E6">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694040F">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31.2本国产品标准的适用范围</w:t>
      </w:r>
    </w:p>
    <w:p w14:paraId="614B2696">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09E780">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31.3对本国产品的支持政策</w:t>
      </w:r>
    </w:p>
    <w:p w14:paraId="291851B2">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FEAE315">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69BD10F">
      <w:pPr>
        <w:pStyle w:val="1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420"/>
        <w:jc w:val="both"/>
        <w:rPr>
          <w:rFonts w:hint="eastAsia" w:ascii="宋体" w:hAnsi="宋体" w:eastAsia="宋体" w:cs="宋体"/>
          <w:b/>
          <w:bCs w:val="0"/>
          <w:i w:val="0"/>
          <w:iCs w:val="0"/>
          <w:caps w:val="0"/>
          <w:color w:val="auto"/>
          <w:spacing w:val="0"/>
          <w:sz w:val="21"/>
          <w:szCs w:val="21"/>
          <w:highlight w:val="none"/>
        </w:rPr>
      </w:pPr>
      <w:r>
        <w:rPr>
          <w:rFonts w:hint="eastAsia" w:ascii="宋体" w:hAnsi="宋体" w:eastAsia="宋体" w:cs="宋体"/>
          <w:color w:val="auto"/>
          <w:spacing w:val="0"/>
          <w:position w:val="0"/>
          <w:sz w:val="21"/>
          <w:szCs w:val="21"/>
          <w:highlight w:val="none"/>
          <w:lang w:val="en-US" w:eastAsia="zh-CN"/>
        </w:rPr>
        <w:t>35.</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lang w:eastAsia="zh-CN"/>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auto"/>
          <w:spacing w:val="0"/>
          <w:sz w:val="21"/>
          <w:szCs w:val="21"/>
          <w:highlight w:val="none"/>
          <w:shd w:val="clear" w:color="auto" w:fill="FFFFFF"/>
        </w:rPr>
        <w:t>政府采购评审中出现下列情形之一的，评审委员会应当启动异常低价投标（响应）审查程序： </w:t>
      </w:r>
    </w:p>
    <w:p w14:paraId="39944EF0">
      <w:pPr>
        <w:pStyle w:val="1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1</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投标（响应）报价低于全部通过符合性审查供应商投标（响应）报价平均值</w:t>
      </w:r>
      <w:r>
        <w:rPr>
          <w:rFonts w:hint="eastAsia" w:eastAsia="宋体" w:cs="宋体"/>
          <w:i w:val="0"/>
          <w:iCs w:val="0"/>
          <w:caps w:val="0"/>
          <w:color w:val="auto"/>
          <w:spacing w:val="0"/>
          <w:sz w:val="21"/>
          <w:szCs w:val="21"/>
          <w:highlight w:val="none"/>
          <w:shd w:val="clear" w:color="auto" w:fill="FFFFFF"/>
          <w:lang w:val="en-US" w:eastAsia="zh-CN"/>
        </w:rPr>
        <w:t>65</w:t>
      </w:r>
      <w:r>
        <w:rPr>
          <w:rFonts w:hint="eastAsia" w:ascii="宋体" w:hAnsi="宋体" w:eastAsia="宋体" w:cs="宋体"/>
          <w:i w:val="0"/>
          <w:iCs w:val="0"/>
          <w:caps w:val="0"/>
          <w:color w:val="auto"/>
          <w:spacing w:val="0"/>
          <w:sz w:val="21"/>
          <w:szCs w:val="21"/>
          <w:highlight w:val="none"/>
          <w:shd w:val="clear" w:color="auto" w:fill="FFFFFF"/>
        </w:rPr>
        <w:t>%的，即投标（响应）报价&lt;全部通过符合性审查供应商投标（响应）报价平均值</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65</w:t>
      </w:r>
      <w:r>
        <w:rPr>
          <w:rFonts w:hint="eastAsia" w:ascii="宋体" w:hAnsi="宋体" w:eastAsia="宋体" w:cs="宋体"/>
          <w:i w:val="0"/>
          <w:iCs w:val="0"/>
          <w:caps w:val="0"/>
          <w:color w:val="auto"/>
          <w:spacing w:val="0"/>
          <w:sz w:val="21"/>
          <w:szCs w:val="21"/>
          <w:highlight w:val="none"/>
          <w:shd w:val="clear" w:color="auto" w:fill="FFFFFF"/>
        </w:rPr>
        <w:t>%； </w:t>
      </w:r>
    </w:p>
    <w:p w14:paraId="6E4E40F6">
      <w:pPr>
        <w:pStyle w:val="1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2</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投标（响应）报价低于通过符合性审查的次低报价供应商投标（响应）报价</w:t>
      </w:r>
      <w:r>
        <w:rPr>
          <w:rFonts w:hint="eastAsia" w:eastAsia="宋体" w:cs="宋体"/>
          <w:i w:val="0"/>
          <w:iCs w:val="0"/>
          <w:caps w:val="0"/>
          <w:color w:val="auto"/>
          <w:spacing w:val="0"/>
          <w:sz w:val="21"/>
          <w:szCs w:val="21"/>
          <w:highlight w:val="none"/>
          <w:shd w:val="clear" w:color="auto" w:fill="FFFFFF"/>
          <w:lang w:val="en-US" w:eastAsia="zh-CN"/>
        </w:rPr>
        <w:t>65</w:t>
      </w:r>
      <w:r>
        <w:rPr>
          <w:rFonts w:hint="eastAsia" w:ascii="宋体" w:hAnsi="宋体" w:eastAsia="宋体" w:cs="宋体"/>
          <w:i w:val="0"/>
          <w:iCs w:val="0"/>
          <w:caps w:val="0"/>
          <w:color w:val="auto"/>
          <w:spacing w:val="0"/>
          <w:sz w:val="21"/>
          <w:szCs w:val="21"/>
          <w:highlight w:val="none"/>
          <w:shd w:val="clear" w:color="auto" w:fill="FFFFFF"/>
        </w:rPr>
        <w:t>%的，即投标（响应）报价&lt;通过符合性审查的次低报价供应商投标（响应）报价</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65</w:t>
      </w:r>
      <w:r>
        <w:rPr>
          <w:rFonts w:hint="eastAsia" w:ascii="宋体" w:hAnsi="宋体" w:eastAsia="宋体" w:cs="宋体"/>
          <w:i w:val="0"/>
          <w:iCs w:val="0"/>
          <w:caps w:val="0"/>
          <w:color w:val="auto"/>
          <w:spacing w:val="0"/>
          <w:sz w:val="21"/>
          <w:szCs w:val="21"/>
          <w:highlight w:val="none"/>
          <w:shd w:val="clear" w:color="auto" w:fill="FFFFFF"/>
        </w:rPr>
        <w:t>%； </w:t>
      </w:r>
    </w:p>
    <w:p w14:paraId="7577DF11">
      <w:pPr>
        <w:pStyle w:val="1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3</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投标（响应）报价低于采购项目最高限价</w:t>
      </w:r>
      <w:r>
        <w:rPr>
          <w:rFonts w:hint="eastAsia" w:eastAsia="宋体" w:cs="宋体"/>
          <w:i w:val="0"/>
          <w:iCs w:val="0"/>
          <w:caps w:val="0"/>
          <w:color w:val="auto"/>
          <w:spacing w:val="0"/>
          <w:sz w:val="21"/>
          <w:szCs w:val="21"/>
          <w:highlight w:val="none"/>
          <w:shd w:val="clear" w:color="auto" w:fill="FFFFFF"/>
          <w:lang w:val="en-US" w:eastAsia="zh-CN"/>
        </w:rPr>
        <w:t>65</w:t>
      </w:r>
      <w:r>
        <w:rPr>
          <w:rFonts w:hint="eastAsia" w:ascii="宋体" w:hAnsi="宋体" w:eastAsia="宋体" w:cs="宋体"/>
          <w:i w:val="0"/>
          <w:iCs w:val="0"/>
          <w:caps w:val="0"/>
          <w:color w:val="auto"/>
          <w:spacing w:val="0"/>
          <w:sz w:val="21"/>
          <w:szCs w:val="21"/>
          <w:highlight w:val="none"/>
          <w:shd w:val="clear" w:color="auto" w:fill="FFFFFF"/>
        </w:rPr>
        <w:t>%的，即投标（响应）报价&lt;采购项目最高限价</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65</w:t>
      </w:r>
      <w:r>
        <w:rPr>
          <w:rFonts w:hint="eastAsia" w:ascii="宋体" w:hAnsi="宋体" w:eastAsia="宋体" w:cs="宋体"/>
          <w:i w:val="0"/>
          <w:iCs w:val="0"/>
          <w:caps w:val="0"/>
          <w:color w:val="auto"/>
          <w:spacing w:val="0"/>
          <w:sz w:val="21"/>
          <w:szCs w:val="21"/>
          <w:highlight w:val="none"/>
          <w:shd w:val="clear" w:color="auto" w:fill="FFFFFF"/>
        </w:rPr>
        <w:t>%； </w:t>
      </w:r>
    </w:p>
    <w:p w14:paraId="1770CDBF">
      <w:pPr>
        <w:pStyle w:val="1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4</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评审委员会基于专业判断，认为供应商报价过低，有可能影响产品质量或者不能诚信履约的其他情形。 </w:t>
      </w:r>
    </w:p>
    <w:p w14:paraId="2F71EFEA">
      <w:pPr>
        <w:spacing w:line="360" w:lineRule="auto"/>
        <w:ind w:firstLine="420"/>
        <w:jc w:val="left"/>
        <w:rPr>
          <w:rFonts w:hint="eastAsia"/>
          <w:color w:val="auto"/>
          <w:highlight w:val="none"/>
        </w:rPr>
      </w:pPr>
      <w:bookmarkStart w:id="12" w:name="_Toc13532"/>
      <w:r>
        <w:rPr>
          <w:rFonts w:hint="eastAsia"/>
          <w:color w:val="auto"/>
          <w:highlight w:val="none"/>
        </w:rPr>
        <w:t>评审委员会启动异常低价投标（响应）审查后，属于前述第</w:t>
      </w:r>
      <w:r>
        <w:rPr>
          <w:rFonts w:hint="eastAsia" w:ascii="宋体" w:hAnsi="宋体" w:eastAsia="宋体" w:cs="宋体"/>
          <w:color w:val="auto"/>
          <w:highlight w:val="none"/>
        </w:rPr>
        <w:t>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w:t>
      </w:r>
      <w:r>
        <w:rPr>
          <w:rFonts w:hint="eastAsia"/>
          <w:color w:val="auto"/>
          <w:highlight w:val="none"/>
        </w:rPr>
        <w:t>投标（响应）处理。 异常低价投标（响应）审查的启动原因、审查意见和审查结果应当在评审报告中记录</w:t>
      </w:r>
      <w:r>
        <w:rPr>
          <w:rFonts w:hint="eastAsia"/>
          <w:color w:val="auto"/>
          <w:highlight w:val="none"/>
          <w:lang w:eastAsia="zh-CN"/>
        </w:rPr>
        <w:t>。</w:t>
      </w:r>
      <w:bookmarkEnd w:id="12"/>
    </w:p>
    <w:p w14:paraId="74A4F66B">
      <w:pPr>
        <w:pStyle w:val="4"/>
        <w:ind w:firstLine="560" w:firstLineChars="200"/>
        <w:rPr>
          <w:rFonts w:hint="default"/>
          <w:color w:val="auto"/>
          <w:highlight w:val="none"/>
          <w:lang w:val="en-US" w:eastAsia="zh-CN"/>
        </w:rPr>
        <w:sectPr>
          <w:footerReference r:id="rId8" w:type="default"/>
          <w:pgSz w:w="11906" w:h="16839"/>
          <w:pgMar w:top="1417" w:right="1417" w:bottom="1417" w:left="1417" w:header="0" w:footer="823" w:gutter="0"/>
          <w:pgNumType w:fmt="decimal"/>
          <w:cols w:space="720" w:num="1"/>
          <w:rtlGutter w:val="0"/>
          <w:docGrid w:linePitch="0" w:charSpace="0"/>
        </w:sectPr>
      </w:pPr>
    </w:p>
    <w:p w14:paraId="74B403F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附表</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1：</w:t>
      </w:r>
    </w:p>
    <w:p w14:paraId="67D60CA8">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43"/>
          <w:szCs w:val="43"/>
          <w:highlight w:val="none"/>
        </w:rPr>
      </w:pPr>
      <w:r>
        <w:rPr>
          <w:rFonts w:ascii="宋体" w:hAnsi="宋体" w:eastAsia="宋体" w:cs="宋体"/>
          <w:color w:val="auto"/>
          <w:spacing w:val="0"/>
          <w:position w:val="0"/>
          <w:sz w:val="43"/>
          <w:szCs w:val="43"/>
          <w:highlight w:val="none"/>
        </w:rPr>
        <w:t>质疑函（格式）</w:t>
      </w:r>
    </w:p>
    <w:p w14:paraId="2C15169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一、质疑供应商基本信息：</w:t>
      </w:r>
    </w:p>
    <w:p w14:paraId="5EE98EF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质疑供应商：</w:t>
      </w:r>
    </w:p>
    <w:p w14:paraId="1C76F7D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地址：</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邮编：</w:t>
      </w:r>
    </w:p>
    <w:p w14:paraId="1E0FC92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联系人：</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联系电话：</w:t>
      </w:r>
      <w:r>
        <w:rPr>
          <w:rFonts w:ascii="宋体" w:hAnsi="宋体" w:eastAsia="宋体" w:cs="宋体"/>
          <w:color w:val="auto"/>
          <w:spacing w:val="0"/>
          <w:position w:val="0"/>
          <w:sz w:val="20"/>
          <w:szCs w:val="20"/>
          <w:highlight w:val="none"/>
          <w:u w:val="single" w:color="auto"/>
        </w:rPr>
        <w:t xml:space="preserve">                     </w:t>
      </w:r>
    </w:p>
    <w:p w14:paraId="13873CB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授权代表：</w:t>
      </w:r>
      <w:r>
        <w:rPr>
          <w:rFonts w:ascii="宋体" w:hAnsi="宋体" w:eastAsia="宋体" w:cs="宋体"/>
          <w:color w:val="auto"/>
          <w:spacing w:val="0"/>
          <w:position w:val="0"/>
          <w:sz w:val="20"/>
          <w:szCs w:val="20"/>
          <w:highlight w:val="none"/>
          <w:u w:val="single" w:color="auto"/>
        </w:rPr>
        <w:t xml:space="preserve">                     </w:t>
      </w:r>
    </w:p>
    <w:p w14:paraId="4600CF2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联系电话：</w:t>
      </w:r>
      <w:r>
        <w:rPr>
          <w:rFonts w:ascii="宋体" w:hAnsi="宋体" w:eastAsia="宋体" w:cs="宋体"/>
          <w:color w:val="auto"/>
          <w:spacing w:val="0"/>
          <w:position w:val="0"/>
          <w:sz w:val="20"/>
          <w:szCs w:val="20"/>
          <w:highlight w:val="none"/>
          <w:u w:val="single" w:color="auto"/>
        </w:rPr>
        <w:t xml:space="preserve">                     </w:t>
      </w:r>
    </w:p>
    <w:p w14:paraId="7500EED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地址：</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邮编：</w:t>
      </w:r>
    </w:p>
    <w:p w14:paraId="287145F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二、质疑项目基本情况：</w:t>
      </w:r>
    </w:p>
    <w:p w14:paraId="20D0D20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质疑项目的名称：</w:t>
      </w:r>
      <w:r>
        <w:rPr>
          <w:rFonts w:ascii="宋体" w:hAnsi="宋体" w:eastAsia="宋体" w:cs="宋体"/>
          <w:color w:val="auto"/>
          <w:spacing w:val="0"/>
          <w:position w:val="0"/>
          <w:sz w:val="20"/>
          <w:szCs w:val="20"/>
          <w:highlight w:val="none"/>
          <w:u w:val="single" w:color="auto"/>
        </w:rPr>
        <w:t xml:space="preserve">                     </w:t>
      </w:r>
    </w:p>
    <w:p w14:paraId="596134F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质疑项目的编号：</w:t>
      </w:r>
      <w:r>
        <w:rPr>
          <w:rFonts w:ascii="宋体" w:hAnsi="宋体" w:eastAsia="宋体" w:cs="宋体"/>
          <w:color w:val="auto"/>
          <w:spacing w:val="0"/>
          <w:position w:val="0"/>
          <w:sz w:val="20"/>
          <w:szCs w:val="20"/>
          <w:highlight w:val="none"/>
          <w:u w:val="single" w:color="auto"/>
        </w:rPr>
        <w:t xml:space="preserve">                     </w:t>
      </w:r>
    </w:p>
    <w:p w14:paraId="199FF55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采购人名称：</w:t>
      </w:r>
      <w:r>
        <w:rPr>
          <w:rFonts w:ascii="宋体" w:hAnsi="宋体" w:eastAsia="宋体" w:cs="宋体"/>
          <w:color w:val="auto"/>
          <w:spacing w:val="0"/>
          <w:position w:val="0"/>
          <w:sz w:val="20"/>
          <w:szCs w:val="20"/>
          <w:highlight w:val="none"/>
          <w:u w:val="single" w:color="auto"/>
        </w:rPr>
        <w:t xml:space="preserve">                     </w:t>
      </w:r>
    </w:p>
    <w:p w14:paraId="4E9474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质疑事项：</w:t>
      </w:r>
      <w:r>
        <w:rPr>
          <w:rFonts w:ascii="宋体" w:hAnsi="宋体" w:eastAsia="宋体" w:cs="宋体"/>
          <w:color w:val="auto"/>
          <w:spacing w:val="0"/>
          <w:position w:val="0"/>
          <w:sz w:val="20"/>
          <w:szCs w:val="20"/>
          <w:highlight w:val="none"/>
          <w:u w:val="single" w:color="auto"/>
        </w:rPr>
        <w:t xml:space="preserve">                     </w:t>
      </w:r>
    </w:p>
    <w:p w14:paraId="25F814B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30"/>
          <w:szCs w:val="30"/>
          <w:highlight w:val="none"/>
        </w:rPr>
        <w:t>□</w:t>
      </w:r>
      <w:r>
        <w:rPr>
          <w:rFonts w:ascii="宋体" w:hAnsi="宋体" w:eastAsia="宋体" w:cs="宋体"/>
          <w:color w:val="auto"/>
          <w:spacing w:val="0"/>
          <w:position w:val="0"/>
          <w:sz w:val="20"/>
          <w:szCs w:val="20"/>
          <w:highlight w:val="none"/>
        </w:rPr>
        <w:t>谈判文件   谈判文件获取日期：</w:t>
      </w:r>
    </w:p>
    <w:p w14:paraId="54CF11F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30"/>
          <w:szCs w:val="30"/>
          <w:highlight w:val="none"/>
        </w:rPr>
        <w:t>□</w:t>
      </w:r>
      <w:r>
        <w:rPr>
          <w:rFonts w:ascii="宋体" w:hAnsi="宋体" w:eastAsia="宋体" w:cs="宋体"/>
          <w:color w:val="auto"/>
          <w:spacing w:val="0"/>
          <w:position w:val="0"/>
          <w:sz w:val="20"/>
          <w:szCs w:val="20"/>
          <w:highlight w:val="none"/>
        </w:rPr>
        <w:t>采购过程</w:t>
      </w:r>
    </w:p>
    <w:p w14:paraId="69D0AE2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30"/>
          <w:szCs w:val="30"/>
          <w:highlight w:val="none"/>
        </w:rPr>
        <w:t>□</w:t>
      </w:r>
      <w:r>
        <w:rPr>
          <w:rFonts w:ascii="宋体" w:hAnsi="宋体" w:eastAsia="宋体" w:cs="宋体"/>
          <w:color w:val="auto"/>
          <w:spacing w:val="0"/>
          <w:position w:val="0"/>
          <w:sz w:val="20"/>
          <w:szCs w:val="20"/>
          <w:highlight w:val="none"/>
        </w:rPr>
        <w:t>成交结果</w:t>
      </w:r>
    </w:p>
    <w:p w14:paraId="6C481B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三、质疑事项具体内容</w:t>
      </w:r>
    </w:p>
    <w:p w14:paraId="58B73C0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质疑事项 1：</w:t>
      </w:r>
      <w:r>
        <w:rPr>
          <w:rFonts w:ascii="宋体" w:hAnsi="宋体" w:eastAsia="宋体" w:cs="宋体"/>
          <w:color w:val="auto"/>
          <w:spacing w:val="0"/>
          <w:position w:val="0"/>
          <w:sz w:val="20"/>
          <w:szCs w:val="20"/>
          <w:highlight w:val="none"/>
          <w:u w:val="single" w:color="auto"/>
        </w:rPr>
        <w:t xml:space="preserve">                     </w:t>
      </w:r>
    </w:p>
    <w:p w14:paraId="5AEECE5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事实依据：</w:t>
      </w:r>
      <w:r>
        <w:rPr>
          <w:rFonts w:ascii="宋体" w:hAnsi="宋体" w:eastAsia="宋体" w:cs="宋体"/>
          <w:color w:val="auto"/>
          <w:spacing w:val="0"/>
          <w:position w:val="0"/>
          <w:sz w:val="20"/>
          <w:szCs w:val="20"/>
          <w:highlight w:val="none"/>
          <w:u w:val="single" w:color="auto"/>
        </w:rPr>
        <w:t xml:space="preserve">                     </w:t>
      </w:r>
    </w:p>
    <w:p w14:paraId="07167D0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法律依据：</w:t>
      </w:r>
      <w:r>
        <w:rPr>
          <w:rFonts w:ascii="宋体" w:hAnsi="宋体" w:eastAsia="宋体" w:cs="宋体"/>
          <w:color w:val="auto"/>
          <w:spacing w:val="0"/>
          <w:position w:val="0"/>
          <w:sz w:val="20"/>
          <w:szCs w:val="20"/>
          <w:highlight w:val="none"/>
          <w:u w:val="single" w:color="auto"/>
        </w:rPr>
        <w:t xml:space="preserve">                     </w:t>
      </w:r>
    </w:p>
    <w:p w14:paraId="1F2AE7A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质疑事项 2</w:t>
      </w:r>
      <w:r>
        <w:rPr>
          <w:rFonts w:ascii="宋体" w:hAnsi="宋体" w:eastAsia="宋体" w:cs="宋体"/>
          <w:color w:val="auto"/>
          <w:spacing w:val="0"/>
          <w:position w:val="0"/>
          <w:sz w:val="20"/>
          <w:szCs w:val="20"/>
          <w:highlight w:val="none"/>
          <w:u w:val="single" w:color="auto"/>
        </w:rPr>
        <w:t xml:space="preserve">                     </w:t>
      </w:r>
    </w:p>
    <w:p w14:paraId="487F086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w:t>
      </w:r>
    </w:p>
    <w:p w14:paraId="34227A1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四、与质疑事项相关的质疑请求：</w:t>
      </w:r>
    </w:p>
    <w:p w14:paraId="339FF32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请求：</w:t>
      </w:r>
      <w:r>
        <w:rPr>
          <w:rFonts w:ascii="宋体" w:hAnsi="宋体" w:eastAsia="宋体" w:cs="宋体"/>
          <w:color w:val="auto"/>
          <w:spacing w:val="0"/>
          <w:position w:val="0"/>
          <w:sz w:val="20"/>
          <w:szCs w:val="20"/>
          <w:highlight w:val="none"/>
          <w:u w:val="single" w:color="auto"/>
        </w:rPr>
        <w:t xml:space="preserve">                     </w:t>
      </w:r>
    </w:p>
    <w:p w14:paraId="7CDBE10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20D88A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签字（签章）：                                         公章：</w:t>
      </w:r>
    </w:p>
    <w:p w14:paraId="57B9954F">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9FC0D0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日期：</w:t>
      </w:r>
    </w:p>
    <w:p w14:paraId="496DEB3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说明：</w:t>
      </w:r>
    </w:p>
    <w:p w14:paraId="1A8EAD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1.供应商提出质疑时，应提交质疑函和必要的证明材料。</w:t>
      </w:r>
    </w:p>
    <w:p w14:paraId="04992C7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2.质疑供应商若委托代理人进行质疑的，质疑函应按要求列明“授权代表</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”的有关内容，并在附件中</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提交由质疑供应商签署的授权委托书。授权委托书应载明代理人的姓名或者名称、代理事项、具体权</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限、期限和相关事项。</w:t>
      </w:r>
    </w:p>
    <w:p w14:paraId="5957178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3.质疑函的质疑事项应具体、明确，并有必要的事实依据和法律依据。</w:t>
      </w:r>
    </w:p>
    <w:p w14:paraId="6E86B46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4.质疑函的质疑请求应与质疑事项相关。</w:t>
      </w:r>
    </w:p>
    <w:p w14:paraId="7CCDA42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5.质疑供应商为自然人的，质疑函应由本人签字；质疑供应商为法人或者其他组织的，质疑函应由法</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定代表人、主要负责人，或者其授权代表签字或者盖章，并加盖公章。</w:t>
      </w:r>
    </w:p>
    <w:p w14:paraId="6939A15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b/>
          <w:bCs/>
          <w:color w:val="auto"/>
          <w:spacing w:val="0"/>
          <w:position w:val="0"/>
          <w:sz w:val="24"/>
          <w:szCs w:val="24"/>
          <w:highlight w:val="none"/>
        </w:rPr>
      </w:pPr>
    </w:p>
    <w:p w14:paraId="4002784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附表</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2：</w:t>
      </w:r>
    </w:p>
    <w:p w14:paraId="196CBC3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F1C4B7E">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43"/>
          <w:szCs w:val="43"/>
          <w:highlight w:val="none"/>
        </w:rPr>
      </w:pPr>
      <w:r>
        <w:rPr>
          <w:rFonts w:ascii="宋体" w:hAnsi="宋体" w:eastAsia="宋体" w:cs="宋体"/>
          <w:color w:val="auto"/>
          <w:spacing w:val="0"/>
          <w:position w:val="0"/>
          <w:sz w:val="43"/>
          <w:szCs w:val="43"/>
          <w:highlight w:val="none"/>
        </w:rPr>
        <w:t>投诉书（格式）</w:t>
      </w:r>
    </w:p>
    <w:p w14:paraId="2191B58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一、投诉相关主体基本情况：</w:t>
      </w:r>
    </w:p>
    <w:p w14:paraId="00C358D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供应商：</w:t>
      </w:r>
      <w:r>
        <w:rPr>
          <w:rFonts w:ascii="宋体" w:hAnsi="宋体" w:eastAsia="宋体" w:cs="宋体"/>
          <w:color w:val="auto"/>
          <w:spacing w:val="0"/>
          <w:position w:val="0"/>
          <w:sz w:val="20"/>
          <w:szCs w:val="20"/>
          <w:highlight w:val="none"/>
          <w:u w:val="single" w:color="auto"/>
        </w:rPr>
        <w:t xml:space="preserve">                     </w:t>
      </w:r>
    </w:p>
    <w:p w14:paraId="3E5BD7D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地址：</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邮编：</w:t>
      </w:r>
      <w:r>
        <w:rPr>
          <w:rFonts w:ascii="宋体" w:hAnsi="宋体" w:eastAsia="宋体" w:cs="宋体"/>
          <w:color w:val="auto"/>
          <w:spacing w:val="0"/>
          <w:position w:val="0"/>
          <w:sz w:val="20"/>
          <w:szCs w:val="20"/>
          <w:highlight w:val="none"/>
          <w:u w:val="single" w:color="auto"/>
        </w:rPr>
        <w:t xml:space="preserve">                     </w:t>
      </w:r>
    </w:p>
    <w:p w14:paraId="0F3A09D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法定代表人/主要负责人：</w:t>
      </w:r>
      <w:r>
        <w:rPr>
          <w:rFonts w:ascii="宋体" w:hAnsi="宋体" w:eastAsia="宋体" w:cs="宋体"/>
          <w:color w:val="auto"/>
          <w:spacing w:val="0"/>
          <w:position w:val="0"/>
          <w:sz w:val="20"/>
          <w:szCs w:val="20"/>
          <w:highlight w:val="none"/>
          <w:u w:val="single" w:color="auto"/>
        </w:rPr>
        <w:t xml:space="preserve">                     </w:t>
      </w:r>
    </w:p>
    <w:p w14:paraId="5845C67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联系电话：</w:t>
      </w:r>
      <w:r>
        <w:rPr>
          <w:rFonts w:ascii="宋体" w:hAnsi="宋体" w:eastAsia="宋体" w:cs="宋体"/>
          <w:color w:val="auto"/>
          <w:spacing w:val="0"/>
          <w:position w:val="0"/>
          <w:sz w:val="20"/>
          <w:szCs w:val="20"/>
          <w:highlight w:val="none"/>
          <w:u w:val="single" w:color="auto"/>
        </w:rPr>
        <w:t xml:space="preserve">                     </w:t>
      </w:r>
    </w:p>
    <w:p w14:paraId="69AD53F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授权代表：</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联系电话：</w:t>
      </w:r>
      <w:r>
        <w:rPr>
          <w:rFonts w:ascii="宋体" w:hAnsi="宋体" w:eastAsia="宋体" w:cs="宋体"/>
          <w:color w:val="auto"/>
          <w:spacing w:val="0"/>
          <w:position w:val="0"/>
          <w:sz w:val="20"/>
          <w:szCs w:val="20"/>
          <w:highlight w:val="none"/>
          <w:u w:val="single" w:color="auto"/>
        </w:rPr>
        <w:t xml:space="preserve">                     </w:t>
      </w:r>
    </w:p>
    <w:p w14:paraId="267A224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地址：</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邮编：</w:t>
      </w:r>
      <w:r>
        <w:rPr>
          <w:rFonts w:ascii="宋体" w:hAnsi="宋体" w:eastAsia="宋体" w:cs="宋体"/>
          <w:color w:val="auto"/>
          <w:spacing w:val="0"/>
          <w:position w:val="0"/>
          <w:sz w:val="20"/>
          <w:szCs w:val="20"/>
          <w:highlight w:val="none"/>
          <w:u w:val="single" w:color="auto"/>
        </w:rPr>
        <w:t xml:space="preserve">                     </w:t>
      </w:r>
    </w:p>
    <w:p w14:paraId="193635C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被投诉人 1：</w:t>
      </w:r>
    </w:p>
    <w:p w14:paraId="06CEA8D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地址：</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邮编：</w:t>
      </w:r>
      <w:r>
        <w:rPr>
          <w:rFonts w:ascii="宋体" w:hAnsi="宋体" w:eastAsia="宋体" w:cs="宋体"/>
          <w:color w:val="auto"/>
          <w:spacing w:val="0"/>
          <w:position w:val="0"/>
          <w:sz w:val="20"/>
          <w:szCs w:val="20"/>
          <w:highlight w:val="none"/>
          <w:u w:val="single" w:color="auto"/>
        </w:rPr>
        <w:t xml:space="preserve">                     </w:t>
      </w:r>
    </w:p>
    <w:p w14:paraId="6814ABA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联系人：</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联系电话：</w:t>
      </w:r>
      <w:r>
        <w:rPr>
          <w:rFonts w:ascii="宋体" w:hAnsi="宋体" w:eastAsia="宋体" w:cs="宋体"/>
          <w:color w:val="auto"/>
          <w:spacing w:val="0"/>
          <w:position w:val="0"/>
          <w:sz w:val="20"/>
          <w:szCs w:val="20"/>
          <w:highlight w:val="none"/>
          <w:u w:val="single" w:color="auto"/>
        </w:rPr>
        <w:t xml:space="preserve">                     </w:t>
      </w:r>
    </w:p>
    <w:p w14:paraId="6229BE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被投诉人 2：</w:t>
      </w:r>
    </w:p>
    <w:p w14:paraId="7981D2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w:t>
      </w:r>
    </w:p>
    <w:p w14:paraId="4A2605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相关供应商：</w:t>
      </w:r>
      <w:r>
        <w:rPr>
          <w:rFonts w:ascii="宋体" w:hAnsi="宋体" w:eastAsia="宋体" w:cs="宋体"/>
          <w:color w:val="auto"/>
          <w:spacing w:val="0"/>
          <w:position w:val="0"/>
          <w:sz w:val="20"/>
          <w:szCs w:val="20"/>
          <w:highlight w:val="none"/>
          <w:u w:val="single" w:color="auto"/>
        </w:rPr>
        <w:t xml:space="preserve">                     </w:t>
      </w:r>
    </w:p>
    <w:p w14:paraId="4955326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地址：</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邮编：</w:t>
      </w:r>
      <w:r>
        <w:rPr>
          <w:rFonts w:ascii="宋体" w:hAnsi="宋体" w:eastAsia="宋体" w:cs="宋体"/>
          <w:color w:val="auto"/>
          <w:spacing w:val="0"/>
          <w:position w:val="0"/>
          <w:sz w:val="20"/>
          <w:szCs w:val="20"/>
          <w:highlight w:val="none"/>
          <w:u w:val="single" w:color="auto"/>
        </w:rPr>
        <w:t xml:space="preserve">                     </w:t>
      </w:r>
    </w:p>
    <w:p w14:paraId="7372F13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联系人：</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联系电话：</w:t>
      </w:r>
      <w:r>
        <w:rPr>
          <w:rFonts w:ascii="宋体" w:hAnsi="宋体" w:eastAsia="宋体" w:cs="宋体"/>
          <w:color w:val="auto"/>
          <w:spacing w:val="0"/>
          <w:position w:val="0"/>
          <w:sz w:val="20"/>
          <w:szCs w:val="20"/>
          <w:highlight w:val="none"/>
          <w:u w:val="single" w:color="auto"/>
        </w:rPr>
        <w:t xml:space="preserve">                     </w:t>
      </w:r>
    </w:p>
    <w:p w14:paraId="21942B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二、投诉项目基本情况：</w:t>
      </w:r>
    </w:p>
    <w:p w14:paraId="7584F5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u w:val="single" w:color="auto"/>
        </w:rPr>
      </w:pPr>
      <w:r>
        <w:rPr>
          <w:rFonts w:ascii="宋体" w:hAnsi="宋体" w:eastAsia="宋体" w:cs="宋体"/>
          <w:color w:val="auto"/>
          <w:spacing w:val="0"/>
          <w:position w:val="0"/>
          <w:sz w:val="20"/>
          <w:szCs w:val="20"/>
          <w:highlight w:val="none"/>
        </w:rPr>
        <w:t>采购项目的名称：</w:t>
      </w:r>
      <w:r>
        <w:rPr>
          <w:rFonts w:ascii="宋体" w:hAnsi="宋体" w:eastAsia="宋体" w:cs="宋体"/>
          <w:color w:val="auto"/>
          <w:spacing w:val="0"/>
          <w:position w:val="0"/>
          <w:sz w:val="20"/>
          <w:szCs w:val="20"/>
          <w:highlight w:val="none"/>
          <w:u w:val="single" w:color="auto"/>
        </w:rPr>
        <w:t xml:space="preserve">                     </w:t>
      </w:r>
    </w:p>
    <w:p w14:paraId="00067A9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采购项目的编号：</w:t>
      </w:r>
      <w:r>
        <w:rPr>
          <w:rFonts w:ascii="宋体" w:hAnsi="宋体" w:eastAsia="宋体" w:cs="宋体"/>
          <w:color w:val="auto"/>
          <w:spacing w:val="0"/>
          <w:position w:val="0"/>
          <w:sz w:val="20"/>
          <w:szCs w:val="20"/>
          <w:highlight w:val="none"/>
          <w:u w:val="single" w:color="auto"/>
        </w:rPr>
        <w:t xml:space="preserve">                     </w:t>
      </w:r>
    </w:p>
    <w:p w14:paraId="67A833D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采购人名称：</w:t>
      </w:r>
      <w:r>
        <w:rPr>
          <w:rFonts w:ascii="宋体" w:hAnsi="宋体" w:eastAsia="宋体" w:cs="宋体"/>
          <w:color w:val="auto"/>
          <w:spacing w:val="0"/>
          <w:position w:val="0"/>
          <w:sz w:val="20"/>
          <w:szCs w:val="20"/>
          <w:highlight w:val="none"/>
          <w:u w:val="single" w:color="auto"/>
        </w:rPr>
        <w:t xml:space="preserve">                     </w:t>
      </w:r>
    </w:p>
    <w:p w14:paraId="2E6CD84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u w:val="single" w:color="auto"/>
        </w:rPr>
      </w:pPr>
      <w:r>
        <w:rPr>
          <w:rFonts w:ascii="宋体" w:hAnsi="宋体" w:eastAsia="宋体" w:cs="宋体"/>
          <w:color w:val="auto"/>
          <w:spacing w:val="0"/>
          <w:position w:val="0"/>
          <w:sz w:val="20"/>
          <w:szCs w:val="20"/>
          <w:highlight w:val="none"/>
        </w:rPr>
        <w:t>代理机构名称：</w:t>
      </w:r>
      <w:r>
        <w:rPr>
          <w:rFonts w:ascii="宋体" w:hAnsi="宋体" w:eastAsia="宋体" w:cs="宋体"/>
          <w:color w:val="auto"/>
          <w:spacing w:val="0"/>
          <w:position w:val="0"/>
          <w:sz w:val="20"/>
          <w:szCs w:val="20"/>
          <w:highlight w:val="none"/>
          <w:u w:val="single" w:color="auto"/>
        </w:rPr>
        <w:t xml:space="preserve">                     </w:t>
      </w:r>
    </w:p>
    <w:p w14:paraId="51104F3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采购文件公告：</w:t>
      </w:r>
      <w:r>
        <w:rPr>
          <w:rFonts w:ascii="宋体" w:hAnsi="宋体" w:eastAsia="宋体" w:cs="宋体"/>
          <w:color w:val="auto"/>
          <w:spacing w:val="0"/>
          <w:position w:val="0"/>
          <w:sz w:val="20"/>
          <w:szCs w:val="20"/>
          <w:highlight w:val="none"/>
          <w:u w:val="single" w:color="auto"/>
        </w:rPr>
        <w:t>是/否</w:t>
      </w:r>
      <w:r>
        <w:rPr>
          <w:rFonts w:ascii="宋体" w:hAnsi="宋体" w:eastAsia="宋体" w:cs="宋体"/>
          <w:color w:val="auto"/>
          <w:spacing w:val="0"/>
          <w:position w:val="0"/>
          <w:sz w:val="20"/>
          <w:szCs w:val="20"/>
          <w:highlight w:val="none"/>
        </w:rPr>
        <w:t>公告期限：</w:t>
      </w:r>
    </w:p>
    <w:p w14:paraId="5BBCF5E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采购结果公告：</w:t>
      </w:r>
      <w:r>
        <w:rPr>
          <w:rFonts w:ascii="宋体" w:hAnsi="宋体" w:eastAsia="宋体" w:cs="宋体"/>
          <w:color w:val="auto"/>
          <w:spacing w:val="0"/>
          <w:position w:val="0"/>
          <w:sz w:val="20"/>
          <w:szCs w:val="20"/>
          <w:highlight w:val="none"/>
          <w:u w:val="single" w:color="auto"/>
        </w:rPr>
        <w:t>是/否</w:t>
      </w:r>
      <w:r>
        <w:rPr>
          <w:rFonts w:ascii="宋体" w:hAnsi="宋体" w:eastAsia="宋体" w:cs="宋体"/>
          <w:color w:val="auto"/>
          <w:spacing w:val="0"/>
          <w:position w:val="0"/>
          <w:sz w:val="20"/>
          <w:szCs w:val="20"/>
          <w:highlight w:val="none"/>
        </w:rPr>
        <w:t>公告期限：</w:t>
      </w:r>
    </w:p>
    <w:p w14:paraId="79D5AF3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三、质疑基本情况</w:t>
      </w:r>
    </w:p>
    <w:p w14:paraId="4337D82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color w:val="auto"/>
          <w:spacing w:val="0"/>
          <w:position w:val="0"/>
          <w:highlight w:val="none"/>
        </w:rPr>
      </w:pPr>
      <w:r>
        <w:rPr>
          <w:rFonts w:ascii="宋体" w:hAnsi="宋体" w:eastAsia="宋体" w:cs="宋体"/>
          <w:color w:val="auto"/>
          <w:spacing w:val="0"/>
          <w:position w:val="0"/>
          <w:sz w:val="20"/>
          <w:szCs w:val="20"/>
          <w:highlight w:val="none"/>
        </w:rPr>
        <w:t xml:space="preserve">投诉人于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年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月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日，向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提出质疑，质疑事项为：</w:t>
      </w:r>
      <w:r>
        <w:rPr>
          <w:rFonts w:ascii="宋体" w:hAnsi="宋体" w:eastAsia="宋体" w:cs="宋体"/>
          <w:color w:val="auto"/>
          <w:spacing w:val="0"/>
          <w:position w:val="0"/>
          <w:sz w:val="20"/>
          <w:szCs w:val="20"/>
          <w:highlight w:val="none"/>
          <w:u w:val="single" w:color="auto"/>
        </w:rPr>
        <w:t xml:space="preserve">                     </w:t>
      </w:r>
    </w:p>
    <w:p w14:paraId="47946857">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both"/>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u w:val="single" w:color="auto"/>
        </w:rPr>
        <w:t>采购人/代理机构</w:t>
      </w:r>
      <w:r>
        <w:rPr>
          <w:rFonts w:ascii="宋体" w:hAnsi="宋体" w:eastAsia="宋体" w:cs="宋体"/>
          <w:color w:val="auto"/>
          <w:spacing w:val="0"/>
          <w:position w:val="0"/>
          <w:sz w:val="20"/>
          <w:szCs w:val="20"/>
          <w:highlight w:val="none"/>
        </w:rPr>
        <w:t xml:space="preserve">于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年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月 </w:t>
      </w:r>
      <w:r>
        <w:rPr>
          <w:rFonts w:ascii="宋体" w:hAnsi="宋体" w:eastAsia="宋体" w:cs="宋体"/>
          <w:color w:val="auto"/>
          <w:spacing w:val="0"/>
          <w:position w:val="0"/>
          <w:sz w:val="20"/>
          <w:szCs w:val="20"/>
          <w:highlight w:val="none"/>
          <w:u w:val="single" w:color="auto"/>
        </w:rPr>
        <w:t xml:space="preserve">   </w:t>
      </w:r>
      <w:r>
        <w:rPr>
          <w:rFonts w:ascii="宋体" w:hAnsi="宋体" w:eastAsia="宋体" w:cs="宋体"/>
          <w:color w:val="auto"/>
          <w:spacing w:val="0"/>
          <w:position w:val="0"/>
          <w:sz w:val="20"/>
          <w:szCs w:val="20"/>
          <w:highlight w:val="none"/>
        </w:rPr>
        <w:t xml:space="preserve"> 日，就质疑事项作出了答复/没有在法定期限内作出答复。</w:t>
      </w:r>
    </w:p>
    <w:p w14:paraId="45FC3ED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四、投诉事项具体内容</w:t>
      </w:r>
    </w:p>
    <w:p w14:paraId="24E3DB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投诉事项 1：</w:t>
      </w:r>
    </w:p>
    <w:p w14:paraId="76881FB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事实依据：</w:t>
      </w:r>
    </w:p>
    <w:p w14:paraId="55D2913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F72873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3380E1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法律依据：</w:t>
      </w:r>
    </w:p>
    <w:p w14:paraId="37E6356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9280CB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9087F2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投诉事项 2</w:t>
      </w:r>
    </w:p>
    <w:p w14:paraId="7123655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w:t>
      </w:r>
    </w:p>
    <w:p w14:paraId="55DB25A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五、与投诉事项相关的投诉请求：</w:t>
      </w:r>
    </w:p>
    <w:p w14:paraId="4C90C05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请求：</w:t>
      </w:r>
    </w:p>
    <w:p w14:paraId="4390ED8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6EA56E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9C61CB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签字（签章）：                                         公章：</w:t>
      </w:r>
    </w:p>
    <w:p w14:paraId="07D9F20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45DE1D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9E7B5D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日期：</w:t>
      </w:r>
    </w:p>
    <w:p w14:paraId="5C687D9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D1D194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679EF5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7871F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说明：</w:t>
      </w:r>
    </w:p>
    <w:p w14:paraId="7AEAF77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1.投诉人提起投诉时，应当提交投诉书和必要的证明材料，并按照被投诉人和与投诉事项有关的</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供应商数量提供投诉书副本。</w:t>
      </w:r>
    </w:p>
    <w:p w14:paraId="07B30AC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2.投诉人若委托代理人进行投诉的，投诉书应按要求列明“授权代表</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”的有关内容，并在附件中</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提交由投诉人签署的授权委托书。授权委托书应当载明代理人的姓名或者名称、代理事项、具体权限、</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期限和相关事项。</w:t>
      </w:r>
    </w:p>
    <w:p w14:paraId="5CECF0B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3.投诉书应简要列明质疑事项，质疑函、质疑答复等作为附件材料提供。</w:t>
      </w:r>
    </w:p>
    <w:p w14:paraId="54A4769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4.投诉书的投诉事项应具体、明确，并有必要的事实依据和法律依据。</w:t>
      </w:r>
    </w:p>
    <w:p w14:paraId="60D52C8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5.投诉书的投诉请求应与投诉事项相关。</w:t>
      </w:r>
    </w:p>
    <w:p w14:paraId="08A0F5D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6.投诉人为自然人的，投诉书应由本人签字；投诉人为法人或者其他组织的，投诉书应由法定代</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表人、主要负责人，或者其授权代表签字或者盖章，并加盖公章。</w:t>
      </w:r>
    </w:p>
    <w:p w14:paraId="76B5DFB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9" w:type="default"/>
          <w:pgSz w:w="11906" w:h="16839"/>
          <w:pgMar w:top="1417" w:right="1417" w:bottom="1417" w:left="1417" w:header="0" w:footer="823" w:gutter="0"/>
          <w:pgNumType w:fmt="decimal"/>
          <w:cols w:space="720" w:num="1"/>
          <w:rtlGutter w:val="0"/>
          <w:docGrid w:linePitch="0" w:charSpace="0"/>
        </w:sectPr>
      </w:pPr>
    </w:p>
    <w:p w14:paraId="1A765CE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860" w:firstLineChars="200"/>
        <w:textAlignment w:val="baseline"/>
        <w:rPr>
          <w:rFonts w:ascii="宋体" w:hAnsi="宋体" w:eastAsia="宋体" w:cs="宋体"/>
          <w:color w:val="auto"/>
          <w:spacing w:val="0"/>
          <w:position w:val="0"/>
          <w:sz w:val="43"/>
          <w:szCs w:val="43"/>
          <w:highlight w:val="none"/>
        </w:rPr>
      </w:pPr>
      <w:r>
        <w:rPr>
          <w:rFonts w:ascii="宋体" w:hAnsi="宋体" w:eastAsia="宋体" w:cs="宋体"/>
          <w:color w:val="auto"/>
          <w:spacing w:val="0"/>
          <w:position w:val="0"/>
          <w:sz w:val="43"/>
          <w:szCs w:val="43"/>
          <w:highlight w:val="none"/>
        </w:rPr>
        <w:t>广西线上“政采贷 ”政策告知函</w:t>
      </w:r>
    </w:p>
    <w:p w14:paraId="702B62B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2CFCA7F">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E802AD2">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各供应商：</w:t>
      </w:r>
    </w:p>
    <w:p w14:paraId="3BCE8C3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欢迎贵公司参与广西政府采购活动！</w:t>
      </w:r>
    </w:p>
    <w:p w14:paraId="0DC954F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线上“政采贷 ”是人民银行南宁中心支行和自治区财政厅共同支持企业发展，针对参 与政府采购活动的企业融资难、融资贵、融资慢、融资繁问题推出的一项融资政策。贵公 司若成为本次政府采购项目的中标（中标）供应商，可持政府采购合同在线向银行业金融 机构申请贷款，融资机构将根据《中国人民银行南宁中心支行 广西壮族自治区财政厅关 于推广线上“政采贷 ”融资模式的通知》（南宁银发〔2021〕258 号），按照双方自愿的 原则提供便捷、优惠的贷款服务。</w:t>
      </w:r>
    </w:p>
    <w:p w14:paraId="788D27D8">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80" w:firstLineChars="200"/>
        <w:jc w:val="both"/>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相关金融产品和银行业金融机构联系方式，可在中征应收账款融资服务平台查询（网</w:t>
      </w:r>
      <w:bookmarkStart w:id="13" w:name="_Toc17355"/>
      <w:r>
        <w:rPr>
          <w:rFonts w:ascii="宋体" w:hAnsi="宋体" w:eastAsia="宋体" w:cs="宋体"/>
          <w:color w:val="auto"/>
          <w:spacing w:val="0"/>
          <w:position w:val="0"/>
          <w:sz w:val="24"/>
          <w:szCs w:val="24"/>
          <w:highlight w:val="none"/>
        </w:rPr>
        <w:t>址：</w:t>
      </w:r>
      <w:r>
        <w:rPr>
          <w:color w:val="auto"/>
          <w:spacing w:val="0"/>
          <w:position w:val="0"/>
          <w:highlight w:val="none"/>
        </w:rPr>
        <w:fldChar w:fldCharType="begin"/>
      </w:r>
      <w:r>
        <w:rPr>
          <w:color w:val="auto"/>
          <w:spacing w:val="0"/>
          <w:position w:val="0"/>
          <w:highlight w:val="none"/>
        </w:rPr>
        <w:instrText xml:space="preserve"> HYPERLINK "https://www.crcrfsp.com/" </w:instrText>
      </w:r>
      <w:r>
        <w:rPr>
          <w:color w:val="auto"/>
          <w:spacing w:val="0"/>
          <w:position w:val="0"/>
          <w:highlight w:val="none"/>
        </w:rPr>
        <w:fldChar w:fldCharType="separate"/>
      </w:r>
      <w:r>
        <w:rPr>
          <w:rFonts w:ascii="宋体" w:hAnsi="宋体" w:eastAsia="宋体" w:cs="宋体"/>
          <w:color w:val="auto"/>
          <w:spacing w:val="0"/>
          <w:position w:val="0"/>
          <w:sz w:val="24"/>
          <w:szCs w:val="24"/>
          <w:highlight w:val="none"/>
          <w:u w:val="single" w:color="auto"/>
        </w:rPr>
        <w:t>https://www.crcrfsp.com/</w:t>
      </w:r>
      <w:r>
        <w:rPr>
          <w:rFonts w:ascii="宋体" w:hAnsi="宋体" w:eastAsia="宋体" w:cs="宋体"/>
          <w:color w:val="auto"/>
          <w:spacing w:val="0"/>
          <w:position w:val="0"/>
          <w:sz w:val="24"/>
          <w:szCs w:val="24"/>
          <w:highlight w:val="none"/>
          <w:u w:val="single" w:color="auto"/>
        </w:rPr>
        <w:fldChar w:fldCharType="end"/>
      </w:r>
      <w:r>
        <w:rPr>
          <w:rFonts w:ascii="宋体" w:hAnsi="宋体" w:eastAsia="宋体" w:cs="宋体"/>
          <w:color w:val="auto"/>
          <w:spacing w:val="0"/>
          <w:position w:val="0"/>
          <w:sz w:val="24"/>
          <w:szCs w:val="24"/>
          <w:highlight w:val="none"/>
        </w:rPr>
        <w:t>，客服电话：400-009-0001）。</w:t>
      </w:r>
      <w:bookmarkEnd w:id="13"/>
    </w:p>
    <w:p w14:paraId="5760FBF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sectPr>
          <w:footerReference r:id="rId10" w:type="default"/>
          <w:pgSz w:w="11906" w:h="16839"/>
          <w:pgMar w:top="1417" w:right="1417" w:bottom="1417" w:left="1417" w:header="0" w:footer="823" w:gutter="0"/>
          <w:pgNumType w:fmt="decimal"/>
          <w:cols w:space="720" w:num="1"/>
          <w:rtlGutter w:val="0"/>
          <w:docGrid w:linePitch="0" w:charSpace="0"/>
        </w:sectPr>
      </w:pPr>
    </w:p>
    <w:p w14:paraId="090A8A0E">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outlineLvl w:val="0"/>
        <w:rPr>
          <w:rFonts w:ascii="宋体" w:hAnsi="宋体" w:eastAsia="宋体" w:cs="宋体"/>
          <w:color w:val="auto"/>
          <w:spacing w:val="0"/>
          <w:position w:val="0"/>
          <w:sz w:val="31"/>
          <w:szCs w:val="31"/>
          <w:highlight w:val="none"/>
        </w:rPr>
      </w:pPr>
      <w:bookmarkStart w:id="14" w:name="bookmark4"/>
      <w:bookmarkEnd w:id="14"/>
      <w:bookmarkStart w:id="15" w:name="_Toc32758"/>
      <w:r>
        <w:rPr>
          <w:rFonts w:ascii="宋体" w:hAnsi="宋体" w:eastAsia="宋体" w:cs="宋体"/>
          <w:b/>
          <w:bCs/>
          <w:color w:val="auto"/>
          <w:spacing w:val="0"/>
          <w:position w:val="0"/>
          <w:sz w:val="31"/>
          <w:szCs w:val="31"/>
          <w:highlight w:val="none"/>
        </w:rPr>
        <w:t>第三章</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采购需求</w:t>
      </w:r>
      <w:bookmarkEnd w:id="15"/>
    </w:p>
    <w:p w14:paraId="63F171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说明：</w:t>
      </w:r>
    </w:p>
    <w:p w14:paraId="4761D20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一、本项目所要执行的政府采购政策：</w:t>
      </w:r>
    </w:p>
    <w:p w14:paraId="098386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1.根据《政府采购促进中小企业发展管理办法》（财库[2020]46 号），本项目非专门面向中小微 企业采购，本项目行业为：</w:t>
      </w:r>
      <w:r>
        <w:rPr>
          <w:rFonts w:hint="eastAsia" w:ascii="宋体" w:hAnsi="宋体" w:eastAsia="宋体" w:cs="宋体"/>
          <w:color w:val="auto"/>
          <w:spacing w:val="0"/>
          <w:position w:val="0"/>
          <w:sz w:val="20"/>
          <w:szCs w:val="20"/>
          <w:highlight w:val="none"/>
          <w:lang w:val="en-US" w:eastAsia="zh-CN"/>
        </w:rPr>
        <w:t>工业</w:t>
      </w:r>
      <w:r>
        <w:rPr>
          <w:rFonts w:ascii="宋体" w:hAnsi="宋体" w:eastAsia="宋体" w:cs="宋体"/>
          <w:color w:val="auto"/>
          <w:spacing w:val="0"/>
          <w:position w:val="0"/>
          <w:sz w:val="20"/>
          <w:szCs w:val="20"/>
          <w:highlight w:val="none"/>
        </w:rPr>
        <w:t>。</w:t>
      </w:r>
    </w:p>
    <w:p w14:paraId="51C175A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2.根据财政部、司法部《关于政府采购支持监狱企业发展有关问题的通知》（财库[2014]68 号）， 监狱企业视同小型、微型企业，享受预留份额、评审中价格扣除等政府采购政策。</w:t>
      </w:r>
    </w:p>
    <w:p w14:paraId="3D9E5A0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3.按照《关于促进残疾人就业政府采购政策的通知》（财库〔2017〕141 号）的规定，残疾人福利 性单位视同小型、微型企业，享受预留份额、评审中价格扣除等促进中小企业发展的政府采购政策。 残疾人福利性单位属于小型、微型企业的，不重复享受政策。</w:t>
      </w:r>
    </w:p>
    <w:p w14:paraId="27BC88F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4.根据财政部、发展改革委、生态环境部、市场监管总局《关于调整优化节能产品、环境标志产  品政府采购执行机制的通知》（财库〔2019〕9 号）及《关于印发节能产品政府采购品目清单的通知》 (财库〔2019〕19 号)文件规定，台式计算机，便携式计算机、平板式微型计算机，激光打印机，针式  打印机，液晶显示器，制冷压缩机（冷水机组、水源热泵机组、溴化锂吸收式冷水机组），空调机组[多  联式空调（热泵）机组（制冷量＞14000W），单元式空气调节机（制冷量＞14000W）]，专用制冷、空  调设备（机房空调），镇流器（管型荧光灯镇流器），空调机[房间空气调节器、多联式空调（热泵） 机组（制冷量≤14000W）、单元式空气调节机（制冷量≤14000W）]，电热水器，普通照明用双端荧光  灯， 电视设备[普通电视设备（电视机）]，视频设备[（视频监控设备（监视器）]，便器（坐便器、 蹲便器、小便器），水嘴均为节能产品政府采购品目清单内标注“★ ”的品目，属于政府强制采购节  能产品。若采购货物属于以上品目清单的产品时，供应商提供的货物必须使用政府强制采购的节能产  品，供应商于响应文件中必须提供由国家确定的认证机构出具的处于有效期之内的节能产品认证证书  复印件（加盖供应商公章），否则响应文件作无效处理。本项目采购标的不涉及政府强制采购节能产 品。</w:t>
      </w:r>
    </w:p>
    <w:p w14:paraId="352ECF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5.优先采购环境标志产品、节能产品。</w:t>
      </w:r>
    </w:p>
    <w:p w14:paraId="49EA64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6.政府采购支持采用本国产品的政策。</w:t>
      </w:r>
    </w:p>
    <w:p w14:paraId="2ABB55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二、</w:t>
      </w:r>
      <w:r>
        <w:rPr>
          <w:rFonts w:ascii="宋体" w:hAnsi="宋体" w:eastAsia="宋体" w:cs="宋体"/>
          <w:b/>
          <w:bCs/>
          <w:color w:val="auto"/>
          <w:spacing w:val="0"/>
          <w:position w:val="0"/>
          <w:sz w:val="20"/>
          <w:szCs w:val="20"/>
          <w:highlight w:val="none"/>
        </w:rPr>
        <w:t>供应商必须保证所提供的产品及服务涉及到的知识产权和相关技术资料是合法取得的，采购</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人在使用产品及服务时不会侵犯任何第三方的著作权、专利权、商标权、工业设计权或其他权利，不</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会因为采购人的使用遭受第三方侵权指控，包括被责令致歉、停止使用、追偿或要求赔偿损失等。否</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则，供应商负责解决由此引起的一切纠纷，采购人有权追究供应商的法律责任，其不利后果由供应商</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全部承担。</w:t>
      </w:r>
    </w:p>
    <w:p w14:paraId="3D5A9E6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hint="eastAsia" w:ascii="宋体" w:hAnsi="宋体" w:eastAsia="宋体" w:cs="宋体"/>
          <w:b/>
          <w:bCs/>
          <w:color w:val="auto"/>
          <w:spacing w:val="0"/>
          <w:position w:val="0"/>
          <w:sz w:val="20"/>
          <w:szCs w:val="20"/>
          <w:highlight w:val="none"/>
          <w:lang w:val="en-US" w:eastAsia="zh-CN"/>
        </w:rPr>
        <w:t>三</w:t>
      </w:r>
      <w:r>
        <w:rPr>
          <w:rFonts w:ascii="宋体" w:hAnsi="宋体" w:eastAsia="宋体" w:cs="宋体"/>
          <w:b/>
          <w:bCs/>
          <w:color w:val="auto"/>
          <w:spacing w:val="0"/>
          <w:position w:val="0"/>
          <w:sz w:val="20"/>
          <w:szCs w:val="20"/>
          <w:highlight w:val="none"/>
        </w:rPr>
        <w:t>、采购需求中出现的品牌、型号或生产供应商仅起参考作用，不属于指定品牌、型号或生产供</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应商的情形。供应商可参照或选用其他相当的品牌、型号或生产供应商替代。</w:t>
      </w:r>
    </w:p>
    <w:p w14:paraId="3C6E1A8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b/>
          <w:bCs/>
          <w:color w:val="auto"/>
          <w:spacing w:val="0"/>
          <w:position w:val="0"/>
          <w:sz w:val="20"/>
          <w:szCs w:val="20"/>
          <w:highlight w:val="none"/>
        </w:rPr>
      </w:pPr>
      <w:r>
        <w:rPr>
          <w:rFonts w:hint="eastAsia" w:ascii="宋体" w:hAnsi="宋体" w:eastAsia="宋体" w:cs="宋体"/>
          <w:b/>
          <w:bCs/>
          <w:color w:val="auto"/>
          <w:spacing w:val="0"/>
          <w:position w:val="0"/>
          <w:sz w:val="20"/>
          <w:szCs w:val="20"/>
          <w:highlight w:val="none"/>
          <w:lang w:val="en-US" w:eastAsia="zh-CN"/>
        </w:rPr>
        <w:t>四</w:t>
      </w:r>
      <w:r>
        <w:rPr>
          <w:rFonts w:ascii="宋体" w:hAnsi="宋体" w:eastAsia="宋体" w:cs="宋体"/>
          <w:b/>
          <w:bCs/>
          <w:color w:val="auto"/>
          <w:spacing w:val="0"/>
          <w:position w:val="0"/>
          <w:sz w:val="20"/>
          <w:szCs w:val="20"/>
          <w:highlight w:val="none"/>
        </w:rPr>
        <w:t>、实质性要求：谈判文件“采购需求</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”中所有条款以及谈判文件要求“必须提供</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”的条款均属</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于实质性要求，必须满足，若有任意一项负偏离作响应文件无效处理。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233"/>
        <w:gridCol w:w="5369"/>
        <w:gridCol w:w="750"/>
        <w:gridCol w:w="1151"/>
      </w:tblGrid>
      <w:tr w14:paraId="783B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8" w:type="dxa"/>
            <w:vAlign w:val="center"/>
          </w:tcPr>
          <w:p w14:paraId="536A2C2E">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b/>
                <w:bCs/>
                <w:color w:val="auto"/>
                <w:highlight w:val="none"/>
              </w:rPr>
              <w:t>序号</w:t>
            </w:r>
          </w:p>
        </w:tc>
        <w:tc>
          <w:tcPr>
            <w:tcW w:w="1233" w:type="dxa"/>
            <w:vAlign w:val="center"/>
          </w:tcPr>
          <w:p w14:paraId="2420596E">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eastAsia="宋体"/>
                <w:b/>
                <w:bCs/>
                <w:color w:val="auto"/>
                <w:highlight w:val="none"/>
                <w:lang w:val="en-US" w:eastAsia="zh-CN"/>
              </w:rPr>
              <w:t>标的</w:t>
            </w:r>
            <w:r>
              <w:rPr>
                <w:rFonts w:hint="eastAsia"/>
                <w:b/>
                <w:bCs/>
                <w:color w:val="auto"/>
                <w:highlight w:val="none"/>
              </w:rPr>
              <w:t>名称</w:t>
            </w:r>
          </w:p>
        </w:tc>
        <w:tc>
          <w:tcPr>
            <w:tcW w:w="5369" w:type="dxa"/>
            <w:vAlign w:val="center"/>
          </w:tcPr>
          <w:p w14:paraId="14A4435B">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ascii="宋体" w:hAnsi="宋体" w:cs="宋体"/>
                <w:b/>
                <w:bCs/>
                <w:color w:val="auto"/>
                <w:sz w:val="21"/>
                <w:szCs w:val="21"/>
                <w:highlight w:val="none"/>
                <w:lang w:eastAsia="zh-CN"/>
              </w:rPr>
              <w:t>项</w:t>
            </w:r>
            <w:r>
              <w:rPr>
                <w:rFonts w:hint="eastAsia" w:ascii="宋体" w:hAnsi="宋体" w:cs="宋体"/>
                <w:b/>
                <w:bCs/>
                <w:color w:val="auto"/>
                <w:sz w:val="21"/>
                <w:szCs w:val="21"/>
                <w:highlight w:val="none"/>
              </w:rPr>
              <w:t>目要求及技术需求</w:t>
            </w:r>
          </w:p>
        </w:tc>
        <w:tc>
          <w:tcPr>
            <w:tcW w:w="750" w:type="dxa"/>
            <w:vAlign w:val="center"/>
          </w:tcPr>
          <w:p w14:paraId="3C391D61">
            <w:pPr>
              <w:keepNext w:val="0"/>
              <w:keepLines w:val="0"/>
              <w:pageBreakBefore w:val="0"/>
              <w:widowControl w:val="0"/>
              <w:kinsoku/>
              <w:wordWrap w:val="0"/>
              <w:overflowPunct/>
              <w:topLinePunct w:val="0"/>
              <w:autoSpaceDE/>
              <w:autoSpaceDN/>
              <w:bidi w:val="0"/>
              <w:adjustRightInd/>
              <w:snapToGrid/>
              <w:jc w:val="center"/>
              <w:textAlignment w:val="auto"/>
              <w:rPr>
                <w:rFonts w:hint="eastAsia"/>
                <w:b/>
                <w:bCs/>
                <w:color w:val="auto"/>
                <w:highlight w:val="none"/>
              </w:rPr>
            </w:pPr>
            <w:r>
              <w:rPr>
                <w:rFonts w:hint="eastAsia"/>
                <w:b/>
                <w:bCs/>
                <w:color w:val="auto"/>
                <w:highlight w:val="none"/>
              </w:rPr>
              <w:t>数量</w:t>
            </w:r>
          </w:p>
        </w:tc>
        <w:tc>
          <w:tcPr>
            <w:tcW w:w="1151" w:type="dxa"/>
            <w:vAlign w:val="center"/>
          </w:tcPr>
          <w:p w14:paraId="08054A08">
            <w:pPr>
              <w:keepNext w:val="0"/>
              <w:keepLines w:val="0"/>
              <w:pageBreakBefore w:val="0"/>
              <w:widowControl w:val="0"/>
              <w:kinsoku/>
              <w:wordWrap w:val="0"/>
              <w:overflowPunct/>
              <w:topLinePunct w:val="0"/>
              <w:autoSpaceDE/>
              <w:autoSpaceDN/>
              <w:bidi w:val="0"/>
              <w:adjustRightInd/>
              <w:snapToGrid/>
              <w:jc w:val="center"/>
              <w:textAlignment w:val="auto"/>
              <w:rPr>
                <w:rFonts w:hint="eastAsia"/>
                <w:b/>
                <w:bCs/>
                <w:color w:val="auto"/>
                <w:highlight w:val="none"/>
              </w:rPr>
            </w:pPr>
            <w:r>
              <w:rPr>
                <w:rFonts w:hint="eastAsia" w:eastAsia="宋体"/>
                <w:b/>
                <w:bCs/>
                <w:color w:val="auto"/>
                <w:highlight w:val="none"/>
                <w:lang w:val="en-US" w:eastAsia="zh-CN"/>
              </w:rPr>
              <w:t>参考</w:t>
            </w:r>
            <w:r>
              <w:rPr>
                <w:rFonts w:hint="eastAsia"/>
                <w:b/>
                <w:bCs/>
                <w:color w:val="auto"/>
                <w:highlight w:val="none"/>
              </w:rPr>
              <w:t>单价</w:t>
            </w:r>
          </w:p>
          <w:p w14:paraId="0BDB27A3">
            <w:pPr>
              <w:keepNext w:val="0"/>
              <w:keepLines w:val="0"/>
              <w:pageBreakBefore w:val="0"/>
              <w:widowControl w:val="0"/>
              <w:kinsoku/>
              <w:wordWrap w:val="0"/>
              <w:overflowPunct/>
              <w:topLinePunct w:val="0"/>
              <w:autoSpaceDE/>
              <w:autoSpaceDN/>
              <w:bidi w:val="0"/>
              <w:adjustRightInd/>
              <w:snapToGrid/>
              <w:jc w:val="center"/>
              <w:textAlignment w:val="auto"/>
              <w:rPr>
                <w:rFonts w:hint="eastAsia"/>
                <w:b/>
                <w:bCs/>
                <w:color w:val="auto"/>
                <w:highlight w:val="none"/>
              </w:rPr>
            </w:pPr>
            <w:r>
              <w:rPr>
                <w:rFonts w:hint="eastAsia"/>
                <w:b/>
                <w:bCs/>
                <w:color w:val="auto"/>
                <w:highlight w:val="none"/>
              </w:rPr>
              <w:t>(元)</w:t>
            </w:r>
          </w:p>
        </w:tc>
      </w:tr>
      <w:tr w14:paraId="012C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688" w:type="dxa"/>
            <w:noWrap/>
          </w:tcPr>
          <w:p w14:paraId="1ECD9BDB">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b/>
                <w:bCs/>
                <w:color w:val="auto"/>
                <w:highlight w:val="none"/>
              </w:rPr>
              <w:t>1</w:t>
            </w:r>
          </w:p>
        </w:tc>
        <w:tc>
          <w:tcPr>
            <w:tcW w:w="1233" w:type="dxa"/>
          </w:tcPr>
          <w:p w14:paraId="016B99D6">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碳化试验箱</w:t>
            </w:r>
          </w:p>
        </w:tc>
        <w:tc>
          <w:tcPr>
            <w:tcW w:w="5369" w:type="dxa"/>
          </w:tcPr>
          <w:p w14:paraId="279C556C">
            <w:pPr>
              <w:keepNext w:val="0"/>
              <w:keepLines w:val="0"/>
              <w:pageBreakBefore w:val="0"/>
              <w:widowControl w:val="0"/>
              <w:kinsoku/>
              <w:wordWrap w:val="0"/>
              <w:overflowPunct/>
              <w:topLinePunct w:val="0"/>
              <w:autoSpaceDE/>
              <w:autoSpaceDN/>
              <w:bidi w:val="0"/>
              <w:adjustRightInd/>
              <w:snapToGrid/>
              <w:textAlignment w:val="auto"/>
              <w:rPr>
                <w:rFonts w:hint="default" w:eastAsiaTheme="minorEastAsia"/>
                <w:color w:val="auto"/>
                <w:highlight w:val="none"/>
                <w:lang w:val="en-US" w:eastAsia="zh-CN"/>
              </w:rPr>
            </w:pPr>
            <w:r>
              <w:rPr>
                <w:rFonts w:hint="eastAsia"/>
                <w:color w:val="auto"/>
                <w:highlight w:val="none"/>
              </w:rPr>
              <w:t>1、温度控制范围15℃</w:t>
            </w:r>
            <w:r>
              <w:rPr>
                <w:color w:val="auto"/>
                <w:highlight w:val="none"/>
              </w:rPr>
              <w:t>～30</w:t>
            </w:r>
            <w:r>
              <w:rPr>
                <w:rFonts w:hint="eastAsia"/>
                <w:color w:val="auto"/>
                <w:highlight w:val="none"/>
              </w:rPr>
              <w:t>℃</w:t>
            </w:r>
            <w:r>
              <w:rPr>
                <w:color w:val="auto"/>
                <w:highlight w:val="none"/>
              </w:rPr>
              <w:t>，精度0.1</w:t>
            </w:r>
            <w:r>
              <w:rPr>
                <w:rFonts w:hint="eastAsia" w:ascii="宋体" w:hAnsi="宋体" w:eastAsia="宋体" w:cs="宋体"/>
                <w:color w:val="auto"/>
                <w:highlight w:val="none"/>
              </w:rPr>
              <w:t>℃</w:t>
            </w:r>
            <w:r>
              <w:rPr>
                <w:color w:val="auto"/>
                <w:highlight w:val="none"/>
              </w:rPr>
              <w:t>，误差±2</w:t>
            </w:r>
            <w:r>
              <w:rPr>
                <w:rFonts w:hint="eastAsia" w:ascii="宋体" w:hAnsi="宋体" w:eastAsia="宋体" w:cs="宋体"/>
                <w:color w:val="auto"/>
                <w:highlight w:val="none"/>
              </w:rPr>
              <w:t>℃</w:t>
            </w:r>
            <w:r>
              <w:rPr>
                <w:color w:val="auto"/>
                <w:highlight w:val="none"/>
              </w:rPr>
              <w:t>。</w:t>
            </w:r>
            <w:r>
              <w:rPr>
                <w:rFonts w:hint="eastAsia"/>
                <w:color w:val="auto"/>
                <w:highlight w:val="none"/>
              </w:rPr>
              <w:br w:type="textWrapping"/>
            </w:r>
            <w:r>
              <w:rPr>
                <w:color w:val="auto"/>
                <w:highlight w:val="none"/>
              </w:rPr>
              <w:t>2、湿度控制范围50～80（%RH），精度1%RH，误差±5%RH。</w:t>
            </w:r>
            <w:r>
              <w:rPr>
                <w:rFonts w:hint="eastAsia"/>
                <w:color w:val="auto"/>
                <w:highlight w:val="none"/>
              </w:rPr>
              <w:br w:type="textWrapping"/>
            </w:r>
            <w:r>
              <w:rPr>
                <w:color w:val="auto"/>
                <w:highlight w:val="none"/>
              </w:rPr>
              <w:t>3、二氧化碳体积浓度控制范围0%～70%，精度1%，误差±3%。</w:t>
            </w:r>
            <w:r>
              <w:rPr>
                <w:rFonts w:hint="eastAsia"/>
                <w:color w:val="auto"/>
                <w:highlight w:val="none"/>
              </w:rPr>
              <w:br w:type="textWrapping"/>
            </w:r>
            <w:r>
              <w:rPr>
                <w:color w:val="auto"/>
                <w:highlight w:val="none"/>
              </w:rPr>
              <w:t>4、内部容积</w:t>
            </w:r>
            <w:r>
              <w:rPr>
                <w:rFonts w:hint="eastAsia"/>
                <w:color w:val="auto"/>
                <w:highlight w:val="none"/>
              </w:rPr>
              <w:t>≥</w:t>
            </w:r>
            <w:r>
              <w:rPr>
                <w:color w:val="auto"/>
                <w:highlight w:val="none"/>
              </w:rPr>
              <w:t>70L，分层</w:t>
            </w:r>
            <w:r>
              <w:rPr>
                <w:rFonts w:hint="eastAsia"/>
                <w:color w:val="auto"/>
                <w:highlight w:val="none"/>
              </w:rPr>
              <w:t>≥</w:t>
            </w:r>
            <w:r>
              <w:rPr>
                <w:color w:val="auto"/>
                <w:highlight w:val="none"/>
              </w:rPr>
              <w:t>4层，内部放置样品的层板可拆卸，可调整高度。</w:t>
            </w:r>
            <w:r>
              <w:rPr>
                <w:rFonts w:hint="eastAsia"/>
                <w:color w:val="auto"/>
                <w:highlight w:val="none"/>
              </w:rPr>
              <w:br w:type="textWrapping"/>
            </w:r>
            <w:r>
              <w:rPr>
                <w:color w:val="auto"/>
                <w:highlight w:val="none"/>
              </w:rPr>
              <w:t>5、有触摸屏，便捷设置温度、湿度、二氧化碳浓度、碳化时间等参数。</w:t>
            </w:r>
            <w:r>
              <w:rPr>
                <w:rFonts w:hint="eastAsia"/>
                <w:color w:val="auto"/>
                <w:highlight w:val="none"/>
              </w:rPr>
              <w:br w:type="textWrapping"/>
            </w:r>
            <w:r>
              <w:rPr>
                <w:color w:val="auto"/>
                <w:highlight w:val="none"/>
              </w:rPr>
              <w:t>6、设备底部有轮子，且带定位固定装置，设备</w:t>
            </w:r>
            <w:r>
              <w:rPr>
                <w:rFonts w:hint="eastAsia"/>
                <w:color w:val="auto"/>
                <w:highlight w:val="none"/>
                <w:lang w:val="en-US" w:eastAsia="zh-CN"/>
              </w:rPr>
              <w:t>可</w:t>
            </w:r>
            <w:r>
              <w:rPr>
                <w:color w:val="auto"/>
                <w:highlight w:val="none"/>
              </w:rPr>
              <w:t>移动和固定位置。</w:t>
            </w:r>
            <w:r>
              <w:rPr>
                <w:rFonts w:hint="eastAsia"/>
                <w:color w:val="auto"/>
                <w:highlight w:val="none"/>
              </w:rPr>
              <w:br w:type="textWrapping"/>
            </w:r>
            <w:r>
              <w:rPr>
                <w:color w:val="auto"/>
                <w:highlight w:val="none"/>
              </w:rPr>
              <w:t>7、设备外部尺寸要求：高度＜2050mm，厚度＜1500mm。</w:t>
            </w:r>
            <w:r>
              <w:rPr>
                <w:rFonts w:hint="eastAsia"/>
                <w:color w:val="auto"/>
                <w:highlight w:val="none"/>
              </w:rPr>
              <w:br w:type="textWrapping"/>
            </w:r>
            <w:r>
              <w:rPr>
                <w:color w:val="auto"/>
                <w:highlight w:val="none"/>
              </w:rPr>
              <w:t>8、</w:t>
            </w: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提供合格检定/校准证书。</w:t>
            </w:r>
            <w:r>
              <w:rPr>
                <w:rFonts w:hint="eastAsia"/>
                <w:color w:val="auto"/>
                <w:highlight w:val="none"/>
                <w:lang w:val="en-US" w:eastAsia="zh-CN"/>
              </w:rPr>
              <w:t>(校准点:  20</w:t>
            </w:r>
            <w:r>
              <w:rPr>
                <w:rFonts w:hint="eastAsia"/>
                <w:color w:val="auto"/>
                <w:highlight w:val="none"/>
              </w:rPr>
              <w:t>℃</w:t>
            </w:r>
            <w:r>
              <w:rPr>
                <w:rFonts w:hint="eastAsia"/>
                <w:color w:val="auto"/>
                <w:highlight w:val="none"/>
                <w:lang w:eastAsia="zh-CN"/>
              </w:rPr>
              <w:t>，</w:t>
            </w:r>
            <w:r>
              <w:rPr>
                <w:rFonts w:hint="eastAsia"/>
                <w:color w:val="auto"/>
                <w:highlight w:val="none"/>
                <w:lang w:val="en-US" w:eastAsia="zh-CN"/>
              </w:rPr>
              <w:t>60</w:t>
            </w:r>
            <w:r>
              <w:rPr>
                <w:color w:val="auto"/>
                <w:highlight w:val="none"/>
              </w:rPr>
              <w:t>%RH</w:t>
            </w:r>
            <w:r>
              <w:rPr>
                <w:rFonts w:hint="eastAsia"/>
                <w:color w:val="auto"/>
                <w:highlight w:val="none"/>
                <w:lang w:eastAsia="zh-CN"/>
              </w:rPr>
              <w:t>，</w:t>
            </w:r>
            <w:r>
              <w:rPr>
                <w:color w:val="auto"/>
                <w:highlight w:val="none"/>
              </w:rPr>
              <w:t>二氧化碳体积浓度</w:t>
            </w:r>
            <w:r>
              <w:rPr>
                <w:rFonts w:hint="eastAsia"/>
                <w:color w:val="auto"/>
                <w:highlight w:val="none"/>
                <w:lang w:val="en-US" w:eastAsia="zh-CN"/>
              </w:rPr>
              <w:t>20%，40%)</w:t>
            </w:r>
          </w:p>
        </w:tc>
        <w:tc>
          <w:tcPr>
            <w:tcW w:w="750" w:type="dxa"/>
            <w:shd w:val="clear" w:color="auto" w:fill="auto"/>
            <w:vAlign w:val="top"/>
          </w:tcPr>
          <w:p w14:paraId="14489D53">
            <w:pPr>
              <w:keepNext w:val="0"/>
              <w:keepLines w:val="0"/>
              <w:pageBreakBefore w:val="0"/>
              <w:widowControl w:val="0"/>
              <w:kinsoku/>
              <w:wordWrap w:val="0"/>
              <w:overflowPunct/>
              <w:topLinePunct w:val="0"/>
              <w:autoSpaceDE/>
              <w:autoSpaceDN/>
              <w:bidi w:val="0"/>
              <w:adjustRightInd/>
              <w:snapToGrid/>
              <w:textAlignment w:val="auto"/>
              <w:rPr>
                <w:rFonts w:hint="eastAsia" w:ascii="Arial" w:hAnsi="Arial" w:eastAsia="宋体" w:cs="Arial"/>
                <w:snapToGrid w:val="0"/>
                <w:color w:val="auto"/>
                <w:kern w:val="0"/>
                <w:sz w:val="21"/>
                <w:szCs w:val="21"/>
                <w:highlight w:val="none"/>
                <w:lang w:val="en-US" w:eastAsia="zh-CN" w:bidi="ar-SA"/>
              </w:rPr>
            </w:pPr>
            <w:r>
              <w:rPr>
                <w:rFonts w:hint="eastAsia" w:eastAsia="宋体"/>
                <w:color w:val="auto"/>
                <w:highlight w:val="none"/>
                <w:lang w:val="en-US" w:eastAsia="zh-CN"/>
              </w:rPr>
              <w:t>1</w:t>
            </w:r>
          </w:p>
        </w:tc>
        <w:tc>
          <w:tcPr>
            <w:tcW w:w="1151" w:type="dxa"/>
            <w:shd w:val="clear" w:color="auto" w:fill="auto"/>
            <w:vAlign w:val="top"/>
          </w:tcPr>
          <w:p w14:paraId="69153365">
            <w:pPr>
              <w:keepNext w:val="0"/>
              <w:keepLines w:val="0"/>
              <w:pageBreakBefore w:val="0"/>
              <w:widowControl w:val="0"/>
              <w:kinsoku/>
              <w:wordWrap w:val="0"/>
              <w:overflowPunct/>
              <w:topLinePunct w:val="0"/>
              <w:autoSpaceDE/>
              <w:autoSpaceDN/>
              <w:bidi w:val="0"/>
              <w:adjustRightInd/>
              <w:snapToGrid/>
              <w:textAlignment w:val="auto"/>
              <w:rPr>
                <w:rFonts w:hint="default" w:ascii="Arial" w:hAnsi="Arial" w:eastAsia="宋体" w:cs="Arial"/>
                <w:snapToGrid w:val="0"/>
                <w:color w:val="auto"/>
                <w:kern w:val="0"/>
                <w:sz w:val="21"/>
                <w:szCs w:val="21"/>
                <w:highlight w:val="none"/>
                <w:lang w:val="en-US" w:eastAsia="zh-CN" w:bidi="ar-SA"/>
              </w:rPr>
            </w:pPr>
            <w:r>
              <w:rPr>
                <w:rFonts w:hint="eastAsia" w:eastAsia="宋体"/>
                <w:color w:val="auto"/>
                <w:highlight w:val="none"/>
                <w:lang w:val="en-US" w:eastAsia="zh-CN"/>
              </w:rPr>
              <w:t>30000</w:t>
            </w:r>
          </w:p>
        </w:tc>
      </w:tr>
      <w:tr w14:paraId="5B86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88" w:type="dxa"/>
            <w:noWrap/>
          </w:tcPr>
          <w:p w14:paraId="2D05945F">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b/>
                <w:bCs/>
                <w:color w:val="auto"/>
                <w:highlight w:val="none"/>
              </w:rPr>
              <w:t>2</w:t>
            </w:r>
          </w:p>
        </w:tc>
        <w:tc>
          <w:tcPr>
            <w:tcW w:w="1233" w:type="dxa"/>
          </w:tcPr>
          <w:p w14:paraId="0EE8F7D7">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除湿机</w:t>
            </w:r>
          </w:p>
        </w:tc>
        <w:tc>
          <w:tcPr>
            <w:tcW w:w="5369" w:type="dxa"/>
          </w:tcPr>
          <w:p w14:paraId="426B9778">
            <w:pPr>
              <w:keepNext w:val="0"/>
              <w:keepLines w:val="0"/>
              <w:pageBreakBefore w:val="0"/>
              <w:widowControl w:val="0"/>
              <w:kinsoku/>
              <w:wordWrap w:val="0"/>
              <w:overflowPunct/>
              <w:topLinePunct w:val="0"/>
              <w:autoSpaceDE/>
              <w:autoSpaceDN/>
              <w:bidi w:val="0"/>
              <w:adjustRightInd/>
              <w:snapToGrid/>
              <w:textAlignment w:val="auto"/>
              <w:rPr>
                <w:color w:val="auto"/>
                <w:highlight w:val="none"/>
              </w:rPr>
            </w:pPr>
            <w:r>
              <w:rPr>
                <w:rFonts w:hint="eastAsia"/>
                <w:color w:val="auto"/>
                <w:highlight w:val="none"/>
              </w:rPr>
              <w:t>1、最大日除湿量</w:t>
            </w:r>
            <w:bookmarkStart w:id="16" w:name="OLE_LINK1"/>
            <w:r>
              <w:rPr>
                <w:rFonts w:hint="eastAsia"/>
                <w:color w:val="auto"/>
                <w:highlight w:val="none"/>
              </w:rPr>
              <w:t>≥</w:t>
            </w:r>
            <w:bookmarkEnd w:id="16"/>
            <w:r>
              <w:rPr>
                <w:rFonts w:hint="eastAsia"/>
                <w:color w:val="auto"/>
                <w:highlight w:val="none"/>
              </w:rPr>
              <w:t>60L/D。</w:t>
            </w:r>
            <w:r>
              <w:rPr>
                <w:rFonts w:hint="eastAsia"/>
                <w:color w:val="auto"/>
                <w:highlight w:val="none"/>
              </w:rPr>
              <w:br w:type="textWrapping"/>
            </w:r>
            <w:r>
              <w:rPr>
                <w:rFonts w:hint="eastAsia"/>
                <w:color w:val="auto"/>
                <w:highlight w:val="none"/>
              </w:rPr>
              <w:t>2、可外接排水管。</w:t>
            </w:r>
            <w:r>
              <w:rPr>
                <w:rFonts w:hint="eastAsia"/>
                <w:color w:val="auto"/>
                <w:highlight w:val="none"/>
              </w:rPr>
              <w:br w:type="textWrapping"/>
            </w:r>
            <w:r>
              <w:rPr>
                <w:rFonts w:hint="eastAsia"/>
                <w:color w:val="auto"/>
                <w:highlight w:val="none"/>
              </w:rPr>
              <w:t>3、底部带滚轮。。</w:t>
            </w:r>
          </w:p>
        </w:tc>
        <w:tc>
          <w:tcPr>
            <w:tcW w:w="750" w:type="dxa"/>
          </w:tcPr>
          <w:p w14:paraId="21918E39">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2</w:t>
            </w:r>
          </w:p>
        </w:tc>
        <w:tc>
          <w:tcPr>
            <w:tcW w:w="1151" w:type="dxa"/>
          </w:tcPr>
          <w:p w14:paraId="3BA541AC">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2000</w:t>
            </w:r>
          </w:p>
        </w:tc>
      </w:tr>
      <w:tr w14:paraId="5954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88" w:type="dxa"/>
            <w:noWrap/>
          </w:tcPr>
          <w:p w14:paraId="6854AA4F">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b/>
                <w:bCs/>
                <w:color w:val="auto"/>
                <w:highlight w:val="none"/>
              </w:rPr>
              <w:t>3</w:t>
            </w:r>
          </w:p>
        </w:tc>
        <w:tc>
          <w:tcPr>
            <w:tcW w:w="1233" w:type="dxa"/>
          </w:tcPr>
          <w:p w14:paraId="0493A2C9">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气相色谱仪</w:t>
            </w:r>
          </w:p>
        </w:tc>
        <w:tc>
          <w:tcPr>
            <w:tcW w:w="5369" w:type="dxa"/>
          </w:tcPr>
          <w:p w14:paraId="42628EE7">
            <w:pPr>
              <w:rPr>
                <w:color w:val="auto"/>
                <w:highlight w:val="none"/>
              </w:rPr>
            </w:pPr>
            <w:r>
              <w:rPr>
                <w:rFonts w:hint="eastAsia"/>
                <w:color w:val="auto"/>
                <w:highlight w:val="none"/>
              </w:rPr>
              <w:t>仪器、配件以及校正气样都需符合NB/SH/T0230-2019的要求。</w:t>
            </w:r>
            <w:r>
              <w:rPr>
                <w:rFonts w:hint="eastAsia"/>
                <w:color w:val="auto"/>
                <w:highlight w:val="none"/>
              </w:rPr>
              <w:br w:type="textWrapping"/>
            </w:r>
            <w:r>
              <w:rPr>
                <w:rFonts w:hint="eastAsia"/>
                <w:color w:val="auto"/>
                <w:highlight w:val="none"/>
              </w:rPr>
              <w:t>1.主机部分</w:t>
            </w:r>
            <w:r>
              <w:rPr>
                <w:rFonts w:hint="eastAsia"/>
                <w:color w:val="auto"/>
                <w:highlight w:val="none"/>
              </w:rPr>
              <w:br w:type="textWrapping"/>
            </w:r>
            <w:r>
              <w:rPr>
                <w:rFonts w:hint="eastAsia"/>
                <w:color w:val="auto"/>
                <w:highlight w:val="none"/>
              </w:rPr>
              <w:t>1.1.电子流量控制（EPC）：所有流量、压力均可以电子控制；</w:t>
            </w:r>
            <w:r>
              <w:rPr>
                <w:rFonts w:hint="eastAsia"/>
                <w:color w:val="auto"/>
                <w:highlight w:val="none"/>
              </w:rPr>
              <w:br w:type="textWrapping"/>
            </w:r>
            <w:r>
              <w:rPr>
                <w:rFonts w:hint="eastAsia"/>
                <w:color w:val="auto"/>
                <w:highlight w:val="none"/>
              </w:rPr>
              <w:t>1.2.压力调节精度：0.001psi；</w:t>
            </w:r>
            <w:r>
              <w:rPr>
                <w:rFonts w:hint="eastAsia"/>
                <w:color w:val="auto"/>
                <w:highlight w:val="none"/>
              </w:rPr>
              <w:br w:type="textWrapping"/>
            </w:r>
            <w:r>
              <w:rPr>
                <w:rFonts w:hint="eastAsia"/>
                <w:color w:val="auto"/>
                <w:highlight w:val="none"/>
              </w:rPr>
              <w:t>1.3.保留时间重复性：＜0.008%或＜0.0008min；</w:t>
            </w:r>
            <w:r>
              <w:rPr>
                <w:rFonts w:hint="eastAsia"/>
                <w:color w:val="auto"/>
                <w:highlight w:val="none"/>
              </w:rPr>
              <w:br w:type="textWrapping"/>
            </w:r>
            <w:r>
              <w:rPr>
                <w:rFonts w:hint="eastAsia"/>
                <w:color w:val="auto"/>
                <w:highlight w:val="none"/>
              </w:rPr>
              <w:t>1.4.峰面积重现性：＜0.5%RSD；</w:t>
            </w:r>
            <w:r>
              <w:rPr>
                <w:rFonts w:hint="eastAsia"/>
                <w:color w:val="auto"/>
                <w:highlight w:val="none"/>
              </w:rPr>
              <w:br w:type="textWrapping"/>
            </w:r>
            <w:r>
              <w:rPr>
                <w:rFonts w:hint="eastAsia"/>
                <w:color w:val="auto"/>
                <w:highlight w:val="none"/>
              </w:rPr>
              <w:t>1.5.操作界面：</w:t>
            </w:r>
            <w:bookmarkStart w:id="17" w:name="OLE_LINK5"/>
            <w:bookmarkStart w:id="18" w:name="OLE_LINK4"/>
            <w:r>
              <w:rPr>
                <w:rFonts w:hint="eastAsia"/>
                <w:color w:val="auto"/>
                <w:highlight w:val="none"/>
              </w:rPr>
              <w:t>≥</w:t>
            </w:r>
            <w:bookmarkEnd w:id="17"/>
            <w:bookmarkEnd w:id="18"/>
            <w:r>
              <w:rPr>
                <w:rFonts w:hint="eastAsia"/>
                <w:color w:val="auto"/>
                <w:highlight w:val="none"/>
              </w:rPr>
              <w:t>7寸电容式触摸屏；</w:t>
            </w:r>
            <w:r>
              <w:rPr>
                <w:rFonts w:hint="eastAsia"/>
                <w:color w:val="auto"/>
                <w:highlight w:val="none"/>
              </w:rPr>
              <w:br w:type="textWrapping"/>
            </w:r>
            <w:r>
              <w:rPr>
                <w:rFonts w:hint="eastAsia"/>
                <w:color w:val="auto"/>
                <w:highlight w:val="none"/>
              </w:rPr>
              <w:t>2.柱温箱</w:t>
            </w:r>
            <w:r>
              <w:rPr>
                <w:rFonts w:hint="eastAsia"/>
                <w:color w:val="auto"/>
                <w:highlight w:val="none"/>
              </w:rPr>
              <w:br w:type="textWrapping"/>
            </w:r>
            <w:r>
              <w:rPr>
                <w:rFonts w:hint="eastAsia"/>
                <w:color w:val="auto"/>
                <w:highlight w:val="none"/>
              </w:rPr>
              <w:t>2.1.工作温度：室温+4℃～450℃；</w:t>
            </w:r>
            <w:r>
              <w:rPr>
                <w:rFonts w:hint="eastAsia"/>
                <w:color w:val="auto"/>
                <w:highlight w:val="none"/>
              </w:rPr>
              <w:br w:type="textWrapping"/>
            </w:r>
            <w:r>
              <w:rPr>
                <w:rFonts w:hint="eastAsia"/>
                <w:color w:val="auto"/>
                <w:highlight w:val="none"/>
              </w:rPr>
              <w:t>2.2.程序升温阶数：30阶31平台（需提供操作界面图片或软件截图证明）；</w:t>
            </w:r>
            <w:r>
              <w:rPr>
                <w:rFonts w:hint="eastAsia"/>
                <w:color w:val="auto"/>
                <w:highlight w:val="none"/>
              </w:rPr>
              <w:br w:type="textWrapping"/>
            </w:r>
            <w:r>
              <w:rPr>
                <w:rFonts w:hint="eastAsia"/>
                <w:color w:val="auto"/>
                <w:highlight w:val="none"/>
              </w:rPr>
              <w:t>2.3.温度控制精度：0.01℃；</w:t>
            </w:r>
            <w:r>
              <w:rPr>
                <w:rFonts w:hint="eastAsia"/>
                <w:color w:val="auto"/>
                <w:highlight w:val="none"/>
              </w:rPr>
              <w:br w:type="textWrapping"/>
            </w:r>
            <w:r>
              <w:rPr>
                <w:rFonts w:hint="eastAsia"/>
                <w:color w:val="auto"/>
                <w:highlight w:val="none"/>
              </w:rPr>
              <w:t>2.4.最高升温设置速率：250℃/min（需提供操作界面图片或软件截图证明）；</w:t>
            </w:r>
            <w:r>
              <w:rPr>
                <w:rFonts w:hint="eastAsia"/>
                <w:color w:val="auto"/>
                <w:highlight w:val="none"/>
              </w:rPr>
              <w:br w:type="textWrapping"/>
            </w:r>
            <w:r>
              <w:rPr>
                <w:rFonts w:hint="eastAsia"/>
                <w:color w:val="auto"/>
                <w:highlight w:val="none"/>
              </w:rPr>
              <w:t>2.5.柱温箱冷却降温（22℃室温）: 从450℃ 降到50℃≤3.5min；</w:t>
            </w:r>
            <w:r>
              <w:rPr>
                <w:rFonts w:hint="eastAsia"/>
                <w:color w:val="auto"/>
                <w:highlight w:val="none"/>
              </w:rPr>
              <w:br w:type="textWrapping"/>
            </w:r>
            <w:r>
              <w:rPr>
                <w:rFonts w:hint="eastAsia"/>
                <w:color w:val="auto"/>
                <w:highlight w:val="none"/>
              </w:rPr>
              <w:t>2.6.加热区：除炉膛外，6个独立控制加热区；</w:t>
            </w:r>
            <w:r>
              <w:rPr>
                <w:rFonts w:hint="eastAsia"/>
                <w:color w:val="auto"/>
                <w:highlight w:val="none"/>
              </w:rPr>
              <w:br w:type="textWrapping"/>
            </w:r>
            <w:r>
              <w:rPr>
                <w:rFonts w:hint="eastAsia"/>
                <w:color w:val="auto"/>
                <w:highlight w:val="none"/>
              </w:rPr>
              <w:t>2.7.辅助加热区最高操作温度：400℃；</w:t>
            </w:r>
            <w:r>
              <w:rPr>
                <w:rFonts w:hint="eastAsia"/>
                <w:color w:val="auto"/>
                <w:highlight w:val="none"/>
              </w:rPr>
              <w:br w:type="textWrapping"/>
            </w:r>
            <w:r>
              <w:rPr>
                <w:rFonts w:hint="eastAsia"/>
                <w:color w:val="auto"/>
                <w:highlight w:val="none"/>
              </w:rPr>
              <w:t>2.8.温度保护：具有炉膛温度自动保护功能（色谱柱最高使用温度保护）；</w:t>
            </w:r>
            <w:r>
              <w:rPr>
                <w:rFonts w:hint="eastAsia"/>
                <w:color w:val="auto"/>
                <w:highlight w:val="none"/>
              </w:rPr>
              <w:br w:type="textWrapping"/>
            </w:r>
            <w:r>
              <w:rPr>
                <w:rFonts w:hint="eastAsia"/>
                <w:color w:val="auto"/>
                <w:highlight w:val="none"/>
              </w:rPr>
              <w:t>3.进样口</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1</w:t>
            </w:r>
            <w:r>
              <w:rPr>
                <w:rFonts w:hint="eastAsia"/>
                <w:color w:val="auto"/>
                <w:highlight w:val="none"/>
              </w:rPr>
              <w:t>分流/不分流进样口（S/SL）</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2</w:t>
            </w:r>
            <w:r>
              <w:rPr>
                <w:rFonts w:hint="eastAsia"/>
                <w:color w:val="auto"/>
                <w:highlight w:val="none"/>
              </w:rPr>
              <w:t>最高使用温度：450℃；采用</w:t>
            </w:r>
            <w:r>
              <w:rPr>
                <w:rFonts w:hint="eastAsia"/>
                <w:color w:val="auto"/>
                <w:highlight w:val="none"/>
                <w:lang w:eastAsia="zh-CN"/>
              </w:rPr>
              <w:t>环形</w:t>
            </w:r>
            <w:r>
              <w:rPr>
                <w:rFonts w:hint="eastAsia"/>
                <w:color w:val="auto"/>
                <w:highlight w:val="none"/>
              </w:rPr>
              <w:t>直热方式，有效消除温度梯度；</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3</w:t>
            </w:r>
            <w:r>
              <w:rPr>
                <w:rFonts w:hint="eastAsia"/>
                <w:color w:val="auto"/>
                <w:highlight w:val="none"/>
              </w:rPr>
              <w:t>进样口设计：快速可拆卸模块化进样口设计（无需工具，快速拆卸）；</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4</w:t>
            </w:r>
            <w:r>
              <w:rPr>
                <w:rFonts w:hint="eastAsia"/>
                <w:color w:val="auto"/>
                <w:highlight w:val="none"/>
              </w:rPr>
              <w:t>电子流量控制：高精度电子压力/流量控制；</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5</w:t>
            </w:r>
            <w:r>
              <w:rPr>
                <w:rFonts w:hint="eastAsia"/>
                <w:color w:val="auto"/>
                <w:highlight w:val="none"/>
              </w:rPr>
              <w:t>压力设定范围：0～100psi；</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6</w:t>
            </w:r>
            <w:r>
              <w:rPr>
                <w:rFonts w:hint="eastAsia"/>
                <w:color w:val="auto"/>
                <w:highlight w:val="none"/>
              </w:rPr>
              <w:t>压力控制设定精度：0.001psi；</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7</w:t>
            </w:r>
            <w:r>
              <w:rPr>
                <w:rFonts w:hint="eastAsia"/>
                <w:color w:val="auto"/>
                <w:highlight w:val="none"/>
              </w:rPr>
              <w:t>流量设定范围：0～1000 mL/min（氦气/氢气） 0～200 mL/min（氮气）；流量设定精度：0.001 mL/min；</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8</w:t>
            </w:r>
            <w:r>
              <w:rPr>
                <w:rFonts w:hint="eastAsia"/>
                <w:color w:val="auto"/>
                <w:highlight w:val="none"/>
              </w:rPr>
              <w:t>最大分流比：12500: 1（需提供操作界面图片或软件截图证明）；</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9</w:t>
            </w:r>
            <w:r>
              <w:rPr>
                <w:rFonts w:hint="eastAsia"/>
                <w:color w:val="auto"/>
                <w:highlight w:val="none"/>
              </w:rPr>
              <w:t>程序升压/升流：10阶；</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10</w:t>
            </w:r>
            <w:r>
              <w:rPr>
                <w:rFonts w:hint="eastAsia"/>
                <w:color w:val="auto"/>
                <w:highlight w:val="none"/>
              </w:rPr>
              <w:t>气体控制方式：恒定压力、恒定流量、程序升/降压、程序升/降流、脉冲进样；</w:t>
            </w:r>
            <w:r>
              <w:rPr>
                <w:rFonts w:hint="eastAsia"/>
                <w:color w:val="auto"/>
                <w:highlight w:val="none"/>
              </w:rPr>
              <w:br w:type="textWrapping"/>
            </w:r>
            <w:r>
              <w:rPr>
                <w:rFonts w:hint="eastAsia"/>
                <w:color w:val="auto"/>
                <w:highlight w:val="none"/>
              </w:rPr>
              <w:t>4.检测器</w:t>
            </w:r>
            <w:r>
              <w:rPr>
                <w:rFonts w:hint="eastAsia"/>
                <w:color w:val="auto"/>
                <w:highlight w:val="none"/>
              </w:rPr>
              <w:br w:type="textWrapping"/>
            </w:r>
            <w:r>
              <w:rPr>
                <w:rFonts w:hint="eastAsia"/>
                <w:color w:val="auto"/>
                <w:highlight w:val="none"/>
              </w:rPr>
              <w:t>4.1.电子流量控制：高精度电子压力/流量控制；</w:t>
            </w:r>
            <w:r>
              <w:rPr>
                <w:rFonts w:hint="eastAsia"/>
                <w:color w:val="auto"/>
                <w:highlight w:val="none"/>
              </w:rPr>
              <w:br w:type="textWrapping"/>
            </w:r>
            <w:r>
              <w:rPr>
                <w:rFonts w:hint="eastAsia"/>
                <w:color w:val="auto"/>
                <w:highlight w:val="none"/>
              </w:rPr>
              <w:t>4.2.压力设定范围：0～100psi；</w:t>
            </w:r>
            <w:r>
              <w:rPr>
                <w:rFonts w:hint="eastAsia"/>
                <w:color w:val="auto"/>
                <w:highlight w:val="none"/>
              </w:rPr>
              <w:br w:type="textWrapping"/>
            </w:r>
            <w:r>
              <w:rPr>
                <w:rFonts w:hint="eastAsia"/>
                <w:color w:val="auto"/>
                <w:highlight w:val="none"/>
              </w:rPr>
              <w:t>4.3.压力控制设定精度：0.001psi；</w:t>
            </w:r>
            <w:r>
              <w:rPr>
                <w:rFonts w:hint="eastAsia"/>
                <w:color w:val="auto"/>
                <w:highlight w:val="none"/>
              </w:rPr>
              <w:br w:type="textWrapping"/>
            </w:r>
            <w:r>
              <w:rPr>
                <w:rFonts w:hint="eastAsia"/>
                <w:color w:val="auto"/>
                <w:highlight w:val="none"/>
              </w:rPr>
              <w:t>4.4.氢火焰离子化检测器（FID）</w:t>
            </w:r>
            <w:r>
              <w:rPr>
                <w:rFonts w:hint="eastAsia"/>
                <w:color w:val="auto"/>
                <w:highlight w:val="none"/>
              </w:rPr>
              <w:br w:type="textWrapping"/>
            </w:r>
            <w:r>
              <w:rPr>
                <w:rFonts w:hint="eastAsia"/>
                <w:color w:val="auto"/>
                <w:highlight w:val="none"/>
              </w:rPr>
              <w:t>4.4.1.最高使用温度：450℃；</w:t>
            </w:r>
            <w:r>
              <w:rPr>
                <w:rFonts w:hint="eastAsia"/>
                <w:color w:val="auto"/>
                <w:highlight w:val="none"/>
              </w:rPr>
              <w:br w:type="textWrapping"/>
            </w:r>
            <w:r>
              <w:rPr>
                <w:rFonts w:hint="eastAsia"/>
                <w:color w:val="auto"/>
                <w:highlight w:val="none"/>
              </w:rPr>
              <w:t>4.4.2.最低检出限：≤1.1 pg C/s（正十六烷）；</w:t>
            </w:r>
            <w:r>
              <w:rPr>
                <w:rFonts w:hint="eastAsia"/>
                <w:color w:val="auto"/>
                <w:highlight w:val="none"/>
              </w:rPr>
              <w:br w:type="textWrapping"/>
            </w:r>
            <w:r>
              <w:rPr>
                <w:rFonts w:hint="eastAsia"/>
                <w:color w:val="auto"/>
                <w:highlight w:val="none"/>
              </w:rPr>
              <w:t>4.4.3.基线漂移（30min）：</w:t>
            </w:r>
            <w:bookmarkStart w:id="19" w:name="OLE_LINK3"/>
            <w:bookmarkStart w:id="20" w:name="OLE_LINK2"/>
            <w:r>
              <w:rPr>
                <w:rFonts w:hint="eastAsia"/>
                <w:color w:val="auto"/>
                <w:highlight w:val="none"/>
              </w:rPr>
              <w:t>≤</w:t>
            </w:r>
            <w:bookmarkEnd w:id="19"/>
            <w:bookmarkEnd w:id="20"/>
            <w:r>
              <w:rPr>
                <w:rFonts w:hint="eastAsia"/>
                <w:color w:val="auto"/>
                <w:highlight w:val="none"/>
              </w:rPr>
              <w:t xml:space="preserve"> 2×10</w:t>
            </w:r>
            <w:r>
              <w:rPr>
                <w:rFonts w:hint="eastAsia"/>
                <w:color w:val="auto"/>
                <w:highlight w:val="none"/>
                <w:vertAlign w:val="superscript"/>
              </w:rPr>
              <w:t>-13</w:t>
            </w:r>
            <w:r>
              <w:rPr>
                <w:rFonts w:hint="eastAsia"/>
                <w:color w:val="auto"/>
                <w:highlight w:val="none"/>
              </w:rPr>
              <w:t>A；</w:t>
            </w:r>
            <w:r>
              <w:rPr>
                <w:rFonts w:hint="eastAsia"/>
                <w:color w:val="auto"/>
                <w:highlight w:val="none"/>
              </w:rPr>
              <w:br w:type="textWrapping"/>
            </w:r>
            <w:r>
              <w:rPr>
                <w:rFonts w:hint="eastAsia"/>
                <w:color w:val="auto"/>
                <w:highlight w:val="none"/>
              </w:rPr>
              <w:t>4.4.4.基线噪声：≤ 2×10</w:t>
            </w:r>
            <w:r>
              <w:rPr>
                <w:color w:val="auto"/>
                <w:highlight w:val="none"/>
                <w:vertAlign w:val="superscript"/>
              </w:rPr>
              <w:t>-14</w:t>
            </w:r>
            <w:r>
              <w:rPr>
                <w:color w:val="auto"/>
                <w:highlight w:val="none"/>
              </w:rPr>
              <w:t xml:space="preserve"> A；</w:t>
            </w:r>
            <w:r>
              <w:rPr>
                <w:rFonts w:hint="eastAsia"/>
                <w:color w:val="auto"/>
                <w:highlight w:val="none"/>
              </w:rPr>
              <w:br w:type="textWrapping"/>
            </w:r>
            <w:r>
              <w:rPr>
                <w:color w:val="auto"/>
                <w:highlight w:val="none"/>
              </w:rPr>
              <w:t>4.4.5.动态线性范围：</w:t>
            </w:r>
            <w:r>
              <w:rPr>
                <w:rFonts w:hint="eastAsia"/>
                <w:color w:val="auto"/>
                <w:highlight w:val="none"/>
              </w:rPr>
              <w:t>≥</w:t>
            </w:r>
            <w:r>
              <w:rPr>
                <w:color w:val="auto"/>
                <w:highlight w:val="none"/>
              </w:rPr>
              <w:t>10</w:t>
            </w:r>
            <w:r>
              <w:rPr>
                <w:color w:val="auto"/>
                <w:highlight w:val="none"/>
                <w:vertAlign w:val="superscript"/>
              </w:rPr>
              <w:t>7</w:t>
            </w:r>
            <w:r>
              <w:rPr>
                <w:color w:val="auto"/>
                <w:highlight w:val="none"/>
              </w:rPr>
              <w:t>；</w:t>
            </w:r>
            <w:r>
              <w:rPr>
                <w:rFonts w:hint="eastAsia"/>
                <w:color w:val="auto"/>
                <w:highlight w:val="none"/>
              </w:rPr>
              <w:br w:type="textWrapping"/>
            </w:r>
            <w:r>
              <w:rPr>
                <w:color w:val="auto"/>
                <w:highlight w:val="none"/>
              </w:rPr>
              <w:t>4.4.6.数据采集频率：最高1000Hz；</w:t>
            </w:r>
            <w:r>
              <w:rPr>
                <w:rFonts w:hint="eastAsia"/>
                <w:color w:val="auto"/>
                <w:highlight w:val="none"/>
              </w:rPr>
              <w:br w:type="textWrapping"/>
            </w:r>
            <w:r>
              <w:rPr>
                <w:color w:val="auto"/>
                <w:highlight w:val="none"/>
              </w:rPr>
              <w:t>5.惰性化闪蒸进样器</w:t>
            </w:r>
            <w:r>
              <w:rPr>
                <w:rFonts w:hint="eastAsia"/>
                <w:color w:val="auto"/>
                <w:highlight w:val="none"/>
              </w:rPr>
              <w:br w:type="textWrapping"/>
            </w:r>
            <w:r>
              <w:rPr>
                <w:color w:val="auto"/>
                <w:highlight w:val="none"/>
              </w:rPr>
              <w:t>5.1.闪蒸汽化室温控：室温～120</w:t>
            </w:r>
            <w:r>
              <w:rPr>
                <w:rFonts w:hint="eastAsia" w:ascii="宋体" w:hAnsi="宋体" w:eastAsia="宋体" w:cs="宋体"/>
                <w:color w:val="auto"/>
                <w:highlight w:val="none"/>
              </w:rPr>
              <w:t>℃</w:t>
            </w:r>
            <w:r>
              <w:rPr>
                <w:color w:val="auto"/>
                <w:highlight w:val="none"/>
              </w:rPr>
              <w:t>，精度±0.1</w:t>
            </w:r>
            <w:r>
              <w:rPr>
                <w:rFonts w:hint="eastAsia" w:ascii="宋体" w:hAnsi="宋体" w:eastAsia="宋体" w:cs="宋体"/>
                <w:color w:val="auto"/>
                <w:highlight w:val="none"/>
              </w:rPr>
              <w:t>℃</w:t>
            </w:r>
            <w:r>
              <w:rPr>
                <w:color w:val="auto"/>
                <w:highlight w:val="none"/>
              </w:rPr>
              <w:t>；</w:t>
            </w:r>
            <w:r>
              <w:rPr>
                <w:rFonts w:hint="eastAsia"/>
                <w:color w:val="auto"/>
                <w:highlight w:val="none"/>
              </w:rPr>
              <w:br w:type="textWrapping"/>
            </w:r>
            <w:r>
              <w:rPr>
                <w:color w:val="auto"/>
                <w:highlight w:val="none"/>
              </w:rPr>
              <w:t>5.2.外观尺寸（长</w:t>
            </w:r>
            <w:r>
              <w:rPr>
                <w:rFonts w:hint="eastAsia"/>
                <w:color w:val="auto"/>
                <w:highlight w:val="none"/>
              </w:rPr>
              <w:t>×</w:t>
            </w:r>
            <w:r>
              <w:rPr>
                <w:color w:val="auto"/>
                <w:highlight w:val="none"/>
              </w:rPr>
              <w:t>宽</w:t>
            </w:r>
            <w:r>
              <w:rPr>
                <w:rFonts w:hint="eastAsia"/>
                <w:color w:val="auto"/>
                <w:highlight w:val="none"/>
              </w:rPr>
              <w:t>×</w:t>
            </w:r>
            <w:r>
              <w:rPr>
                <w:color w:val="auto"/>
                <w:highlight w:val="none"/>
              </w:rPr>
              <w:t>高）</w:t>
            </w:r>
            <w:r>
              <w:rPr>
                <w:rFonts w:hint="eastAsia"/>
                <w:color w:val="auto"/>
                <w:highlight w:val="none"/>
              </w:rPr>
              <w:t>不超过</w:t>
            </w:r>
            <w:r>
              <w:rPr>
                <w:color w:val="auto"/>
                <w:highlight w:val="none"/>
              </w:rPr>
              <w:t>：</w:t>
            </w:r>
            <w:r>
              <w:rPr>
                <w:rFonts w:hint="eastAsia"/>
                <w:color w:val="auto"/>
                <w:highlight w:val="none"/>
              </w:rPr>
              <w:t>3</w:t>
            </w:r>
            <w:r>
              <w:rPr>
                <w:color w:val="auto"/>
                <w:highlight w:val="none"/>
              </w:rPr>
              <w:t>00mm</w:t>
            </w:r>
            <w:r>
              <w:rPr>
                <w:rFonts w:hint="eastAsia"/>
                <w:color w:val="auto"/>
                <w:highlight w:val="none"/>
              </w:rPr>
              <w:t>×</w:t>
            </w:r>
            <w:r>
              <w:rPr>
                <w:color w:val="auto"/>
                <w:highlight w:val="none"/>
              </w:rPr>
              <w:t>300mm</w:t>
            </w:r>
            <w:r>
              <w:rPr>
                <w:rFonts w:hint="eastAsia"/>
                <w:color w:val="auto"/>
                <w:highlight w:val="none"/>
              </w:rPr>
              <w:t>×</w:t>
            </w:r>
            <w:r>
              <w:rPr>
                <w:color w:val="auto"/>
                <w:highlight w:val="none"/>
              </w:rPr>
              <w:t>200mm，</w:t>
            </w:r>
            <w:r>
              <w:rPr>
                <w:rFonts w:hint="eastAsia"/>
                <w:color w:val="auto"/>
                <w:highlight w:val="none"/>
              </w:rPr>
              <w:t>重量不超过</w:t>
            </w:r>
            <w:r>
              <w:rPr>
                <w:color w:val="auto"/>
                <w:highlight w:val="none"/>
              </w:rPr>
              <w:t>10kg；</w:t>
            </w:r>
            <w:r>
              <w:rPr>
                <w:rFonts w:hint="eastAsia"/>
                <w:color w:val="auto"/>
                <w:highlight w:val="none"/>
              </w:rPr>
              <w:br w:type="textWrapping"/>
            </w:r>
            <w:r>
              <w:rPr>
                <w:color w:val="auto"/>
                <w:highlight w:val="none"/>
              </w:rPr>
              <w:t>5.3.闪蒸进样器出口流量：50～100ml/min；</w:t>
            </w:r>
            <w:r>
              <w:rPr>
                <w:rFonts w:hint="eastAsia"/>
                <w:color w:val="auto"/>
                <w:highlight w:val="none"/>
              </w:rPr>
              <w:br w:type="textWrapping"/>
            </w:r>
            <w:r>
              <w:rPr>
                <w:color w:val="auto"/>
                <w:highlight w:val="none"/>
              </w:rPr>
              <w:t>6.色谱工作站参数</w:t>
            </w:r>
            <w:r>
              <w:rPr>
                <w:rFonts w:hint="eastAsia"/>
                <w:color w:val="auto"/>
                <w:highlight w:val="none"/>
              </w:rPr>
              <w:br w:type="textWrapping"/>
            </w:r>
            <w:r>
              <w:rPr>
                <w:color w:val="auto"/>
                <w:highlight w:val="none"/>
              </w:rPr>
              <w:t>6.</w:t>
            </w:r>
            <w:r>
              <w:rPr>
                <w:rFonts w:hint="eastAsia"/>
                <w:color w:val="auto"/>
                <w:highlight w:val="none"/>
                <w:lang w:val="en-US" w:eastAsia="zh-CN"/>
              </w:rPr>
              <w:t>1</w:t>
            </w:r>
            <w:r>
              <w:rPr>
                <w:color w:val="auto"/>
                <w:highlight w:val="none"/>
              </w:rPr>
              <w:t>提供套峰带自动识别功能，对已处理完的数据，显示组分峰的保留时间，有利于判断组分峰保留时间是否偏移；</w:t>
            </w:r>
            <w:r>
              <w:rPr>
                <w:rFonts w:hint="eastAsia"/>
                <w:color w:val="auto"/>
                <w:highlight w:val="none"/>
              </w:rPr>
              <w:br w:type="textWrapping"/>
            </w:r>
            <w:r>
              <w:rPr>
                <w:color w:val="auto"/>
                <w:highlight w:val="none"/>
              </w:rPr>
              <w:t>6.</w:t>
            </w:r>
            <w:r>
              <w:rPr>
                <w:rFonts w:hint="eastAsia"/>
                <w:color w:val="auto"/>
                <w:highlight w:val="none"/>
                <w:lang w:val="en-US" w:eastAsia="zh-CN"/>
              </w:rPr>
              <w:t>2</w:t>
            </w:r>
            <w:r>
              <w:rPr>
                <w:color w:val="auto"/>
                <w:highlight w:val="none"/>
              </w:rPr>
              <w:t>支持谱图快照、停止后自动输出谱图数据、通道合并；</w:t>
            </w:r>
            <w:r>
              <w:rPr>
                <w:rFonts w:hint="eastAsia"/>
                <w:color w:val="auto"/>
                <w:highlight w:val="none"/>
              </w:rPr>
              <w:br w:type="textWrapping"/>
            </w:r>
            <w:r>
              <w:rPr>
                <w:color w:val="auto"/>
                <w:highlight w:val="none"/>
              </w:rPr>
              <w:t>6.</w:t>
            </w:r>
            <w:r>
              <w:rPr>
                <w:rFonts w:hint="eastAsia"/>
                <w:color w:val="auto"/>
                <w:highlight w:val="none"/>
                <w:lang w:val="en-US" w:eastAsia="zh-CN"/>
              </w:rPr>
              <w:t>3</w:t>
            </w:r>
            <w:r>
              <w:rPr>
                <w:color w:val="auto"/>
                <w:highlight w:val="none"/>
              </w:rPr>
              <w:t>自动处理/手动处理谱图功能；</w:t>
            </w:r>
            <w:r>
              <w:rPr>
                <w:rFonts w:hint="eastAsia"/>
                <w:color w:val="auto"/>
                <w:highlight w:val="none"/>
              </w:rPr>
              <w:br w:type="textWrapping"/>
            </w:r>
            <w:r>
              <w:rPr>
                <w:color w:val="auto"/>
                <w:highlight w:val="none"/>
              </w:rPr>
              <w:t>6.</w:t>
            </w:r>
            <w:r>
              <w:rPr>
                <w:rFonts w:hint="eastAsia"/>
                <w:color w:val="auto"/>
                <w:highlight w:val="none"/>
                <w:lang w:val="en-US" w:eastAsia="zh-CN"/>
              </w:rPr>
              <w:t>4</w:t>
            </w:r>
            <w:r>
              <w:rPr>
                <w:color w:val="auto"/>
                <w:highlight w:val="none"/>
              </w:rPr>
              <w:t>定量功能（归一化法、修正归一法、内标法、外标法、指数法、内标归一法、外标归一法）；</w:t>
            </w:r>
            <w:r>
              <w:rPr>
                <w:rFonts w:hint="eastAsia"/>
                <w:color w:val="auto"/>
                <w:highlight w:val="none"/>
              </w:rPr>
              <w:br w:type="textWrapping"/>
            </w:r>
            <w:r>
              <w:rPr>
                <w:color w:val="auto"/>
                <w:highlight w:val="none"/>
              </w:rPr>
              <w:t>6.</w:t>
            </w:r>
            <w:r>
              <w:rPr>
                <w:rFonts w:hint="eastAsia"/>
                <w:color w:val="auto"/>
                <w:highlight w:val="none"/>
                <w:lang w:val="en-US" w:eastAsia="zh-CN"/>
              </w:rPr>
              <w:t>5</w:t>
            </w:r>
            <w:r>
              <w:rPr>
                <w:color w:val="auto"/>
                <w:highlight w:val="none"/>
              </w:rPr>
              <w:t>多重谱图重复性对比功能，可以自动计算RSD显示结果；</w:t>
            </w:r>
            <w:r>
              <w:rPr>
                <w:rFonts w:hint="eastAsia"/>
                <w:color w:val="auto"/>
                <w:highlight w:val="none"/>
              </w:rPr>
              <w:br w:type="textWrapping"/>
            </w:r>
            <w:r>
              <w:rPr>
                <w:color w:val="auto"/>
                <w:highlight w:val="none"/>
              </w:rPr>
              <w:t>6.</w:t>
            </w:r>
            <w:r>
              <w:rPr>
                <w:rFonts w:hint="eastAsia"/>
                <w:color w:val="auto"/>
                <w:highlight w:val="none"/>
                <w:lang w:val="en-US" w:eastAsia="zh-CN"/>
              </w:rPr>
              <w:t>6</w:t>
            </w:r>
            <w:r>
              <w:rPr>
                <w:color w:val="auto"/>
                <w:highlight w:val="none"/>
              </w:rPr>
              <w:t>支持空白扣除、基线扣除功能；</w:t>
            </w:r>
            <w:r>
              <w:rPr>
                <w:rFonts w:hint="eastAsia"/>
                <w:color w:val="auto"/>
                <w:highlight w:val="none"/>
              </w:rPr>
              <w:br w:type="textWrapping"/>
            </w:r>
            <w:r>
              <w:rPr>
                <w:color w:val="auto"/>
                <w:highlight w:val="none"/>
              </w:rPr>
              <w:t>6.</w:t>
            </w:r>
            <w:r>
              <w:rPr>
                <w:rFonts w:hint="eastAsia"/>
                <w:color w:val="auto"/>
                <w:highlight w:val="none"/>
                <w:lang w:val="en-US" w:eastAsia="zh-CN"/>
              </w:rPr>
              <w:t>7</w:t>
            </w:r>
            <w:r>
              <w:rPr>
                <w:color w:val="auto"/>
                <w:highlight w:val="none"/>
              </w:rPr>
              <w:t>组分峰快速定位功能：在多组分情况下快速找到目标峰所在位置；</w:t>
            </w:r>
            <w:r>
              <w:rPr>
                <w:rFonts w:hint="eastAsia"/>
                <w:color w:val="auto"/>
                <w:highlight w:val="none"/>
              </w:rPr>
              <w:br w:type="textWrapping"/>
            </w:r>
            <w:r>
              <w:rPr>
                <w:color w:val="auto"/>
                <w:highlight w:val="none"/>
              </w:rPr>
              <w:t>6.</w:t>
            </w:r>
            <w:r>
              <w:rPr>
                <w:rFonts w:hint="eastAsia"/>
                <w:color w:val="auto"/>
                <w:highlight w:val="none"/>
                <w:lang w:val="en-US" w:eastAsia="zh-CN"/>
              </w:rPr>
              <w:t>8</w:t>
            </w:r>
            <w:r>
              <w:rPr>
                <w:color w:val="auto"/>
                <w:highlight w:val="none"/>
              </w:rPr>
              <w:t>支持谱图数据导出(导出格式：TXT、Excel)、谱图数据复制到剪贴板、通用格式转换（AIA格式）、与Lims联用，实现检验检测业务质量管理体系数字化，实验结果数据整合，统一管控；</w:t>
            </w:r>
            <w:r>
              <w:rPr>
                <w:rFonts w:hint="eastAsia"/>
                <w:color w:val="auto"/>
                <w:highlight w:val="none"/>
              </w:rPr>
              <w:br w:type="textWrapping"/>
            </w:r>
            <w:r>
              <w:rPr>
                <w:color w:val="auto"/>
                <w:highlight w:val="none"/>
              </w:rPr>
              <w:t>6.</w:t>
            </w:r>
            <w:r>
              <w:rPr>
                <w:rFonts w:hint="eastAsia"/>
                <w:color w:val="auto"/>
                <w:highlight w:val="none"/>
                <w:lang w:val="en-US" w:eastAsia="zh-CN"/>
              </w:rPr>
              <w:t>9</w:t>
            </w:r>
            <w:r>
              <w:rPr>
                <w:color w:val="auto"/>
                <w:highlight w:val="none"/>
              </w:rPr>
              <w:t>支持谱图报告一键生成PDF文件、用户自定义设定报告内容，可选择报告显示内容（仪器条件、辅助区、配样信息、手动事件、组分表、分析结果、综合结果、系统评价），编辑报告内容；</w:t>
            </w:r>
            <w:r>
              <w:rPr>
                <w:rFonts w:hint="eastAsia"/>
                <w:color w:val="auto"/>
                <w:highlight w:val="none"/>
              </w:rPr>
              <w:br w:type="textWrapping"/>
            </w:r>
            <w:r>
              <w:rPr>
                <w:color w:val="auto"/>
                <w:highlight w:val="none"/>
              </w:rPr>
              <w:t>6.1</w:t>
            </w:r>
            <w:r>
              <w:rPr>
                <w:rFonts w:hint="eastAsia"/>
                <w:color w:val="auto"/>
                <w:highlight w:val="none"/>
                <w:lang w:val="en-US" w:eastAsia="zh-CN"/>
              </w:rPr>
              <w:t>0</w:t>
            </w:r>
            <w:r>
              <w:rPr>
                <w:color w:val="auto"/>
                <w:highlight w:val="none"/>
              </w:rPr>
              <w:t>提供批量生成PDF报告功能：多张谱图批量处理，生成PDF报告并存于用户指定路径下；</w:t>
            </w:r>
            <w:r>
              <w:rPr>
                <w:rFonts w:hint="eastAsia"/>
                <w:color w:val="auto"/>
                <w:highlight w:val="none"/>
              </w:rPr>
              <w:br w:type="textWrapping"/>
            </w:r>
            <w:r>
              <w:rPr>
                <w:color w:val="auto"/>
                <w:highlight w:val="none"/>
              </w:rPr>
              <w:t>7.界面语言</w:t>
            </w:r>
            <w:r>
              <w:rPr>
                <w:rFonts w:hint="eastAsia"/>
                <w:color w:val="auto"/>
                <w:highlight w:val="none"/>
              </w:rPr>
              <w:t>为</w:t>
            </w:r>
            <w:r>
              <w:rPr>
                <w:color w:val="auto"/>
                <w:highlight w:val="none"/>
              </w:rPr>
              <w:t>中文；</w:t>
            </w:r>
            <w:r>
              <w:rPr>
                <w:rFonts w:hint="eastAsia"/>
                <w:color w:val="auto"/>
                <w:highlight w:val="none"/>
              </w:rPr>
              <w:br w:type="textWrapping"/>
            </w:r>
            <w:r>
              <w:rPr>
                <w:color w:val="auto"/>
                <w:highlight w:val="none"/>
              </w:rPr>
              <w:t>8.配置清单</w:t>
            </w:r>
            <w:r>
              <w:rPr>
                <w:rFonts w:hint="eastAsia"/>
                <w:color w:val="auto"/>
                <w:highlight w:val="none"/>
              </w:rPr>
              <w:br w:type="textWrapping"/>
            </w:r>
            <w:r>
              <w:rPr>
                <w:color w:val="auto"/>
                <w:highlight w:val="none"/>
              </w:rPr>
              <w:t>8.1.气相色谱仪标准化主机含色谱工作站,1台</w:t>
            </w:r>
            <w:r>
              <w:rPr>
                <w:rFonts w:hint="eastAsia"/>
                <w:color w:val="auto"/>
                <w:highlight w:val="none"/>
              </w:rPr>
              <w:br w:type="textWrapping"/>
            </w:r>
            <w:r>
              <w:rPr>
                <w:color w:val="auto"/>
                <w:highlight w:val="none"/>
              </w:rPr>
              <w:t>8.2.氢火焰离子化检测器（FID）,2套</w:t>
            </w:r>
            <w:r>
              <w:rPr>
                <w:rFonts w:hint="eastAsia"/>
                <w:color w:val="auto"/>
                <w:highlight w:val="none"/>
              </w:rPr>
              <w:br w:type="textWrapping"/>
            </w:r>
            <w:r>
              <w:rPr>
                <w:color w:val="auto"/>
                <w:highlight w:val="none"/>
              </w:rPr>
              <w:t>8.3.分流/不分流进样口（SSL）,1套</w:t>
            </w:r>
            <w:r>
              <w:rPr>
                <w:rFonts w:hint="eastAsia"/>
                <w:color w:val="auto"/>
                <w:highlight w:val="none"/>
              </w:rPr>
              <w:br w:type="textWrapping"/>
            </w:r>
            <w:r>
              <w:rPr>
                <w:color w:val="auto"/>
                <w:highlight w:val="none"/>
              </w:rPr>
              <w:t>8.4.六通转子阀（AFP）,2个</w:t>
            </w:r>
            <w:r>
              <w:rPr>
                <w:rFonts w:hint="eastAsia"/>
                <w:color w:val="auto"/>
                <w:highlight w:val="none"/>
              </w:rPr>
              <w:br w:type="textWrapping"/>
            </w:r>
            <w:r>
              <w:rPr>
                <w:color w:val="auto"/>
                <w:highlight w:val="none"/>
              </w:rPr>
              <w:t>8.5.硫惰性化专用过滤器,1个</w:t>
            </w:r>
            <w:r>
              <w:rPr>
                <w:rFonts w:hint="eastAsia"/>
                <w:color w:val="auto"/>
                <w:highlight w:val="none"/>
              </w:rPr>
              <w:br w:type="textWrapping"/>
            </w:r>
            <w:r>
              <w:rPr>
                <w:color w:val="auto"/>
                <w:highlight w:val="none"/>
              </w:rPr>
              <w:t>8.6.</w:t>
            </w:r>
            <w:r>
              <w:rPr>
                <w:rFonts w:hint="eastAsia"/>
                <w:color w:val="auto"/>
                <w:highlight w:val="none"/>
              </w:rPr>
              <w:t xml:space="preserve"> 低浓度含氧化合物分析柱</w:t>
            </w:r>
            <w:r>
              <w:rPr>
                <w:color w:val="auto"/>
                <w:highlight w:val="none"/>
              </w:rPr>
              <w:t>Lowox, 10m×0.53mm×10μm（A-5）,</w:t>
            </w:r>
            <w:r>
              <w:rPr>
                <w:rFonts w:hint="eastAsia"/>
                <w:color w:val="auto"/>
                <w:highlight w:val="none"/>
                <w:lang w:val="en-US" w:eastAsia="zh-CN"/>
              </w:rPr>
              <w:t>1</w:t>
            </w:r>
            <w:r>
              <w:rPr>
                <w:color w:val="auto"/>
                <w:highlight w:val="none"/>
              </w:rPr>
              <w:t>根</w:t>
            </w:r>
            <w:r>
              <w:rPr>
                <w:rFonts w:hint="eastAsia"/>
                <w:color w:val="auto"/>
                <w:highlight w:val="none"/>
              </w:rPr>
              <w:br w:type="textWrapping"/>
            </w:r>
            <w:r>
              <w:rPr>
                <w:color w:val="auto"/>
                <w:highlight w:val="none"/>
              </w:rPr>
              <w:t>8.7.</w:t>
            </w:r>
            <w:r>
              <w:rPr>
                <w:rFonts w:hint="eastAsia"/>
                <w:color w:val="auto"/>
                <w:highlight w:val="none"/>
              </w:rPr>
              <w:t xml:space="preserve"> 氧化铝 PLOT 色谱柱</w:t>
            </w:r>
            <w:r>
              <w:rPr>
                <w:color w:val="auto"/>
                <w:highlight w:val="none"/>
              </w:rPr>
              <w:t>Rt-Alumina BOND/Na</w:t>
            </w:r>
            <w:r>
              <w:rPr>
                <w:rFonts w:hint="default" w:asciiTheme="minorAscii" w:hAnsiTheme="minorAscii" w:eastAsiaTheme="minorEastAsia"/>
                <w:color w:val="auto"/>
                <w:sz w:val="21"/>
                <w:highlight w:val="none"/>
                <w:vertAlign w:val="subscript"/>
              </w:rPr>
              <w:t>2</w:t>
            </w:r>
            <w:r>
              <w:rPr>
                <w:color w:val="auto"/>
                <w:highlight w:val="none"/>
              </w:rPr>
              <w:t>SO</w:t>
            </w:r>
            <w:r>
              <w:rPr>
                <w:rFonts w:hint="default" w:asciiTheme="minorAscii" w:hAnsiTheme="minorAscii" w:eastAsiaTheme="minorEastAsia"/>
                <w:color w:val="auto"/>
                <w:sz w:val="21"/>
                <w:highlight w:val="none"/>
                <w:vertAlign w:val="subscript"/>
              </w:rPr>
              <w:t>4</w:t>
            </w:r>
            <w:r>
              <w:rPr>
                <w:color w:val="auto"/>
                <w:highlight w:val="none"/>
              </w:rPr>
              <w:t>，50m,0.53mm,10um,</w:t>
            </w:r>
            <w:r>
              <w:rPr>
                <w:rFonts w:hint="eastAsia"/>
                <w:color w:val="auto"/>
                <w:highlight w:val="none"/>
                <w:lang w:val="en-US" w:eastAsia="zh-CN"/>
              </w:rPr>
              <w:t>1</w:t>
            </w:r>
            <w:r>
              <w:rPr>
                <w:color w:val="auto"/>
                <w:highlight w:val="none"/>
              </w:rPr>
              <w:t>根</w:t>
            </w:r>
            <w:r>
              <w:rPr>
                <w:rFonts w:hint="eastAsia"/>
                <w:color w:val="auto"/>
                <w:highlight w:val="none"/>
              </w:rPr>
              <w:br w:type="textWrapping"/>
            </w:r>
            <w:r>
              <w:rPr>
                <w:color w:val="auto"/>
                <w:highlight w:val="none"/>
              </w:rPr>
              <w:t>8.8.脱活毛细空柱 30m×0.32mm,</w:t>
            </w:r>
            <w:r>
              <w:rPr>
                <w:rFonts w:hint="eastAsia"/>
                <w:color w:val="auto"/>
                <w:highlight w:val="none"/>
                <w:lang w:val="en-US" w:eastAsia="zh-CN"/>
              </w:rPr>
              <w:t>2</w:t>
            </w:r>
            <w:r>
              <w:rPr>
                <w:color w:val="auto"/>
                <w:highlight w:val="none"/>
              </w:rPr>
              <w:t>根</w:t>
            </w:r>
            <w:r>
              <w:rPr>
                <w:rFonts w:hint="eastAsia"/>
                <w:color w:val="auto"/>
                <w:highlight w:val="none"/>
              </w:rPr>
              <w:br w:type="textWrapping"/>
            </w:r>
            <w:r>
              <w:rPr>
                <w:color w:val="auto"/>
                <w:highlight w:val="none"/>
              </w:rPr>
              <w:t>8.9.颗粒捕集阱 0.53mm,1个</w:t>
            </w:r>
            <w:r>
              <w:rPr>
                <w:rFonts w:hint="eastAsia"/>
                <w:color w:val="auto"/>
                <w:highlight w:val="none"/>
              </w:rPr>
              <w:br w:type="textWrapping"/>
            </w:r>
            <w:r>
              <w:rPr>
                <w:color w:val="auto"/>
                <w:highlight w:val="none"/>
              </w:rPr>
              <w:t>8.10.惰性化闪蒸进样器,1台</w:t>
            </w:r>
            <w:r>
              <w:rPr>
                <w:rFonts w:hint="eastAsia"/>
                <w:color w:val="auto"/>
                <w:highlight w:val="none"/>
              </w:rPr>
              <w:br w:type="textWrapping"/>
            </w:r>
            <w:r>
              <w:rPr>
                <w:color w:val="auto"/>
                <w:highlight w:val="none"/>
              </w:rPr>
              <w:t>8.11.净化装置（载气、脱水、脱水脱烃）,1套</w:t>
            </w:r>
            <w:r>
              <w:rPr>
                <w:rFonts w:hint="eastAsia"/>
                <w:color w:val="auto"/>
                <w:highlight w:val="none"/>
              </w:rPr>
              <w:br w:type="textWrapping"/>
            </w:r>
            <w:r>
              <w:rPr>
                <w:color w:val="auto"/>
                <w:highlight w:val="none"/>
              </w:rPr>
              <w:t>8.12.空气发生器</w:t>
            </w:r>
            <w:r>
              <w:rPr>
                <w:rFonts w:hint="eastAsia"/>
                <w:color w:val="auto"/>
                <w:highlight w:val="none"/>
              </w:rPr>
              <w:t>，输出流量控制范围不低于0</w:t>
            </w:r>
            <w:r>
              <w:rPr>
                <w:rFonts w:hint="eastAsia" w:ascii="宋体" w:hAnsi="宋体" w:eastAsia="宋体"/>
                <w:color w:val="auto"/>
                <w:highlight w:val="none"/>
              </w:rPr>
              <w:t>～</w:t>
            </w:r>
            <w:r>
              <w:rPr>
                <w:color w:val="auto"/>
                <w:highlight w:val="none"/>
              </w:rPr>
              <w:t>2000ml/</w:t>
            </w:r>
            <w:r>
              <w:rPr>
                <w:rFonts w:hint="eastAsia"/>
                <w:color w:val="auto"/>
                <w:highlight w:val="none"/>
              </w:rPr>
              <w:t>min</w:t>
            </w:r>
            <w:r>
              <w:rPr>
                <w:color w:val="auto"/>
                <w:highlight w:val="none"/>
              </w:rPr>
              <w:t>,1台</w:t>
            </w:r>
            <w:r>
              <w:rPr>
                <w:rFonts w:hint="eastAsia"/>
                <w:color w:val="auto"/>
                <w:highlight w:val="none"/>
              </w:rPr>
              <w:br w:type="textWrapping"/>
            </w:r>
            <w:r>
              <w:rPr>
                <w:color w:val="auto"/>
                <w:highlight w:val="none"/>
              </w:rPr>
              <w:t>8.13.氢气发生器</w:t>
            </w:r>
            <w:r>
              <w:rPr>
                <w:rFonts w:hint="eastAsia"/>
                <w:color w:val="auto"/>
                <w:highlight w:val="none"/>
              </w:rPr>
              <w:t>，输出流量控制范围不低于0</w:t>
            </w:r>
            <w:r>
              <w:rPr>
                <w:rFonts w:hint="eastAsia" w:ascii="宋体" w:hAnsi="宋体" w:eastAsia="宋体"/>
                <w:color w:val="auto"/>
                <w:highlight w:val="none"/>
              </w:rPr>
              <w:t>～</w:t>
            </w:r>
            <w:r>
              <w:rPr>
                <w:color w:val="auto"/>
                <w:highlight w:val="none"/>
              </w:rPr>
              <w:t>300ml</w:t>
            </w:r>
            <w:r>
              <w:rPr>
                <w:rFonts w:hint="eastAsia"/>
                <w:color w:val="auto"/>
                <w:highlight w:val="none"/>
              </w:rPr>
              <w:t>/min</w:t>
            </w:r>
            <w:r>
              <w:rPr>
                <w:color w:val="auto"/>
                <w:highlight w:val="none"/>
              </w:rPr>
              <w:t>,1台</w:t>
            </w:r>
            <w:r>
              <w:rPr>
                <w:rFonts w:hint="eastAsia"/>
                <w:color w:val="auto"/>
                <w:highlight w:val="none"/>
              </w:rPr>
              <w:br w:type="textWrapping"/>
            </w:r>
            <w:r>
              <w:rPr>
                <w:color w:val="auto"/>
                <w:highlight w:val="none"/>
              </w:rPr>
              <w:t>8.14.</w:t>
            </w:r>
            <w:r>
              <w:rPr>
                <w:rFonts w:hint="eastAsia"/>
                <w:color w:val="auto"/>
                <w:highlight w:val="none"/>
              </w:rPr>
              <w:t xml:space="preserve"> </w:t>
            </w:r>
            <w:r>
              <w:rPr>
                <w:color w:val="auto"/>
                <w:highlight w:val="none"/>
              </w:rPr>
              <w:t>数据分析</w:t>
            </w:r>
            <w:r>
              <w:rPr>
                <w:rFonts w:hint="eastAsia"/>
                <w:color w:val="auto"/>
                <w:highlight w:val="none"/>
              </w:rPr>
              <w:t>工作站1套</w:t>
            </w:r>
            <w:r>
              <w:rPr>
                <w:color w:val="auto"/>
                <w:highlight w:val="none"/>
              </w:rPr>
              <w:t>（</w:t>
            </w:r>
            <w:r>
              <w:rPr>
                <w:rFonts w:hint="eastAsia"/>
                <w:color w:val="auto"/>
                <w:highlight w:val="none"/>
              </w:rPr>
              <w:t xml:space="preserve">CPU:  </w:t>
            </w:r>
            <w:r>
              <w:rPr>
                <w:color w:val="auto"/>
                <w:highlight w:val="none"/>
              </w:rPr>
              <w:t>i5-1</w:t>
            </w:r>
            <w:r>
              <w:rPr>
                <w:rFonts w:hint="eastAsia"/>
                <w:color w:val="auto"/>
                <w:highlight w:val="none"/>
              </w:rPr>
              <w:t>4</w:t>
            </w:r>
            <w:r>
              <w:rPr>
                <w:color w:val="auto"/>
                <w:highlight w:val="none"/>
              </w:rPr>
              <w:t>400</w:t>
            </w:r>
            <w:r>
              <w:rPr>
                <w:rFonts w:hint="eastAsia"/>
                <w:color w:val="auto"/>
                <w:highlight w:val="none"/>
              </w:rPr>
              <w:t>以上</w:t>
            </w:r>
            <w:r>
              <w:rPr>
                <w:color w:val="auto"/>
                <w:highlight w:val="none"/>
              </w:rPr>
              <w:t>,</w:t>
            </w:r>
            <w:r>
              <w:rPr>
                <w:rFonts w:hint="eastAsia"/>
                <w:color w:val="auto"/>
                <w:highlight w:val="none"/>
              </w:rPr>
              <w:t xml:space="preserve"> </w:t>
            </w:r>
            <w:bookmarkStart w:id="21" w:name="OLE_LINK6"/>
            <w:r>
              <w:rPr>
                <w:rFonts w:hint="eastAsia"/>
                <w:color w:val="auto"/>
                <w:highlight w:val="none"/>
              </w:rPr>
              <w:t>内存16</w:t>
            </w:r>
            <w:r>
              <w:rPr>
                <w:color w:val="auto"/>
                <w:highlight w:val="none"/>
              </w:rPr>
              <w:t>G</w:t>
            </w:r>
            <w:bookmarkEnd w:id="21"/>
            <w:r>
              <w:rPr>
                <w:rFonts w:ascii="Calibri" w:hAnsi="Calibri" w:cs="宋体"/>
                <w:color w:val="auto"/>
                <w:highlight w:val="none"/>
              </w:rPr>
              <w:t>RAM</w:t>
            </w:r>
            <w:r>
              <w:rPr>
                <w:color w:val="auto"/>
                <w:highlight w:val="none"/>
              </w:rPr>
              <w:t>,</w:t>
            </w:r>
            <w:r>
              <w:rPr>
                <w:rFonts w:hint="eastAsia"/>
                <w:color w:val="auto"/>
                <w:highlight w:val="none"/>
              </w:rPr>
              <w:t xml:space="preserve"> 固态硬盘</w:t>
            </w:r>
            <w:r>
              <w:rPr>
                <w:color w:val="auto"/>
                <w:highlight w:val="none"/>
              </w:rPr>
              <w:t>512 G</w:t>
            </w:r>
            <w:r>
              <w:rPr>
                <w:rFonts w:hint="eastAsia"/>
                <w:color w:val="auto"/>
                <w:highlight w:val="none"/>
              </w:rPr>
              <w:t xml:space="preserve"> </w:t>
            </w:r>
            <w:r>
              <w:rPr>
                <w:color w:val="auto"/>
                <w:highlight w:val="none"/>
              </w:rPr>
              <w:t>SSDROM，</w:t>
            </w:r>
            <w:r>
              <w:rPr>
                <w:rFonts w:hint="eastAsia"/>
                <w:color w:val="auto"/>
                <w:kern w:val="0"/>
                <w:highlight w:val="none"/>
              </w:rPr>
              <w:t>≥</w:t>
            </w:r>
            <w:r>
              <w:rPr>
                <w:color w:val="auto"/>
                <w:highlight w:val="none"/>
              </w:rPr>
              <w:t>2</w:t>
            </w:r>
            <w:r>
              <w:rPr>
                <w:rFonts w:hint="eastAsia"/>
                <w:color w:val="auto"/>
                <w:highlight w:val="none"/>
              </w:rPr>
              <w:t>4</w:t>
            </w:r>
            <w:r>
              <w:rPr>
                <w:color w:val="auto"/>
                <w:highlight w:val="none"/>
              </w:rPr>
              <w:t>寸</w:t>
            </w:r>
            <w:r>
              <w:rPr>
                <w:rFonts w:hint="eastAsia"/>
                <w:color w:val="auto"/>
                <w:highlight w:val="none"/>
              </w:rPr>
              <w:t>屏</w:t>
            </w:r>
            <w:r>
              <w:rPr>
                <w:color w:val="auto"/>
                <w:highlight w:val="none"/>
              </w:rPr>
              <w:t>）</w:t>
            </w:r>
            <w:r>
              <w:rPr>
                <w:rFonts w:hint="eastAsia"/>
                <w:color w:val="auto"/>
                <w:highlight w:val="none"/>
              </w:rPr>
              <w:t>; 数据输出设备</w:t>
            </w:r>
            <w:r>
              <w:rPr>
                <w:color w:val="auto"/>
                <w:highlight w:val="none"/>
              </w:rPr>
              <w:t>1台</w:t>
            </w:r>
            <w:r>
              <w:rPr>
                <w:rFonts w:hint="eastAsia"/>
                <w:color w:val="auto"/>
                <w:highlight w:val="none"/>
              </w:rPr>
              <w:t>：分辨率不低于600×600dpi, 速度不低于20页/分钟。</w:t>
            </w:r>
            <w:r>
              <w:rPr>
                <w:rFonts w:hint="eastAsia"/>
                <w:color w:val="auto"/>
                <w:highlight w:val="none"/>
              </w:rPr>
              <w:br w:type="textWrapping"/>
            </w:r>
            <w:r>
              <w:rPr>
                <w:color w:val="auto"/>
                <w:highlight w:val="none"/>
              </w:rPr>
              <w:t>8.15.载气：高纯氮气浓度不低于99.99%,</w:t>
            </w:r>
            <w:r>
              <w:rPr>
                <w:rFonts w:hint="eastAsia"/>
                <w:color w:val="auto"/>
                <w:highlight w:val="none"/>
              </w:rPr>
              <w:t xml:space="preserve">  </w:t>
            </w:r>
            <w:r>
              <w:rPr>
                <w:color w:val="auto"/>
                <w:highlight w:val="none"/>
              </w:rPr>
              <w:t>40L钢瓶、减压阀，</w:t>
            </w:r>
            <w:r>
              <w:rPr>
                <w:rFonts w:hint="eastAsia"/>
                <w:color w:val="auto"/>
                <w:highlight w:val="none"/>
              </w:rPr>
              <w:t xml:space="preserve"> </w:t>
            </w:r>
            <w:r>
              <w:rPr>
                <w:color w:val="auto"/>
                <w:highlight w:val="none"/>
              </w:rPr>
              <w:t>1</w:t>
            </w:r>
            <w:r>
              <w:rPr>
                <w:rFonts w:hint="eastAsia"/>
                <w:color w:val="auto"/>
                <w:highlight w:val="none"/>
              </w:rPr>
              <w:t>套</w:t>
            </w:r>
            <w:r>
              <w:rPr>
                <w:rFonts w:hint="eastAsia"/>
                <w:color w:val="auto"/>
                <w:highlight w:val="none"/>
              </w:rPr>
              <w:br w:type="textWrapping"/>
            </w:r>
            <w:r>
              <w:rPr>
                <w:color w:val="auto"/>
                <w:highlight w:val="none"/>
              </w:rPr>
              <w:t>8.16.标样（液体钢瓶）：烃类组成1瓶（含氧化物）、氧化物4瓶（根据客户需求选择氧化物</w:t>
            </w:r>
            <w:r>
              <w:rPr>
                <w:rFonts w:hint="eastAsia"/>
                <w:color w:val="auto"/>
                <w:highlight w:val="none"/>
                <w:lang w:val="en-US" w:eastAsia="zh-CN"/>
              </w:rPr>
              <w:t>种类</w:t>
            </w:r>
            <w:r>
              <w:rPr>
                <w:color w:val="auto"/>
                <w:highlight w:val="none"/>
              </w:rPr>
              <w:t>）</w:t>
            </w:r>
          </w:p>
          <w:p w14:paraId="63134338">
            <w:pPr>
              <w:keepNext w:val="0"/>
              <w:keepLines w:val="0"/>
              <w:pageBreakBefore w:val="0"/>
              <w:widowControl w:val="0"/>
              <w:numPr>
                <w:ilvl w:val="0"/>
                <w:numId w:val="1"/>
              </w:numPr>
              <w:kinsoku/>
              <w:wordWrap w:val="0"/>
              <w:overflowPunct/>
              <w:topLinePunct w:val="0"/>
              <w:autoSpaceDE/>
              <w:autoSpaceDN/>
              <w:bidi w:val="0"/>
              <w:adjustRightInd/>
              <w:snapToGrid/>
              <w:textAlignment w:val="auto"/>
              <w:rPr>
                <w:color w:val="auto"/>
                <w:highlight w:val="none"/>
              </w:rPr>
            </w:pP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提供合格的检定/校准证书</w:t>
            </w:r>
          </w:p>
        </w:tc>
        <w:tc>
          <w:tcPr>
            <w:tcW w:w="750" w:type="dxa"/>
          </w:tcPr>
          <w:p w14:paraId="0103401C">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01055163">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230000</w:t>
            </w:r>
          </w:p>
        </w:tc>
      </w:tr>
      <w:tr w14:paraId="407F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trPr>
        <w:tc>
          <w:tcPr>
            <w:tcW w:w="688" w:type="dxa"/>
            <w:noWrap/>
          </w:tcPr>
          <w:p w14:paraId="66965BBA">
            <w:pPr>
              <w:keepNext w:val="0"/>
              <w:keepLines w:val="0"/>
              <w:pageBreakBefore w:val="0"/>
              <w:widowControl w:val="0"/>
              <w:kinsoku/>
              <w:wordWrap w:val="0"/>
              <w:overflowPunct/>
              <w:topLinePunct w:val="0"/>
              <w:autoSpaceDE/>
              <w:autoSpaceDN/>
              <w:bidi w:val="0"/>
              <w:adjustRightInd/>
              <w:snapToGrid/>
              <w:jc w:val="center"/>
              <w:textAlignment w:val="auto"/>
              <w:rPr>
                <w:b/>
                <w:bCs/>
                <w:color w:val="auto"/>
                <w:highlight w:val="none"/>
              </w:rPr>
            </w:pPr>
            <w:r>
              <w:rPr>
                <w:rFonts w:hint="eastAsia"/>
                <w:b/>
                <w:bCs/>
                <w:color w:val="auto"/>
                <w:highlight w:val="none"/>
              </w:rPr>
              <w:t>4</w:t>
            </w:r>
          </w:p>
        </w:tc>
        <w:tc>
          <w:tcPr>
            <w:tcW w:w="1233" w:type="dxa"/>
          </w:tcPr>
          <w:p w14:paraId="1DB9EF0C">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液化石油气铜片腐蚀测定仪</w:t>
            </w:r>
          </w:p>
        </w:tc>
        <w:tc>
          <w:tcPr>
            <w:tcW w:w="5369" w:type="dxa"/>
          </w:tcPr>
          <w:p w14:paraId="20352C82">
            <w:pPr>
              <w:keepNext w:val="0"/>
              <w:keepLines w:val="0"/>
              <w:pageBreakBefore w:val="0"/>
              <w:widowControl w:val="0"/>
              <w:kinsoku/>
              <w:wordWrap w:val="0"/>
              <w:overflowPunct/>
              <w:topLinePunct w:val="0"/>
              <w:autoSpaceDE/>
              <w:autoSpaceDN/>
              <w:bidi w:val="0"/>
              <w:adjustRightInd/>
              <w:snapToGrid/>
              <w:textAlignment w:val="auto"/>
              <w:rPr>
                <w:color w:val="auto"/>
                <w:highlight w:val="none"/>
              </w:rPr>
            </w:pPr>
            <w:r>
              <w:rPr>
                <w:rFonts w:hint="eastAsia"/>
                <w:color w:val="auto"/>
                <w:highlight w:val="none"/>
              </w:rPr>
              <w:t>1、仪器应符合SH/T</w:t>
            </w:r>
            <w:r>
              <w:rPr>
                <w:rFonts w:hint="eastAsia"/>
                <w:color w:val="auto"/>
                <w:highlight w:val="none"/>
                <w:lang w:val="en-US" w:eastAsia="zh-CN"/>
              </w:rPr>
              <w:t xml:space="preserve"> </w:t>
            </w:r>
            <w:r>
              <w:rPr>
                <w:rFonts w:hint="eastAsia"/>
                <w:color w:val="auto"/>
                <w:highlight w:val="none"/>
              </w:rPr>
              <w:t>0232-1992的要求。</w:t>
            </w:r>
            <w:r>
              <w:rPr>
                <w:rFonts w:hint="eastAsia"/>
                <w:color w:val="auto"/>
                <w:highlight w:val="none"/>
              </w:rPr>
              <w:br w:type="textWrapping"/>
            </w:r>
            <w:r>
              <w:rPr>
                <w:rFonts w:hint="eastAsia"/>
                <w:color w:val="auto"/>
                <w:highlight w:val="none"/>
              </w:rPr>
              <w:t xml:space="preserve">2、仪器的不锈钢部件至少应包括：阀门、腐蚀试验圆筒、水浴筒，材质为1Cr18Ni9Ti，或更耐腐蚀的不锈钢。 </w:t>
            </w:r>
            <w:r>
              <w:rPr>
                <w:rFonts w:hint="eastAsia"/>
                <w:color w:val="auto"/>
                <w:highlight w:val="none"/>
              </w:rPr>
              <w:br w:type="textWrapping"/>
            </w:r>
            <w:r>
              <w:rPr>
                <w:rFonts w:hint="eastAsia"/>
                <w:color w:val="auto"/>
                <w:highlight w:val="none"/>
              </w:rPr>
              <w:t>3、腐蚀试验圆筒容量约160ml，整机至少应配2个圆筒，可一次放入两个圆筒试验。</w:t>
            </w:r>
            <w:r>
              <w:rPr>
                <w:rFonts w:hint="eastAsia"/>
                <w:color w:val="auto"/>
                <w:highlight w:val="none"/>
              </w:rPr>
              <w:br w:type="textWrapping"/>
            </w:r>
            <w:r>
              <w:rPr>
                <w:rFonts w:hint="eastAsia"/>
                <w:color w:val="auto"/>
                <w:highlight w:val="none"/>
              </w:rPr>
              <w:t>4、整套组件能够经受7.0MPa的试验。</w:t>
            </w:r>
            <w:r>
              <w:rPr>
                <w:rFonts w:hint="eastAsia"/>
                <w:color w:val="auto"/>
                <w:highlight w:val="none"/>
              </w:rPr>
              <w:br w:type="textWrapping"/>
            </w:r>
            <w:r>
              <w:rPr>
                <w:rFonts w:hint="eastAsia"/>
                <w:color w:val="auto"/>
                <w:highlight w:val="none"/>
              </w:rPr>
              <w:t>5、温度计：0</w:t>
            </w:r>
            <w:r>
              <w:rPr>
                <w:color w:val="auto"/>
                <w:highlight w:val="none"/>
              </w:rPr>
              <w:t>～50</w:t>
            </w:r>
            <w:r>
              <w:rPr>
                <w:rFonts w:hint="eastAsia" w:ascii="宋体" w:hAnsi="宋体" w:eastAsia="宋体" w:cs="宋体"/>
                <w:color w:val="auto"/>
                <w:highlight w:val="none"/>
              </w:rPr>
              <w:t>℃</w:t>
            </w:r>
            <w:r>
              <w:rPr>
                <w:color w:val="auto"/>
                <w:highlight w:val="none"/>
              </w:rPr>
              <w:t>，精度0.1</w:t>
            </w:r>
            <w:r>
              <w:rPr>
                <w:rFonts w:hint="eastAsia" w:ascii="宋体" w:hAnsi="宋体" w:eastAsia="宋体" w:cs="宋体"/>
                <w:color w:val="auto"/>
                <w:highlight w:val="none"/>
              </w:rPr>
              <w:t>℃</w:t>
            </w:r>
            <w:r>
              <w:rPr>
                <w:color w:val="auto"/>
                <w:highlight w:val="none"/>
              </w:rPr>
              <w:t>。</w:t>
            </w:r>
            <w:r>
              <w:rPr>
                <w:rFonts w:hint="eastAsia"/>
                <w:color w:val="auto"/>
                <w:highlight w:val="none"/>
              </w:rPr>
              <w:br w:type="textWrapping"/>
            </w:r>
            <w:r>
              <w:rPr>
                <w:color w:val="auto"/>
                <w:highlight w:val="none"/>
              </w:rPr>
              <w:t>6、其他配件：镀铬镊子、铜片磨光夹具。</w:t>
            </w:r>
            <w:r>
              <w:rPr>
                <w:rFonts w:hint="eastAsia"/>
                <w:color w:val="auto"/>
                <w:highlight w:val="none"/>
              </w:rPr>
              <w:br w:type="textWrapping"/>
            </w:r>
            <w:r>
              <w:rPr>
                <w:color w:val="auto"/>
                <w:highlight w:val="none"/>
              </w:rPr>
              <w:t>7、其他耗材：分析纯AR异辛烷（500ml）1瓶、65μm（240粒度）碳化硅或氧化铝（刚玉）砂纸10张、105μm（150目）碳化硅或氧化铝（刚玉）砂粒（约200g）</w:t>
            </w:r>
            <w:r>
              <w:rPr>
                <w:rFonts w:hint="eastAsia"/>
                <w:color w:val="auto"/>
                <w:highlight w:val="none"/>
                <w:lang w:eastAsia="zh-CN"/>
              </w:rPr>
              <w:t>，</w:t>
            </w:r>
            <w:r>
              <w:rPr>
                <w:rFonts w:hint="eastAsia"/>
                <w:color w:val="auto"/>
                <w:highlight w:val="none"/>
                <w:lang w:val="en-US" w:eastAsia="zh-CN"/>
              </w:rPr>
              <w:t>铜片</w:t>
            </w:r>
            <w:r>
              <w:rPr>
                <w:rFonts w:hint="eastAsia"/>
                <w:color w:val="auto"/>
                <w:highlight w:val="none"/>
              </w:rPr>
              <w:t>腐蚀</w:t>
            </w:r>
            <w:r>
              <w:rPr>
                <w:rFonts w:hint="eastAsia"/>
                <w:color w:val="auto"/>
                <w:highlight w:val="none"/>
                <w:lang w:val="en-US" w:eastAsia="zh-CN"/>
              </w:rPr>
              <w:t>标准色板</w:t>
            </w:r>
            <w:r>
              <w:rPr>
                <w:color w:val="auto"/>
                <w:highlight w:val="none"/>
              </w:rPr>
              <w:t>。</w:t>
            </w:r>
            <w:r>
              <w:rPr>
                <w:rFonts w:hint="eastAsia"/>
                <w:color w:val="auto"/>
                <w:highlight w:val="none"/>
              </w:rPr>
              <w:br w:type="textWrapping"/>
            </w:r>
            <w:r>
              <w:rPr>
                <w:color w:val="auto"/>
                <w:highlight w:val="none"/>
              </w:rPr>
              <w:t>8、</w:t>
            </w:r>
            <w:bookmarkStart w:id="22" w:name="OLE_LINK7"/>
            <w:bookmarkStart w:id="23" w:name="OLE_LINK8"/>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提供合格的检定/校准证书</w:t>
            </w:r>
            <w:bookmarkEnd w:id="22"/>
            <w:bookmarkEnd w:id="23"/>
          </w:p>
        </w:tc>
        <w:tc>
          <w:tcPr>
            <w:tcW w:w="750" w:type="dxa"/>
          </w:tcPr>
          <w:p w14:paraId="429D2769">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409E8162">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22000</w:t>
            </w:r>
          </w:p>
        </w:tc>
      </w:tr>
      <w:tr w14:paraId="2782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688" w:type="dxa"/>
            <w:noWrap/>
          </w:tcPr>
          <w:p w14:paraId="40CEE608">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lang w:val="en-US" w:eastAsia="zh-CN"/>
              </w:rPr>
              <w:t>5</w:t>
            </w:r>
          </w:p>
        </w:tc>
        <w:tc>
          <w:tcPr>
            <w:tcW w:w="1233" w:type="dxa"/>
          </w:tcPr>
          <w:p w14:paraId="373C6216">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温度巡检仪</w:t>
            </w:r>
          </w:p>
        </w:tc>
        <w:tc>
          <w:tcPr>
            <w:tcW w:w="5369" w:type="dxa"/>
          </w:tcPr>
          <w:p w14:paraId="114454CF">
            <w:pPr>
              <w:ind w:firstLine="420" w:firstLineChars="200"/>
              <w:rPr>
                <w:rFonts w:hint="eastAsia"/>
                <w:color w:val="auto"/>
                <w:highlight w:val="none"/>
              </w:rPr>
            </w:pPr>
            <w:r>
              <w:rPr>
                <w:rFonts w:hint="eastAsia"/>
                <w:color w:val="auto"/>
                <w:highlight w:val="none"/>
              </w:rPr>
              <w:t>试验用途</w:t>
            </w:r>
            <w:r>
              <w:rPr>
                <w:rFonts w:hint="eastAsia"/>
                <w:color w:val="auto"/>
                <w:highlight w:val="none"/>
                <w:lang w:eastAsia="zh-CN"/>
              </w:rPr>
              <w:t>：</w:t>
            </w:r>
            <w:r>
              <w:rPr>
                <w:rFonts w:hint="eastAsia"/>
                <w:color w:val="auto"/>
                <w:highlight w:val="none"/>
              </w:rPr>
              <w:t>用于测量各种电工、电器产品在正常使用过程中的温升测试</w:t>
            </w:r>
            <w:r>
              <w:rPr>
                <w:rFonts w:hint="eastAsia"/>
                <w:color w:val="auto"/>
                <w:highlight w:val="none"/>
                <w:lang w:eastAsia="zh-CN"/>
              </w:rPr>
              <w:t>。</w:t>
            </w:r>
            <w:r>
              <w:rPr>
                <w:rFonts w:hint="eastAsia"/>
                <w:color w:val="auto"/>
                <w:highlight w:val="none"/>
              </w:rPr>
              <w:t>测试原理 通过电子元件组成测温回路，监测实时温度</w:t>
            </w:r>
            <w:r>
              <w:rPr>
                <w:rFonts w:hint="eastAsia"/>
                <w:color w:val="auto"/>
                <w:highlight w:val="none"/>
              </w:rPr>
              <w:br w:type="textWrapping"/>
            </w:r>
            <w:r>
              <w:rPr>
                <w:rFonts w:hint="eastAsia"/>
                <w:color w:val="auto"/>
                <w:highlight w:val="none"/>
              </w:rPr>
              <w:t>1.设备结构</w:t>
            </w:r>
            <w:r>
              <w:rPr>
                <w:rFonts w:hint="eastAsia"/>
                <w:color w:val="auto"/>
                <w:highlight w:val="none"/>
                <w:lang w:eastAsia="zh-CN"/>
              </w:rPr>
              <w:t>：</w:t>
            </w:r>
            <w:r>
              <w:rPr>
                <w:rFonts w:hint="eastAsia"/>
                <w:color w:val="auto"/>
                <w:highlight w:val="none"/>
              </w:rPr>
              <w:t>桌上型，设备外形尺寸:≤320x300x150(mm)</w:t>
            </w:r>
            <w:r>
              <w:rPr>
                <w:rFonts w:hint="eastAsia"/>
                <w:color w:val="auto"/>
                <w:highlight w:val="none"/>
                <w:lang w:val="en-US" w:eastAsia="zh-CN"/>
              </w:rPr>
              <w:t xml:space="preserve"> </w:t>
            </w:r>
            <w:r>
              <w:rPr>
                <w:rFonts w:hint="eastAsia"/>
                <w:color w:val="auto"/>
                <w:highlight w:val="none"/>
              </w:rPr>
              <w:t>Wx</w:t>
            </w:r>
            <w:r>
              <w:rPr>
                <w:rFonts w:hint="eastAsia"/>
                <w:color w:val="auto"/>
                <w:highlight w:val="none"/>
                <w:lang w:val="en-US" w:eastAsia="zh-CN"/>
              </w:rPr>
              <w:t xml:space="preserve"> </w:t>
            </w:r>
            <w:r>
              <w:rPr>
                <w:rFonts w:hint="eastAsia"/>
                <w:color w:val="auto"/>
                <w:highlight w:val="none"/>
              </w:rPr>
              <w:t>Hx</w:t>
            </w:r>
            <w:r>
              <w:rPr>
                <w:rFonts w:hint="eastAsia"/>
                <w:color w:val="auto"/>
                <w:highlight w:val="none"/>
                <w:lang w:val="en-US" w:eastAsia="zh-CN"/>
              </w:rPr>
              <w:t xml:space="preserve"> </w:t>
            </w:r>
            <w:r>
              <w:rPr>
                <w:rFonts w:hint="eastAsia"/>
                <w:color w:val="auto"/>
                <w:highlight w:val="none"/>
              </w:rPr>
              <w:t>D，设备重量:≤3kg</w:t>
            </w:r>
            <w:r>
              <w:rPr>
                <w:rFonts w:hint="eastAsia"/>
                <w:color w:val="auto"/>
                <w:highlight w:val="none"/>
              </w:rPr>
              <w:br w:type="textWrapping"/>
            </w:r>
            <w:r>
              <w:rPr>
                <w:rFonts w:hint="eastAsia"/>
                <w:color w:val="auto"/>
                <w:highlight w:val="none"/>
              </w:rPr>
              <w:t>2.使用环境 电源:AC220V±10V</w:t>
            </w:r>
            <w:r>
              <w:rPr>
                <w:rFonts w:hint="eastAsia"/>
                <w:color w:val="auto"/>
                <w:highlight w:val="none"/>
                <w:lang w:eastAsia="zh-CN"/>
              </w:rPr>
              <w:t>，</w:t>
            </w:r>
            <w:r>
              <w:rPr>
                <w:rFonts w:hint="eastAsia"/>
                <w:color w:val="auto"/>
                <w:highlight w:val="none"/>
              </w:rPr>
              <w:t>温度0-40℃湿度30%-90%;</w:t>
            </w:r>
            <w:r>
              <w:rPr>
                <w:rFonts w:hint="eastAsia"/>
                <w:color w:val="auto"/>
                <w:highlight w:val="none"/>
              </w:rPr>
              <w:br w:type="textWrapping"/>
            </w:r>
            <w:r>
              <w:rPr>
                <w:rFonts w:hint="eastAsia"/>
                <w:color w:val="auto"/>
                <w:highlight w:val="none"/>
              </w:rPr>
              <w:t>3.性能指标 16路，配热电偶16根,  KJETNSRB均适用</w:t>
            </w:r>
            <w:r>
              <w:rPr>
                <w:rFonts w:hint="eastAsia"/>
                <w:color w:val="auto"/>
                <w:highlight w:val="none"/>
              </w:rPr>
              <w:br w:type="textWrapping"/>
            </w:r>
            <w:r>
              <w:rPr>
                <w:rFonts w:hint="eastAsia"/>
                <w:color w:val="auto"/>
                <w:highlight w:val="none"/>
              </w:rPr>
              <w:t>4.测试工位 ≥7寸人机触摸界面操作，界面可显示温度测试数据及升温曲线</w:t>
            </w:r>
            <w:r>
              <w:rPr>
                <w:rFonts w:hint="eastAsia"/>
                <w:color w:val="auto"/>
                <w:highlight w:val="none"/>
              </w:rPr>
              <w:br w:type="textWrapping"/>
            </w:r>
            <w:r>
              <w:rPr>
                <w:rFonts w:hint="eastAsia"/>
                <w:color w:val="auto"/>
                <w:highlight w:val="none"/>
              </w:rPr>
              <w:t>5.电气控制方式 ±0.3% rdg+ 1℃分辨率:0.1℃</w:t>
            </w:r>
            <w:r>
              <w:rPr>
                <w:rFonts w:hint="eastAsia"/>
                <w:color w:val="auto"/>
                <w:highlight w:val="none"/>
              </w:rPr>
              <w:br w:type="textWrapping"/>
            </w:r>
            <w:r>
              <w:rPr>
                <w:rFonts w:hint="eastAsia"/>
                <w:color w:val="auto"/>
                <w:highlight w:val="none"/>
              </w:rPr>
              <w:t>6.仪器测量精度测量范围:</w:t>
            </w:r>
            <w:r>
              <w:rPr>
                <w:rFonts w:hint="eastAsia"/>
                <w:color w:val="auto"/>
                <w:highlight w:val="none"/>
                <w:lang w:val="en-US" w:eastAsia="zh-CN"/>
              </w:rPr>
              <w:t xml:space="preserve">  </w:t>
            </w:r>
            <w:r>
              <w:rPr>
                <w:rFonts w:hint="eastAsia"/>
                <w:color w:val="auto"/>
                <w:highlight w:val="none"/>
              </w:rPr>
              <w:t>-50~1000℃</w:t>
            </w:r>
            <w:r>
              <w:rPr>
                <w:rFonts w:hint="eastAsia"/>
                <w:color w:val="auto"/>
                <w:highlight w:val="none"/>
              </w:rPr>
              <w:br w:type="textWrapping"/>
            </w:r>
            <w:r>
              <w:rPr>
                <w:rFonts w:hint="eastAsia"/>
                <w:color w:val="auto"/>
                <w:highlight w:val="none"/>
                <w:lang w:val="en-US" w:eastAsia="zh-CN"/>
              </w:rPr>
              <w:t>7.</w:t>
            </w:r>
            <w:r>
              <w:rPr>
                <w:rFonts w:hint="eastAsia"/>
                <w:color w:val="auto"/>
                <w:highlight w:val="none"/>
              </w:rPr>
              <w:t>测试软件</w:t>
            </w:r>
            <w:r>
              <w:rPr>
                <w:rFonts w:hint="eastAsia"/>
                <w:color w:val="auto"/>
                <w:highlight w:val="none"/>
                <w:lang w:val="en-US" w:eastAsia="zh-CN"/>
              </w:rPr>
              <w:t>具有</w:t>
            </w:r>
            <w:r>
              <w:rPr>
                <w:rFonts w:hint="eastAsia"/>
                <w:color w:val="auto"/>
                <w:highlight w:val="none"/>
              </w:rPr>
              <w:t>内容采集、存贮温度数据及绘制温度曲线</w:t>
            </w:r>
            <w:r>
              <w:rPr>
                <w:rFonts w:hint="eastAsia"/>
                <w:color w:val="auto"/>
                <w:highlight w:val="none"/>
                <w:lang w:val="en-US" w:eastAsia="zh-CN"/>
              </w:rPr>
              <w:t>功能</w:t>
            </w:r>
            <w:r>
              <w:rPr>
                <w:rFonts w:hint="eastAsia"/>
                <w:color w:val="auto"/>
                <w:highlight w:val="none"/>
              </w:rPr>
              <w:br w:type="textWrapping"/>
            </w:r>
            <w:r>
              <w:rPr>
                <w:rFonts w:hint="eastAsia"/>
                <w:color w:val="auto"/>
                <w:highlight w:val="none"/>
                <w:lang w:val="en-US" w:eastAsia="zh-CN"/>
              </w:rPr>
              <w:t>8</w:t>
            </w:r>
            <w:r>
              <w:rPr>
                <w:rFonts w:hint="eastAsia"/>
                <w:color w:val="auto"/>
                <w:highlight w:val="none"/>
              </w:rPr>
              <w:t>.仪器标配带RS232串行口，可与电脑串行通讯</w:t>
            </w:r>
          </w:p>
          <w:p w14:paraId="64056ACB">
            <w:pPr>
              <w:numPr>
                <w:ilvl w:val="0"/>
                <w:numId w:val="0"/>
              </w:numPr>
              <w:rPr>
                <w:rFonts w:hint="eastAsia"/>
                <w:color w:val="auto"/>
                <w:highlight w:val="none"/>
                <w:lang w:eastAsia="zh-CN"/>
              </w:rPr>
            </w:pPr>
            <w:r>
              <w:rPr>
                <w:rFonts w:hint="eastAsia"/>
                <w:color w:val="auto"/>
                <w:highlight w:val="none"/>
                <w:lang w:val="en-US" w:eastAsia="zh-CN"/>
              </w:rPr>
              <w:t>9.</w:t>
            </w:r>
            <w:r>
              <w:rPr>
                <w:rFonts w:hint="eastAsia"/>
                <w:color w:val="auto"/>
                <w:highlight w:val="none"/>
              </w:rPr>
              <w:t>按工位数配置2米/条原装进口K型热电偶。(测温范围-50~260℃，线径0.3mm，护套及外壳不能有玻璃纤维成分)</w:t>
            </w:r>
            <w:r>
              <w:rPr>
                <w:rFonts w:hint="eastAsia"/>
                <w:color w:val="auto"/>
                <w:highlight w:val="none"/>
              </w:rPr>
              <w:br w:type="textWrapping"/>
            </w:r>
            <w:r>
              <w:rPr>
                <w:rFonts w:hint="eastAsia"/>
                <w:color w:val="auto"/>
                <w:highlight w:val="none"/>
                <w:lang w:val="en-US" w:eastAsia="zh-CN"/>
              </w:rPr>
              <w:t>10</w:t>
            </w:r>
            <w:r>
              <w:rPr>
                <w:rFonts w:hint="eastAsia"/>
                <w:color w:val="auto"/>
                <w:highlight w:val="none"/>
              </w:rPr>
              <w:t>.</w:t>
            </w:r>
            <w:r>
              <w:rPr>
                <w:rFonts w:hint="eastAsia"/>
                <w:color w:val="auto"/>
                <w:highlight w:val="none"/>
                <w:lang w:eastAsia="zh-CN"/>
              </w:rPr>
              <w:t>配备</w:t>
            </w:r>
            <w:r>
              <w:rPr>
                <w:color w:val="auto"/>
                <w:highlight w:val="none"/>
              </w:rPr>
              <w:t>USB存储功能，送</w:t>
            </w:r>
            <w:r>
              <w:rPr>
                <w:rFonts w:hint="eastAsia"/>
                <w:color w:val="auto"/>
                <w:highlight w:val="none"/>
              </w:rPr>
              <w:t>≥</w:t>
            </w:r>
            <w:r>
              <w:rPr>
                <w:rFonts w:hint="eastAsia"/>
                <w:color w:val="auto"/>
                <w:highlight w:val="none"/>
                <w:lang w:val="en-US" w:eastAsia="zh-CN"/>
              </w:rPr>
              <w:t>32</w:t>
            </w:r>
            <w:r>
              <w:rPr>
                <w:color w:val="auto"/>
                <w:highlight w:val="none"/>
              </w:rPr>
              <w:t>G</w:t>
            </w:r>
            <w:r>
              <w:rPr>
                <w:rFonts w:hint="eastAsia"/>
                <w:color w:val="auto"/>
                <w:highlight w:val="none"/>
                <w:lang w:val="en-US" w:eastAsia="zh-CN"/>
              </w:rPr>
              <w:t xml:space="preserve"> </w:t>
            </w:r>
            <w:r>
              <w:rPr>
                <w:color w:val="auto"/>
                <w:highlight w:val="none"/>
              </w:rPr>
              <w:t>U盘，数据可以实时存储通过软件导出</w:t>
            </w:r>
            <w:r>
              <w:rPr>
                <w:rFonts w:hint="eastAsia"/>
                <w:color w:val="auto"/>
                <w:highlight w:val="none"/>
                <w:lang w:eastAsia="zh-CN"/>
              </w:rPr>
              <w:t>；</w:t>
            </w:r>
            <w:r>
              <w:rPr>
                <w:color w:val="auto"/>
                <w:highlight w:val="none"/>
              </w:rPr>
              <w:t>配上下限报警功能</w:t>
            </w:r>
          </w:p>
          <w:p w14:paraId="2F62DA22">
            <w:pPr>
              <w:numPr>
                <w:ilvl w:val="0"/>
                <w:numId w:val="0"/>
              </w:numPr>
              <w:rPr>
                <w:color w:val="auto"/>
                <w:highlight w:val="none"/>
              </w:rPr>
            </w:pPr>
            <w:r>
              <w:rPr>
                <w:rFonts w:hint="eastAsia"/>
                <w:color w:val="auto"/>
                <w:highlight w:val="none"/>
                <w:lang w:val="en-US" w:eastAsia="zh-CN"/>
              </w:rPr>
              <w:t>11.</w:t>
            </w:r>
            <w:r>
              <w:rPr>
                <w:rFonts w:hint="eastAsia"/>
                <w:color w:val="auto"/>
                <w:highlight w:val="none"/>
                <w:lang w:eastAsia="zh-CN"/>
              </w:rPr>
              <w:t>配备</w:t>
            </w:r>
            <w:r>
              <w:rPr>
                <w:color w:val="auto"/>
                <w:highlight w:val="none"/>
              </w:rPr>
              <w:t>温度探头，可带电(250V以内)操作而不会损坏仪器本身</w:t>
            </w:r>
            <w:r>
              <w:rPr>
                <w:rFonts w:hint="eastAsia"/>
                <w:color w:val="auto"/>
                <w:highlight w:val="none"/>
                <w:lang w:eastAsia="zh-CN"/>
              </w:rPr>
              <w:t>，</w:t>
            </w:r>
          </w:p>
          <w:p w14:paraId="3A861B41">
            <w:pPr>
              <w:keepNext w:val="0"/>
              <w:keepLines w:val="0"/>
              <w:pageBreakBefore w:val="0"/>
              <w:widowControl w:val="0"/>
              <w:numPr>
                <w:ilvl w:val="0"/>
                <w:numId w:val="0"/>
              </w:numPr>
              <w:kinsoku/>
              <w:wordWrap w:val="0"/>
              <w:overflowPunct/>
              <w:topLinePunct w:val="0"/>
              <w:autoSpaceDE/>
              <w:autoSpaceDN/>
              <w:bidi w:val="0"/>
              <w:adjustRightInd/>
              <w:snapToGrid/>
              <w:textAlignment w:val="auto"/>
              <w:rPr>
                <w:color w:val="auto"/>
                <w:highlight w:val="none"/>
              </w:rPr>
            </w:pPr>
            <w:r>
              <w:rPr>
                <w:rFonts w:hint="eastAsia"/>
                <w:color w:val="auto"/>
                <w:highlight w:val="none"/>
                <w:lang w:val="en-US" w:eastAsia="zh-CN"/>
              </w:rPr>
              <w:t>12.</w:t>
            </w:r>
            <w:r>
              <w:rPr>
                <w:color w:val="auto"/>
                <w:highlight w:val="none"/>
              </w:rPr>
              <w:t>测量范围：-200~1820°C(以热电偶分度</w:t>
            </w:r>
            <w:r>
              <w:rPr>
                <w:rFonts w:hint="eastAsia"/>
                <w:color w:val="auto"/>
                <w:highlight w:val="none"/>
              </w:rPr>
              <w:t>)</w:t>
            </w:r>
            <w:r>
              <w:rPr>
                <w:rFonts w:hint="eastAsia"/>
                <w:color w:val="auto"/>
                <w:highlight w:val="none"/>
                <w:lang w:eastAsia="zh-CN"/>
              </w:rPr>
              <w:t>，</w:t>
            </w:r>
            <w:r>
              <w:rPr>
                <w:color w:val="auto"/>
                <w:highlight w:val="none"/>
              </w:rPr>
              <w:t>冷端补偿精度:0.5</w:t>
            </w:r>
            <w:r>
              <w:rPr>
                <w:rFonts w:hint="eastAsia" w:ascii="宋体" w:hAnsi="宋体" w:eastAsia="宋体" w:cs="宋体"/>
                <w:color w:val="auto"/>
                <w:highlight w:val="none"/>
              </w:rPr>
              <w:t>℃</w:t>
            </w:r>
            <w:r>
              <w:rPr>
                <w:rFonts w:hint="eastAsia"/>
                <w:color w:val="auto"/>
                <w:highlight w:val="none"/>
              </w:rPr>
              <w:t xml:space="preserve">, </w:t>
            </w:r>
            <w:r>
              <w:rPr>
                <w:color w:val="auto"/>
                <w:highlight w:val="none"/>
              </w:rPr>
              <w:t>分辨率0.1</w:t>
            </w:r>
            <w:r>
              <w:rPr>
                <w:rFonts w:hint="eastAsia" w:ascii="宋体" w:hAnsi="宋体" w:eastAsia="宋体" w:cs="宋体"/>
                <w:color w:val="auto"/>
                <w:highlight w:val="none"/>
              </w:rPr>
              <w:t>℃</w:t>
            </w:r>
            <w:r>
              <w:rPr>
                <w:rFonts w:hint="eastAsia"/>
                <w:color w:val="auto"/>
                <w:highlight w:val="none"/>
              </w:rPr>
              <w:br w:type="textWrapping"/>
            </w:r>
            <w:r>
              <w:rPr>
                <w:rFonts w:hint="eastAsia"/>
                <w:color w:val="auto"/>
                <w:highlight w:val="none"/>
              </w:rPr>
              <w:t>1</w:t>
            </w:r>
            <w:r>
              <w:rPr>
                <w:rFonts w:hint="eastAsia"/>
                <w:color w:val="auto"/>
                <w:highlight w:val="none"/>
                <w:lang w:val="en-US" w:eastAsia="zh-CN"/>
              </w:rPr>
              <w:t>3.</w:t>
            </w: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提供合格的检定/校准证书。</w:t>
            </w:r>
          </w:p>
        </w:tc>
        <w:tc>
          <w:tcPr>
            <w:tcW w:w="750" w:type="dxa"/>
          </w:tcPr>
          <w:p w14:paraId="27868759">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default"/>
                <w:color w:val="auto"/>
                <w:highlight w:val="none"/>
                <w:lang w:val="en-US" w:eastAsia="zh-CN"/>
              </w:rPr>
            </w:pPr>
            <w:r>
              <w:rPr>
                <w:rFonts w:hint="eastAsia"/>
                <w:color w:val="auto"/>
                <w:highlight w:val="none"/>
                <w:lang w:val="en-US" w:eastAsia="zh-CN"/>
              </w:rPr>
              <w:t>1</w:t>
            </w:r>
          </w:p>
        </w:tc>
        <w:tc>
          <w:tcPr>
            <w:tcW w:w="1151" w:type="dxa"/>
          </w:tcPr>
          <w:p w14:paraId="25B309B1">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default"/>
                <w:color w:val="auto"/>
                <w:highlight w:val="none"/>
                <w:lang w:val="en-US" w:eastAsia="zh-CN"/>
              </w:rPr>
            </w:pPr>
            <w:r>
              <w:rPr>
                <w:rFonts w:hint="eastAsia"/>
                <w:color w:val="auto"/>
                <w:highlight w:val="none"/>
                <w:lang w:val="en-US" w:eastAsia="zh-CN"/>
              </w:rPr>
              <w:t>5000</w:t>
            </w:r>
          </w:p>
        </w:tc>
      </w:tr>
      <w:tr w14:paraId="5BD0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88" w:type="dxa"/>
            <w:noWrap/>
          </w:tcPr>
          <w:p w14:paraId="6DDBCD23">
            <w:pPr>
              <w:keepNext w:val="0"/>
              <w:keepLines w:val="0"/>
              <w:pageBreakBefore w:val="0"/>
              <w:widowControl w:val="0"/>
              <w:kinsoku/>
              <w:wordWrap w:val="0"/>
              <w:overflowPunct/>
              <w:topLinePunct w:val="0"/>
              <w:autoSpaceDE/>
              <w:autoSpaceDN/>
              <w:bidi w:val="0"/>
              <w:adjustRightInd/>
              <w:snapToGrid/>
              <w:jc w:val="center"/>
              <w:textAlignment w:val="auto"/>
              <w:rPr>
                <w:rFonts w:hint="default" w:eastAsiaTheme="minorEastAsia"/>
                <w:b/>
                <w:bCs/>
                <w:color w:val="auto"/>
                <w:highlight w:val="none"/>
                <w:lang w:val="en-US" w:eastAsia="zh-CN"/>
              </w:rPr>
            </w:pPr>
            <w:r>
              <w:rPr>
                <w:rFonts w:hint="eastAsia"/>
                <w:b/>
                <w:bCs/>
                <w:color w:val="auto"/>
                <w:highlight w:val="none"/>
                <w:lang w:val="en-US" w:eastAsia="zh-CN"/>
              </w:rPr>
              <w:t>6</w:t>
            </w:r>
          </w:p>
        </w:tc>
        <w:tc>
          <w:tcPr>
            <w:tcW w:w="1233" w:type="dxa"/>
          </w:tcPr>
          <w:p w14:paraId="57D4993A">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高低温交变湿热试验箱</w:t>
            </w:r>
          </w:p>
        </w:tc>
        <w:tc>
          <w:tcPr>
            <w:tcW w:w="5369" w:type="dxa"/>
          </w:tcPr>
          <w:p w14:paraId="2131122C">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eastAsia"/>
                <w:color w:val="auto"/>
                <w:highlight w:val="none"/>
                <w:lang w:val="en-US" w:eastAsia="zh-CN"/>
              </w:rPr>
            </w:pPr>
            <w:r>
              <w:rPr>
                <w:rFonts w:hint="eastAsia"/>
                <w:color w:val="auto"/>
                <w:highlight w:val="none"/>
              </w:rPr>
              <w:t>一、</w:t>
            </w:r>
            <w:bookmarkStart w:id="24" w:name="OLE_LINK16"/>
            <w:r>
              <w:rPr>
                <w:rFonts w:hint="eastAsia"/>
                <w:color w:val="auto"/>
                <w:highlight w:val="none"/>
              </w:rPr>
              <w:t>满足</w:t>
            </w:r>
            <w:bookmarkEnd w:id="24"/>
            <w:r>
              <w:rPr>
                <w:rFonts w:hint="eastAsia"/>
                <w:color w:val="auto"/>
                <w:highlight w:val="none"/>
              </w:rPr>
              <w:t>实验方法</w:t>
            </w:r>
            <w:r>
              <w:rPr>
                <w:rFonts w:hint="eastAsia"/>
                <w:color w:val="auto"/>
                <w:highlight w:val="none"/>
              </w:rPr>
              <w:br w:type="textWrapping"/>
            </w:r>
            <w:r>
              <w:rPr>
                <w:rFonts w:hint="eastAsia"/>
                <w:color w:val="auto"/>
                <w:highlight w:val="none"/>
              </w:rPr>
              <w:t>满足GB4706.1实验工况</w:t>
            </w:r>
            <w:r>
              <w:rPr>
                <w:rFonts w:hint="eastAsia"/>
                <w:color w:val="auto"/>
                <w:highlight w:val="none"/>
              </w:rPr>
              <w:br w:type="textWrapping"/>
            </w:r>
            <w:r>
              <w:rPr>
                <w:rFonts w:hint="eastAsia"/>
                <w:color w:val="auto"/>
                <w:highlight w:val="none"/>
              </w:rPr>
              <w:t>GB/T2423.1-2008(IEC60068-2-1:2007)低温试验方法Ab</w:t>
            </w:r>
            <w:r>
              <w:rPr>
                <w:rFonts w:hint="eastAsia"/>
                <w:color w:val="auto"/>
                <w:highlight w:val="none"/>
              </w:rPr>
              <w:br w:type="textWrapping"/>
            </w:r>
            <w:r>
              <w:rPr>
                <w:rFonts w:hint="eastAsia"/>
                <w:color w:val="auto"/>
                <w:highlight w:val="none"/>
              </w:rPr>
              <w:t>GB/T2423.2-2008(IEC60068-2-2:2007)高温试验方法 Bb</w:t>
            </w:r>
            <w:r>
              <w:rPr>
                <w:rFonts w:hint="eastAsia"/>
                <w:color w:val="auto"/>
                <w:highlight w:val="none"/>
              </w:rPr>
              <w:br w:type="textWrapping"/>
            </w:r>
            <w:r>
              <w:rPr>
                <w:rFonts w:hint="eastAsia"/>
                <w:color w:val="auto"/>
                <w:highlight w:val="none"/>
              </w:rPr>
              <w:t>GJB150.4-1986低温试验</w:t>
            </w:r>
            <w:r>
              <w:rPr>
                <w:rFonts w:hint="eastAsia"/>
                <w:color w:val="auto"/>
                <w:highlight w:val="none"/>
              </w:rPr>
              <w:br w:type="textWrapping"/>
            </w:r>
            <w:r>
              <w:rPr>
                <w:rFonts w:hint="eastAsia"/>
                <w:color w:val="auto"/>
                <w:highlight w:val="none"/>
              </w:rPr>
              <w:t>GB/T2423.3-2006(IEC60068-2-78:2007)恒定湿热试验</w:t>
            </w:r>
            <w:r>
              <w:rPr>
                <w:rFonts w:hint="eastAsia"/>
                <w:color w:val="auto"/>
                <w:highlight w:val="none"/>
              </w:rPr>
              <w:br w:type="textWrapping"/>
            </w:r>
            <w:r>
              <w:rPr>
                <w:rFonts w:hint="eastAsia"/>
                <w:color w:val="auto"/>
                <w:highlight w:val="none"/>
              </w:rPr>
              <w:t>GB/T2423.4-2008(IEC60068-2-30:2005)交变湿热试验</w:t>
            </w:r>
            <w:r>
              <w:rPr>
                <w:rFonts w:hint="eastAsia"/>
                <w:color w:val="auto"/>
                <w:highlight w:val="none"/>
              </w:rPr>
              <w:br w:type="textWrapping"/>
            </w:r>
            <w:r>
              <w:rPr>
                <w:rFonts w:hint="eastAsia"/>
                <w:color w:val="auto"/>
                <w:highlight w:val="none"/>
              </w:rPr>
              <w:t>GJB150.3-1986高温试验</w:t>
            </w:r>
            <w:r>
              <w:rPr>
                <w:rFonts w:hint="eastAsia"/>
                <w:color w:val="auto"/>
                <w:highlight w:val="none"/>
              </w:rPr>
              <w:br w:type="textWrapping"/>
            </w:r>
            <w:r>
              <w:rPr>
                <w:rFonts w:hint="eastAsia"/>
                <w:color w:val="auto"/>
                <w:highlight w:val="none"/>
              </w:rPr>
              <w:t>GJB150.9-1986湿热试验</w:t>
            </w:r>
            <w:r>
              <w:rPr>
                <w:rFonts w:hint="eastAsia"/>
                <w:color w:val="auto"/>
                <w:highlight w:val="none"/>
              </w:rPr>
              <w:br w:type="textWrapping"/>
            </w:r>
            <w:r>
              <w:rPr>
                <w:rFonts w:hint="eastAsia"/>
                <w:color w:val="auto"/>
                <w:highlight w:val="none"/>
              </w:rPr>
              <w:t>二、技术参数</w:t>
            </w:r>
            <w:r>
              <w:rPr>
                <w:rFonts w:hint="eastAsia"/>
                <w:color w:val="auto"/>
                <w:highlight w:val="none"/>
              </w:rPr>
              <w:br w:type="textWrapping"/>
            </w:r>
            <w:r>
              <w:rPr>
                <w:rFonts w:hint="eastAsia"/>
                <w:color w:val="auto"/>
                <w:highlight w:val="none"/>
              </w:rPr>
              <w:t>1主要性能参数:</w:t>
            </w:r>
            <w:r>
              <w:rPr>
                <w:rFonts w:hint="eastAsia"/>
                <w:color w:val="auto"/>
                <w:highlight w:val="none"/>
              </w:rPr>
              <w:br w:type="textWrapping"/>
            </w:r>
            <w:r>
              <w:rPr>
                <w:rFonts w:hint="eastAsia"/>
                <w:color w:val="auto"/>
                <w:highlight w:val="none"/>
              </w:rPr>
              <w:t>1.1有效容积：≥500升</w:t>
            </w:r>
            <w:r>
              <w:rPr>
                <w:rFonts w:hint="eastAsia"/>
                <w:color w:val="auto"/>
                <w:highlight w:val="none"/>
              </w:rPr>
              <w:br w:type="textWrapping"/>
            </w:r>
            <w:r>
              <w:rPr>
                <w:rFonts w:hint="eastAsia"/>
                <w:color w:val="auto"/>
                <w:highlight w:val="none"/>
              </w:rPr>
              <w:t>1.2内部尺寸：≥宽850mm×深750mm×高900mm；</w:t>
            </w:r>
            <w:r>
              <w:rPr>
                <w:rFonts w:hint="eastAsia"/>
                <w:color w:val="auto"/>
                <w:highlight w:val="none"/>
              </w:rPr>
              <w:br w:type="textWrapping"/>
            </w:r>
            <w:r>
              <w:rPr>
                <w:rFonts w:hint="eastAsia"/>
                <w:color w:val="auto"/>
                <w:highlight w:val="none"/>
              </w:rPr>
              <w:t xml:space="preserve">1.3外部尺寸：≥宽1180mm×深1750mm×高2050mm； </w:t>
            </w:r>
            <w:r>
              <w:rPr>
                <w:rFonts w:hint="eastAsia"/>
                <w:color w:val="auto"/>
                <w:highlight w:val="none"/>
              </w:rPr>
              <w:br w:type="textWrapping"/>
            </w:r>
            <w:r>
              <w:rPr>
                <w:rFonts w:hint="eastAsia"/>
                <w:color w:val="auto"/>
                <w:highlight w:val="none"/>
              </w:rPr>
              <w:t>1.4温度范围：-70℃～+180℃</w:t>
            </w:r>
            <w:r>
              <w:rPr>
                <w:rFonts w:hint="eastAsia"/>
                <w:color w:val="auto"/>
                <w:highlight w:val="none"/>
              </w:rPr>
              <w:br w:type="textWrapping"/>
            </w:r>
            <w:r>
              <w:rPr>
                <w:rFonts w:hint="eastAsia"/>
                <w:color w:val="auto"/>
                <w:highlight w:val="none"/>
              </w:rPr>
              <w:t>1.5温度波动度：≤±0.5℃;</w:t>
            </w:r>
            <w:r>
              <w:rPr>
                <w:rFonts w:hint="eastAsia"/>
                <w:color w:val="auto"/>
                <w:highlight w:val="none"/>
              </w:rPr>
              <w:br w:type="textWrapping"/>
            </w:r>
            <w:r>
              <w:rPr>
                <w:rFonts w:hint="eastAsia"/>
                <w:color w:val="auto"/>
                <w:highlight w:val="none"/>
              </w:rPr>
              <w:t>1.6温度均匀度：≤2.0℃；</w:t>
            </w:r>
            <w:r>
              <w:rPr>
                <w:rFonts w:hint="eastAsia"/>
                <w:color w:val="auto"/>
                <w:highlight w:val="none"/>
              </w:rPr>
              <w:br w:type="textWrapping"/>
            </w:r>
            <w:r>
              <w:rPr>
                <w:rFonts w:hint="eastAsia"/>
                <w:color w:val="auto"/>
                <w:highlight w:val="none"/>
              </w:rPr>
              <w:t>1.7温度偏差：≤±2.0℃;</w:t>
            </w:r>
            <w:r>
              <w:rPr>
                <w:rFonts w:hint="eastAsia"/>
                <w:color w:val="auto"/>
                <w:highlight w:val="none"/>
              </w:rPr>
              <w:br w:type="textWrapping"/>
            </w:r>
            <w:r>
              <w:rPr>
                <w:rFonts w:hint="eastAsia"/>
                <w:color w:val="auto"/>
                <w:highlight w:val="none"/>
              </w:rPr>
              <w:t xml:space="preserve">1.8湿度范围：从10%到98%在环境温度范围：+10℃到+90℃ </w:t>
            </w:r>
            <w:r>
              <w:rPr>
                <w:rFonts w:hint="eastAsia"/>
                <w:color w:val="auto"/>
                <w:highlight w:val="none"/>
              </w:rPr>
              <w:br w:type="textWrapping"/>
            </w:r>
            <w:r>
              <w:rPr>
                <w:rFonts w:hint="eastAsia"/>
                <w:color w:val="auto"/>
                <w:highlight w:val="none"/>
              </w:rPr>
              <w:t>1.9露点温度范围：+4℃～+95℃</w:t>
            </w:r>
            <w:r>
              <w:rPr>
                <w:rFonts w:hint="eastAsia"/>
                <w:color w:val="auto"/>
                <w:highlight w:val="none"/>
              </w:rPr>
              <w:br w:type="textWrapping"/>
            </w:r>
            <w:r>
              <w:rPr>
                <w:rFonts w:hint="eastAsia"/>
                <w:color w:val="auto"/>
                <w:highlight w:val="none"/>
              </w:rPr>
              <w:t>1.10湿度波动度：≤±3%RH</w:t>
            </w:r>
            <w:r>
              <w:rPr>
                <w:rFonts w:hint="eastAsia"/>
                <w:color w:val="auto"/>
                <w:highlight w:val="none"/>
              </w:rPr>
              <w:br w:type="textWrapping"/>
            </w:r>
            <w:r>
              <w:rPr>
                <w:rFonts w:hint="eastAsia"/>
                <w:color w:val="auto"/>
                <w:highlight w:val="none"/>
              </w:rPr>
              <w:t>1.11湿度偏差：≤+2/-3%RH (当湿度&gt;75%RH)；≤±5%RH (当湿度≤75%RH)</w:t>
            </w:r>
            <w:r>
              <w:rPr>
                <w:rFonts w:hint="eastAsia"/>
                <w:color w:val="auto"/>
                <w:highlight w:val="none"/>
              </w:rPr>
              <w:br w:type="textWrapping"/>
            </w:r>
            <w:r>
              <w:rPr>
                <w:rFonts w:hint="eastAsia"/>
                <w:color w:val="auto"/>
                <w:highlight w:val="none"/>
              </w:rPr>
              <w:t>1.12温度变化速率：</w:t>
            </w:r>
            <w:r>
              <w:rPr>
                <w:color w:val="auto"/>
                <w:highlight w:val="none"/>
              </w:rPr>
              <w:t>升温速率:-70</w:t>
            </w:r>
            <w:r>
              <w:rPr>
                <w:rFonts w:hint="eastAsia" w:ascii="宋体" w:hAnsi="宋体" w:eastAsia="宋体" w:cs="宋体"/>
                <w:color w:val="auto"/>
                <w:highlight w:val="none"/>
              </w:rPr>
              <w:t>℃</w:t>
            </w:r>
            <w:r>
              <w:rPr>
                <w:color w:val="auto"/>
                <w:highlight w:val="none"/>
              </w:rPr>
              <w:t>~+150</w:t>
            </w:r>
            <w:r>
              <w:rPr>
                <w:rFonts w:hint="eastAsia" w:ascii="宋体" w:hAnsi="宋体" w:eastAsia="宋体" w:cs="宋体"/>
                <w:color w:val="auto"/>
                <w:highlight w:val="none"/>
              </w:rPr>
              <w:t>℃</w:t>
            </w:r>
            <w:r>
              <w:rPr>
                <w:color w:val="auto"/>
                <w:highlight w:val="none"/>
              </w:rPr>
              <w:t>，全程平均速度4</w:t>
            </w:r>
            <w:r>
              <w:rPr>
                <w:rFonts w:hint="eastAsia" w:ascii="宋体" w:hAnsi="宋体" w:eastAsia="宋体" w:cs="宋体"/>
                <w:color w:val="auto"/>
                <w:highlight w:val="none"/>
              </w:rPr>
              <w:t>℃</w:t>
            </w:r>
            <w:r>
              <w:rPr>
                <w:color w:val="auto"/>
                <w:highlight w:val="none"/>
              </w:rPr>
              <w:t>/分钟；(空载，无发热)；降温速率: +150</w:t>
            </w:r>
            <w:r>
              <w:rPr>
                <w:rFonts w:hint="eastAsia" w:ascii="宋体" w:hAnsi="宋体" w:eastAsia="宋体" w:cs="宋体"/>
                <w:color w:val="auto"/>
                <w:highlight w:val="none"/>
              </w:rPr>
              <w:t>℃</w:t>
            </w:r>
            <w:r>
              <w:rPr>
                <w:color w:val="auto"/>
                <w:highlight w:val="none"/>
              </w:rPr>
              <w:t>~-70</w:t>
            </w:r>
            <w:r>
              <w:rPr>
                <w:rFonts w:hint="eastAsia" w:ascii="宋体" w:hAnsi="宋体" w:eastAsia="宋体" w:cs="宋体"/>
                <w:color w:val="auto"/>
                <w:highlight w:val="none"/>
              </w:rPr>
              <w:t>℃</w:t>
            </w:r>
            <w:r>
              <w:rPr>
                <w:color w:val="auto"/>
                <w:highlight w:val="none"/>
              </w:rPr>
              <w:t>，全程平均速度2.6</w:t>
            </w:r>
            <w:r>
              <w:rPr>
                <w:rFonts w:hint="eastAsia" w:ascii="宋体" w:hAnsi="宋体" w:eastAsia="宋体" w:cs="宋体"/>
                <w:color w:val="auto"/>
                <w:highlight w:val="none"/>
              </w:rPr>
              <w:t>℃</w:t>
            </w:r>
            <w:r>
              <w:rPr>
                <w:color w:val="auto"/>
                <w:highlight w:val="none"/>
              </w:rPr>
              <w:t>/分钟；(空载，无发热)；</w:t>
            </w:r>
            <w:r>
              <w:rPr>
                <w:rFonts w:hint="eastAsia"/>
                <w:color w:val="auto"/>
                <w:highlight w:val="none"/>
              </w:rPr>
              <w:br w:type="textWrapping"/>
            </w:r>
            <w:r>
              <w:rPr>
                <w:color w:val="auto"/>
                <w:highlight w:val="none"/>
              </w:rPr>
              <w:t>2箱体结构特性:</w:t>
            </w:r>
            <w:r>
              <w:rPr>
                <w:rFonts w:hint="eastAsia"/>
                <w:color w:val="auto"/>
                <w:highlight w:val="none"/>
              </w:rPr>
              <w:br w:type="textWrapping"/>
            </w:r>
            <w:r>
              <w:rPr>
                <w:color w:val="auto"/>
                <w:highlight w:val="none"/>
              </w:rPr>
              <w:t>2.1箱体结构：单一结构，包括所有箱体工作所必须的系统。外部框架由高质量电镀钢板组成，内外喷涂高质量的底漆和面漆。箱体具有很强的抗腐蚀能力，RAL7035；</w:t>
            </w:r>
            <w:r>
              <w:rPr>
                <w:rFonts w:hint="eastAsia"/>
                <w:color w:val="auto"/>
                <w:highlight w:val="none"/>
              </w:rPr>
              <w:br w:type="textWrapping"/>
            </w:r>
            <w:r>
              <w:rPr>
                <w:color w:val="auto"/>
                <w:highlight w:val="none"/>
              </w:rPr>
              <w:t>2.2测试空间：箱体内胆材料为无磁性SUS304不锈钢。所有缝隙都由TIG（惰性气体钨极保护焊）无缝焊接完成，保证密封。表面被很好的抛光；</w:t>
            </w:r>
            <w:r>
              <w:rPr>
                <w:rFonts w:hint="eastAsia"/>
                <w:color w:val="auto"/>
                <w:highlight w:val="none"/>
              </w:rPr>
              <w:br w:type="textWrapping"/>
            </w:r>
            <w:r>
              <w:rPr>
                <w:color w:val="auto"/>
                <w:highlight w:val="none"/>
              </w:rPr>
              <w:t>2.3内部材料；SUS304不锈钢板，厚度</w:t>
            </w:r>
            <w:r>
              <w:rPr>
                <w:rFonts w:hint="eastAsia"/>
                <w:color w:val="auto"/>
                <w:highlight w:val="none"/>
              </w:rPr>
              <w:t>≥</w:t>
            </w:r>
            <w:r>
              <w:rPr>
                <w:color w:val="auto"/>
                <w:highlight w:val="none"/>
              </w:rPr>
              <w:t>1.0mm；</w:t>
            </w:r>
            <w:r>
              <w:rPr>
                <w:rFonts w:hint="eastAsia"/>
                <w:color w:val="auto"/>
                <w:highlight w:val="none"/>
              </w:rPr>
              <w:br w:type="textWrapping"/>
            </w:r>
            <w:r>
              <w:rPr>
                <w:color w:val="auto"/>
                <w:highlight w:val="none"/>
              </w:rPr>
              <w:t>2.4保温材料：使用低“K”值的绝缘材料，高强度和不可燃、无沉积特性。这种绝缘材料为多层分层，每层两面都有蒸汽绝缘，厚度</w:t>
            </w:r>
            <w:r>
              <w:rPr>
                <w:rFonts w:hint="eastAsia"/>
                <w:color w:val="auto"/>
                <w:highlight w:val="none"/>
              </w:rPr>
              <w:t>≥</w:t>
            </w:r>
            <w:r>
              <w:rPr>
                <w:color w:val="auto"/>
                <w:highlight w:val="none"/>
              </w:rPr>
              <w:t>125mm；</w:t>
            </w:r>
            <w:r>
              <w:rPr>
                <w:rFonts w:hint="eastAsia"/>
                <w:color w:val="auto"/>
                <w:highlight w:val="none"/>
              </w:rPr>
              <w:br w:type="textWrapping"/>
            </w:r>
            <w:r>
              <w:rPr>
                <w:color w:val="auto"/>
                <w:highlight w:val="none"/>
              </w:rPr>
              <w:t>2.5箱门：全开单翼型，带有双层硅橡胶密封和门锁，RAL7035；</w:t>
            </w:r>
            <w:r>
              <w:rPr>
                <w:rFonts w:hint="eastAsia"/>
                <w:color w:val="auto"/>
                <w:highlight w:val="none"/>
              </w:rPr>
              <w:br w:type="textWrapping"/>
            </w:r>
            <w:r>
              <w:rPr>
                <w:color w:val="auto"/>
                <w:highlight w:val="none"/>
              </w:rPr>
              <w:t>2.5.1门的有效尺寸约：</w:t>
            </w:r>
            <w:r>
              <w:rPr>
                <w:rFonts w:hint="eastAsia"/>
                <w:color w:val="auto"/>
                <w:highlight w:val="none"/>
              </w:rPr>
              <w:t>≥</w:t>
            </w:r>
            <w:r>
              <w:rPr>
                <w:color w:val="auto"/>
                <w:highlight w:val="none"/>
              </w:rPr>
              <w:t>850 mm(宽) x 900 mm(高) ；</w:t>
            </w:r>
            <w:r>
              <w:rPr>
                <w:rFonts w:hint="eastAsia"/>
                <w:color w:val="auto"/>
                <w:highlight w:val="none"/>
              </w:rPr>
              <w:br w:type="textWrapping"/>
            </w:r>
            <w:r>
              <w:rPr>
                <w:color w:val="auto"/>
                <w:highlight w:val="none"/>
              </w:rPr>
              <w:t>2.5.2观测窗：试验箱的门上配备一个电加热除雾玻璃观察窗。尺寸</w:t>
            </w:r>
            <w:r>
              <w:rPr>
                <w:rFonts w:hint="eastAsia"/>
                <w:color w:val="auto"/>
                <w:highlight w:val="none"/>
              </w:rPr>
              <w:t>≥</w:t>
            </w:r>
            <w:r>
              <w:rPr>
                <w:color w:val="auto"/>
                <w:highlight w:val="none"/>
              </w:rPr>
              <w:t>435 x 495 mm；</w:t>
            </w:r>
            <w:r>
              <w:rPr>
                <w:rFonts w:hint="eastAsia"/>
                <w:color w:val="auto"/>
                <w:highlight w:val="none"/>
              </w:rPr>
              <w:br w:type="textWrapping"/>
            </w:r>
            <w:r>
              <w:rPr>
                <w:color w:val="auto"/>
                <w:highlight w:val="none"/>
              </w:rPr>
              <w:t>2.6标准配置；</w:t>
            </w:r>
            <w:r>
              <w:rPr>
                <w:rFonts w:hint="eastAsia"/>
                <w:color w:val="auto"/>
                <w:highlight w:val="none"/>
              </w:rPr>
              <w:br w:type="textWrapping"/>
            </w:r>
            <w:r>
              <w:rPr>
                <w:color w:val="auto"/>
                <w:highlight w:val="none"/>
              </w:rPr>
              <w:t>2.6.1内部照明 x 1：控制开关在箱体外部控制面板上，具有延时自动关闭功能；</w:t>
            </w:r>
            <w:r>
              <w:rPr>
                <w:rFonts w:hint="eastAsia"/>
                <w:color w:val="auto"/>
                <w:highlight w:val="none"/>
              </w:rPr>
              <w:br w:type="textWrapping"/>
            </w:r>
            <w:r>
              <w:rPr>
                <w:color w:val="auto"/>
                <w:highlight w:val="none"/>
              </w:rPr>
              <w:t>2.6.2测试孔：两个直径约为160mm，带有由绝缘材料做成的绝缘塞；（箱体左右）</w:t>
            </w:r>
            <w:r>
              <w:rPr>
                <w:rFonts w:hint="eastAsia"/>
                <w:color w:val="auto"/>
                <w:highlight w:val="none"/>
              </w:rPr>
              <w:br w:type="textWrapping"/>
            </w:r>
            <w:r>
              <w:rPr>
                <w:color w:val="auto"/>
                <w:highlight w:val="none"/>
              </w:rPr>
              <w:t>2.6.3三个高度可调的搁架。搁架承重：可均匀承重</w:t>
            </w:r>
            <w:r>
              <w:rPr>
                <w:rFonts w:hint="eastAsia"/>
                <w:color w:val="auto"/>
                <w:highlight w:val="none"/>
              </w:rPr>
              <w:t>≥</w:t>
            </w:r>
            <w:r>
              <w:rPr>
                <w:color w:val="auto"/>
                <w:highlight w:val="none"/>
              </w:rPr>
              <w:t>15公斤；</w:t>
            </w:r>
            <w:r>
              <w:rPr>
                <w:rFonts w:hint="eastAsia"/>
                <w:color w:val="auto"/>
                <w:highlight w:val="none"/>
              </w:rPr>
              <w:br w:type="textWrapping"/>
            </w:r>
            <w:r>
              <w:rPr>
                <w:color w:val="auto"/>
                <w:highlight w:val="none"/>
              </w:rPr>
              <w:t>2.6.4配备急停开关1个；</w:t>
            </w:r>
            <w:r>
              <w:rPr>
                <w:rFonts w:hint="eastAsia"/>
                <w:color w:val="auto"/>
                <w:highlight w:val="none"/>
              </w:rPr>
              <w:br w:type="textWrapping"/>
            </w:r>
            <w:r>
              <w:rPr>
                <w:color w:val="auto"/>
                <w:highlight w:val="none"/>
              </w:rPr>
              <w:t>2.6.5配备三色警示灯带蜂鸣器 x 1；</w:t>
            </w:r>
            <w:r>
              <w:rPr>
                <w:rFonts w:hint="eastAsia"/>
                <w:color w:val="auto"/>
                <w:highlight w:val="none"/>
              </w:rPr>
              <w:br w:type="textWrapping"/>
            </w:r>
            <w:r>
              <w:rPr>
                <w:color w:val="auto"/>
                <w:highlight w:val="none"/>
              </w:rPr>
              <w:t>2.7配备4个脚轮，方便箱体自由移动、定位和调平；</w:t>
            </w:r>
            <w:r>
              <w:rPr>
                <w:rFonts w:hint="eastAsia"/>
                <w:color w:val="auto"/>
                <w:highlight w:val="none"/>
              </w:rPr>
              <w:br w:type="textWrapping"/>
            </w:r>
            <w:r>
              <w:rPr>
                <w:color w:val="auto"/>
                <w:highlight w:val="none"/>
              </w:rPr>
              <w:t>2.8压力补偿平衡系统：箱体配有一个压力补偿系统，当箱体内外压力不平衡时，系统将会自动运行；</w:t>
            </w:r>
            <w:r>
              <w:rPr>
                <w:rFonts w:hint="eastAsia"/>
                <w:color w:val="auto"/>
                <w:highlight w:val="none"/>
              </w:rPr>
              <w:br w:type="textWrapping"/>
            </w:r>
            <w:r>
              <w:rPr>
                <w:color w:val="auto"/>
                <w:highlight w:val="none"/>
              </w:rPr>
              <w:t>2.9电源控制板和机组位置：在箱体后面的框架内；</w:t>
            </w:r>
            <w:r>
              <w:rPr>
                <w:rFonts w:hint="eastAsia"/>
                <w:color w:val="auto"/>
                <w:highlight w:val="none"/>
              </w:rPr>
              <w:br w:type="textWrapping"/>
            </w:r>
            <w:r>
              <w:rPr>
                <w:color w:val="auto"/>
                <w:highlight w:val="none"/>
              </w:rPr>
              <w:t>2.10隔音:压缩机组1米处测量 72dB以内</w:t>
            </w:r>
            <w:r>
              <w:rPr>
                <w:rFonts w:hint="eastAsia"/>
                <w:color w:val="auto"/>
                <w:highlight w:val="none"/>
              </w:rPr>
              <w:br w:type="textWrapping"/>
            </w:r>
            <w:r>
              <w:rPr>
                <w:color w:val="auto"/>
                <w:highlight w:val="none"/>
              </w:rPr>
              <w:t>3空气调节装置:</w:t>
            </w:r>
            <w:r>
              <w:rPr>
                <w:rFonts w:hint="eastAsia"/>
                <w:color w:val="auto"/>
                <w:highlight w:val="none"/>
              </w:rPr>
              <w:br w:type="textWrapping"/>
            </w:r>
            <w:r>
              <w:rPr>
                <w:color w:val="auto"/>
                <w:highlight w:val="none"/>
              </w:rPr>
              <w:t>3.1调节和控制：强制对流调温调湿式；独立的冷端和热端PID调节，热量和冷量均可连续调节，避免了制冷量和加热量对冲而造成的能源浪费；</w:t>
            </w:r>
            <w:r>
              <w:rPr>
                <w:rFonts w:hint="eastAsia"/>
                <w:color w:val="auto"/>
                <w:highlight w:val="none"/>
              </w:rPr>
              <w:br w:type="textWrapping"/>
            </w:r>
            <w:r>
              <w:rPr>
                <w:color w:val="auto"/>
                <w:highlight w:val="none"/>
              </w:rPr>
              <w:t>3.2空气循环装置：带有不锈钢轴的外部电机驱动的高效率风扇；空气由电机驱动，充分流经加热器和制冷蒸发器；在充分被加热/被冷却到需要的温度值后，空气在箱体内部循环，通过对流对试件进行换热；</w:t>
            </w:r>
            <w:r>
              <w:rPr>
                <w:rFonts w:hint="eastAsia"/>
                <w:color w:val="auto"/>
                <w:highlight w:val="none"/>
              </w:rPr>
              <w:br w:type="textWrapping"/>
            </w:r>
            <w:r>
              <w:rPr>
                <w:color w:val="auto"/>
                <w:highlight w:val="none"/>
              </w:rPr>
              <w:t>3.3加热：配备温度保护开关的镍铬金属丝加热器，SSR控制；加热功率由PID算法精确控制，通过固态继电器来调节输出功率；</w:t>
            </w:r>
            <w:r>
              <w:rPr>
                <w:rFonts w:hint="eastAsia"/>
                <w:color w:val="auto"/>
                <w:highlight w:val="none"/>
              </w:rPr>
              <w:br w:type="textWrapping"/>
            </w:r>
            <w:r>
              <w:rPr>
                <w:color w:val="auto"/>
                <w:highlight w:val="none"/>
              </w:rPr>
              <w:t>3.4冷却模式：直接冷却；热交换器(蒸发器)：管片式热交换器同室内空气进行热交换；制冷功率由PID算法精确控制，通过电磁阀来调节制冷剂的流量和冷量；</w:t>
            </w:r>
            <w:r>
              <w:rPr>
                <w:rFonts w:hint="eastAsia"/>
                <w:color w:val="auto"/>
                <w:highlight w:val="none"/>
              </w:rPr>
              <w:br w:type="textWrapping"/>
            </w:r>
            <w:r>
              <w:rPr>
                <w:color w:val="auto"/>
                <w:highlight w:val="none"/>
              </w:rPr>
              <w:t>3.5加湿器：不锈钢铠装式电加热器；通过铜管在箱体内加湿；低压蒸汽发生器配有软化过滤器，加热器，压力开关，安全阀等；液体水在加湿器内被加成带压饱和蒸汽（高温高湿）, 蒸汽被喷射进箱体内，从而升高箱体内空气的湿度；加湿功率由PID算法精确控制，通过电磁阀来调节蒸汽的流量和冷量；</w:t>
            </w:r>
            <w:r>
              <w:rPr>
                <w:rFonts w:hint="eastAsia"/>
                <w:color w:val="auto"/>
                <w:highlight w:val="none"/>
              </w:rPr>
              <w:br w:type="textWrapping"/>
            </w:r>
            <w:r>
              <w:rPr>
                <w:color w:val="auto"/>
                <w:highlight w:val="none"/>
              </w:rPr>
              <w:t>3.6除湿系统：独立的除湿系统是通过一种叫做</w:t>
            </w:r>
            <w:r>
              <w:rPr>
                <w:rFonts w:hint="eastAsia"/>
                <w:color w:val="auto"/>
                <w:highlight w:val="none"/>
                <w:lang w:val="en-US" w:eastAsia="zh-CN"/>
              </w:rPr>
              <w:t>特定</w:t>
            </w:r>
            <w:r>
              <w:rPr>
                <w:color w:val="auto"/>
                <w:highlight w:val="none"/>
              </w:rPr>
              <w:t>的蒸发器来完成，去湿盘管与冷却盘管相互独立除湿由PID算法精确控制，通过电磁阀来调节制冷剂的流量和冷量；</w:t>
            </w:r>
            <w:r>
              <w:rPr>
                <w:rFonts w:hint="eastAsia"/>
                <w:color w:val="auto"/>
                <w:highlight w:val="none"/>
              </w:rPr>
              <w:br w:type="textWrapping"/>
            </w:r>
            <w:r>
              <w:rPr>
                <w:color w:val="auto"/>
                <w:highlight w:val="none"/>
              </w:rPr>
              <w:t>3.7加湿水补水方式：试验箱配备独立的储水箱，可以由去离子水自动通过试验箱配备的净水器实时补水，也可以在断水的情况下手动添加纯净水补水；储水箱的容量能满足断水情况下的常规湿度试验需求；</w:t>
            </w:r>
            <w:r>
              <w:rPr>
                <w:rFonts w:hint="eastAsia"/>
                <w:color w:val="auto"/>
                <w:highlight w:val="none"/>
              </w:rPr>
              <w:br w:type="textWrapping"/>
            </w:r>
            <w:r>
              <w:rPr>
                <w:color w:val="auto"/>
                <w:highlight w:val="none"/>
              </w:rPr>
              <w:t>3.7.1储水箱液位开关：用于储水箱缺水报警；</w:t>
            </w:r>
            <w:r>
              <w:rPr>
                <w:rFonts w:hint="eastAsia"/>
                <w:color w:val="auto"/>
                <w:highlight w:val="none"/>
              </w:rPr>
              <w:br w:type="textWrapping"/>
            </w:r>
            <w:r>
              <w:rPr>
                <w:color w:val="auto"/>
                <w:highlight w:val="none"/>
              </w:rPr>
              <w:t>3.8不锈钢凝水盘；</w:t>
            </w:r>
            <w:r>
              <w:rPr>
                <w:rFonts w:hint="eastAsia"/>
                <w:color w:val="auto"/>
                <w:highlight w:val="none"/>
              </w:rPr>
              <w:br w:type="textWrapping"/>
            </w:r>
            <w:r>
              <w:rPr>
                <w:color w:val="auto"/>
                <w:highlight w:val="none"/>
              </w:rPr>
              <w:t>3.9设备自带过滤水处理装置。</w:t>
            </w:r>
            <w:r>
              <w:rPr>
                <w:rFonts w:hint="eastAsia"/>
                <w:color w:val="auto"/>
                <w:highlight w:val="none"/>
              </w:rPr>
              <w:br w:type="textWrapping"/>
            </w:r>
            <w:r>
              <w:rPr>
                <w:color w:val="auto"/>
                <w:highlight w:val="none"/>
              </w:rPr>
              <w:t>4制冷系统:</w:t>
            </w:r>
            <w:r>
              <w:rPr>
                <w:rFonts w:hint="eastAsia"/>
                <w:color w:val="auto"/>
                <w:highlight w:val="none"/>
              </w:rPr>
              <w:br w:type="textWrapping"/>
            </w:r>
            <w:r>
              <w:rPr>
                <w:color w:val="auto"/>
                <w:highlight w:val="none"/>
              </w:rPr>
              <w:t>4.1制冷系统的设计采用了全自动的保护措施。通过将液体制冷剂喷射到压缩机吸气管路来防止压缩机在高温环境冷却阶段产生过热现象；</w:t>
            </w:r>
            <w:r>
              <w:rPr>
                <w:rFonts w:hint="eastAsia"/>
                <w:color w:val="auto"/>
                <w:highlight w:val="none"/>
              </w:rPr>
              <w:br w:type="textWrapping"/>
            </w:r>
            <w:r>
              <w:rPr>
                <w:color w:val="auto"/>
                <w:highlight w:val="none"/>
              </w:rPr>
              <w:t>4.2制冷系统组成：</w:t>
            </w:r>
            <w:r>
              <w:rPr>
                <w:rFonts w:hint="eastAsia"/>
                <w:color w:val="auto"/>
                <w:highlight w:val="none"/>
              </w:rPr>
              <w:br w:type="textWrapping"/>
            </w:r>
            <w:r>
              <w:rPr>
                <w:color w:val="auto"/>
                <w:highlight w:val="none"/>
              </w:rPr>
              <w:t>4.2.1制冷剂：品质优异或等于环保制冷剂R404a &amp; R23；</w:t>
            </w:r>
            <w:r>
              <w:rPr>
                <w:rFonts w:hint="eastAsia"/>
                <w:color w:val="auto"/>
                <w:highlight w:val="none"/>
              </w:rPr>
              <w:br w:type="textWrapping"/>
            </w:r>
            <w:r>
              <w:rPr>
                <w:color w:val="auto"/>
                <w:highlight w:val="none"/>
              </w:rPr>
              <w:t>4.2.2压缩机冷量连续可调：试验过程压缩机的制冷能力输出连续可调，既保证试验室的温湿度控制精度，同时也节约了试验室的运行能耗，防止冷热量对冲而导致能源浪费；</w:t>
            </w:r>
            <w:r>
              <w:rPr>
                <w:rFonts w:hint="eastAsia"/>
                <w:color w:val="auto"/>
                <w:highlight w:val="none"/>
              </w:rPr>
              <w:br w:type="textWrapping"/>
            </w:r>
            <w:r>
              <w:rPr>
                <w:color w:val="auto"/>
                <w:highlight w:val="none"/>
              </w:rPr>
              <w:t>4.2.3制冷压缩机：品质优异或等于谷轮压缩机x 2；</w:t>
            </w:r>
            <w:r>
              <w:rPr>
                <w:rFonts w:hint="eastAsia"/>
                <w:color w:val="auto"/>
                <w:highlight w:val="none"/>
              </w:rPr>
              <w:br w:type="textWrapping"/>
            </w:r>
            <w:r>
              <w:rPr>
                <w:color w:val="auto"/>
                <w:highlight w:val="none"/>
              </w:rPr>
              <w:t>4.2.4压缩机安装有电子压力传感器，能够实时的读取运行压力，监控冷冻机组的运行状态，对于可能出现的故障进行预判，减少设备的维修时间和周期；</w:t>
            </w:r>
            <w:r>
              <w:rPr>
                <w:rFonts w:hint="eastAsia"/>
                <w:color w:val="auto"/>
                <w:highlight w:val="none"/>
              </w:rPr>
              <w:br w:type="textWrapping"/>
            </w:r>
            <w:r>
              <w:rPr>
                <w:color w:val="auto"/>
                <w:highlight w:val="none"/>
              </w:rPr>
              <w:t>4.2.5蒸发器：品质优异或等于高效散热片式蒸发器；(铜管与亲水铝箔散热片构成)</w:t>
            </w:r>
            <w:r>
              <w:rPr>
                <w:rFonts w:hint="eastAsia"/>
                <w:color w:val="auto"/>
                <w:highlight w:val="none"/>
              </w:rPr>
              <w:br w:type="textWrapping"/>
            </w:r>
            <w:r>
              <w:rPr>
                <w:color w:val="auto"/>
                <w:highlight w:val="none"/>
              </w:rPr>
              <w:t>4.2.6冷凝模式：品质优异或等于风冷冷凝器；</w:t>
            </w:r>
            <w:r>
              <w:rPr>
                <w:rFonts w:hint="eastAsia"/>
                <w:color w:val="auto"/>
                <w:highlight w:val="none"/>
              </w:rPr>
              <w:br w:type="textWrapping"/>
            </w:r>
            <w:r>
              <w:rPr>
                <w:color w:val="auto"/>
                <w:highlight w:val="none"/>
              </w:rPr>
              <w:t>4.2.7制冷方式：品质优异或等于机械压缩复叠制冷系统；</w:t>
            </w:r>
            <w:r>
              <w:rPr>
                <w:rFonts w:hint="eastAsia"/>
                <w:color w:val="auto"/>
                <w:highlight w:val="none"/>
              </w:rPr>
              <w:br w:type="textWrapping"/>
            </w:r>
            <w:r>
              <w:rPr>
                <w:color w:val="auto"/>
                <w:highlight w:val="none"/>
              </w:rPr>
              <w:t>4.2.8热交换器：品质优异或等于板式换热器；</w:t>
            </w:r>
            <w:r>
              <w:rPr>
                <w:rFonts w:hint="eastAsia"/>
                <w:color w:val="auto"/>
                <w:highlight w:val="none"/>
              </w:rPr>
              <w:br w:type="textWrapping"/>
            </w:r>
            <w:r>
              <w:rPr>
                <w:color w:val="auto"/>
                <w:highlight w:val="none"/>
              </w:rPr>
              <w:t>5控制系统:</w:t>
            </w:r>
            <w:r>
              <w:rPr>
                <w:rFonts w:hint="eastAsia"/>
                <w:color w:val="auto"/>
                <w:highlight w:val="none"/>
              </w:rPr>
              <w:br w:type="textWrapping"/>
            </w:r>
            <w:r>
              <w:rPr>
                <w:color w:val="auto"/>
                <w:highlight w:val="none"/>
              </w:rPr>
              <w:t xml:space="preserve">5.1传感器: </w:t>
            </w:r>
            <w:r>
              <w:rPr>
                <w:rFonts w:hint="eastAsia"/>
                <w:color w:val="auto"/>
                <w:highlight w:val="none"/>
              </w:rPr>
              <w:br w:type="textWrapping"/>
            </w:r>
            <w:r>
              <w:rPr>
                <w:color w:val="auto"/>
                <w:highlight w:val="none"/>
              </w:rPr>
              <w:t>5.1.1温度传感器：Pt100铂电阻x 2，其中一根可移动到样品架位置</w:t>
            </w:r>
            <w:r>
              <w:rPr>
                <w:rFonts w:hint="eastAsia"/>
                <w:color w:val="auto"/>
                <w:highlight w:val="none"/>
              </w:rPr>
              <w:br w:type="textWrapping"/>
            </w:r>
            <w:r>
              <w:rPr>
                <w:color w:val="auto"/>
                <w:highlight w:val="none"/>
              </w:rPr>
              <w:t>5.1.2湿度传感器：Vaisala电容式电子湿度传感器x 1，免维护型湿度测量装置，避免了需要不停更换湿球纱布的不便；具有更高的测量精度和可靠性；</w:t>
            </w:r>
            <w:r>
              <w:rPr>
                <w:rFonts w:hint="eastAsia"/>
                <w:color w:val="auto"/>
                <w:highlight w:val="none"/>
              </w:rPr>
              <w:br w:type="textWrapping"/>
            </w:r>
            <w:r>
              <w:rPr>
                <w:color w:val="auto"/>
                <w:highlight w:val="none"/>
              </w:rPr>
              <w:t>5.1.3带独立报警温度传感器的数字型高温报警器，报警温度可以自由调节；</w:t>
            </w:r>
            <w:r>
              <w:rPr>
                <w:rFonts w:hint="eastAsia"/>
                <w:color w:val="auto"/>
                <w:highlight w:val="none"/>
              </w:rPr>
              <w:br w:type="textWrapping"/>
            </w:r>
            <w:r>
              <w:rPr>
                <w:color w:val="auto"/>
                <w:highlight w:val="none"/>
              </w:rPr>
              <w:t>5.1.4测量温度传感器：热电偶TC x8；可由试验箱控制器温度曲线同步记录</w:t>
            </w:r>
            <w:r>
              <w:rPr>
                <w:rFonts w:hint="eastAsia"/>
                <w:color w:val="auto"/>
                <w:highlight w:val="none"/>
              </w:rPr>
              <w:br w:type="textWrapping"/>
            </w:r>
            <w:r>
              <w:rPr>
                <w:color w:val="auto"/>
                <w:highlight w:val="none"/>
              </w:rPr>
              <w:t>5.2控制器：</w:t>
            </w:r>
            <w:r>
              <w:rPr>
                <w:rFonts w:hint="eastAsia"/>
                <w:color w:val="auto"/>
                <w:highlight w:val="none"/>
              </w:rPr>
              <w:br w:type="textWrapping"/>
            </w:r>
            <w:r>
              <w:rPr>
                <w:color w:val="auto"/>
                <w:highlight w:val="none"/>
              </w:rPr>
              <w:t>5.2.1控制器品质优异或等于以下条件</w:t>
            </w:r>
            <w:r>
              <w:rPr>
                <w:rFonts w:hint="eastAsia"/>
                <w:color w:val="auto"/>
                <w:highlight w:val="none"/>
              </w:rPr>
              <w:br w:type="textWrapping"/>
            </w:r>
            <w:r>
              <w:rPr>
                <w:color w:val="auto"/>
                <w:highlight w:val="none"/>
              </w:rPr>
              <w:t>5.2.2语言：中文；</w:t>
            </w:r>
            <w:r>
              <w:rPr>
                <w:rFonts w:hint="eastAsia"/>
                <w:color w:val="auto"/>
                <w:highlight w:val="none"/>
              </w:rPr>
              <w:br w:type="textWrapping"/>
            </w:r>
            <w:r>
              <w:rPr>
                <w:color w:val="auto"/>
                <w:highlight w:val="none"/>
              </w:rPr>
              <w:t>5.2.3</w:t>
            </w:r>
            <w:r>
              <w:rPr>
                <w:rFonts w:hint="eastAsia"/>
                <w:color w:val="auto"/>
                <w:highlight w:val="none"/>
                <w:lang w:val="en-US" w:eastAsia="zh-CN"/>
              </w:rPr>
              <w:t xml:space="preserve"> </w:t>
            </w:r>
            <w:r>
              <w:rPr>
                <w:color w:val="auto"/>
                <w:highlight w:val="none"/>
              </w:rPr>
              <w:t>M-M界面：</w:t>
            </w:r>
            <w:r>
              <w:rPr>
                <w:rFonts w:hint="eastAsia"/>
                <w:color w:val="auto"/>
                <w:highlight w:val="none"/>
              </w:rPr>
              <w:t>≥</w:t>
            </w:r>
            <w:r>
              <w:rPr>
                <w:color w:val="auto"/>
                <w:highlight w:val="none"/>
              </w:rPr>
              <w:t>10.2” TFT液晶彩色显示器；</w:t>
            </w:r>
            <w:r>
              <w:rPr>
                <w:rFonts w:hint="eastAsia"/>
                <w:color w:val="auto"/>
                <w:highlight w:val="none"/>
              </w:rPr>
              <w:br w:type="textWrapping"/>
            </w:r>
            <w:r>
              <w:rPr>
                <w:color w:val="auto"/>
                <w:highlight w:val="none"/>
              </w:rPr>
              <w:t>5.2.4设置：触摸面板方式；</w:t>
            </w:r>
            <w:r>
              <w:rPr>
                <w:rFonts w:hint="eastAsia"/>
                <w:color w:val="auto"/>
                <w:highlight w:val="none"/>
              </w:rPr>
              <w:br w:type="textWrapping"/>
            </w:r>
            <w:r>
              <w:rPr>
                <w:color w:val="auto"/>
                <w:highlight w:val="none"/>
              </w:rPr>
              <w:t>5.2.5分辨率：温度：0.1</w:t>
            </w:r>
            <w:r>
              <w:rPr>
                <w:rFonts w:hint="eastAsia" w:ascii="宋体" w:hAnsi="宋体" w:eastAsia="宋体" w:cs="宋体"/>
                <w:color w:val="auto"/>
                <w:highlight w:val="none"/>
              </w:rPr>
              <w:t>℃</w:t>
            </w:r>
            <w:r>
              <w:rPr>
                <w:color w:val="auto"/>
                <w:highlight w:val="none"/>
              </w:rPr>
              <w:t>，湿度分辨率：0.1%RH，时间1分钟；</w:t>
            </w:r>
            <w:r>
              <w:rPr>
                <w:rFonts w:hint="eastAsia"/>
                <w:color w:val="auto"/>
                <w:highlight w:val="none"/>
              </w:rPr>
              <w:br w:type="textWrapping"/>
            </w:r>
            <w:r>
              <w:rPr>
                <w:color w:val="auto"/>
                <w:highlight w:val="none"/>
              </w:rPr>
              <w:t>5.2.6设定范围：温度：-70</w:t>
            </w:r>
            <w:r>
              <w:rPr>
                <w:rFonts w:hint="eastAsia" w:ascii="宋体" w:hAnsi="宋体" w:eastAsia="宋体" w:cs="宋体"/>
                <w:color w:val="auto"/>
                <w:highlight w:val="none"/>
              </w:rPr>
              <w:t>℃</w:t>
            </w:r>
            <w:r>
              <w:rPr>
                <w:color w:val="auto"/>
                <w:highlight w:val="none"/>
              </w:rPr>
              <w:t>～+180</w:t>
            </w:r>
            <w:r>
              <w:rPr>
                <w:rFonts w:hint="eastAsia" w:ascii="宋体" w:hAnsi="宋体" w:eastAsia="宋体" w:cs="宋体"/>
                <w:color w:val="auto"/>
                <w:highlight w:val="none"/>
              </w:rPr>
              <w:t>℃</w:t>
            </w:r>
            <w:r>
              <w:rPr>
                <w:color w:val="auto"/>
                <w:highlight w:val="none"/>
              </w:rPr>
              <w:t>；湿度设定范围：0～100%；</w:t>
            </w:r>
            <w:r>
              <w:rPr>
                <w:rFonts w:hint="eastAsia"/>
                <w:color w:val="auto"/>
                <w:highlight w:val="none"/>
              </w:rPr>
              <w:br w:type="textWrapping"/>
            </w:r>
            <w:r>
              <w:rPr>
                <w:color w:val="auto"/>
                <w:highlight w:val="none"/>
              </w:rPr>
              <w:t>5.2.7程序容量：</w:t>
            </w:r>
            <w:r>
              <w:rPr>
                <w:rFonts w:hint="eastAsia"/>
                <w:color w:val="auto"/>
                <w:highlight w:val="none"/>
              </w:rPr>
              <w:t>≥</w:t>
            </w:r>
            <w:r>
              <w:rPr>
                <w:color w:val="auto"/>
                <w:highlight w:val="none"/>
              </w:rPr>
              <w:t>999个可编程程序，每个程序最大999步，程序可以链接；</w:t>
            </w:r>
            <w:r>
              <w:rPr>
                <w:rFonts w:hint="eastAsia"/>
                <w:color w:val="auto"/>
                <w:highlight w:val="none"/>
              </w:rPr>
              <w:br w:type="textWrapping"/>
            </w:r>
            <w:r>
              <w:rPr>
                <w:color w:val="auto"/>
                <w:highlight w:val="none"/>
              </w:rPr>
              <w:t>5.2.8运行方式：定值方式、程序方式；</w:t>
            </w:r>
            <w:r>
              <w:rPr>
                <w:rFonts w:hint="eastAsia"/>
                <w:color w:val="auto"/>
                <w:highlight w:val="none"/>
              </w:rPr>
              <w:br w:type="textWrapping"/>
            </w:r>
            <w:r>
              <w:rPr>
                <w:color w:val="auto"/>
                <w:highlight w:val="none"/>
              </w:rPr>
              <w:t>5.2.9试验数据显示：预设值，测量值，总运行时间，每一段的运行时间和剩余时间，加热状态；</w:t>
            </w:r>
            <w:r>
              <w:rPr>
                <w:rFonts w:hint="eastAsia"/>
                <w:color w:val="auto"/>
                <w:highlight w:val="none"/>
              </w:rPr>
              <w:br w:type="textWrapping"/>
            </w:r>
            <w:r>
              <w:rPr>
                <w:color w:val="auto"/>
                <w:highlight w:val="none"/>
              </w:rPr>
              <w:t>5.2.10故障信息：发生故障时，显示故障状态和可能的原因；</w:t>
            </w:r>
            <w:r>
              <w:rPr>
                <w:rFonts w:hint="eastAsia"/>
                <w:color w:val="auto"/>
                <w:highlight w:val="none"/>
              </w:rPr>
              <w:br w:type="textWrapping"/>
            </w:r>
            <w:r>
              <w:rPr>
                <w:color w:val="auto"/>
                <w:highlight w:val="none"/>
              </w:rPr>
              <w:t>5.2.11配有LAN接口与计算机连接，可通过计算机上安装的上位机软件对试验箱实时监控和数据导入导出；</w:t>
            </w:r>
            <w:r>
              <w:rPr>
                <w:rFonts w:hint="eastAsia"/>
                <w:color w:val="auto"/>
                <w:highlight w:val="none"/>
              </w:rPr>
              <w:br w:type="textWrapping"/>
            </w:r>
            <w:r>
              <w:rPr>
                <w:color w:val="auto"/>
                <w:highlight w:val="none"/>
              </w:rPr>
              <w:t>5.2.12根据不同的试验条件自动选择冷冻机的运行状态；</w:t>
            </w:r>
            <w:r>
              <w:rPr>
                <w:rFonts w:hint="eastAsia"/>
                <w:color w:val="auto"/>
                <w:highlight w:val="none"/>
              </w:rPr>
              <w:br w:type="textWrapping"/>
            </w:r>
            <w:r>
              <w:rPr>
                <w:color w:val="auto"/>
                <w:highlight w:val="none"/>
              </w:rPr>
              <w:t>5.2.13高级功能：定时功能，运行数据记录，PID分区和自动整定，偏差设定，网上帮助等；</w:t>
            </w:r>
            <w:r>
              <w:rPr>
                <w:rFonts w:hint="eastAsia"/>
                <w:color w:val="auto"/>
                <w:highlight w:val="none"/>
              </w:rPr>
              <w:br w:type="textWrapping"/>
            </w:r>
            <w:r>
              <w:rPr>
                <w:color w:val="auto"/>
                <w:highlight w:val="none"/>
              </w:rPr>
              <w:t>5.2.14记录功能：控制器的内存能够自动记录测试曲线和数据，设备状态，报警状态等，并且能够通过USB下载；配备历史数据回放以及转换软件；</w:t>
            </w:r>
            <w:r>
              <w:rPr>
                <w:rFonts w:hint="eastAsia"/>
                <w:color w:val="auto"/>
                <w:highlight w:val="none"/>
              </w:rPr>
              <w:br w:type="textWrapping"/>
            </w:r>
            <w:r>
              <w:rPr>
                <w:color w:val="auto"/>
                <w:highlight w:val="none"/>
              </w:rPr>
              <w:t>5.2.15测试曲线和数据直接查询，不需在SD卡中寻找时间文件再打开，显示屏历史曲线查询中可方便查取每分钟的温湿度数据；</w:t>
            </w:r>
            <w:r>
              <w:rPr>
                <w:rFonts w:hint="eastAsia"/>
                <w:color w:val="auto"/>
                <w:highlight w:val="none"/>
              </w:rPr>
              <w:br w:type="textWrapping"/>
            </w:r>
            <w:r>
              <w:rPr>
                <w:color w:val="auto"/>
                <w:highlight w:val="none"/>
              </w:rPr>
              <w:t>5.2.16方便实用的人机接口，使得操作和调整变得简单便捷；</w:t>
            </w:r>
            <w:r>
              <w:rPr>
                <w:rFonts w:hint="eastAsia"/>
                <w:color w:val="auto"/>
                <w:highlight w:val="none"/>
              </w:rPr>
              <w:br w:type="textWrapping"/>
            </w:r>
            <w:r>
              <w:rPr>
                <w:color w:val="auto"/>
                <w:highlight w:val="none"/>
              </w:rPr>
              <w:t>5.3外部信号输出：</w:t>
            </w:r>
            <w:r>
              <w:rPr>
                <w:rFonts w:hint="eastAsia"/>
                <w:color w:val="auto"/>
                <w:highlight w:val="none"/>
              </w:rPr>
              <w:br w:type="textWrapping"/>
            </w:r>
            <w:r>
              <w:rPr>
                <w:color w:val="auto"/>
                <w:highlight w:val="none"/>
              </w:rPr>
              <w:t>5.3.1三个数字量开关信号输出；</w:t>
            </w:r>
            <w:r>
              <w:rPr>
                <w:rFonts w:hint="eastAsia"/>
                <w:color w:val="auto"/>
                <w:highlight w:val="none"/>
              </w:rPr>
              <w:br w:type="textWrapping"/>
            </w:r>
            <w:r>
              <w:rPr>
                <w:color w:val="auto"/>
                <w:highlight w:val="none"/>
              </w:rPr>
              <w:t>可按照时间节点控制ON/OFF</w:t>
            </w:r>
            <w:r>
              <w:rPr>
                <w:rFonts w:hint="eastAsia"/>
                <w:color w:val="auto"/>
                <w:highlight w:val="none"/>
              </w:rPr>
              <w:br w:type="textWrapping"/>
            </w:r>
            <w:r>
              <w:rPr>
                <w:color w:val="auto"/>
                <w:highlight w:val="none"/>
              </w:rPr>
              <w:t>可按照温度节点控制ON/OFF</w:t>
            </w:r>
            <w:r>
              <w:rPr>
                <w:rFonts w:hint="eastAsia"/>
                <w:color w:val="auto"/>
                <w:highlight w:val="none"/>
              </w:rPr>
              <w:br w:type="textWrapping"/>
            </w:r>
            <w:r>
              <w:rPr>
                <w:color w:val="auto"/>
                <w:highlight w:val="none"/>
              </w:rPr>
              <w:t>6安全保护系统:</w:t>
            </w:r>
            <w:r>
              <w:rPr>
                <w:rFonts w:hint="eastAsia"/>
                <w:color w:val="auto"/>
                <w:highlight w:val="none"/>
              </w:rPr>
              <w:br w:type="textWrapping"/>
            </w:r>
            <w:r>
              <w:rPr>
                <w:color w:val="auto"/>
                <w:highlight w:val="none"/>
              </w:rPr>
              <w:t>6.1所有的电气部分包括保护开关、控制器以及相关的调节器件都集成在电气柜中</w:t>
            </w:r>
            <w:r>
              <w:rPr>
                <w:rFonts w:hint="eastAsia"/>
                <w:color w:val="auto"/>
                <w:highlight w:val="none"/>
              </w:rPr>
              <w:br w:type="textWrapping"/>
            </w:r>
            <w:r>
              <w:rPr>
                <w:color w:val="auto"/>
                <w:highlight w:val="none"/>
              </w:rPr>
              <w:t>6.2电源缺相、相序和过欠压保护</w:t>
            </w:r>
            <w:r>
              <w:rPr>
                <w:rFonts w:hint="eastAsia"/>
                <w:color w:val="auto"/>
                <w:highlight w:val="none"/>
              </w:rPr>
              <w:br w:type="textWrapping"/>
            </w:r>
            <w:r>
              <w:rPr>
                <w:color w:val="auto"/>
                <w:highlight w:val="none"/>
              </w:rPr>
              <w:t>6.3过温和低温保护</w:t>
            </w:r>
            <w:r>
              <w:rPr>
                <w:rFonts w:hint="eastAsia"/>
                <w:color w:val="auto"/>
                <w:highlight w:val="none"/>
              </w:rPr>
              <w:br w:type="textWrapping"/>
            </w:r>
            <w:r>
              <w:rPr>
                <w:color w:val="auto"/>
                <w:highlight w:val="none"/>
              </w:rPr>
              <w:t>6.4加热区过温保护</w:t>
            </w:r>
            <w:r>
              <w:rPr>
                <w:rFonts w:hint="eastAsia"/>
                <w:color w:val="auto"/>
                <w:highlight w:val="none"/>
              </w:rPr>
              <w:br w:type="textWrapping"/>
            </w:r>
            <w:r>
              <w:rPr>
                <w:color w:val="auto"/>
                <w:highlight w:val="none"/>
              </w:rPr>
              <w:t>6.5风机过流保护</w:t>
            </w:r>
            <w:r>
              <w:rPr>
                <w:rFonts w:hint="eastAsia"/>
                <w:color w:val="auto"/>
                <w:highlight w:val="none"/>
              </w:rPr>
              <w:br w:type="textWrapping"/>
            </w:r>
            <w:r>
              <w:rPr>
                <w:color w:val="auto"/>
                <w:highlight w:val="none"/>
              </w:rPr>
              <w:t>6.6压缩机的过压保护</w:t>
            </w:r>
            <w:r>
              <w:rPr>
                <w:rFonts w:hint="eastAsia"/>
                <w:color w:val="auto"/>
                <w:highlight w:val="none"/>
              </w:rPr>
              <w:br w:type="textWrapping"/>
            </w:r>
            <w:r>
              <w:rPr>
                <w:color w:val="auto"/>
                <w:highlight w:val="none"/>
              </w:rPr>
              <w:t>6.7压缩机的过热保护</w:t>
            </w:r>
            <w:r>
              <w:rPr>
                <w:rFonts w:hint="eastAsia"/>
                <w:color w:val="auto"/>
                <w:highlight w:val="none"/>
              </w:rPr>
              <w:br w:type="textWrapping"/>
            </w:r>
            <w:r>
              <w:rPr>
                <w:color w:val="auto"/>
                <w:highlight w:val="none"/>
              </w:rPr>
              <w:t>6.8压缩机过流保护</w:t>
            </w:r>
            <w:r>
              <w:rPr>
                <w:rFonts w:hint="eastAsia"/>
                <w:color w:val="auto"/>
                <w:highlight w:val="none"/>
              </w:rPr>
              <w:br w:type="textWrapping"/>
            </w:r>
            <w:r>
              <w:rPr>
                <w:color w:val="auto"/>
                <w:highlight w:val="none"/>
              </w:rPr>
              <w:t>6.9压缩机油保护</w:t>
            </w:r>
            <w:r>
              <w:rPr>
                <w:rFonts w:hint="eastAsia"/>
                <w:color w:val="auto"/>
                <w:highlight w:val="none"/>
              </w:rPr>
              <w:br w:type="textWrapping"/>
            </w:r>
            <w:r>
              <w:rPr>
                <w:color w:val="auto"/>
                <w:highlight w:val="none"/>
              </w:rPr>
              <w:t>6.10加湿器缺水保护</w:t>
            </w:r>
            <w:r>
              <w:rPr>
                <w:rFonts w:hint="eastAsia"/>
                <w:color w:val="auto"/>
                <w:highlight w:val="none"/>
              </w:rPr>
              <w:br w:type="textWrapping"/>
            </w:r>
            <w:r>
              <w:rPr>
                <w:color w:val="auto"/>
                <w:highlight w:val="none"/>
              </w:rPr>
              <w:t>6.11加湿器过热保护</w:t>
            </w:r>
            <w:r>
              <w:rPr>
                <w:rFonts w:hint="eastAsia"/>
                <w:color w:val="auto"/>
                <w:highlight w:val="none"/>
              </w:rPr>
              <w:br w:type="textWrapping"/>
            </w:r>
            <w:r>
              <w:rPr>
                <w:color w:val="auto"/>
                <w:highlight w:val="none"/>
              </w:rPr>
              <w:t>6.12控制回路和照明回路断路器</w:t>
            </w:r>
            <w:r>
              <w:rPr>
                <w:rFonts w:hint="eastAsia"/>
                <w:color w:val="auto"/>
                <w:highlight w:val="none"/>
              </w:rPr>
              <w:br w:type="textWrapping"/>
            </w:r>
            <w:r>
              <w:rPr>
                <w:color w:val="auto"/>
                <w:highlight w:val="none"/>
              </w:rPr>
              <w:t>6.13急停开关</w:t>
            </w:r>
            <w:r>
              <w:rPr>
                <w:rFonts w:hint="eastAsia"/>
                <w:color w:val="auto"/>
                <w:highlight w:val="none"/>
              </w:rPr>
              <w:br w:type="textWrapping"/>
            </w:r>
            <w:r>
              <w:rPr>
                <w:color w:val="auto"/>
                <w:highlight w:val="none"/>
              </w:rPr>
              <w:t>7设备工作条件:</w:t>
            </w:r>
            <w:r>
              <w:rPr>
                <w:rFonts w:hint="eastAsia"/>
                <w:color w:val="auto"/>
                <w:highlight w:val="none"/>
              </w:rPr>
              <w:br w:type="textWrapping"/>
            </w:r>
            <w:r>
              <w:rPr>
                <w:color w:val="auto"/>
                <w:highlight w:val="none"/>
              </w:rPr>
              <w:t>7.1环境要求：</w:t>
            </w:r>
            <w:r>
              <w:rPr>
                <w:rFonts w:hint="eastAsia"/>
                <w:color w:val="auto"/>
                <w:highlight w:val="none"/>
              </w:rPr>
              <w:br w:type="textWrapping"/>
            </w:r>
            <w:r>
              <w:rPr>
                <w:color w:val="auto"/>
                <w:highlight w:val="none"/>
              </w:rPr>
              <w:t>7.1.1环境温度：+5</w:t>
            </w:r>
            <w:r>
              <w:rPr>
                <w:rFonts w:hint="eastAsia" w:ascii="宋体" w:hAnsi="宋体" w:eastAsia="宋体" w:cs="宋体"/>
                <w:color w:val="auto"/>
                <w:highlight w:val="none"/>
              </w:rPr>
              <w:t>℃</w:t>
            </w:r>
            <w:r>
              <w:rPr>
                <w:color w:val="auto"/>
                <w:highlight w:val="none"/>
              </w:rPr>
              <w:t>～+35</w:t>
            </w:r>
            <w:r>
              <w:rPr>
                <w:rFonts w:hint="eastAsia" w:ascii="宋体" w:hAnsi="宋体" w:eastAsia="宋体" w:cs="宋体"/>
                <w:color w:val="auto"/>
                <w:highlight w:val="none"/>
              </w:rPr>
              <w:t>℃</w:t>
            </w:r>
            <w:r>
              <w:rPr>
                <w:color w:val="auto"/>
                <w:highlight w:val="none"/>
              </w:rPr>
              <w:t>；</w:t>
            </w:r>
            <w:r>
              <w:rPr>
                <w:rFonts w:hint="eastAsia"/>
                <w:color w:val="auto"/>
                <w:highlight w:val="none"/>
              </w:rPr>
              <w:br w:type="textWrapping"/>
            </w:r>
            <w:r>
              <w:rPr>
                <w:color w:val="auto"/>
                <w:highlight w:val="none"/>
              </w:rPr>
              <w:t>7.1.2相对湿度：</w:t>
            </w:r>
            <w:r>
              <w:rPr>
                <w:rFonts w:hint="eastAsia"/>
                <w:color w:val="auto"/>
                <w:highlight w:val="none"/>
              </w:rPr>
              <w:t>≤</w:t>
            </w:r>
            <w:r>
              <w:rPr>
                <w:color w:val="auto"/>
                <w:highlight w:val="none"/>
              </w:rPr>
              <w:t>80%RH；</w:t>
            </w:r>
            <w:r>
              <w:rPr>
                <w:rFonts w:hint="eastAsia"/>
                <w:color w:val="auto"/>
                <w:highlight w:val="none"/>
              </w:rPr>
              <w:br w:type="textWrapping"/>
            </w:r>
            <w:r>
              <w:rPr>
                <w:color w:val="auto"/>
                <w:highlight w:val="none"/>
              </w:rPr>
              <w:t>7.2电源要求：</w:t>
            </w:r>
            <w:r>
              <w:rPr>
                <w:rFonts w:hint="eastAsia"/>
                <w:color w:val="auto"/>
                <w:highlight w:val="none"/>
              </w:rPr>
              <w:br w:type="textWrapping"/>
            </w:r>
            <w:r>
              <w:rPr>
                <w:color w:val="auto"/>
                <w:highlight w:val="none"/>
              </w:rPr>
              <w:t>7.2.1电压：AC380V, 3-phase wires + N + PE (ground wire protection)；</w:t>
            </w:r>
            <w:r>
              <w:rPr>
                <w:rFonts w:hint="eastAsia"/>
                <w:color w:val="auto"/>
                <w:highlight w:val="none"/>
              </w:rPr>
              <w:br w:type="textWrapping"/>
            </w:r>
            <w:r>
              <w:rPr>
                <w:color w:val="auto"/>
                <w:highlight w:val="none"/>
              </w:rPr>
              <w:t>7.2.2频率：50±0.5Hz；</w:t>
            </w:r>
            <w:r>
              <w:rPr>
                <w:rFonts w:hint="eastAsia"/>
                <w:color w:val="auto"/>
                <w:highlight w:val="none"/>
              </w:rPr>
              <w:br w:type="textWrapping"/>
            </w:r>
            <w:r>
              <w:rPr>
                <w:color w:val="auto"/>
                <w:highlight w:val="none"/>
              </w:rPr>
              <w:t>7.2.3最大功率：</w:t>
            </w:r>
            <w:r>
              <w:rPr>
                <w:rFonts w:hint="eastAsia"/>
                <w:color w:val="auto"/>
                <w:highlight w:val="none"/>
              </w:rPr>
              <w:t>≤</w:t>
            </w:r>
            <w:r>
              <w:rPr>
                <w:color w:val="auto"/>
                <w:highlight w:val="none"/>
              </w:rPr>
              <w:t>17KW；</w:t>
            </w:r>
            <w:r>
              <w:rPr>
                <w:rFonts w:hint="eastAsia"/>
                <w:color w:val="auto"/>
                <w:highlight w:val="none"/>
              </w:rPr>
              <w:br w:type="textWrapping"/>
            </w:r>
            <w:r>
              <w:rPr>
                <w:color w:val="auto"/>
                <w:highlight w:val="none"/>
              </w:rPr>
              <w:t>7.2.4最大电流：</w:t>
            </w:r>
            <w:r>
              <w:rPr>
                <w:rFonts w:hint="eastAsia"/>
                <w:color w:val="auto"/>
                <w:highlight w:val="none"/>
              </w:rPr>
              <w:t>≤</w:t>
            </w:r>
            <w:r>
              <w:rPr>
                <w:color w:val="auto"/>
                <w:highlight w:val="none"/>
              </w:rPr>
              <w:t>34A；</w:t>
            </w:r>
            <w:r>
              <w:rPr>
                <w:rFonts w:hint="eastAsia"/>
                <w:color w:val="auto"/>
                <w:highlight w:val="none"/>
              </w:rPr>
              <w:br w:type="textWrapping"/>
            </w:r>
            <w:r>
              <w:rPr>
                <w:color w:val="auto"/>
                <w:highlight w:val="none"/>
              </w:rPr>
              <w:t>7.3加湿水要求：</w:t>
            </w:r>
            <w:r>
              <w:rPr>
                <w:rFonts w:hint="eastAsia"/>
                <w:color w:val="auto"/>
                <w:highlight w:val="none"/>
              </w:rPr>
              <w:br w:type="textWrapping"/>
            </w:r>
            <w:r>
              <w:rPr>
                <w:color w:val="auto"/>
                <w:highlight w:val="none"/>
              </w:rPr>
              <w:t>7.3.1最大耗水量：3/h；</w:t>
            </w:r>
            <w:r>
              <w:rPr>
                <w:rFonts w:hint="eastAsia"/>
                <w:color w:val="auto"/>
                <w:highlight w:val="none"/>
              </w:rPr>
              <w:br w:type="textWrapping"/>
            </w:r>
            <w:r>
              <w:rPr>
                <w:color w:val="auto"/>
                <w:highlight w:val="none"/>
              </w:rPr>
              <w:t>7.3.2电导率：满足一级水要求；</w:t>
            </w:r>
            <w:r>
              <w:rPr>
                <w:rFonts w:hint="eastAsia"/>
                <w:color w:val="auto"/>
                <w:highlight w:val="none"/>
              </w:rPr>
              <w:br w:type="textWrapping"/>
            </w:r>
            <w:r>
              <w:rPr>
                <w:color w:val="auto"/>
                <w:highlight w:val="none"/>
              </w:rPr>
              <w:t>7.3.3硬度： 满足一级水要求； (1.5mg/L,</w:t>
            </w:r>
            <w:r>
              <w:rPr>
                <w:rFonts w:hint="eastAsia"/>
                <w:color w:val="auto"/>
                <w:highlight w:val="none"/>
              </w:rPr>
              <w:t xml:space="preserve"> </w:t>
            </w:r>
            <w:r>
              <w:rPr>
                <w:color w:val="auto"/>
                <w:highlight w:val="none"/>
              </w:rPr>
              <w:t>测量标准为碳酸钙)</w:t>
            </w:r>
            <w:r>
              <w:rPr>
                <w:rFonts w:hint="eastAsia"/>
                <w:color w:val="auto"/>
                <w:highlight w:val="none"/>
              </w:rPr>
              <w:br w:type="textWrapping"/>
            </w:r>
            <w:r>
              <w:rPr>
                <w:rFonts w:hint="eastAsia"/>
                <w:color w:val="auto"/>
                <w:highlight w:val="none"/>
                <w:lang w:val="en-US" w:eastAsia="zh-CN"/>
              </w:rPr>
              <w:t xml:space="preserve">8. </w:t>
            </w:r>
            <w:r>
              <w:rPr>
                <w:color w:val="auto"/>
                <w:highlight w:val="none"/>
              </w:rPr>
              <w:t>外配纯水机一台，需要满足一级实验水，去离子水中99.99%的杂质离子，水质≤0.1um/cm，自动补水要求。</w:t>
            </w:r>
            <w:r>
              <w:rPr>
                <w:rFonts w:hint="eastAsia"/>
                <w:color w:val="auto"/>
                <w:highlight w:val="none"/>
              </w:rPr>
              <w:br w:type="textWrapping"/>
            </w:r>
            <w:r>
              <w:rPr>
                <w:color w:val="auto"/>
                <w:highlight w:val="none"/>
              </w:rPr>
              <w:t>9</w:t>
            </w:r>
            <w:r>
              <w:rPr>
                <w:rFonts w:hint="eastAsia"/>
                <w:color w:val="auto"/>
                <w:highlight w:val="none"/>
                <w:lang w:val="en-US" w:eastAsia="zh-CN"/>
              </w:rPr>
              <w:t>.</w:t>
            </w:r>
            <w:r>
              <w:rPr>
                <w:color w:val="auto"/>
                <w:highlight w:val="none"/>
              </w:rPr>
              <w:t>附件:合格证书：1 份，质保证书：1 份，操作手册：1 份，电气原理图：1 份，上位机软件：1 份</w:t>
            </w:r>
            <w:r>
              <w:rPr>
                <w:rFonts w:hint="eastAsia"/>
                <w:color w:val="auto"/>
                <w:highlight w:val="none"/>
              </w:rPr>
              <w:br w:type="textWrapping"/>
            </w:r>
            <w:r>
              <w:rPr>
                <w:rFonts w:hint="eastAsia"/>
                <w:color w:val="auto"/>
                <w:highlight w:val="none"/>
              </w:rPr>
              <w:t xml:space="preserve">10. </w:t>
            </w: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提供合格检定/校准证书</w:t>
            </w:r>
            <w:r>
              <w:rPr>
                <w:rFonts w:hint="eastAsia"/>
                <w:color w:val="auto"/>
                <w:highlight w:val="none"/>
                <w:lang w:eastAsia="zh-CN"/>
              </w:rPr>
              <w:t>（</w:t>
            </w:r>
            <w:r>
              <w:rPr>
                <w:rFonts w:hint="eastAsia"/>
                <w:color w:val="auto"/>
                <w:highlight w:val="none"/>
                <w:lang w:val="en-US" w:eastAsia="zh-CN"/>
              </w:rPr>
              <w:t>校准参数包括但不限于:</w:t>
            </w:r>
            <w:r>
              <w:rPr>
                <w:color w:val="auto"/>
                <w:highlight w:val="none"/>
              </w:rPr>
              <w:t>最高温度和最低温度</w:t>
            </w:r>
            <w:r>
              <w:rPr>
                <w:rFonts w:hint="eastAsia"/>
                <w:color w:val="auto"/>
                <w:highlight w:val="none"/>
                <w:lang w:eastAsia="zh-CN"/>
              </w:rPr>
              <w:t>、</w:t>
            </w:r>
            <w:r>
              <w:rPr>
                <w:color w:val="auto"/>
                <w:highlight w:val="none"/>
              </w:rPr>
              <w:t>温度上升和下降时间</w:t>
            </w:r>
            <w:r>
              <w:rPr>
                <w:rFonts w:hint="eastAsia"/>
                <w:color w:val="auto"/>
                <w:highlight w:val="none"/>
                <w:lang w:eastAsia="zh-CN"/>
              </w:rPr>
              <w:t>、</w:t>
            </w:r>
            <w:r>
              <w:rPr>
                <w:color w:val="auto"/>
                <w:highlight w:val="none"/>
              </w:rPr>
              <w:t>典型湿度工况</w:t>
            </w:r>
            <w:r>
              <w:rPr>
                <w:rFonts w:hint="eastAsia"/>
                <w:color w:val="auto"/>
                <w:highlight w:val="none"/>
                <w:lang w:val="en-US" w:eastAsia="zh-CN"/>
              </w:rPr>
              <w:t>)</w:t>
            </w:r>
          </w:p>
        </w:tc>
        <w:tc>
          <w:tcPr>
            <w:tcW w:w="750" w:type="dxa"/>
          </w:tcPr>
          <w:p w14:paraId="7C9CFBCE">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7839B5D1">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140000</w:t>
            </w:r>
          </w:p>
        </w:tc>
      </w:tr>
      <w:tr w14:paraId="5BD8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4" w:hRule="atLeast"/>
        </w:trPr>
        <w:tc>
          <w:tcPr>
            <w:tcW w:w="688" w:type="dxa"/>
            <w:noWrap/>
          </w:tcPr>
          <w:p w14:paraId="311D7A10">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lang w:val="en-US" w:eastAsia="zh-CN"/>
              </w:rPr>
              <w:t>7</w:t>
            </w:r>
          </w:p>
        </w:tc>
        <w:tc>
          <w:tcPr>
            <w:tcW w:w="1233" w:type="dxa"/>
          </w:tcPr>
          <w:p w14:paraId="275EB74C">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残余电压测试仪</w:t>
            </w:r>
          </w:p>
        </w:tc>
        <w:tc>
          <w:tcPr>
            <w:tcW w:w="5369" w:type="dxa"/>
          </w:tcPr>
          <w:p w14:paraId="1CF6C2B7">
            <w:pPr>
              <w:keepNext w:val="0"/>
              <w:keepLines w:val="0"/>
              <w:pageBreakBefore w:val="0"/>
              <w:widowControl w:val="0"/>
              <w:kinsoku/>
              <w:wordWrap w:val="0"/>
              <w:overflowPunct/>
              <w:topLinePunct w:val="0"/>
              <w:autoSpaceDE/>
              <w:autoSpaceDN/>
              <w:bidi w:val="0"/>
              <w:adjustRightInd/>
              <w:snapToGrid/>
              <w:textAlignment w:val="auto"/>
              <w:rPr>
                <w:rFonts w:hint="eastAsia"/>
                <w:color w:val="auto"/>
                <w:highlight w:val="none"/>
              </w:rPr>
            </w:pPr>
            <w:r>
              <w:rPr>
                <w:rFonts w:hint="eastAsia"/>
                <w:color w:val="auto"/>
                <w:highlight w:val="none"/>
              </w:rPr>
              <w:t>满足GB4706.1</w:t>
            </w:r>
            <w:r>
              <w:rPr>
                <w:rFonts w:hint="eastAsia"/>
                <w:color w:val="auto"/>
                <w:highlight w:val="none"/>
                <w:lang w:eastAsia="zh-CN"/>
              </w:rPr>
              <w:t>、</w:t>
            </w:r>
            <w:r>
              <w:rPr>
                <w:rFonts w:hint="eastAsia"/>
                <w:color w:val="auto"/>
                <w:highlight w:val="none"/>
              </w:rPr>
              <w:t xml:space="preserve">GB4943. 1 </w:t>
            </w:r>
            <w:r>
              <w:rPr>
                <w:rFonts w:hint="eastAsia"/>
                <w:color w:val="auto"/>
                <w:highlight w:val="none"/>
                <w:lang w:eastAsia="zh-CN"/>
              </w:rPr>
              <w:t>、</w:t>
            </w:r>
            <w:r>
              <w:rPr>
                <w:rFonts w:hint="eastAsia"/>
                <w:color w:val="auto"/>
                <w:highlight w:val="none"/>
              </w:rPr>
              <w:t>GB9706. 1、GB8898、GB7000、GB4793. 1 标准要求</w:t>
            </w:r>
            <w:r>
              <w:rPr>
                <w:rFonts w:hint="eastAsia"/>
                <w:color w:val="auto"/>
                <w:highlight w:val="none"/>
                <w:lang w:eastAsia="zh-CN"/>
              </w:rPr>
              <w:t>，</w:t>
            </w:r>
            <w:r>
              <w:rPr>
                <w:rFonts w:hint="eastAsia"/>
                <w:color w:val="auto"/>
                <w:highlight w:val="none"/>
              </w:rPr>
              <w:t>可自行选择</w:t>
            </w:r>
            <w:r>
              <w:rPr>
                <w:rFonts w:hint="eastAsia"/>
                <w:color w:val="auto"/>
                <w:highlight w:val="none"/>
                <w:lang w:eastAsia="zh-CN"/>
              </w:rPr>
              <w:t>。</w:t>
            </w:r>
            <w:r>
              <w:rPr>
                <w:rFonts w:hint="eastAsia"/>
                <w:color w:val="auto"/>
                <w:highlight w:val="none"/>
              </w:rPr>
              <w:br w:type="textWrapping"/>
            </w:r>
            <w:r>
              <w:rPr>
                <w:rFonts w:hint="eastAsia"/>
                <w:color w:val="auto"/>
                <w:highlight w:val="none"/>
              </w:rPr>
              <w:t>1</w:t>
            </w:r>
            <w:r>
              <w:rPr>
                <w:rFonts w:hint="eastAsia"/>
                <w:color w:val="auto"/>
                <w:highlight w:val="none"/>
                <w:lang w:val="en-US" w:eastAsia="zh-CN"/>
              </w:rPr>
              <w:t>.</w:t>
            </w:r>
            <w:r>
              <w:rPr>
                <w:rFonts w:hint="eastAsia"/>
                <w:color w:val="auto"/>
                <w:highlight w:val="none"/>
              </w:rPr>
              <w:t>工作电源:</w:t>
            </w:r>
            <w:r>
              <w:rPr>
                <w:rFonts w:hint="eastAsia"/>
                <w:color w:val="auto"/>
                <w:highlight w:val="none"/>
                <w:lang w:val="en-US" w:eastAsia="zh-CN"/>
              </w:rPr>
              <w:t xml:space="preserve"> </w:t>
            </w:r>
            <w:r>
              <w:rPr>
                <w:rFonts w:hint="eastAsia"/>
                <w:color w:val="auto"/>
                <w:highlight w:val="none"/>
              </w:rPr>
              <w:t xml:space="preserve">85V-265V 5O/60Hz </w:t>
            </w:r>
            <w:r>
              <w:rPr>
                <w:rFonts w:hint="eastAsia"/>
                <w:color w:val="auto"/>
                <w:highlight w:val="none"/>
              </w:rPr>
              <w:br w:type="textWrapping"/>
            </w:r>
            <w:r>
              <w:rPr>
                <w:rFonts w:hint="eastAsia"/>
                <w:color w:val="auto"/>
                <w:highlight w:val="none"/>
              </w:rPr>
              <w:t>2</w:t>
            </w:r>
            <w:r>
              <w:rPr>
                <w:rFonts w:hint="eastAsia"/>
                <w:color w:val="auto"/>
                <w:highlight w:val="none"/>
                <w:lang w:val="en-US" w:eastAsia="zh-CN"/>
              </w:rPr>
              <w:t>.</w:t>
            </w:r>
            <w:r>
              <w:rPr>
                <w:rFonts w:hint="eastAsia"/>
                <w:color w:val="auto"/>
                <w:highlight w:val="none"/>
              </w:rPr>
              <w:t>工作环境:</w:t>
            </w:r>
            <w:r>
              <w:rPr>
                <w:rFonts w:hint="eastAsia"/>
                <w:color w:val="auto"/>
                <w:highlight w:val="none"/>
                <w:lang w:val="en-US" w:eastAsia="zh-CN"/>
              </w:rPr>
              <w:t xml:space="preserve"> </w:t>
            </w:r>
            <w:r>
              <w:rPr>
                <w:rFonts w:hint="eastAsia"/>
                <w:color w:val="auto"/>
                <w:highlight w:val="none"/>
              </w:rPr>
              <w:t>空气温度 常温、(相对湿度 90 ％无腐蚀性气体的场所 ）</w:t>
            </w:r>
            <w:r>
              <w:rPr>
                <w:rFonts w:hint="eastAsia"/>
                <w:color w:val="auto"/>
                <w:highlight w:val="none"/>
              </w:rPr>
              <w:br w:type="textWrapping"/>
            </w:r>
            <w:r>
              <w:rPr>
                <w:rFonts w:hint="eastAsia"/>
                <w:color w:val="auto"/>
                <w:highlight w:val="none"/>
              </w:rPr>
              <w:t>3</w:t>
            </w:r>
            <w:r>
              <w:rPr>
                <w:rFonts w:hint="eastAsia"/>
                <w:color w:val="auto"/>
                <w:highlight w:val="none"/>
                <w:lang w:val="en-US" w:eastAsia="zh-CN"/>
              </w:rPr>
              <w:t>.</w:t>
            </w:r>
            <w:r>
              <w:rPr>
                <w:rFonts w:hint="eastAsia"/>
                <w:color w:val="auto"/>
                <w:highlight w:val="none"/>
              </w:rPr>
              <w:t xml:space="preserve">交流输出电压：85V - 265V士1％， 电流范围：至少0-8A/15A </w:t>
            </w:r>
            <w:r>
              <w:rPr>
                <w:rFonts w:hint="eastAsia"/>
                <w:color w:val="auto"/>
                <w:highlight w:val="none"/>
              </w:rPr>
              <w:br w:type="textWrapping"/>
            </w:r>
            <w:r>
              <w:rPr>
                <w:rFonts w:hint="eastAsia"/>
                <w:color w:val="auto"/>
                <w:highlight w:val="none"/>
              </w:rPr>
              <w:t>4</w:t>
            </w:r>
            <w:r>
              <w:rPr>
                <w:rFonts w:hint="eastAsia"/>
                <w:color w:val="auto"/>
                <w:highlight w:val="none"/>
                <w:lang w:val="en-US" w:eastAsia="zh-CN"/>
              </w:rPr>
              <w:t>.</w:t>
            </w:r>
            <w:r>
              <w:rPr>
                <w:rFonts w:hint="eastAsia"/>
                <w:color w:val="auto"/>
                <w:highlight w:val="none"/>
              </w:rPr>
              <w:t>测试相角：可调</w:t>
            </w:r>
            <w:r>
              <w:rPr>
                <w:rFonts w:hint="eastAsia"/>
                <w:color w:val="auto"/>
                <w:highlight w:val="none"/>
              </w:rPr>
              <w:br w:type="textWrapping"/>
            </w:r>
            <w:r>
              <w:rPr>
                <w:rFonts w:hint="eastAsia"/>
                <w:color w:val="auto"/>
                <w:highlight w:val="none"/>
              </w:rPr>
              <w:t>5</w:t>
            </w:r>
            <w:r>
              <w:rPr>
                <w:rFonts w:hint="eastAsia"/>
                <w:color w:val="auto"/>
                <w:highlight w:val="none"/>
                <w:lang w:val="en-US" w:eastAsia="zh-CN"/>
              </w:rPr>
              <w:t>.</w:t>
            </w:r>
            <w:r>
              <w:rPr>
                <w:rFonts w:hint="eastAsia"/>
                <w:color w:val="auto"/>
                <w:highlight w:val="none"/>
              </w:rPr>
              <w:t xml:space="preserve">测量延时范围：99-60000ms </w:t>
            </w:r>
            <w:r>
              <w:rPr>
                <w:rFonts w:hint="eastAsia"/>
                <w:color w:val="auto"/>
                <w:highlight w:val="none"/>
                <w:lang w:eastAsia="zh-CN"/>
              </w:rPr>
              <w:t>。</w:t>
            </w:r>
            <w:r>
              <w:rPr>
                <w:rFonts w:hint="eastAsia"/>
                <w:color w:val="auto"/>
                <w:highlight w:val="none"/>
              </w:rPr>
              <w:t>测试时间精度：优于±1% (≥1s)、±10ms (＜1s)。</w:t>
            </w:r>
            <w:r>
              <w:rPr>
                <w:rFonts w:hint="eastAsia"/>
                <w:color w:val="auto"/>
                <w:highlight w:val="none"/>
              </w:rPr>
              <w:br w:type="textWrapping"/>
            </w:r>
            <w:r>
              <w:rPr>
                <w:rFonts w:hint="eastAsia"/>
                <w:color w:val="auto"/>
                <w:highlight w:val="none"/>
              </w:rPr>
              <w:t>6</w:t>
            </w:r>
            <w:r>
              <w:rPr>
                <w:rFonts w:hint="eastAsia"/>
                <w:color w:val="auto"/>
                <w:highlight w:val="none"/>
                <w:lang w:val="en-US" w:eastAsia="zh-CN"/>
              </w:rPr>
              <w:t>.</w:t>
            </w:r>
            <w:r>
              <w:rPr>
                <w:rFonts w:hint="eastAsia"/>
                <w:color w:val="auto"/>
                <w:highlight w:val="none"/>
              </w:rPr>
              <w:t>残余电压检测：0- 320V士1% 交流峰值侦测精度：至少在5%峰值电压内断开。残余电压量程</w:t>
            </w:r>
            <w:r>
              <w:rPr>
                <w:rFonts w:hint="eastAsia"/>
                <w:color w:val="auto"/>
                <w:highlight w:val="none"/>
                <w:lang w:val="en-US" w:eastAsia="zh-CN"/>
              </w:rPr>
              <w:t>可</w:t>
            </w:r>
            <w:r>
              <w:rPr>
                <w:rFonts w:hint="eastAsia"/>
                <w:color w:val="auto"/>
                <w:highlight w:val="none"/>
              </w:rPr>
              <w:t>设置。</w:t>
            </w:r>
            <w:r>
              <w:rPr>
                <w:rFonts w:hint="eastAsia"/>
                <w:color w:val="auto"/>
                <w:highlight w:val="none"/>
              </w:rPr>
              <w:br w:type="textWrapping"/>
            </w:r>
            <w:r>
              <w:rPr>
                <w:rFonts w:hint="eastAsia"/>
                <w:color w:val="auto"/>
                <w:highlight w:val="none"/>
              </w:rPr>
              <w:t>7.电压精度：优于±1.5%量程; ±2%±0.8V (峰值高达381V)</w:t>
            </w:r>
            <w:r>
              <w:rPr>
                <w:rFonts w:hint="eastAsia"/>
                <w:color w:val="auto"/>
                <w:highlight w:val="none"/>
              </w:rPr>
              <w:br w:type="textWrapping"/>
            </w:r>
            <w:r>
              <w:rPr>
                <w:rFonts w:hint="eastAsia"/>
                <w:color w:val="auto"/>
                <w:highlight w:val="none"/>
              </w:rPr>
              <w:t xml:space="preserve">8.电压分辨率：≤1 V </w:t>
            </w:r>
            <w:r>
              <w:rPr>
                <w:rFonts w:hint="eastAsia"/>
                <w:color w:val="auto"/>
                <w:highlight w:val="none"/>
              </w:rPr>
              <w:br w:type="textWrapping"/>
            </w:r>
            <w:r>
              <w:rPr>
                <w:rFonts w:hint="eastAsia"/>
                <w:color w:val="auto"/>
                <w:highlight w:val="none"/>
              </w:rPr>
              <w:t>9.工作周期：全程100%抓取数据，无遗漏</w:t>
            </w:r>
            <w:r>
              <w:rPr>
                <w:rFonts w:hint="eastAsia"/>
                <w:color w:val="auto"/>
                <w:highlight w:val="none"/>
              </w:rPr>
              <w:br w:type="textWrapping"/>
            </w:r>
            <w:r>
              <w:rPr>
                <w:rFonts w:hint="eastAsia"/>
                <w:color w:val="auto"/>
                <w:highlight w:val="none"/>
              </w:rPr>
              <w:t>10.</w:t>
            </w:r>
            <w:r>
              <w:rPr>
                <w:rFonts w:hint="eastAsia"/>
                <w:color w:val="auto"/>
                <w:highlight w:val="none"/>
                <w:lang w:val="en-US" w:eastAsia="zh-CN"/>
              </w:rPr>
              <w:t xml:space="preserve"> </w:t>
            </w:r>
            <w:r>
              <w:rPr>
                <w:rFonts w:hint="eastAsia"/>
                <w:color w:val="auto"/>
                <w:highlight w:val="none"/>
              </w:rPr>
              <w:t>带有BNC接口，供示波器进行波形验证</w:t>
            </w:r>
            <w:r>
              <w:rPr>
                <w:rFonts w:hint="eastAsia"/>
                <w:color w:val="auto"/>
                <w:highlight w:val="none"/>
                <w:lang w:eastAsia="zh-CN"/>
              </w:rPr>
              <w:t>。</w:t>
            </w:r>
            <w:r>
              <w:rPr>
                <w:rFonts w:hint="eastAsia"/>
                <w:color w:val="auto"/>
                <w:highlight w:val="none"/>
              </w:rPr>
              <w:br w:type="textWrapping"/>
            </w:r>
            <w:r>
              <w:rPr>
                <w:rFonts w:hint="eastAsia"/>
                <w:color w:val="auto"/>
                <w:highlight w:val="none"/>
                <w:lang w:val="en-US" w:eastAsia="zh-CN"/>
              </w:rPr>
              <w:t>11.</w:t>
            </w:r>
            <w:r>
              <w:rPr>
                <w:rFonts w:hint="eastAsia" w:ascii="宋体" w:hAnsi="宋体" w:eastAsia="宋体" w:cs="宋体"/>
                <w:snapToGrid w:val="0"/>
                <w:color w:val="auto"/>
                <w:spacing w:val="0"/>
                <w:kern w:val="0"/>
                <w:position w:val="0"/>
                <w:sz w:val="21"/>
                <w:szCs w:val="21"/>
                <w:highlight w:val="none"/>
                <w:lang w:val="en-US" w:eastAsia="zh-CN" w:bidi="ar"/>
              </w:rPr>
              <w:t>交货时</w:t>
            </w:r>
            <w:r>
              <w:rPr>
                <w:rFonts w:hint="eastAsia"/>
                <w:color w:val="auto"/>
                <w:highlight w:val="none"/>
              </w:rPr>
              <w:t>提供合格检定/校准证书。</w:t>
            </w:r>
          </w:p>
        </w:tc>
        <w:tc>
          <w:tcPr>
            <w:tcW w:w="750" w:type="dxa"/>
          </w:tcPr>
          <w:p w14:paraId="17AA5DA4">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38A5F6EA">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13000</w:t>
            </w:r>
          </w:p>
        </w:tc>
      </w:tr>
      <w:tr w14:paraId="0CD2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88" w:type="dxa"/>
            <w:noWrap/>
          </w:tcPr>
          <w:p w14:paraId="036F8FA7">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lang w:val="en-US" w:eastAsia="zh-CN"/>
              </w:rPr>
              <w:t>8</w:t>
            </w:r>
          </w:p>
        </w:tc>
        <w:tc>
          <w:tcPr>
            <w:tcW w:w="1233" w:type="dxa"/>
          </w:tcPr>
          <w:p w14:paraId="2342F64E">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数显读数显微镜</w:t>
            </w:r>
          </w:p>
        </w:tc>
        <w:tc>
          <w:tcPr>
            <w:tcW w:w="5369" w:type="dxa"/>
          </w:tcPr>
          <w:p w14:paraId="36BBE420">
            <w:pPr>
              <w:ind w:firstLine="420" w:firstLineChars="200"/>
              <w:rPr>
                <w:rFonts w:hint="eastAsia"/>
                <w:color w:val="auto"/>
                <w:highlight w:val="none"/>
                <w:lang w:eastAsia="zh-CN"/>
              </w:rPr>
            </w:pPr>
            <w:r>
              <w:rPr>
                <w:rFonts w:hint="eastAsia"/>
                <w:color w:val="auto"/>
                <w:highlight w:val="none"/>
              </w:rPr>
              <w:t>是光学计量仪器</w:t>
            </w:r>
            <w:r>
              <w:rPr>
                <w:rFonts w:hint="eastAsia"/>
                <w:color w:val="auto"/>
                <w:highlight w:val="none"/>
                <w:lang w:val="en-US" w:eastAsia="zh-CN"/>
              </w:rPr>
              <w:t>的</w:t>
            </w:r>
            <w:r>
              <w:rPr>
                <w:rFonts w:hint="eastAsia"/>
                <w:color w:val="auto"/>
                <w:highlight w:val="none"/>
              </w:rPr>
              <w:t>一种，其测量工作台可沿X、Y向移动，并绕垂轴旋转，X、Y向的移动距离可从数显读数装置上读取，旋转角度通过度盘和游标读取</w:t>
            </w:r>
            <w:r>
              <w:rPr>
                <w:rFonts w:hint="eastAsia"/>
                <w:color w:val="auto"/>
                <w:highlight w:val="none"/>
                <w:lang w:eastAsia="zh-CN"/>
              </w:rPr>
              <w:t>。</w:t>
            </w:r>
          </w:p>
          <w:p w14:paraId="717BA5F0">
            <w:pPr>
              <w:numPr>
                <w:ilvl w:val="0"/>
                <w:numId w:val="2"/>
              </w:numPr>
              <w:ind w:left="105" w:leftChars="0" w:firstLine="0" w:firstLineChars="0"/>
              <w:rPr>
                <w:rFonts w:hint="eastAsia"/>
                <w:color w:val="auto"/>
                <w:highlight w:val="none"/>
                <w:lang w:val="en-US" w:eastAsia="zh-CN"/>
              </w:rPr>
            </w:pPr>
            <w:r>
              <w:rPr>
                <w:rFonts w:hint="eastAsia"/>
                <w:color w:val="auto"/>
                <w:highlight w:val="none"/>
              </w:rPr>
              <w:t>主要用途如下:</w:t>
            </w:r>
            <w:r>
              <w:rPr>
                <w:rFonts w:hint="eastAsia"/>
                <w:color w:val="auto"/>
                <w:highlight w:val="none"/>
              </w:rPr>
              <w:br w:type="textWrapping"/>
            </w:r>
            <w:r>
              <w:rPr>
                <w:rFonts w:hint="eastAsia"/>
                <w:color w:val="auto"/>
                <w:highlight w:val="none"/>
              </w:rPr>
              <w:t>1.直角坐标中测定长度，例如测定孔距、基面距离、刻线距离、刻线宽度、键槽宽度、狭缝宽度、通孔外圆直径等等:</w:t>
            </w:r>
            <w:r>
              <w:rPr>
                <w:rFonts w:hint="eastAsia"/>
                <w:color w:val="auto"/>
                <w:highlight w:val="none"/>
              </w:rPr>
              <w:br w:type="textWrapping"/>
            </w:r>
            <w:r>
              <w:rPr>
                <w:rFonts w:hint="eastAsia"/>
                <w:color w:val="auto"/>
                <w:highlight w:val="none"/>
              </w:rPr>
              <w:t>2.转动度盘测定角度，例如对刻度盘、样板、量规、钻孔模板及几何形状复杂的零件进行角度测量;</w:t>
            </w:r>
            <w:r>
              <w:rPr>
                <w:rFonts w:hint="eastAsia"/>
                <w:color w:val="auto"/>
                <w:highlight w:val="none"/>
              </w:rPr>
              <w:br w:type="textWrapping"/>
            </w:r>
            <w:r>
              <w:rPr>
                <w:rFonts w:hint="eastAsia"/>
                <w:color w:val="auto"/>
                <w:highlight w:val="none"/>
              </w:rPr>
              <w:t>3.用作观察显微镜，以比较法检测工作表面粗糙度、鉴定冶金工业的矿石标本、检定印刷照相制板、检验纺织纤维等等。本显微镜采用LED上下可调光源。X、Y测量结果均采用3”TFT显示屏直读，公英制转换</w:t>
            </w:r>
            <w:r>
              <w:rPr>
                <w:rFonts w:hint="eastAsia"/>
                <w:color w:val="auto"/>
                <w:highlight w:val="none"/>
              </w:rPr>
              <w:br w:type="textWrapping"/>
            </w:r>
            <w:r>
              <w:rPr>
                <w:rFonts w:hint="eastAsia"/>
                <w:color w:val="auto"/>
                <w:highlight w:val="none"/>
              </w:rPr>
              <w:t>光学系统规格:目镜:10X 带十字尺 焦距：25.00mm 物镜 :2.5X/0.08 焦距：43.40mm:10X/0.25 焦距：17.13mm,显微镜放大倍数:5X, 100X</w:t>
            </w:r>
            <w:r>
              <w:rPr>
                <w:rFonts w:hint="eastAsia"/>
                <w:color w:val="auto"/>
                <w:highlight w:val="none"/>
              </w:rPr>
              <w:br w:type="textWrapping"/>
            </w:r>
            <w:r>
              <w:rPr>
                <w:rFonts w:hint="eastAsia"/>
                <w:color w:val="auto"/>
                <w:highlight w:val="none"/>
                <w:lang w:val="en-US" w:eastAsia="zh-CN"/>
              </w:rPr>
              <w:t>二、主要参数</w:t>
            </w:r>
          </w:p>
          <w:p w14:paraId="3C0A5714">
            <w:pPr>
              <w:keepNext w:val="0"/>
              <w:keepLines w:val="0"/>
              <w:pageBreakBefore w:val="0"/>
              <w:widowControl w:val="0"/>
              <w:numPr>
                <w:ilvl w:val="0"/>
                <w:numId w:val="0"/>
              </w:numPr>
              <w:kinsoku/>
              <w:wordWrap w:val="0"/>
              <w:overflowPunct/>
              <w:topLinePunct w:val="0"/>
              <w:autoSpaceDE/>
              <w:autoSpaceDN/>
              <w:bidi w:val="0"/>
              <w:adjustRightInd/>
              <w:snapToGrid/>
              <w:ind w:left="105" w:leftChars="0"/>
              <w:textAlignment w:val="auto"/>
              <w:rPr>
                <w:color w:val="auto"/>
                <w:highlight w:val="none"/>
              </w:rPr>
            </w:pPr>
            <w:r>
              <w:rPr>
                <w:rFonts w:hint="eastAsia"/>
                <w:color w:val="auto"/>
                <w:highlight w:val="none"/>
              </w:rPr>
              <w:t>1.测量范围</w:t>
            </w:r>
            <w:r>
              <w:rPr>
                <w:rFonts w:hint="eastAsia"/>
                <w:color w:val="auto"/>
                <w:highlight w:val="none"/>
              </w:rPr>
              <w:br w:type="textWrapping"/>
            </w:r>
            <w:r>
              <w:rPr>
                <w:rFonts w:hint="eastAsia"/>
                <w:color w:val="auto"/>
                <w:highlight w:val="none"/>
              </w:rPr>
              <w:t>(1)工作台测量范围X向＞50mm  Y向＞13mm</w:t>
            </w:r>
            <w:r>
              <w:rPr>
                <w:rFonts w:hint="eastAsia"/>
                <w:color w:val="auto"/>
                <w:highlight w:val="none"/>
              </w:rPr>
              <w:br w:type="textWrapping"/>
            </w:r>
            <w:r>
              <w:rPr>
                <w:rFonts w:hint="eastAsia"/>
                <w:color w:val="auto"/>
                <w:highlight w:val="none"/>
              </w:rPr>
              <w:t>(2)圆工作台角度测量范围：0~360°</w:t>
            </w:r>
            <w:r>
              <w:rPr>
                <w:rFonts w:hint="eastAsia"/>
                <w:color w:val="auto"/>
                <w:highlight w:val="none"/>
              </w:rPr>
              <w:br w:type="textWrapping"/>
            </w:r>
            <w:r>
              <w:rPr>
                <w:rFonts w:hint="eastAsia"/>
                <w:color w:val="auto"/>
                <w:highlight w:val="none"/>
              </w:rPr>
              <w:t>2.分度值</w:t>
            </w:r>
            <w:r>
              <w:rPr>
                <w:rFonts w:hint="eastAsia"/>
                <w:color w:val="auto"/>
                <w:highlight w:val="none"/>
              </w:rPr>
              <w:br w:type="textWrapping"/>
            </w:r>
            <w:r>
              <w:rPr>
                <w:rFonts w:hint="eastAsia"/>
                <w:color w:val="auto"/>
                <w:highlight w:val="none"/>
              </w:rPr>
              <w:t>(1)数显分辨率0.0001mm</w:t>
            </w:r>
            <w:r>
              <w:rPr>
                <w:rFonts w:hint="eastAsia"/>
                <w:color w:val="auto"/>
                <w:highlight w:val="none"/>
              </w:rPr>
              <w:br w:type="textWrapping"/>
            </w:r>
            <w:r>
              <w:rPr>
                <w:rFonts w:hint="eastAsia"/>
                <w:color w:val="auto"/>
                <w:highlight w:val="none"/>
              </w:rPr>
              <w:t>(2)圆工作台分度值1°</w:t>
            </w:r>
            <w:r>
              <w:rPr>
                <w:rFonts w:hint="eastAsia"/>
                <w:color w:val="auto"/>
                <w:highlight w:val="none"/>
              </w:rPr>
              <w:br w:type="textWrapping"/>
            </w:r>
            <w:r>
              <w:rPr>
                <w:rFonts w:hint="eastAsia"/>
                <w:color w:val="auto"/>
                <w:highlight w:val="none"/>
              </w:rPr>
              <w:t>(3) 圆工作台游标分度值6'</w:t>
            </w:r>
            <w:r>
              <w:rPr>
                <w:rFonts w:hint="eastAsia"/>
                <w:color w:val="auto"/>
                <w:highlight w:val="none"/>
              </w:rPr>
              <w:br w:type="textWrapping"/>
            </w:r>
            <w:r>
              <w:rPr>
                <w:rFonts w:hint="eastAsia"/>
                <w:color w:val="auto"/>
                <w:highlight w:val="none"/>
              </w:rPr>
              <w:t>3.仪器测量准确度+(5+L/15))μm</w:t>
            </w:r>
            <w:r>
              <w:rPr>
                <w:rFonts w:hint="eastAsia"/>
                <w:color w:val="auto"/>
                <w:highlight w:val="none"/>
                <w:lang w:val="en-US" w:eastAsia="zh-CN"/>
              </w:rPr>
              <w:t xml:space="preserve"> , </w:t>
            </w:r>
            <w:r>
              <w:rPr>
                <w:rFonts w:hint="eastAsia"/>
                <w:color w:val="auto"/>
                <w:highlight w:val="none"/>
              </w:rPr>
              <w:t xml:space="preserve"> L--被测件长度(mm)</w:t>
            </w:r>
            <w:r>
              <w:rPr>
                <w:rFonts w:hint="eastAsia"/>
                <w:color w:val="auto"/>
                <w:highlight w:val="none"/>
              </w:rPr>
              <w:br w:type="textWrapping"/>
            </w:r>
            <w:r>
              <w:rPr>
                <w:rFonts w:hint="eastAsia"/>
                <w:color w:val="auto"/>
                <w:highlight w:val="none"/>
              </w:rPr>
              <w:t>4.测量地点温度(20</w:t>
            </w:r>
            <w:r>
              <w:rPr>
                <w:color w:val="auto"/>
                <w:highlight w:val="none"/>
              </w:rPr>
              <w:t>±</w:t>
            </w:r>
            <w:r>
              <w:rPr>
                <w:rFonts w:hint="eastAsia"/>
                <w:color w:val="auto"/>
                <w:highlight w:val="none"/>
              </w:rPr>
              <w:t>3)℃</w:t>
            </w:r>
            <w:r>
              <w:rPr>
                <w:rFonts w:hint="eastAsia"/>
                <w:color w:val="auto"/>
                <w:highlight w:val="none"/>
              </w:rPr>
              <w:br w:type="textWrapping"/>
            </w:r>
            <w:r>
              <w:rPr>
                <w:rFonts w:hint="eastAsia"/>
                <w:color w:val="auto"/>
                <w:highlight w:val="none"/>
              </w:rPr>
              <w:t>5.仪器</w:t>
            </w:r>
            <w:r>
              <w:rPr>
                <w:rFonts w:hint="eastAsia"/>
                <w:color w:val="auto"/>
                <w:highlight w:val="none"/>
                <w:lang w:val="en-US" w:eastAsia="zh-CN"/>
              </w:rPr>
              <w:t>的</w:t>
            </w:r>
            <w:r>
              <w:rPr>
                <w:rFonts w:hint="eastAsia"/>
                <w:color w:val="auto"/>
                <w:highlight w:val="none"/>
              </w:rPr>
              <w:t>主要尺寸</w:t>
            </w:r>
            <w:r>
              <w:rPr>
                <w:rFonts w:hint="eastAsia"/>
                <w:color w:val="auto"/>
                <w:highlight w:val="none"/>
              </w:rPr>
              <w:br w:type="textWrapping"/>
            </w:r>
            <w:r>
              <w:rPr>
                <w:rFonts w:hint="eastAsia"/>
                <w:color w:val="auto"/>
                <w:highlight w:val="none"/>
              </w:rPr>
              <w:t>测量工作台玻璃台面与物镜间的最大距离80mm</w:t>
            </w:r>
            <w:r>
              <w:rPr>
                <w:rFonts w:hint="eastAsia"/>
                <w:color w:val="auto"/>
                <w:highlight w:val="none"/>
              </w:rPr>
              <w:br w:type="textWrapping"/>
            </w:r>
            <w:r>
              <w:rPr>
                <w:color w:val="auto"/>
                <w:highlight w:val="none"/>
              </w:rPr>
              <w:t>测量工作台直径 120mm±10mm</w:t>
            </w:r>
            <w:r>
              <w:rPr>
                <w:rFonts w:hint="eastAsia"/>
                <w:color w:val="auto"/>
                <w:highlight w:val="none"/>
              </w:rPr>
              <w:br w:type="textWrapping"/>
            </w:r>
            <w:r>
              <w:rPr>
                <w:color w:val="auto"/>
                <w:highlight w:val="none"/>
              </w:rPr>
              <w:t>仪器外形尺寸：(长X宽X高)262x 220x425mm（公差：±25mm）</w:t>
            </w:r>
            <w:r>
              <w:rPr>
                <w:rFonts w:hint="eastAsia"/>
                <w:color w:val="auto"/>
                <w:highlight w:val="none"/>
              </w:rPr>
              <w:br w:type="textWrapping"/>
            </w:r>
            <w:r>
              <w:rPr>
                <w:color w:val="auto"/>
                <w:highlight w:val="none"/>
              </w:rPr>
              <w:t>仪器重量：11kg±1kg</w:t>
            </w:r>
            <w:r>
              <w:rPr>
                <w:rFonts w:hint="eastAsia"/>
                <w:color w:val="auto"/>
                <w:highlight w:val="none"/>
              </w:rPr>
              <w:br w:type="textWrapping"/>
            </w:r>
            <w:r>
              <w:rPr>
                <w:rFonts w:hint="eastAsia"/>
                <w:color w:val="auto"/>
                <w:highlight w:val="none"/>
              </w:rPr>
              <w:t>6.</w:t>
            </w: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提供合格检定/校准证书</w:t>
            </w:r>
          </w:p>
        </w:tc>
        <w:tc>
          <w:tcPr>
            <w:tcW w:w="750" w:type="dxa"/>
          </w:tcPr>
          <w:p w14:paraId="66B557A7">
            <w:pPr>
              <w:keepNext w:val="0"/>
              <w:keepLines w:val="0"/>
              <w:pageBreakBefore w:val="0"/>
              <w:widowControl w:val="0"/>
              <w:numPr>
                <w:ilvl w:val="0"/>
                <w:numId w:val="0"/>
              </w:numPr>
              <w:kinsoku/>
              <w:wordWrap w:val="0"/>
              <w:overflowPunct/>
              <w:topLinePunct w:val="0"/>
              <w:autoSpaceDE/>
              <w:autoSpaceDN/>
              <w:bidi w:val="0"/>
              <w:adjustRightInd/>
              <w:snapToGrid/>
              <w:ind w:left="105" w:leftChars="0"/>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3AF94D4A">
            <w:pPr>
              <w:keepNext w:val="0"/>
              <w:keepLines w:val="0"/>
              <w:pageBreakBefore w:val="0"/>
              <w:widowControl w:val="0"/>
              <w:numPr>
                <w:ilvl w:val="0"/>
                <w:numId w:val="0"/>
              </w:numPr>
              <w:kinsoku/>
              <w:wordWrap w:val="0"/>
              <w:overflowPunct/>
              <w:topLinePunct w:val="0"/>
              <w:autoSpaceDE/>
              <w:autoSpaceDN/>
              <w:bidi w:val="0"/>
              <w:adjustRightInd/>
              <w:snapToGrid/>
              <w:ind w:left="105" w:leftChars="0"/>
              <w:textAlignment w:val="auto"/>
              <w:rPr>
                <w:rFonts w:hint="default" w:eastAsia="宋体"/>
                <w:color w:val="auto"/>
                <w:highlight w:val="none"/>
                <w:lang w:val="en-US" w:eastAsia="zh-CN"/>
              </w:rPr>
            </w:pPr>
            <w:r>
              <w:rPr>
                <w:rFonts w:hint="eastAsia" w:eastAsia="宋体"/>
                <w:color w:val="auto"/>
                <w:highlight w:val="none"/>
                <w:lang w:val="en-US" w:eastAsia="zh-CN"/>
              </w:rPr>
              <w:t>6500</w:t>
            </w:r>
          </w:p>
        </w:tc>
      </w:tr>
      <w:tr w14:paraId="0CE3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688" w:type="dxa"/>
            <w:noWrap/>
          </w:tcPr>
          <w:p w14:paraId="0F6C7346">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lang w:val="en-US" w:eastAsia="zh-CN"/>
              </w:rPr>
              <w:t>9</w:t>
            </w:r>
          </w:p>
        </w:tc>
        <w:tc>
          <w:tcPr>
            <w:tcW w:w="1233" w:type="dxa"/>
          </w:tcPr>
          <w:p w14:paraId="626AB6A9">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耐漏电起痕试验仪</w:t>
            </w:r>
          </w:p>
        </w:tc>
        <w:tc>
          <w:tcPr>
            <w:tcW w:w="5369" w:type="dxa"/>
          </w:tcPr>
          <w:p w14:paraId="25332C94">
            <w:pPr>
              <w:keepNext w:val="0"/>
              <w:keepLines w:val="0"/>
              <w:pageBreakBefore w:val="0"/>
              <w:widowControl w:val="0"/>
              <w:numPr>
                <w:ilvl w:val="0"/>
                <w:numId w:val="3"/>
              </w:numPr>
              <w:kinsoku/>
              <w:wordWrap w:val="0"/>
              <w:overflowPunct/>
              <w:topLinePunct w:val="0"/>
              <w:autoSpaceDE/>
              <w:autoSpaceDN/>
              <w:bidi w:val="0"/>
              <w:adjustRightInd/>
              <w:snapToGrid/>
              <w:textAlignment w:val="auto"/>
              <w:rPr>
                <w:color w:val="auto"/>
                <w:highlight w:val="none"/>
              </w:rPr>
            </w:pPr>
            <w:r>
              <w:rPr>
                <w:rFonts w:hint="eastAsia"/>
                <w:color w:val="auto"/>
                <w:highlight w:val="none"/>
              </w:rPr>
              <w:t>按GB4207、GB4706、IEC60112、IEC335-1、IEC598-1、UL746A及ASTM D3638-92等标准要求设计制造。漏电起痕试验（电痕化指数试验）是在固体绝缘材料表面上，在规定尺寸 ( 2mm × 5mm ) 的铂电极之间，施加某一电压并定时 (30s) 定高度 ( 35mm ) 滴下规定液滴体积的导电液体 (0.1%NH</w:t>
            </w:r>
            <w:r>
              <w:rPr>
                <w:rFonts w:hint="default" w:asciiTheme="minorAscii" w:hAnsiTheme="minorAscii" w:eastAsiaTheme="minorEastAsia"/>
                <w:color w:val="auto"/>
                <w:sz w:val="21"/>
                <w:highlight w:val="none"/>
                <w:vertAlign w:val="subscript"/>
              </w:rPr>
              <w:t xml:space="preserve"> 4</w:t>
            </w:r>
            <w:r>
              <w:rPr>
                <w:rFonts w:hint="eastAsia"/>
                <w:color w:val="auto"/>
                <w:highlight w:val="none"/>
              </w:rPr>
              <w:t xml:space="preserve"> C</w:t>
            </w:r>
            <w:r>
              <w:rPr>
                <w:rFonts w:hint="eastAsia"/>
                <w:color w:val="auto"/>
                <w:highlight w:val="none"/>
                <w:lang w:val="en-US" w:eastAsia="zh-CN"/>
              </w:rPr>
              <w:t>l</w:t>
            </w:r>
            <w:r>
              <w:rPr>
                <w:rFonts w:hint="eastAsia"/>
                <w:color w:val="auto"/>
                <w:highlight w:val="none"/>
              </w:rPr>
              <w:t>) ，用以评价固体绝缘材料表面在电场和潮湿或污染介质联合作用下的耐漏电性能，测定其相比电痕化指数 (CT1) 和耐电痕化指数 (PT1) 。</w:t>
            </w:r>
            <w:r>
              <w:rPr>
                <w:rFonts w:hint="eastAsia"/>
                <w:color w:val="auto"/>
                <w:highlight w:val="none"/>
              </w:rPr>
              <w:br w:type="textWrapping"/>
            </w:r>
            <w:r>
              <w:rPr>
                <w:rFonts w:hint="eastAsia"/>
                <w:color w:val="auto"/>
                <w:highlight w:val="none"/>
              </w:rPr>
              <w:t>二、基本参数：</w:t>
            </w:r>
            <w:r>
              <w:rPr>
                <w:rFonts w:hint="eastAsia"/>
                <w:color w:val="auto"/>
                <w:highlight w:val="none"/>
              </w:rPr>
              <w:br w:type="textWrapping"/>
            </w:r>
            <w:r>
              <w:rPr>
                <w:rFonts w:hint="eastAsia"/>
                <w:color w:val="auto"/>
                <w:highlight w:val="none"/>
              </w:rPr>
              <w:t>1.试验电压:0～600V 可调，精度1.5％</w:t>
            </w:r>
            <w:r>
              <w:rPr>
                <w:rFonts w:hint="eastAsia"/>
                <w:color w:val="auto"/>
                <w:highlight w:val="none"/>
              </w:rPr>
              <w:br w:type="textWrapping"/>
            </w:r>
            <w:r>
              <w:rPr>
                <w:rFonts w:hint="eastAsia"/>
                <w:color w:val="auto"/>
                <w:highlight w:val="none"/>
              </w:rPr>
              <w:t>2.计时装置:9999X0.1S</w:t>
            </w:r>
            <w:r>
              <w:rPr>
                <w:rFonts w:hint="eastAsia"/>
                <w:color w:val="auto"/>
                <w:highlight w:val="none"/>
              </w:rPr>
              <w:br w:type="textWrapping"/>
            </w:r>
            <w:r>
              <w:rPr>
                <w:rFonts w:hint="eastAsia"/>
                <w:color w:val="auto"/>
                <w:highlight w:val="none"/>
              </w:rPr>
              <w:t>3.电极:铂金电极一对</w:t>
            </w:r>
            <w:r>
              <w:rPr>
                <w:rFonts w:hint="eastAsia"/>
                <w:color w:val="auto"/>
                <w:highlight w:val="none"/>
              </w:rPr>
              <w:br w:type="textWrapping"/>
            </w:r>
            <w:r>
              <w:rPr>
                <w:rFonts w:hint="eastAsia"/>
                <w:color w:val="auto"/>
                <w:highlight w:val="none"/>
              </w:rPr>
              <w:t>4.电极尺寸规格:（5±0.1）×(2±0.1)×(≥12)，30°斜面</w:t>
            </w:r>
            <w:r>
              <w:rPr>
                <w:rFonts w:hint="eastAsia"/>
                <w:color w:val="auto"/>
                <w:highlight w:val="none"/>
              </w:rPr>
              <w:br w:type="textWrapping"/>
            </w:r>
            <w:r>
              <w:rPr>
                <w:rFonts w:hint="eastAsia"/>
                <w:color w:val="auto"/>
                <w:highlight w:val="none"/>
              </w:rPr>
              <w:t>5.电极夹角及间距:60°±5°,间距为(4±0.01㎜)</w:t>
            </w:r>
            <w:r>
              <w:rPr>
                <w:rFonts w:hint="eastAsia"/>
                <w:color w:val="auto"/>
                <w:highlight w:val="none"/>
              </w:rPr>
              <w:br w:type="textWrapping"/>
            </w:r>
            <w:r>
              <w:rPr>
                <w:rFonts w:hint="eastAsia"/>
                <w:color w:val="auto"/>
                <w:highlight w:val="none"/>
              </w:rPr>
              <w:t>6.电极压力:1.00N±0.05N</w:t>
            </w:r>
            <w:r>
              <w:rPr>
                <w:rFonts w:hint="eastAsia"/>
                <w:color w:val="auto"/>
                <w:highlight w:val="none"/>
              </w:rPr>
              <w:br w:type="textWrapping"/>
            </w:r>
            <w:r>
              <w:rPr>
                <w:rFonts w:hint="eastAsia"/>
                <w:color w:val="auto"/>
                <w:highlight w:val="none"/>
              </w:rPr>
              <w:t>7.滴液间隔:30±5S，可调</w:t>
            </w:r>
            <w:r>
              <w:rPr>
                <w:rFonts w:hint="eastAsia"/>
                <w:color w:val="auto"/>
                <w:highlight w:val="none"/>
              </w:rPr>
              <w:br w:type="textWrapping"/>
            </w:r>
            <w:r>
              <w:rPr>
                <w:rFonts w:hint="eastAsia"/>
                <w:color w:val="auto"/>
                <w:highlight w:val="none"/>
              </w:rPr>
              <w:t>8.滴液高度:35±5mm</w:t>
            </w:r>
            <w:r>
              <w:rPr>
                <w:rFonts w:hint="eastAsia"/>
                <w:color w:val="auto"/>
                <w:highlight w:val="none"/>
              </w:rPr>
              <w:br w:type="textWrapping"/>
            </w:r>
            <w:r>
              <w:rPr>
                <w:rFonts w:hint="eastAsia"/>
                <w:color w:val="auto"/>
                <w:highlight w:val="none"/>
              </w:rPr>
              <w:t xml:space="preserve">9.液滴时间:30s±0.1s(标准)(数显，可预置调节),50滴时间24.5min±2min;滴液延时:0.2S(电磁阀开启时间) </w:t>
            </w:r>
            <w:r>
              <w:rPr>
                <w:rFonts w:hint="eastAsia"/>
                <w:color w:val="auto"/>
                <w:highlight w:val="none"/>
              </w:rPr>
              <w:br w:type="textWrapping"/>
            </w:r>
            <w:r>
              <w:rPr>
                <w:rFonts w:hint="eastAsia"/>
                <w:color w:val="auto"/>
                <w:highlight w:val="none"/>
              </w:rPr>
              <w:t>10.滴液大小:45～50滴/cm</w:t>
            </w:r>
            <w:r>
              <w:rPr>
                <w:rFonts w:hint="default" w:asciiTheme="minorAscii" w:hAnsiTheme="minorAscii" w:eastAsiaTheme="minorEastAsia"/>
                <w:color w:val="auto"/>
                <w:sz w:val="21"/>
                <w:highlight w:val="none"/>
                <w:shd w:val="clear" w:color="FFFFFF" w:fill="D9D9D9"/>
                <w:vertAlign w:val="superscript"/>
              </w:rPr>
              <w:t>3</w:t>
            </w:r>
            <w:r>
              <w:rPr>
                <w:rFonts w:hint="eastAsia"/>
                <w:color w:val="auto"/>
                <w:highlight w:val="none"/>
              </w:rPr>
              <w:t xml:space="preserve"> 液滴滴数:1~9999(数显,可预置)</w:t>
            </w:r>
            <w:r>
              <w:rPr>
                <w:rFonts w:hint="eastAsia"/>
                <w:color w:val="auto"/>
                <w:highlight w:val="none"/>
              </w:rPr>
              <w:br w:type="textWrapping"/>
            </w:r>
            <w:r>
              <w:rPr>
                <w:rFonts w:hint="eastAsia"/>
                <w:color w:val="auto"/>
                <w:highlight w:val="none"/>
              </w:rPr>
              <w:t>11.延时电路:2S±0.1S(在0.5A或更大电流时)</w:t>
            </w:r>
            <w:r>
              <w:rPr>
                <w:rFonts w:hint="eastAsia"/>
                <w:color w:val="auto"/>
                <w:highlight w:val="none"/>
              </w:rPr>
              <w:br w:type="textWrapping"/>
            </w:r>
            <w:r>
              <w:rPr>
                <w:rFonts w:hint="eastAsia"/>
                <w:color w:val="auto"/>
                <w:highlight w:val="none"/>
              </w:rPr>
              <w:t>12.短路压降:8% MAX13.短路电流:1±0.1A   精度1％</w:t>
            </w:r>
            <w:r>
              <w:rPr>
                <w:rFonts w:hint="eastAsia"/>
                <w:color w:val="auto"/>
                <w:highlight w:val="none"/>
              </w:rPr>
              <w:br w:type="textWrapping"/>
            </w:r>
            <w:r>
              <w:rPr>
                <w:rFonts w:hint="eastAsia"/>
                <w:color w:val="auto"/>
                <w:highlight w:val="none"/>
              </w:rPr>
              <w:t>14.工作电压：220V/50Hz，1KVA</w:t>
            </w:r>
            <w:r>
              <w:rPr>
                <w:rFonts w:hint="eastAsia"/>
                <w:color w:val="auto"/>
                <w:highlight w:val="none"/>
              </w:rPr>
              <w:br w:type="textWrapping"/>
            </w:r>
            <w:r>
              <w:rPr>
                <w:rFonts w:hint="eastAsia"/>
                <w:color w:val="auto"/>
                <w:highlight w:val="none"/>
              </w:rPr>
              <w:t>15.配带有燃烧室，燃烧室体积≥0.5立方米 试验风速:0.2m/s(新标准);</w:t>
            </w:r>
            <w:r>
              <w:rPr>
                <w:rFonts w:hint="eastAsia"/>
                <w:color w:val="auto"/>
                <w:highlight w:val="none"/>
              </w:rPr>
              <w:br w:type="textWrapping"/>
            </w:r>
            <w:r>
              <w:rPr>
                <w:rFonts w:hint="eastAsia"/>
                <w:color w:val="auto"/>
                <w:highlight w:val="none"/>
              </w:rPr>
              <w:t>16.</w:t>
            </w:r>
            <w:r>
              <w:rPr>
                <w:color w:val="auto"/>
                <w:highlight w:val="none"/>
              </w:rPr>
              <w:t>外尺寸：1150</w:t>
            </w:r>
            <w:r>
              <w:rPr>
                <w:rFonts w:hint="eastAsia"/>
                <w:color w:val="auto"/>
                <w:highlight w:val="none"/>
              </w:rPr>
              <w:t>×</w:t>
            </w:r>
            <w:r>
              <w:rPr>
                <w:color w:val="auto"/>
                <w:highlight w:val="none"/>
              </w:rPr>
              <w:t>550</w:t>
            </w:r>
            <w:r>
              <w:rPr>
                <w:rFonts w:hint="eastAsia"/>
                <w:color w:val="auto"/>
                <w:highlight w:val="none"/>
              </w:rPr>
              <w:t>×</w:t>
            </w:r>
            <w:r>
              <w:rPr>
                <w:color w:val="auto"/>
                <w:highlight w:val="none"/>
              </w:rPr>
              <w:t>1170mm（长宽高）公差：±50mm，箱体材质为冷压钢板</w:t>
            </w:r>
            <w:r>
              <w:rPr>
                <w:rFonts w:hint="eastAsia"/>
                <w:color w:val="auto"/>
                <w:highlight w:val="none"/>
              </w:rPr>
              <w:br w:type="textWrapping"/>
            </w:r>
            <w:r>
              <w:rPr>
                <w:color w:val="auto"/>
                <w:highlight w:val="none"/>
              </w:rPr>
              <w:t>17.环境要求：0～40</w:t>
            </w:r>
            <w:r>
              <w:rPr>
                <w:rFonts w:hint="eastAsia" w:ascii="宋体" w:hAnsi="宋体" w:eastAsia="宋体" w:cs="宋体"/>
                <w:color w:val="auto"/>
                <w:highlight w:val="none"/>
              </w:rPr>
              <w:t>℃</w:t>
            </w:r>
            <w:r>
              <w:rPr>
                <w:color w:val="auto"/>
                <w:highlight w:val="none"/>
              </w:rPr>
              <w:t>，相对湿度≤80%，无明显振动及腐蚀性气体的场所</w:t>
            </w:r>
            <w:r>
              <w:rPr>
                <w:rFonts w:hint="eastAsia"/>
                <w:color w:val="auto"/>
                <w:highlight w:val="none"/>
              </w:rPr>
              <w:br w:type="textWrapping"/>
            </w:r>
            <w:r>
              <w:rPr>
                <w:color w:val="auto"/>
                <w:highlight w:val="none"/>
              </w:rPr>
              <w:t>18、电源压降:1.0A±0.1A时8%;</w:t>
            </w:r>
            <w:r>
              <w:rPr>
                <w:rFonts w:hint="eastAsia"/>
                <w:color w:val="auto"/>
                <w:highlight w:val="none"/>
              </w:rPr>
              <w:br w:type="textWrapping"/>
            </w:r>
            <w:r>
              <w:rPr>
                <w:color w:val="auto"/>
                <w:highlight w:val="none"/>
              </w:rPr>
              <w:t>19、起痕判断:0.50A±10%,2.00s±10%;</w:t>
            </w:r>
            <w:r>
              <w:rPr>
                <w:rFonts w:hint="eastAsia"/>
                <w:color w:val="auto"/>
                <w:highlight w:val="none"/>
              </w:rPr>
              <w:br w:type="textWrapping"/>
            </w:r>
            <w:r>
              <w:rPr>
                <w:color w:val="auto"/>
                <w:highlight w:val="none"/>
              </w:rPr>
              <w:t>20、试验电压:100V~600V(25V分度,可调节);</w:t>
            </w:r>
            <w:r>
              <w:rPr>
                <w:rFonts w:hint="eastAsia"/>
                <w:color w:val="auto"/>
                <w:highlight w:val="none"/>
              </w:rPr>
              <w:br w:type="textWrapping"/>
            </w:r>
            <w:r>
              <w:rPr>
                <w:rFonts w:hint="eastAsia"/>
                <w:color w:val="auto"/>
                <w:highlight w:val="none"/>
                <w:lang w:val="en-US" w:eastAsia="zh-CN"/>
              </w:rPr>
              <w:t>21、</w:t>
            </w: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提供合格检定/校准证书</w:t>
            </w:r>
          </w:p>
        </w:tc>
        <w:tc>
          <w:tcPr>
            <w:tcW w:w="750" w:type="dxa"/>
          </w:tcPr>
          <w:p w14:paraId="79EAEF88">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39C99964">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27000</w:t>
            </w:r>
          </w:p>
        </w:tc>
      </w:tr>
      <w:tr w14:paraId="6DC5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688" w:type="dxa"/>
            <w:noWrap/>
          </w:tcPr>
          <w:p w14:paraId="7DCAF08F">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rPr>
              <w:t>1</w:t>
            </w:r>
            <w:r>
              <w:rPr>
                <w:rFonts w:hint="eastAsia"/>
                <w:b/>
                <w:bCs/>
                <w:color w:val="auto"/>
                <w:highlight w:val="none"/>
                <w:lang w:val="en-US" w:eastAsia="zh-CN"/>
              </w:rPr>
              <w:t>0</w:t>
            </w:r>
          </w:p>
        </w:tc>
        <w:tc>
          <w:tcPr>
            <w:tcW w:w="1233" w:type="dxa"/>
          </w:tcPr>
          <w:p w14:paraId="0F9BA809">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GB1002-2024插头插座量具及拔出力试验指</w:t>
            </w:r>
          </w:p>
        </w:tc>
        <w:tc>
          <w:tcPr>
            <w:tcW w:w="5369" w:type="dxa"/>
          </w:tcPr>
          <w:p w14:paraId="6100B4B4">
            <w:pPr>
              <w:keepNext w:val="0"/>
              <w:keepLines w:val="0"/>
              <w:pageBreakBefore w:val="0"/>
              <w:widowControl w:val="0"/>
              <w:kinsoku/>
              <w:wordWrap w:val="0"/>
              <w:overflowPunct/>
              <w:topLinePunct w:val="0"/>
              <w:autoSpaceDE/>
              <w:autoSpaceDN/>
              <w:bidi w:val="0"/>
              <w:adjustRightInd/>
              <w:snapToGrid/>
              <w:textAlignment w:val="auto"/>
              <w:rPr>
                <w:color w:val="auto"/>
                <w:highlight w:val="none"/>
              </w:rPr>
            </w:pPr>
            <w:r>
              <w:rPr>
                <w:rFonts w:hint="eastAsia"/>
                <w:color w:val="auto"/>
                <w:highlight w:val="none"/>
              </w:rPr>
              <w:t>1、满足GB 1002-2024，最新GB</w:t>
            </w:r>
            <w:r>
              <w:rPr>
                <w:rFonts w:hint="eastAsia"/>
                <w:color w:val="auto"/>
                <w:highlight w:val="none"/>
                <w:lang w:val="en-US" w:eastAsia="zh-CN"/>
              </w:rPr>
              <w:t xml:space="preserve"> </w:t>
            </w:r>
            <w:r>
              <w:rPr>
                <w:rFonts w:hint="eastAsia"/>
                <w:color w:val="auto"/>
                <w:highlight w:val="none"/>
              </w:rPr>
              <w:t xml:space="preserve">2099要求          </w:t>
            </w:r>
            <w:r>
              <w:rPr>
                <w:rFonts w:hint="eastAsia"/>
                <w:color w:val="auto"/>
                <w:highlight w:val="none"/>
              </w:rPr>
              <w:br w:type="textWrapping"/>
            </w:r>
            <w:r>
              <w:rPr>
                <w:rFonts w:hint="eastAsia"/>
                <w:color w:val="auto"/>
                <w:highlight w:val="none"/>
              </w:rPr>
              <w:t>2、包含GB 1002-2024量规及拔出力量规。</w:t>
            </w:r>
            <w:r>
              <w:rPr>
                <w:rFonts w:hint="eastAsia"/>
                <w:color w:val="auto"/>
                <w:highlight w:val="none"/>
              </w:rPr>
              <w:br w:type="textWrapping"/>
            </w:r>
            <w:r>
              <w:rPr>
                <w:rFonts w:hint="eastAsia"/>
                <w:color w:val="auto"/>
                <w:highlight w:val="none"/>
              </w:rPr>
              <w:t>3、带防腐功能，带把手。</w:t>
            </w:r>
            <w:r>
              <w:rPr>
                <w:rFonts w:hint="eastAsia"/>
                <w:color w:val="auto"/>
                <w:highlight w:val="none"/>
              </w:rPr>
              <w:br w:type="textWrapping"/>
            </w:r>
            <w:r>
              <w:rPr>
                <w:rFonts w:hint="eastAsia"/>
                <w:color w:val="auto"/>
                <w:highlight w:val="none"/>
              </w:rPr>
              <w:t>4、</w:t>
            </w:r>
            <w:r>
              <w:rPr>
                <w:rFonts w:hint="eastAsia" w:eastAsia="宋体"/>
                <w:color w:val="auto"/>
                <w:highlight w:val="none"/>
                <w:lang w:val="en-US" w:eastAsia="zh-CN"/>
              </w:rPr>
              <w:t>交货时</w:t>
            </w:r>
            <w:r>
              <w:rPr>
                <w:rFonts w:hint="eastAsia"/>
                <w:color w:val="auto"/>
                <w:highlight w:val="none"/>
              </w:rPr>
              <w:t>提供合格检定/校准证书</w:t>
            </w:r>
          </w:p>
        </w:tc>
        <w:tc>
          <w:tcPr>
            <w:tcW w:w="750" w:type="dxa"/>
          </w:tcPr>
          <w:p w14:paraId="71513615">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619BCB41">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18000</w:t>
            </w:r>
          </w:p>
        </w:tc>
      </w:tr>
      <w:tr w14:paraId="4EF7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688" w:type="dxa"/>
            <w:noWrap/>
          </w:tcPr>
          <w:p w14:paraId="7529E175">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val="en-US" w:eastAsia="zh-CN"/>
              </w:rPr>
            </w:pPr>
            <w:r>
              <w:rPr>
                <w:rFonts w:hint="eastAsia"/>
                <w:b/>
                <w:bCs/>
                <w:color w:val="auto"/>
                <w:highlight w:val="none"/>
              </w:rPr>
              <w:t>1</w:t>
            </w:r>
            <w:r>
              <w:rPr>
                <w:rFonts w:hint="eastAsia"/>
                <w:b/>
                <w:bCs/>
                <w:color w:val="auto"/>
                <w:highlight w:val="none"/>
                <w:lang w:val="en-US" w:eastAsia="zh-CN"/>
              </w:rPr>
              <w:t>1</w:t>
            </w:r>
          </w:p>
        </w:tc>
        <w:tc>
          <w:tcPr>
            <w:tcW w:w="1233" w:type="dxa"/>
          </w:tcPr>
          <w:p w14:paraId="284F68AD">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电动自行车车速限值检测仪</w:t>
            </w:r>
          </w:p>
        </w:tc>
        <w:tc>
          <w:tcPr>
            <w:tcW w:w="5369" w:type="dxa"/>
          </w:tcPr>
          <w:p w14:paraId="358B6946">
            <w:pPr>
              <w:numPr>
                <w:ilvl w:val="0"/>
                <w:numId w:val="4"/>
              </w:numPr>
              <w:rPr>
                <w:color w:val="auto"/>
                <w:highlight w:val="none"/>
              </w:rPr>
            </w:pPr>
            <w:r>
              <w:rPr>
                <w:rFonts w:hint="eastAsia"/>
                <w:color w:val="auto"/>
                <w:highlight w:val="none"/>
              </w:rPr>
              <w:t>仪器满足最新国标 GB17761-2024《电动自行车安全技术规范》的检测要求，</w:t>
            </w:r>
            <w:r>
              <w:rPr>
                <w:rFonts w:hint="eastAsia"/>
                <w:color w:val="auto"/>
                <w:highlight w:val="none"/>
                <w:lang w:val="en-US" w:eastAsia="zh-CN"/>
              </w:rPr>
              <w:t>能</w:t>
            </w:r>
            <w:r>
              <w:rPr>
                <w:rFonts w:hint="eastAsia"/>
                <w:color w:val="auto"/>
                <w:highlight w:val="none"/>
              </w:rPr>
              <w:t>在室内、外环境下对电动自行车进行各种动态、静态试验。 系统采用≥7寸大屏幕液晶显示，汉字提示，实时显示多项测试数据、曲线，清晰直观。系统标配 RS232 接口。</w:t>
            </w:r>
            <w:r>
              <w:rPr>
                <w:rFonts w:hint="eastAsia"/>
                <w:color w:val="auto"/>
                <w:highlight w:val="none"/>
              </w:rPr>
              <w:br w:type="textWrapping"/>
            </w:r>
            <w:r>
              <w:rPr>
                <w:rFonts w:hint="eastAsia"/>
                <w:color w:val="auto"/>
                <w:highlight w:val="none"/>
              </w:rPr>
              <w:t>2、 主要测试项目 :</w:t>
            </w:r>
          </w:p>
          <w:p w14:paraId="6815AC25">
            <w:pPr>
              <w:numPr>
                <w:ilvl w:val="0"/>
                <w:numId w:val="0"/>
              </w:numPr>
              <w:rPr>
                <w:rFonts w:hint="eastAsia"/>
                <w:color w:val="auto"/>
                <w:highlight w:val="none"/>
              </w:rPr>
            </w:pPr>
            <w:r>
              <w:rPr>
                <w:rFonts w:hint="eastAsia"/>
                <w:color w:val="auto"/>
                <w:highlight w:val="none"/>
                <w:lang w:val="en-US" w:eastAsia="zh-CN"/>
              </w:rPr>
              <w:t>2.1</w:t>
            </w:r>
            <w:r>
              <w:rPr>
                <w:rFonts w:hint="eastAsia"/>
                <w:color w:val="auto"/>
                <w:highlight w:val="none"/>
              </w:rPr>
              <w:t xml:space="preserve">、车速试验：试验距离、平均车速、最低车速、最高车速、提示音车速。 </w:t>
            </w:r>
            <w:r>
              <w:rPr>
                <w:rFonts w:hint="eastAsia"/>
                <w:color w:val="auto"/>
                <w:highlight w:val="none"/>
              </w:rPr>
              <w:br w:type="textWrapping"/>
            </w:r>
            <w:r>
              <w:rPr>
                <w:rFonts w:hint="eastAsia"/>
                <w:color w:val="auto"/>
                <w:highlight w:val="none"/>
              </w:rPr>
              <w:t>2.2、制动试验：制动初速、制动距离（干湿态）、制动时间、协调时间、最大减速度、平均减速度等。</w:t>
            </w:r>
            <w:r>
              <w:rPr>
                <w:rFonts w:hint="eastAsia"/>
                <w:color w:val="auto"/>
                <w:highlight w:val="none"/>
              </w:rPr>
              <w:br w:type="textWrapping"/>
            </w:r>
            <w:r>
              <w:rPr>
                <w:rFonts w:hint="eastAsia"/>
                <w:color w:val="auto"/>
                <w:highlight w:val="none"/>
              </w:rPr>
              <w:t xml:space="preserve">2.3、车速限值: 电驱动车最高车速、电驱动车及电助动车限制车速时电流值测试。 </w:t>
            </w:r>
            <w:r>
              <w:rPr>
                <w:rFonts w:hint="eastAsia"/>
                <w:color w:val="auto"/>
                <w:highlight w:val="none"/>
              </w:rPr>
              <w:br w:type="textWrapping"/>
            </w:r>
            <w:r>
              <w:rPr>
                <w:rFonts w:hint="eastAsia"/>
                <w:color w:val="auto"/>
                <w:highlight w:val="none"/>
              </w:rPr>
              <w:t xml:space="preserve">2.4、脚踏骑行：电助动自行车脚踏骑行一周的行驶距离值。 </w:t>
            </w:r>
            <w:r>
              <w:rPr>
                <w:rFonts w:hint="eastAsia"/>
                <w:color w:val="auto"/>
                <w:highlight w:val="none"/>
              </w:rPr>
              <w:br w:type="textWrapping"/>
            </w:r>
            <w:r>
              <w:rPr>
                <w:rFonts w:hint="eastAsia"/>
                <w:color w:val="auto"/>
                <w:highlight w:val="none"/>
              </w:rPr>
              <w:t xml:space="preserve">2.5、 电耗试验: 连续记录车辆行驶过程中的速度、行驶距离以及电流电压信号、消耗电量等参数，用于电动车电耗测试。 </w:t>
            </w:r>
            <w:r>
              <w:rPr>
                <w:rFonts w:hint="eastAsia"/>
                <w:color w:val="auto"/>
                <w:highlight w:val="none"/>
              </w:rPr>
              <w:br w:type="textWrapping"/>
            </w:r>
            <w:r>
              <w:rPr>
                <w:rFonts w:hint="eastAsia"/>
                <w:color w:val="auto"/>
                <w:highlight w:val="none"/>
              </w:rPr>
              <w:t>2.6、 手刹力计：电动车手刹力性能测试。</w:t>
            </w:r>
            <w:r>
              <w:rPr>
                <w:rFonts w:hint="eastAsia"/>
                <w:color w:val="auto"/>
                <w:highlight w:val="none"/>
              </w:rPr>
              <w:br w:type="textWrapping"/>
            </w:r>
            <w:r>
              <w:rPr>
                <w:rFonts w:hint="eastAsia"/>
                <w:color w:val="auto"/>
                <w:highlight w:val="none"/>
              </w:rPr>
              <w:t>2.7、电流电压：电气控制系统（制动断电，过流保护，防失控）断电电流、电池组最大输出电压测试。</w:t>
            </w:r>
            <w:r>
              <w:rPr>
                <w:rFonts w:hint="eastAsia"/>
                <w:color w:val="auto"/>
                <w:highlight w:val="none"/>
              </w:rPr>
              <w:br w:type="textWrapping"/>
            </w:r>
            <w:r>
              <w:rPr>
                <w:rFonts w:hint="eastAsia"/>
                <w:color w:val="auto"/>
                <w:highlight w:val="none"/>
              </w:rPr>
              <w:t xml:space="preserve">3、技术性能指标 </w:t>
            </w:r>
          </w:p>
          <w:p w14:paraId="6610BEFC">
            <w:pPr>
              <w:numPr>
                <w:ilvl w:val="0"/>
                <w:numId w:val="0"/>
              </w:numPr>
              <w:rPr>
                <w:color w:val="auto"/>
                <w:highlight w:val="none"/>
              </w:rPr>
            </w:pPr>
            <w:r>
              <w:rPr>
                <w:rFonts w:hint="eastAsia"/>
                <w:color w:val="auto"/>
                <w:highlight w:val="none"/>
                <w:lang w:val="en-US" w:eastAsia="zh-CN"/>
              </w:rPr>
              <w:t>3.1</w:t>
            </w:r>
            <w:r>
              <w:rPr>
                <w:color w:val="auto"/>
                <w:highlight w:val="none"/>
              </w:rPr>
              <w:t xml:space="preserve"> 内置电源：DC7.4v （2200mAH 锂电池组） </w:t>
            </w:r>
          </w:p>
          <w:p w14:paraId="5F0C66C1">
            <w:pPr>
              <w:numPr>
                <w:ilvl w:val="0"/>
                <w:numId w:val="0"/>
              </w:numPr>
              <w:rPr>
                <w:color w:val="auto"/>
                <w:highlight w:val="none"/>
              </w:rPr>
            </w:pPr>
            <w:r>
              <w:rPr>
                <w:rFonts w:hint="eastAsia"/>
                <w:color w:val="auto"/>
                <w:highlight w:val="none"/>
                <w:lang w:val="en-US" w:eastAsia="zh-CN"/>
              </w:rPr>
              <w:t>3.2</w:t>
            </w:r>
            <w:r>
              <w:rPr>
                <w:color w:val="auto"/>
                <w:highlight w:val="none"/>
              </w:rPr>
              <w:t xml:space="preserve"> 外接电源：DC12V  标准 9 针 RS232 接口。波特率 9600，数据位 8 位，停止位 1 位。 </w:t>
            </w:r>
          </w:p>
          <w:p w14:paraId="1D4C873F">
            <w:pPr>
              <w:numPr>
                <w:ilvl w:val="0"/>
                <w:numId w:val="0"/>
              </w:numPr>
              <w:rPr>
                <w:color w:val="auto"/>
                <w:highlight w:val="none"/>
              </w:rPr>
            </w:pPr>
            <w:r>
              <w:rPr>
                <w:rFonts w:hint="eastAsia"/>
                <w:color w:val="auto"/>
                <w:highlight w:val="none"/>
                <w:lang w:val="en-US" w:eastAsia="zh-CN"/>
              </w:rPr>
              <w:t>3.3</w:t>
            </w:r>
            <w:r>
              <w:rPr>
                <w:color w:val="auto"/>
                <w:highlight w:val="none"/>
              </w:rPr>
              <w:t xml:space="preserve"> 外形尺寸：</w:t>
            </w:r>
            <w:r>
              <w:rPr>
                <w:rFonts w:hint="eastAsia"/>
                <w:color w:val="auto"/>
                <w:highlight w:val="none"/>
              </w:rPr>
              <w:t>≤</w:t>
            </w:r>
            <w:r>
              <w:rPr>
                <w:color w:val="auto"/>
                <w:highlight w:val="none"/>
              </w:rPr>
              <w:t>250mm X 180mm X 55 mm  重量约：</w:t>
            </w:r>
            <w:r>
              <w:rPr>
                <w:rFonts w:hint="eastAsia"/>
                <w:color w:val="auto"/>
                <w:highlight w:val="none"/>
              </w:rPr>
              <w:t>≤</w:t>
            </w:r>
            <w:r>
              <w:rPr>
                <w:color w:val="auto"/>
                <w:highlight w:val="none"/>
              </w:rPr>
              <w:t xml:space="preserve"> 1.1 kg(包含内置电池)</w:t>
            </w:r>
            <w:r>
              <w:rPr>
                <w:rFonts w:hint="eastAsia"/>
                <w:color w:val="auto"/>
                <w:highlight w:val="none"/>
              </w:rPr>
              <w:br w:type="textWrapping"/>
            </w:r>
            <w:r>
              <w:rPr>
                <w:rFonts w:hint="eastAsia"/>
                <w:color w:val="auto"/>
                <w:highlight w:val="none"/>
                <w:lang w:val="en-US" w:eastAsia="zh-CN"/>
              </w:rPr>
              <w:t>4</w:t>
            </w:r>
            <w:r>
              <w:rPr>
                <w:color w:val="auto"/>
                <w:highlight w:val="none"/>
              </w:rPr>
              <w:t xml:space="preserve">、测量范围与精度：  </w:t>
            </w:r>
            <w:r>
              <w:rPr>
                <w:rFonts w:hint="eastAsia"/>
                <w:color w:val="auto"/>
                <w:highlight w:val="none"/>
              </w:rPr>
              <w:br w:type="textWrapping"/>
            </w:r>
            <w:r>
              <w:rPr>
                <w:rFonts w:hint="eastAsia"/>
                <w:color w:val="auto"/>
                <w:highlight w:val="none"/>
                <w:lang w:val="en-US" w:eastAsia="zh-CN"/>
              </w:rPr>
              <w:t>4.</w:t>
            </w:r>
            <w:r>
              <w:rPr>
                <w:color w:val="auto"/>
                <w:highlight w:val="none"/>
              </w:rPr>
              <w:t xml:space="preserve">1 速度 测量范围：0～60.0 km/h 分辨率：0.01 km/h 精度：2% </w:t>
            </w:r>
          </w:p>
          <w:p w14:paraId="58E18F39">
            <w:pPr>
              <w:numPr>
                <w:ilvl w:val="0"/>
                <w:numId w:val="0"/>
              </w:numPr>
              <w:rPr>
                <w:color w:val="auto"/>
                <w:highlight w:val="none"/>
              </w:rPr>
            </w:pPr>
            <w:r>
              <w:rPr>
                <w:rFonts w:hint="eastAsia"/>
                <w:color w:val="auto"/>
                <w:highlight w:val="none"/>
                <w:lang w:val="en-US" w:eastAsia="zh-CN"/>
              </w:rPr>
              <w:t>4.</w:t>
            </w:r>
            <w:r>
              <w:rPr>
                <w:color w:val="auto"/>
                <w:highlight w:val="none"/>
              </w:rPr>
              <w:t xml:space="preserve">2 距离 测量范围：0～9999.99m 分辨率：0.01 m 精度：2% </w:t>
            </w:r>
          </w:p>
          <w:p w14:paraId="7157E655">
            <w:pPr>
              <w:numPr>
                <w:ilvl w:val="0"/>
                <w:numId w:val="0"/>
              </w:numPr>
              <w:rPr>
                <w:color w:val="auto"/>
                <w:highlight w:val="none"/>
              </w:rPr>
            </w:pPr>
            <w:r>
              <w:rPr>
                <w:rFonts w:hint="eastAsia"/>
                <w:color w:val="auto"/>
                <w:highlight w:val="none"/>
                <w:lang w:val="en-US" w:eastAsia="zh-CN"/>
              </w:rPr>
              <w:t>4.</w:t>
            </w:r>
            <w:r>
              <w:rPr>
                <w:color w:val="auto"/>
                <w:highlight w:val="none"/>
              </w:rPr>
              <w:t xml:space="preserve">3 时间 测量范围：0～9999.99 s 分辨率：0.01 s 精度：1% </w:t>
            </w:r>
          </w:p>
          <w:p w14:paraId="386B1B08">
            <w:pPr>
              <w:numPr>
                <w:ilvl w:val="0"/>
                <w:numId w:val="0"/>
              </w:numPr>
              <w:rPr>
                <w:color w:val="auto"/>
                <w:highlight w:val="none"/>
              </w:rPr>
            </w:pPr>
            <w:r>
              <w:rPr>
                <w:color w:val="auto"/>
                <w:highlight w:val="none"/>
              </w:rPr>
              <w:t>4</w:t>
            </w:r>
            <w:r>
              <w:rPr>
                <w:rFonts w:hint="eastAsia"/>
                <w:color w:val="auto"/>
                <w:highlight w:val="none"/>
                <w:lang w:val="en-US" w:eastAsia="zh-CN"/>
              </w:rPr>
              <w:t>.4</w:t>
            </w:r>
            <w:r>
              <w:rPr>
                <w:color w:val="auto"/>
                <w:highlight w:val="none"/>
              </w:rPr>
              <w:t xml:space="preserve">手刹力 测量范围： 0～500N 分辨率：0.1 N 精度：2% </w:t>
            </w:r>
          </w:p>
          <w:p w14:paraId="1BC87BDA">
            <w:pPr>
              <w:numPr>
                <w:ilvl w:val="0"/>
                <w:numId w:val="0"/>
              </w:numPr>
              <w:rPr>
                <w:rFonts w:hint="default" w:eastAsiaTheme="minorEastAsia"/>
                <w:color w:val="auto"/>
                <w:highlight w:val="none"/>
                <w:lang w:val="en-US" w:eastAsia="zh-CN"/>
              </w:rPr>
            </w:pPr>
            <w:r>
              <w:rPr>
                <w:rFonts w:hint="eastAsia"/>
                <w:color w:val="auto"/>
                <w:highlight w:val="none"/>
                <w:lang w:val="en-US" w:eastAsia="zh-CN"/>
              </w:rPr>
              <w:t>4.</w:t>
            </w:r>
            <w:r>
              <w:rPr>
                <w:color w:val="auto"/>
                <w:highlight w:val="none"/>
              </w:rPr>
              <w:t>5 电流 测量范围：0～200A 分辨率：0.1 A 精度：2% 6 电压 测量范围：0～200V 分辨率：0.1V 精度：2%</w:t>
            </w:r>
            <w:r>
              <w:rPr>
                <w:rFonts w:hint="eastAsia"/>
                <w:color w:val="auto"/>
                <w:highlight w:val="none"/>
              </w:rPr>
              <w:br w:type="textWrapping"/>
            </w:r>
            <w:r>
              <w:rPr>
                <w:rFonts w:hint="eastAsia"/>
                <w:color w:val="auto"/>
                <w:highlight w:val="none"/>
                <w:lang w:val="en-US" w:eastAsia="zh-CN"/>
              </w:rPr>
              <w:t>5</w:t>
            </w:r>
            <w:r>
              <w:rPr>
                <w:color w:val="auto"/>
                <w:highlight w:val="none"/>
              </w:rPr>
              <w:t>、基本配置</w:t>
            </w:r>
            <w:r>
              <w:rPr>
                <w:rFonts w:hint="eastAsia"/>
                <w:color w:val="auto"/>
                <w:highlight w:val="none"/>
              </w:rPr>
              <w:br w:type="textWrapping"/>
            </w:r>
            <w:r>
              <w:rPr>
                <w:color w:val="auto"/>
                <w:highlight w:val="none"/>
              </w:rPr>
              <w:t>1 主机 1台 ARM最新CORTEX内核32位单片机为核心的智能系统；</w:t>
            </w:r>
            <w:r>
              <w:rPr>
                <w:rFonts w:hint="eastAsia"/>
                <w:color w:val="auto"/>
                <w:highlight w:val="none"/>
              </w:rPr>
              <w:br w:type="textWrapping"/>
            </w:r>
            <w:r>
              <w:rPr>
                <w:color w:val="auto"/>
                <w:highlight w:val="none"/>
              </w:rPr>
              <w:t>2 轮速传感器 1套 60 km/h；</w:t>
            </w:r>
            <w:r>
              <w:rPr>
                <w:rFonts w:hint="eastAsia"/>
                <w:color w:val="auto"/>
                <w:highlight w:val="none"/>
              </w:rPr>
              <w:br w:type="textWrapping"/>
            </w:r>
            <w:r>
              <w:rPr>
                <w:color w:val="auto"/>
                <w:highlight w:val="none"/>
              </w:rPr>
              <w:t xml:space="preserve">3 </w:t>
            </w:r>
            <w:r>
              <w:rPr>
                <w:rFonts w:hint="eastAsia"/>
                <w:color w:val="auto"/>
                <w:highlight w:val="none"/>
                <w:lang w:val="en-US" w:eastAsia="zh-CN"/>
              </w:rPr>
              <w:t>配套</w:t>
            </w:r>
            <w:r>
              <w:rPr>
                <w:color w:val="auto"/>
                <w:highlight w:val="none"/>
              </w:rPr>
              <w:t xml:space="preserve">固定支架 1套 </w:t>
            </w:r>
            <w:r>
              <w:rPr>
                <w:rFonts w:hint="eastAsia"/>
                <w:color w:val="auto"/>
                <w:highlight w:val="none"/>
                <w:lang w:eastAsia="zh-CN"/>
              </w:rPr>
              <w:t>，</w:t>
            </w:r>
            <w:r>
              <w:rPr>
                <w:rFonts w:hint="eastAsia"/>
                <w:color w:val="auto"/>
                <w:highlight w:val="none"/>
                <w:lang w:val="en-US" w:eastAsia="zh-CN"/>
              </w:rPr>
              <w:t>符合检验要求；</w:t>
            </w:r>
          </w:p>
          <w:p w14:paraId="7244C261">
            <w:pPr>
              <w:keepNext w:val="0"/>
              <w:keepLines w:val="0"/>
              <w:pageBreakBefore w:val="0"/>
              <w:widowControl w:val="0"/>
              <w:numPr>
                <w:ilvl w:val="0"/>
                <w:numId w:val="0"/>
              </w:numPr>
              <w:kinsoku/>
              <w:wordWrap w:val="0"/>
              <w:overflowPunct/>
              <w:topLinePunct w:val="0"/>
              <w:autoSpaceDE/>
              <w:autoSpaceDN/>
              <w:bidi w:val="0"/>
              <w:adjustRightInd/>
              <w:snapToGrid/>
              <w:textAlignment w:val="auto"/>
              <w:rPr>
                <w:color w:val="auto"/>
                <w:highlight w:val="none"/>
              </w:rPr>
            </w:pPr>
            <w:r>
              <w:rPr>
                <w:color w:val="auto"/>
                <w:highlight w:val="none"/>
              </w:rPr>
              <w:t>4 手刹力传感器 1只 0～500N；</w:t>
            </w:r>
            <w:r>
              <w:rPr>
                <w:rFonts w:hint="eastAsia"/>
                <w:color w:val="auto"/>
                <w:highlight w:val="none"/>
              </w:rPr>
              <w:br w:type="textWrapping"/>
            </w:r>
            <w:r>
              <w:rPr>
                <w:color w:val="auto"/>
                <w:highlight w:val="none"/>
              </w:rPr>
              <w:t>5 电流/电压传感器 1套 0-200A,0-200V；</w:t>
            </w:r>
            <w:r>
              <w:rPr>
                <w:rFonts w:hint="eastAsia"/>
                <w:color w:val="auto"/>
                <w:highlight w:val="none"/>
              </w:rPr>
              <w:br w:type="textWrapping"/>
            </w:r>
            <w:r>
              <w:rPr>
                <w:color w:val="auto"/>
                <w:highlight w:val="none"/>
              </w:rPr>
              <w:t>6 电流/电压信号线 1条 四芯对四芯；</w:t>
            </w:r>
            <w:r>
              <w:rPr>
                <w:rFonts w:hint="eastAsia"/>
                <w:color w:val="auto"/>
                <w:highlight w:val="none"/>
              </w:rPr>
              <w:br w:type="textWrapping"/>
            </w:r>
            <w:r>
              <w:rPr>
                <w:color w:val="auto"/>
                <w:highlight w:val="none"/>
              </w:rPr>
              <w:t xml:space="preserve">7 电流/电压专用辅助测试线 1条； </w:t>
            </w:r>
            <w:r>
              <w:rPr>
                <w:rFonts w:hint="eastAsia"/>
                <w:color w:val="auto"/>
                <w:highlight w:val="none"/>
              </w:rPr>
              <w:br w:type="textWrapping"/>
            </w:r>
            <w:r>
              <w:rPr>
                <w:color w:val="auto"/>
                <w:highlight w:val="none"/>
              </w:rPr>
              <w:t>8 动力辅助加速装置 1套 驱动速度范围：0-28 km/h</w:t>
            </w:r>
            <w:r>
              <w:rPr>
                <w:rFonts w:hint="eastAsia"/>
                <w:color w:val="auto"/>
                <w:highlight w:val="none"/>
              </w:rPr>
              <w:br w:type="textWrapping"/>
            </w:r>
            <w:r>
              <w:rPr>
                <w:color w:val="auto"/>
                <w:highlight w:val="none"/>
              </w:rPr>
              <w:t>9 电流/电压测试通用转接线 1条 ；</w:t>
            </w:r>
            <w:r>
              <w:rPr>
                <w:rFonts w:hint="eastAsia"/>
                <w:color w:val="auto"/>
                <w:highlight w:val="none"/>
              </w:rPr>
              <w:br w:type="textWrapping"/>
            </w:r>
            <w:r>
              <w:rPr>
                <w:color w:val="auto"/>
                <w:highlight w:val="none"/>
              </w:rPr>
              <w:t xml:space="preserve">10 </w:t>
            </w:r>
            <w:r>
              <w:rPr>
                <w:rFonts w:hint="eastAsia"/>
                <w:color w:val="auto"/>
                <w:highlight w:val="none"/>
                <w:lang w:val="en-US" w:eastAsia="zh-CN"/>
              </w:rPr>
              <w:t xml:space="preserve"> </w:t>
            </w:r>
            <w:r>
              <w:rPr>
                <w:color w:val="auto"/>
                <w:highlight w:val="none"/>
              </w:rPr>
              <w:t>RS232交叉线 1条 ；</w:t>
            </w:r>
            <w:r>
              <w:rPr>
                <w:rFonts w:hint="eastAsia"/>
                <w:color w:val="auto"/>
                <w:highlight w:val="none"/>
              </w:rPr>
              <w:br w:type="textWrapping"/>
            </w:r>
            <w:r>
              <w:rPr>
                <w:color w:val="auto"/>
                <w:highlight w:val="none"/>
              </w:rPr>
              <w:t>11 微型</w:t>
            </w:r>
            <w:r>
              <w:rPr>
                <w:rFonts w:hint="eastAsia"/>
                <w:color w:val="auto"/>
                <w:highlight w:val="none"/>
              </w:rPr>
              <w:t>数据输</w:t>
            </w:r>
            <w:r>
              <w:rPr>
                <w:rFonts w:hint="eastAsia"/>
                <w:color w:val="auto"/>
                <w:highlight w:val="none"/>
                <w:lang w:val="en-US" w:eastAsia="zh-CN"/>
              </w:rPr>
              <w:t>出设备</w:t>
            </w:r>
            <w:r>
              <w:rPr>
                <w:color w:val="auto"/>
                <w:highlight w:val="none"/>
              </w:rPr>
              <w:t xml:space="preserve"> 1台 40列；</w:t>
            </w:r>
            <w:r>
              <w:rPr>
                <w:rFonts w:hint="eastAsia"/>
                <w:color w:val="auto"/>
                <w:highlight w:val="none"/>
                <w:lang w:val="en-US" w:eastAsia="zh-CN"/>
              </w:rPr>
              <w:t>配套</w:t>
            </w:r>
            <w:r>
              <w:rPr>
                <w:color w:val="auto"/>
                <w:highlight w:val="none"/>
              </w:rPr>
              <w:t xml:space="preserve">纸5卷 </w:t>
            </w:r>
            <w:r>
              <w:rPr>
                <w:rFonts w:hint="eastAsia"/>
                <w:color w:val="auto"/>
                <w:highlight w:val="none"/>
                <w:lang w:eastAsia="zh-CN"/>
              </w:rPr>
              <w:t>，</w:t>
            </w:r>
            <w:r>
              <w:rPr>
                <w:rFonts w:hint="eastAsia"/>
                <w:color w:val="auto"/>
                <w:highlight w:val="none"/>
              </w:rPr>
              <w:t>输</w:t>
            </w:r>
            <w:r>
              <w:rPr>
                <w:rFonts w:hint="eastAsia"/>
                <w:color w:val="auto"/>
                <w:highlight w:val="none"/>
                <w:lang w:val="en-US" w:eastAsia="zh-CN"/>
              </w:rPr>
              <w:t>出设备</w:t>
            </w:r>
            <w:r>
              <w:rPr>
                <w:color w:val="auto"/>
                <w:highlight w:val="none"/>
              </w:rPr>
              <w:t xml:space="preserve">线 </w:t>
            </w:r>
            <w:r>
              <w:rPr>
                <w:rFonts w:hint="eastAsia"/>
                <w:color w:val="auto"/>
                <w:highlight w:val="none"/>
                <w:lang w:val="en-US" w:eastAsia="zh-CN"/>
              </w:rPr>
              <w:t>2</w:t>
            </w:r>
            <w:r>
              <w:rPr>
                <w:color w:val="auto"/>
                <w:highlight w:val="none"/>
              </w:rPr>
              <w:t>条</w:t>
            </w:r>
            <w:r>
              <w:rPr>
                <w:rFonts w:hint="eastAsia"/>
                <w:color w:val="auto"/>
                <w:highlight w:val="none"/>
              </w:rPr>
              <w:br w:type="textWrapping"/>
            </w:r>
            <w:r>
              <w:rPr>
                <w:color w:val="auto"/>
                <w:highlight w:val="none"/>
              </w:rPr>
              <w:t>1</w:t>
            </w:r>
            <w:r>
              <w:rPr>
                <w:rFonts w:hint="eastAsia"/>
                <w:color w:val="auto"/>
                <w:highlight w:val="none"/>
                <w:lang w:val="en-US" w:eastAsia="zh-CN"/>
              </w:rPr>
              <w:t>2</w:t>
            </w:r>
            <w:r>
              <w:rPr>
                <w:color w:val="auto"/>
                <w:highlight w:val="none"/>
              </w:rPr>
              <w:t xml:space="preserve"> 专用六角扳手 1个 不锈钢材质；</w:t>
            </w:r>
            <w:r>
              <w:rPr>
                <w:rFonts w:hint="eastAsia"/>
                <w:color w:val="auto"/>
                <w:highlight w:val="none"/>
              </w:rPr>
              <w:br w:type="textWrapping"/>
            </w:r>
            <w:r>
              <w:rPr>
                <w:color w:val="auto"/>
                <w:highlight w:val="none"/>
              </w:rPr>
              <w:t>1</w:t>
            </w:r>
            <w:r>
              <w:rPr>
                <w:rFonts w:hint="eastAsia"/>
                <w:color w:val="auto"/>
                <w:highlight w:val="none"/>
                <w:lang w:val="en-US" w:eastAsia="zh-CN"/>
              </w:rPr>
              <w:t>3</w:t>
            </w:r>
            <w:r>
              <w:rPr>
                <w:color w:val="auto"/>
                <w:highlight w:val="none"/>
              </w:rPr>
              <w:t xml:space="preserve"> 电动喷淋装置 1套 0.1-1000ml/min；</w:t>
            </w:r>
            <w:r>
              <w:rPr>
                <w:rFonts w:hint="eastAsia"/>
                <w:color w:val="auto"/>
                <w:highlight w:val="none"/>
              </w:rPr>
              <w:br w:type="textWrapping"/>
            </w:r>
            <w:r>
              <w:rPr>
                <w:color w:val="auto"/>
                <w:highlight w:val="none"/>
              </w:rPr>
              <w:t>1</w:t>
            </w:r>
            <w:r>
              <w:rPr>
                <w:rFonts w:hint="eastAsia"/>
                <w:color w:val="auto"/>
                <w:highlight w:val="none"/>
                <w:lang w:val="en-US" w:eastAsia="zh-CN"/>
              </w:rPr>
              <w:t>4</w:t>
            </w:r>
            <w:r>
              <w:rPr>
                <w:color w:val="auto"/>
                <w:highlight w:val="none"/>
              </w:rPr>
              <w:t xml:space="preserve"> 充电器 1只 12V</w:t>
            </w:r>
            <w:r>
              <w:rPr>
                <w:rFonts w:hint="eastAsia"/>
                <w:color w:val="auto"/>
                <w:highlight w:val="none"/>
                <w:lang w:val="en-US" w:eastAsia="zh-CN"/>
              </w:rPr>
              <w:t xml:space="preserve"> </w:t>
            </w:r>
            <w:r>
              <w:rPr>
                <w:color w:val="auto"/>
                <w:highlight w:val="none"/>
              </w:rPr>
              <w:t>500 MA；</w:t>
            </w:r>
            <w:r>
              <w:rPr>
                <w:rFonts w:hint="eastAsia"/>
                <w:color w:val="auto"/>
                <w:highlight w:val="none"/>
              </w:rPr>
              <w:br w:type="textWrapping"/>
            </w:r>
            <w:r>
              <w:rPr>
                <w:color w:val="auto"/>
                <w:highlight w:val="none"/>
              </w:rPr>
              <w:t>1</w:t>
            </w:r>
            <w:r>
              <w:rPr>
                <w:rFonts w:hint="eastAsia"/>
                <w:color w:val="auto"/>
                <w:highlight w:val="none"/>
                <w:lang w:val="en-US" w:eastAsia="zh-CN"/>
              </w:rPr>
              <w:t>5</w:t>
            </w:r>
            <w:r>
              <w:rPr>
                <w:color w:val="auto"/>
                <w:highlight w:val="none"/>
              </w:rPr>
              <w:t xml:space="preserve"> 保险丝 2只 ；</w:t>
            </w:r>
            <w:r>
              <w:rPr>
                <w:rFonts w:hint="eastAsia"/>
                <w:color w:val="auto"/>
                <w:highlight w:val="none"/>
              </w:rPr>
              <w:br w:type="textWrapping"/>
            </w:r>
            <w:r>
              <w:rPr>
                <w:rFonts w:hint="eastAsia"/>
                <w:color w:val="auto"/>
                <w:highlight w:val="none"/>
                <w:lang w:val="en-US" w:eastAsia="zh-CN"/>
              </w:rPr>
              <w:t xml:space="preserve">16 </w:t>
            </w:r>
            <w:r>
              <w:rPr>
                <w:rFonts w:hint="eastAsia" w:ascii="宋体" w:hAnsi="宋体" w:eastAsia="宋体" w:cs="宋体"/>
                <w:snapToGrid w:val="0"/>
                <w:color w:val="auto"/>
                <w:spacing w:val="0"/>
                <w:kern w:val="0"/>
                <w:position w:val="0"/>
                <w:sz w:val="21"/>
                <w:szCs w:val="21"/>
                <w:highlight w:val="none"/>
                <w:lang w:val="en-US" w:eastAsia="zh-CN" w:bidi="ar"/>
              </w:rPr>
              <w:t>交货时</w:t>
            </w:r>
            <w:r>
              <w:rPr>
                <w:color w:val="auto"/>
                <w:highlight w:val="none"/>
              </w:rPr>
              <w:t>提供合格检定/校准证书</w:t>
            </w:r>
            <w:r>
              <w:rPr>
                <w:rFonts w:hint="eastAsia"/>
                <w:color w:val="auto"/>
                <w:highlight w:val="none"/>
                <w:lang w:eastAsia="zh-CN"/>
              </w:rPr>
              <w:t>。</w:t>
            </w:r>
          </w:p>
        </w:tc>
        <w:tc>
          <w:tcPr>
            <w:tcW w:w="750" w:type="dxa"/>
          </w:tcPr>
          <w:p w14:paraId="37AA520A">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22560B15">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80000</w:t>
            </w:r>
          </w:p>
        </w:tc>
      </w:tr>
      <w:tr w14:paraId="6174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688" w:type="dxa"/>
            <w:noWrap/>
          </w:tcPr>
          <w:p w14:paraId="25368F68">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rPr>
              <w:t>1</w:t>
            </w:r>
            <w:r>
              <w:rPr>
                <w:rFonts w:hint="eastAsia"/>
                <w:b/>
                <w:bCs/>
                <w:color w:val="auto"/>
                <w:highlight w:val="none"/>
                <w:lang w:val="en-US" w:eastAsia="zh-CN"/>
              </w:rPr>
              <w:t>2</w:t>
            </w:r>
          </w:p>
        </w:tc>
        <w:tc>
          <w:tcPr>
            <w:tcW w:w="1233" w:type="dxa"/>
          </w:tcPr>
          <w:p w14:paraId="54DCF844">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高通量真空平行浓缩仪</w:t>
            </w:r>
          </w:p>
        </w:tc>
        <w:tc>
          <w:tcPr>
            <w:tcW w:w="5369" w:type="dxa"/>
          </w:tcPr>
          <w:p w14:paraId="2371604C">
            <w:pPr>
              <w:rPr>
                <w:rFonts w:hint="eastAsia" w:eastAsiaTheme="minorEastAsia"/>
                <w:color w:val="auto"/>
                <w:sz w:val="21"/>
                <w:szCs w:val="21"/>
                <w:highlight w:val="none"/>
                <w:lang w:eastAsia="zh-CN"/>
              </w:rPr>
            </w:pPr>
            <w:r>
              <w:rPr>
                <w:rFonts w:hint="eastAsia"/>
                <w:color w:val="auto"/>
                <w:highlight w:val="none"/>
              </w:rPr>
              <w:t>一、仪器用途：用于食品等样品残留测定的前处理，实现多样品在真空负压的状态下进行快速且平行的溶剂浓缩，</w:t>
            </w:r>
            <w:r>
              <w:rPr>
                <w:rFonts w:hint="eastAsia"/>
                <w:color w:val="auto"/>
                <w:highlight w:val="none"/>
                <w:lang w:val="en-US" w:eastAsia="zh-CN"/>
              </w:rPr>
              <w:t>能</w:t>
            </w:r>
            <w:r>
              <w:rPr>
                <w:rFonts w:hint="eastAsia"/>
                <w:color w:val="auto"/>
                <w:highlight w:val="none"/>
              </w:rPr>
              <w:t>回收挥发的有机试剂。</w:t>
            </w:r>
            <w:r>
              <w:rPr>
                <w:rFonts w:hint="eastAsia"/>
                <w:color w:val="auto"/>
                <w:highlight w:val="none"/>
              </w:rPr>
              <w:br w:type="textWrapping"/>
            </w:r>
            <w:r>
              <w:rPr>
                <w:rFonts w:hint="eastAsia"/>
                <w:color w:val="auto"/>
                <w:highlight w:val="none"/>
              </w:rPr>
              <w:t>二、技术参数：</w:t>
            </w:r>
            <w:r>
              <w:rPr>
                <w:rFonts w:hint="eastAsia"/>
                <w:color w:val="auto"/>
                <w:highlight w:val="none"/>
              </w:rPr>
              <w:br w:type="textWrapping"/>
            </w:r>
            <w:r>
              <w:rPr>
                <w:rFonts w:hint="eastAsia"/>
                <w:color w:val="auto"/>
                <w:highlight w:val="none"/>
              </w:rPr>
              <w:t>1、主机模块</w:t>
            </w:r>
            <w:r>
              <w:rPr>
                <w:rFonts w:hint="eastAsia"/>
                <w:color w:val="auto"/>
                <w:highlight w:val="none"/>
              </w:rPr>
              <w:br w:type="textWrapping"/>
            </w:r>
            <w:r>
              <w:rPr>
                <w:rFonts w:hint="eastAsia"/>
                <w:color w:val="auto"/>
                <w:highlight w:val="none"/>
              </w:rPr>
              <w:t>1.1样品在真空负压、加热和振荡的多重作用下，进行样品浓缩，无需外接气源。</w:t>
            </w:r>
            <w:r>
              <w:rPr>
                <w:rFonts w:hint="eastAsia"/>
                <w:color w:val="auto"/>
                <w:highlight w:val="none"/>
              </w:rPr>
              <w:br w:type="textWrapping"/>
            </w:r>
            <w:r>
              <w:rPr>
                <w:rFonts w:hint="eastAsia"/>
                <w:color w:val="auto"/>
                <w:highlight w:val="none"/>
              </w:rPr>
              <w:t>1.2 批处理能力：</w:t>
            </w:r>
            <w:r>
              <w:rPr>
                <w:rFonts w:hint="eastAsia"/>
                <w:color w:val="auto"/>
                <w:sz w:val="21"/>
                <w:szCs w:val="21"/>
                <w:highlight w:val="none"/>
              </w:rPr>
              <w:t>不少于20个320ml棕色平底的法兰杯进行浓缩。</w:t>
            </w:r>
            <w:r>
              <w:rPr>
                <w:rFonts w:hint="eastAsia"/>
                <w:color w:val="auto"/>
                <w:highlight w:val="none"/>
              </w:rPr>
              <w:br w:type="textWrapping"/>
            </w:r>
            <w:r>
              <w:rPr>
                <w:rFonts w:hint="eastAsia"/>
                <w:color w:val="auto"/>
                <w:highlight w:val="none"/>
              </w:rPr>
              <w:t xml:space="preserve">1.3 </w:t>
            </w:r>
            <w:r>
              <w:rPr>
                <w:rFonts w:hint="eastAsia"/>
                <w:color w:val="auto"/>
                <w:sz w:val="21"/>
                <w:szCs w:val="21"/>
                <w:highlight w:val="none"/>
              </w:rPr>
              <w:t>浓缩杯兼容：兼容不少于20个尾管底法兰杯，尾管具备0.5ml和1.0ml刻度、不少于20个平底法兰杯进行样品浓缩。</w:t>
            </w:r>
            <w:r>
              <w:rPr>
                <w:rFonts w:hint="eastAsia"/>
                <w:color w:val="auto"/>
                <w:highlight w:val="none"/>
              </w:rPr>
              <w:br w:type="textWrapping"/>
            </w:r>
            <w:r>
              <w:rPr>
                <w:rFonts w:hint="eastAsia"/>
                <w:color w:val="auto"/>
                <w:highlight w:val="none"/>
              </w:rPr>
              <w:t>1.4 设备尺寸：≤（长760×宽540×高400）mm</w:t>
            </w:r>
            <w:r>
              <w:rPr>
                <w:rFonts w:hint="eastAsia"/>
                <w:color w:val="auto"/>
                <w:highlight w:val="none"/>
              </w:rPr>
              <w:br w:type="textWrapping"/>
            </w:r>
            <w:r>
              <w:rPr>
                <w:rFonts w:hint="eastAsia"/>
                <w:color w:val="auto"/>
                <w:highlight w:val="none"/>
              </w:rPr>
              <w:t>1.5 加热模块：水浴加热，温度可设定（室温~80℃），加热模块不与样品管接触，水浴进行温度传递，腔体温度均一。</w:t>
            </w:r>
            <w:r>
              <w:rPr>
                <w:rFonts w:hint="eastAsia"/>
                <w:color w:val="auto"/>
                <w:highlight w:val="none"/>
              </w:rPr>
              <w:br w:type="textWrapping"/>
            </w:r>
            <w:r>
              <w:rPr>
                <w:rFonts w:hint="eastAsia"/>
                <w:color w:val="auto"/>
                <w:highlight w:val="none"/>
              </w:rPr>
              <w:t xml:space="preserve">1.6 仪器具备自动给排水功能：具备自动加水泵和高低液位传感器，软件界面一键操作，在加水泵的作用下进行自动加水操作；也可在排水泵的作用下进行快速排水操作，自动确定加水排水终点。 </w:t>
            </w:r>
            <w:r>
              <w:rPr>
                <w:rFonts w:hint="eastAsia"/>
                <w:color w:val="auto"/>
                <w:highlight w:val="none"/>
              </w:rPr>
              <w:br w:type="textWrapping"/>
            </w:r>
            <w:r>
              <w:rPr>
                <w:rFonts w:hint="eastAsia"/>
                <w:color w:val="auto"/>
                <w:highlight w:val="none"/>
              </w:rPr>
              <w:t>1.7 水浴模组为水平振荡状态，可以进行水平振荡，水平振荡转速范围：0-300 rpm。</w:t>
            </w:r>
            <w:r>
              <w:rPr>
                <w:rFonts w:hint="eastAsia"/>
                <w:color w:val="auto"/>
                <w:highlight w:val="none"/>
              </w:rPr>
              <w:br w:type="textWrapping"/>
            </w:r>
            <w:r>
              <w:rPr>
                <w:rFonts w:hint="eastAsia"/>
                <w:color w:val="auto"/>
                <w:highlight w:val="none"/>
              </w:rPr>
              <w:t>1.8 水平振荡梯度：≥10段时间梯度（提供真机软件的实现10段以上振荡速度梯度设置的照片）</w:t>
            </w:r>
            <w:r>
              <w:rPr>
                <w:rFonts w:hint="eastAsia"/>
                <w:color w:val="auto"/>
                <w:highlight w:val="none"/>
              </w:rPr>
              <w:br w:type="textWrapping"/>
            </w:r>
            <w:r>
              <w:rPr>
                <w:rFonts w:hint="eastAsia"/>
                <w:color w:val="auto"/>
                <w:highlight w:val="none"/>
              </w:rPr>
              <w:t>1.9 水平振荡偏心率可调范围：0～5mm</w:t>
            </w:r>
            <w:r>
              <w:rPr>
                <w:rFonts w:hint="eastAsia"/>
                <w:color w:val="auto"/>
                <w:highlight w:val="none"/>
              </w:rPr>
              <w:br w:type="textWrapping"/>
            </w:r>
            <w:r>
              <w:rPr>
                <w:rFonts w:hint="eastAsia"/>
                <w:color w:val="auto"/>
                <w:highlight w:val="none"/>
              </w:rPr>
              <w:t>1.10 每个浓缩杯位置均含有独立的真空管路密封，真空管路可拆卸清洗，所有管路汇集到一条主管路内，样品不经过其他样品位置，避免样品爆沸引起的串液问题。</w:t>
            </w:r>
            <w:r>
              <w:rPr>
                <w:rFonts w:hint="eastAsia"/>
                <w:color w:val="auto"/>
                <w:highlight w:val="none"/>
              </w:rPr>
              <w:br w:type="textWrapping"/>
            </w:r>
            <w:r>
              <w:rPr>
                <w:rFonts w:hint="eastAsia"/>
                <w:color w:val="auto"/>
                <w:highlight w:val="none"/>
              </w:rPr>
              <w:t>1.11 配</w:t>
            </w:r>
            <w:r>
              <w:rPr>
                <w:rFonts w:hint="eastAsia"/>
                <w:color w:val="auto"/>
                <w:highlight w:val="none"/>
                <w:lang w:val="en-US" w:eastAsia="zh-CN"/>
              </w:rPr>
              <w:t>置</w:t>
            </w:r>
            <w:r>
              <w:rPr>
                <w:rFonts w:hint="eastAsia"/>
                <w:color w:val="auto"/>
                <w:highlight w:val="none"/>
              </w:rPr>
              <w:t>可加热防腐蚀盖板，防止样品冷凝溶剂冷凝回流，加热电压24V，独立控温，盖板与水浴可设置不同温度，温控范围：室温～70℃。</w:t>
            </w:r>
            <w:r>
              <w:rPr>
                <w:rFonts w:hint="eastAsia"/>
                <w:color w:val="auto"/>
                <w:highlight w:val="none"/>
              </w:rPr>
              <w:br w:type="textWrapping"/>
            </w:r>
            <w:r>
              <w:rPr>
                <w:rFonts w:hint="eastAsia"/>
                <w:color w:val="auto"/>
                <w:highlight w:val="none"/>
              </w:rPr>
              <w:t>1.12 盖板与浓缩杯接触材质：耐腐蚀PFA涂层，减少样品交叉污染。</w:t>
            </w:r>
            <w:r>
              <w:rPr>
                <w:rFonts w:hint="eastAsia"/>
                <w:color w:val="auto"/>
                <w:highlight w:val="none"/>
              </w:rPr>
              <w:br w:type="textWrapping"/>
            </w:r>
            <w:r>
              <w:rPr>
                <w:rFonts w:hint="eastAsia"/>
                <w:color w:val="auto"/>
                <w:highlight w:val="none"/>
              </w:rPr>
              <w:t>1.13 盖板采用上翻盖开关：具备阻尼结构可实现悬停，具备圆柱形助力扶手。</w:t>
            </w:r>
            <w:r>
              <w:rPr>
                <w:rFonts w:hint="eastAsia"/>
                <w:color w:val="auto"/>
                <w:highlight w:val="none"/>
              </w:rPr>
              <w:br w:type="textWrapping"/>
            </w:r>
            <w:r>
              <w:rPr>
                <w:rFonts w:hint="eastAsia"/>
                <w:color w:val="auto"/>
                <w:highlight w:val="none"/>
              </w:rPr>
              <w:t xml:space="preserve">1.14 盖板磁吸密封：≥2个磁吸块，可对20位样品瓶进行高效自动真空密封。（提供磁吸结构实机图片证明加以说明） </w:t>
            </w:r>
            <w:r>
              <w:rPr>
                <w:rFonts w:hint="eastAsia"/>
                <w:color w:val="auto"/>
                <w:highlight w:val="none"/>
              </w:rPr>
              <w:br w:type="textWrapping"/>
            </w:r>
            <w:r>
              <w:rPr>
                <w:rFonts w:hint="eastAsia"/>
                <w:color w:val="auto"/>
                <w:highlight w:val="none"/>
              </w:rPr>
              <w:t>1.15 浓缩腔体设计为全透明模式，可视性强，配备LED灯可实时观察浓缩状态。</w:t>
            </w:r>
            <w:r>
              <w:rPr>
                <w:rFonts w:hint="eastAsia"/>
                <w:color w:val="auto"/>
                <w:highlight w:val="none"/>
              </w:rPr>
              <w:br w:type="textWrapping"/>
            </w:r>
            <w:r>
              <w:rPr>
                <w:rFonts w:hint="eastAsia"/>
                <w:color w:val="auto"/>
                <w:highlight w:val="none"/>
              </w:rPr>
              <w:t>1.16 浓缩杯壁低温冷凝回流功能：可针对浓缩杯杯壁上端，提供行低温保护，针对低沸点样品提供浓缩冷凝回流场景，减少待测物质的挥发。</w:t>
            </w:r>
            <w:r>
              <w:rPr>
                <w:rFonts w:hint="eastAsia"/>
                <w:color w:val="auto"/>
                <w:highlight w:val="none"/>
              </w:rPr>
              <w:br w:type="textWrapping"/>
            </w:r>
            <w:r>
              <w:rPr>
                <w:rFonts w:hint="eastAsia"/>
                <w:color w:val="auto"/>
                <w:highlight w:val="none"/>
              </w:rPr>
              <w:t>2、溶剂回收部分：</w:t>
            </w:r>
            <w:r>
              <w:rPr>
                <w:rFonts w:hint="eastAsia"/>
                <w:color w:val="auto"/>
                <w:highlight w:val="none"/>
              </w:rPr>
              <w:br w:type="textWrapping"/>
            </w:r>
            <w:r>
              <w:rPr>
                <w:rFonts w:hint="eastAsia"/>
                <w:color w:val="auto"/>
                <w:highlight w:val="none"/>
              </w:rPr>
              <w:t>2.1 仪器具备冷凝回收功能，可对蒸发过程产生的有机蒸汽在蛇形冷凝管进行冷凝后由收集瓶进行回收。</w:t>
            </w:r>
            <w:r>
              <w:rPr>
                <w:rFonts w:hint="eastAsia"/>
                <w:color w:val="auto"/>
                <w:highlight w:val="none"/>
              </w:rPr>
              <w:br w:type="textWrapping"/>
            </w:r>
            <w:r>
              <w:rPr>
                <w:rFonts w:hint="eastAsia"/>
                <w:color w:val="auto"/>
                <w:highlight w:val="none"/>
              </w:rPr>
              <w:t>2.2 仪器可选配双级冷凝管，采用第一级冷凝管对废蒸汽进行高效冷凝，第二级可接在真空泵后，进一步降低蒸汽排放。</w:t>
            </w:r>
            <w:r>
              <w:rPr>
                <w:rFonts w:hint="eastAsia"/>
                <w:color w:val="auto"/>
                <w:highlight w:val="none"/>
              </w:rPr>
              <w:br w:type="textWrapping"/>
            </w:r>
            <w:r>
              <w:rPr>
                <w:rFonts w:hint="eastAsia"/>
                <w:color w:val="auto"/>
                <w:highlight w:val="none"/>
              </w:rPr>
              <w:t>2.3 具有大体积重力排废功能，将放置于台面上仪器产生的回收溶剂通过大体积排废到地面的收集瓶中。（提供大体积排废模块实拍图片并说明，或者提供自动大体积排废模块实拍图片证明）</w:t>
            </w:r>
            <w:r>
              <w:rPr>
                <w:rFonts w:hint="eastAsia"/>
                <w:color w:val="auto"/>
                <w:highlight w:val="none"/>
              </w:rPr>
              <w:br w:type="textWrapping"/>
            </w:r>
            <w:r>
              <w:rPr>
                <w:rFonts w:hint="eastAsia"/>
                <w:color w:val="auto"/>
                <w:highlight w:val="none"/>
              </w:rPr>
              <w:t>2.4 自动连续常压排放废液模块，收集的废液体积无限制，无需手动操作，运行过程中废液直接流入废液桶，对废液桶无耐真空要求。</w:t>
            </w:r>
            <w:r>
              <w:rPr>
                <w:rFonts w:hint="eastAsia"/>
                <w:color w:val="auto"/>
                <w:highlight w:val="none"/>
              </w:rPr>
              <w:br w:type="textWrapping"/>
            </w:r>
            <w:r>
              <w:rPr>
                <w:rFonts w:hint="eastAsia"/>
                <w:color w:val="auto"/>
                <w:highlight w:val="none"/>
              </w:rPr>
              <w:t xml:space="preserve">2.5 </w:t>
            </w:r>
            <w:r>
              <w:rPr>
                <w:rFonts w:hint="eastAsia"/>
                <w:color w:val="auto"/>
                <w:sz w:val="21"/>
                <w:szCs w:val="21"/>
                <w:highlight w:val="none"/>
              </w:rPr>
              <w:t>配</w:t>
            </w:r>
            <w:r>
              <w:rPr>
                <w:rFonts w:hint="eastAsia"/>
                <w:color w:val="auto"/>
                <w:sz w:val="21"/>
                <w:szCs w:val="21"/>
                <w:highlight w:val="none"/>
                <w:lang w:val="en-US" w:eastAsia="zh-CN"/>
              </w:rPr>
              <w:t>套</w:t>
            </w:r>
            <w:r>
              <w:rPr>
                <w:rFonts w:hint="eastAsia"/>
                <w:color w:val="auto"/>
                <w:sz w:val="21"/>
                <w:szCs w:val="21"/>
                <w:highlight w:val="none"/>
              </w:rPr>
              <w:t>液位报警功能的废液桶，当检测到</w:t>
            </w:r>
            <w:r>
              <w:rPr>
                <w:rFonts w:hint="eastAsia"/>
                <w:color w:val="auto"/>
                <w:sz w:val="21"/>
                <w:szCs w:val="21"/>
                <w:highlight w:val="none"/>
                <w:lang w:val="en-US" w:eastAsia="zh-CN"/>
              </w:rPr>
              <w:t>废液</w:t>
            </w:r>
            <w:r>
              <w:rPr>
                <w:rFonts w:hint="eastAsia"/>
                <w:color w:val="auto"/>
                <w:sz w:val="21"/>
                <w:szCs w:val="21"/>
                <w:highlight w:val="none"/>
              </w:rPr>
              <w:t>液面</w:t>
            </w:r>
            <w:r>
              <w:rPr>
                <w:rFonts w:hint="eastAsia"/>
                <w:color w:val="auto"/>
                <w:sz w:val="21"/>
                <w:szCs w:val="21"/>
                <w:highlight w:val="none"/>
                <w:lang w:val="en-US" w:eastAsia="zh-CN"/>
              </w:rPr>
              <w:t>超高</w:t>
            </w:r>
            <w:r>
              <w:rPr>
                <w:rFonts w:hint="eastAsia"/>
                <w:color w:val="auto"/>
                <w:sz w:val="21"/>
                <w:szCs w:val="21"/>
                <w:highlight w:val="none"/>
              </w:rPr>
              <w:t>时报警提示</w:t>
            </w:r>
            <w:r>
              <w:rPr>
                <w:rFonts w:hint="eastAsia"/>
                <w:color w:val="auto"/>
                <w:highlight w:val="none"/>
              </w:rPr>
              <w:t>。</w:t>
            </w:r>
            <w:r>
              <w:rPr>
                <w:rFonts w:hint="eastAsia"/>
                <w:color w:val="auto"/>
                <w:highlight w:val="none"/>
              </w:rPr>
              <w:br w:type="textWrapping"/>
            </w:r>
            <w:r>
              <w:rPr>
                <w:rFonts w:hint="eastAsia"/>
                <w:color w:val="auto"/>
                <w:highlight w:val="none"/>
              </w:rPr>
              <w:t>3.真空控制模块</w:t>
            </w:r>
            <w:r>
              <w:rPr>
                <w:rFonts w:hint="eastAsia"/>
                <w:color w:val="auto"/>
                <w:highlight w:val="none"/>
              </w:rPr>
              <w:br w:type="textWrapping"/>
            </w:r>
            <w:r>
              <w:rPr>
                <w:rFonts w:hint="eastAsia"/>
                <w:color w:val="auto"/>
                <w:highlight w:val="none"/>
              </w:rPr>
              <w:t>3.1 真空泵速：20 L/min- 30 L/min, 极限真空度≤8 mbar。真空泵后具有缓冲瓶，可实现溶剂的回收和消音功能，控制真空泵运行噪音在60 dB以下。</w:t>
            </w:r>
            <w:r>
              <w:rPr>
                <w:rFonts w:hint="eastAsia"/>
                <w:color w:val="auto"/>
                <w:highlight w:val="none"/>
              </w:rPr>
              <w:br w:type="textWrapping"/>
            </w:r>
            <w:r>
              <w:rPr>
                <w:rFonts w:hint="eastAsia"/>
                <w:color w:val="auto"/>
                <w:highlight w:val="none"/>
              </w:rPr>
              <w:t>3.2 真空泵膜片为聚四氟乙烯隔膜，气体管道材料：PEEK，PTFE，玻璃，抗化学腐蚀，可自动干燥残留溶剂。</w:t>
            </w:r>
            <w:r>
              <w:rPr>
                <w:rFonts w:hint="eastAsia"/>
                <w:color w:val="auto"/>
                <w:highlight w:val="none"/>
              </w:rPr>
              <w:br w:type="textWrapping"/>
            </w:r>
            <w:r>
              <w:rPr>
                <w:rFonts w:hint="eastAsia"/>
                <w:color w:val="auto"/>
                <w:highlight w:val="none"/>
              </w:rPr>
              <w:t>3.3 真空度控制精度：1-10 mbar，真空度设置精度1 mbar；</w:t>
            </w:r>
            <w:r>
              <w:rPr>
                <w:rFonts w:hint="eastAsia"/>
                <w:color w:val="auto"/>
                <w:highlight w:val="none"/>
              </w:rPr>
              <w:br w:type="textWrapping"/>
            </w:r>
            <w:r>
              <w:rPr>
                <w:rFonts w:hint="eastAsia"/>
                <w:color w:val="auto"/>
                <w:highlight w:val="none"/>
              </w:rPr>
              <w:t>3.4 配变频泵进行控制，压力控制采用PID控制，根据压力差自动调节泵功率，调整泵速，当到达目标压力后，可将真空泵彻底关闭，达到节能减排作用。</w:t>
            </w:r>
            <w:r>
              <w:rPr>
                <w:rFonts w:hint="eastAsia"/>
                <w:color w:val="auto"/>
                <w:highlight w:val="none"/>
              </w:rPr>
              <w:br w:type="textWrapping"/>
            </w:r>
            <w:r>
              <w:rPr>
                <w:rFonts w:hint="eastAsia"/>
                <w:color w:val="auto"/>
                <w:highlight w:val="none"/>
              </w:rPr>
              <w:t>3.5 真空程序阶梯式控制：≥10段真空梯度设置，方法运行过程中自动进行真空度变换，时间范围0- 99小时59分钟。</w:t>
            </w:r>
            <w:r>
              <w:rPr>
                <w:rFonts w:hint="eastAsia"/>
                <w:color w:val="auto"/>
                <w:highlight w:val="none"/>
              </w:rPr>
              <w:br w:type="textWrapping"/>
            </w:r>
            <w:r>
              <w:rPr>
                <w:rFonts w:hint="eastAsia"/>
                <w:color w:val="auto"/>
                <w:highlight w:val="none"/>
              </w:rPr>
              <w:t>4、软件集成控制系统</w:t>
            </w:r>
            <w:r>
              <w:rPr>
                <w:rFonts w:hint="eastAsia"/>
                <w:color w:val="auto"/>
                <w:highlight w:val="none"/>
              </w:rPr>
              <w:br w:type="textWrapping"/>
            </w:r>
            <w:r>
              <w:rPr>
                <w:rFonts w:hint="eastAsia"/>
                <w:color w:val="auto"/>
                <w:highlight w:val="none"/>
              </w:rPr>
              <w:t>4.1 外置≥10寸触摸屏，可对温度、震荡、真空度，冷却水机和真空泵等实时通讯调节功能 。</w:t>
            </w:r>
            <w:r>
              <w:rPr>
                <w:rFonts w:hint="eastAsia"/>
                <w:color w:val="auto"/>
                <w:highlight w:val="none"/>
              </w:rPr>
              <w:br w:type="textWrapping"/>
            </w:r>
            <w:r>
              <w:rPr>
                <w:rFonts w:hint="eastAsia"/>
                <w:color w:val="auto"/>
                <w:highlight w:val="none"/>
              </w:rPr>
              <w:t xml:space="preserve">4.2 主机集成自控，主机中集成多种模块温度、震荡、真空度、冷却循环水机和真空泵的参数梯度曲线，可实时显示当前模块的参数情况。 </w:t>
            </w:r>
            <w:r>
              <w:rPr>
                <w:rFonts w:hint="eastAsia"/>
                <w:color w:val="auto"/>
                <w:highlight w:val="none"/>
              </w:rPr>
              <w:br w:type="textWrapping"/>
            </w:r>
            <w:r>
              <w:rPr>
                <w:rFonts w:hint="eastAsia"/>
                <w:color w:val="auto"/>
                <w:highlight w:val="none"/>
              </w:rPr>
              <w:t>4.3 安全模块：内置放气阀和压力传感器，断电时可以自动放气，防止系统过压；</w:t>
            </w:r>
            <w:r>
              <w:rPr>
                <w:rFonts w:hint="eastAsia"/>
                <w:color w:val="auto"/>
                <w:highlight w:val="none"/>
              </w:rPr>
              <w:br w:type="textWrapping"/>
            </w:r>
            <w:r>
              <w:rPr>
                <w:rFonts w:hint="eastAsia"/>
                <w:color w:val="auto"/>
                <w:highlight w:val="none"/>
              </w:rPr>
              <w:t xml:space="preserve">4.4 低液位自动报警功能，水浴样品液位较低时，提示灯红色醒目提醒，并在主界面提升液位不足报警。 </w:t>
            </w:r>
            <w:r>
              <w:rPr>
                <w:rFonts w:hint="eastAsia"/>
                <w:color w:val="auto"/>
                <w:highlight w:val="none"/>
              </w:rPr>
              <w:br w:type="textWrapping"/>
            </w:r>
            <w:r>
              <w:rPr>
                <w:rFonts w:hint="eastAsia"/>
                <w:color w:val="auto"/>
                <w:highlight w:val="none"/>
              </w:rPr>
              <w:t xml:space="preserve">4.5 主面板内置浓缩数据库，出厂标配≥35种溶剂的挥发设定程序，客户可根据自身实验条件进行数据存储和调用； </w:t>
            </w:r>
            <w:r>
              <w:rPr>
                <w:rFonts w:hint="eastAsia"/>
                <w:color w:val="auto"/>
                <w:highlight w:val="none"/>
              </w:rPr>
              <w:br w:type="textWrapping"/>
            </w:r>
            <w:r>
              <w:rPr>
                <w:rFonts w:hint="eastAsia"/>
                <w:color w:val="auto"/>
                <w:highlight w:val="none"/>
              </w:rPr>
              <w:t xml:space="preserve">4.6 智能浓缩数据库查询：所有的溶剂的温度和真空可互相查询，可任意设定浓缩温度（精确到1℃），数据库自动给出对应的真空真空度建议；也可设定真空度，数据库自动给出固定真空度下对应的溶剂温度建议。 </w:t>
            </w:r>
            <w:r>
              <w:rPr>
                <w:rFonts w:hint="eastAsia"/>
                <w:color w:val="auto"/>
                <w:highlight w:val="none"/>
              </w:rPr>
              <w:br w:type="textWrapping"/>
            </w:r>
            <w:r>
              <w:rPr>
                <w:rFonts w:hint="eastAsia"/>
                <w:color w:val="auto"/>
                <w:highlight w:val="none"/>
              </w:rPr>
              <w:t xml:space="preserve">4.7 软件可实现中英文自动切换。 </w:t>
            </w:r>
            <w:r>
              <w:rPr>
                <w:rFonts w:hint="eastAsia"/>
                <w:color w:val="auto"/>
                <w:highlight w:val="none"/>
              </w:rPr>
              <w:br w:type="textWrapping"/>
            </w:r>
            <w:r>
              <w:rPr>
                <w:rFonts w:hint="eastAsia"/>
                <w:color w:val="auto"/>
                <w:highlight w:val="none"/>
              </w:rPr>
              <w:t>三、配置清单</w:t>
            </w:r>
            <w:r>
              <w:rPr>
                <w:rFonts w:hint="eastAsia"/>
                <w:color w:val="auto"/>
                <w:highlight w:val="none"/>
              </w:rPr>
              <w:br w:type="textWrapping"/>
            </w:r>
            <w:r>
              <w:rPr>
                <w:rFonts w:hint="eastAsia"/>
                <w:color w:val="auto"/>
                <w:sz w:val="21"/>
                <w:szCs w:val="21"/>
                <w:highlight w:val="none"/>
                <w:lang w:val="en-US" w:eastAsia="zh-CN"/>
              </w:rPr>
              <w:t>1.</w:t>
            </w:r>
            <w:r>
              <w:rPr>
                <w:rFonts w:hint="eastAsia"/>
                <w:color w:val="auto"/>
                <w:sz w:val="21"/>
                <w:szCs w:val="21"/>
                <w:highlight w:val="none"/>
              </w:rPr>
              <w:t xml:space="preserve"> 真空平行浓缩仪主机</w:t>
            </w:r>
            <w:r>
              <w:rPr>
                <w:rFonts w:hint="eastAsia"/>
                <w:color w:val="auto"/>
                <w:sz w:val="21"/>
                <w:szCs w:val="21"/>
                <w:highlight w:val="none"/>
                <w:lang w:eastAsia="zh-CN"/>
              </w:rPr>
              <w:t>：</w:t>
            </w:r>
            <w:r>
              <w:rPr>
                <w:rFonts w:hint="eastAsia"/>
                <w:color w:val="auto"/>
                <w:sz w:val="21"/>
                <w:szCs w:val="21"/>
                <w:highlight w:val="none"/>
              </w:rPr>
              <w:t>带三面观察水浴模块，加热模块，震荡模块、集成控制系统（20位独立气路）    1</w:t>
            </w:r>
            <w:r>
              <w:rPr>
                <w:rFonts w:hint="eastAsia"/>
                <w:color w:val="auto"/>
                <w:sz w:val="21"/>
                <w:szCs w:val="21"/>
                <w:highlight w:val="none"/>
                <w:lang w:val="en-US" w:eastAsia="zh-CN"/>
              </w:rPr>
              <w:t>套</w:t>
            </w:r>
          </w:p>
          <w:p w14:paraId="4F880266">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 xml:space="preserve"> 蛇形冷凝回收管  1套</w:t>
            </w:r>
          </w:p>
          <w:p w14:paraId="2FD0E523">
            <w:pP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 xml:space="preserve">  真空泵        </w:t>
            </w:r>
            <w:r>
              <w:rPr>
                <w:rFonts w:hint="eastAsia"/>
                <w:color w:val="auto"/>
                <w:sz w:val="21"/>
                <w:szCs w:val="21"/>
                <w:highlight w:val="none"/>
                <w:lang w:val="en-US" w:eastAsia="zh-CN"/>
              </w:rPr>
              <w:t>1套</w:t>
            </w:r>
            <w:r>
              <w:rPr>
                <w:rFonts w:hint="eastAsia"/>
                <w:color w:val="auto"/>
                <w:sz w:val="21"/>
                <w:szCs w:val="21"/>
                <w:highlight w:val="none"/>
              </w:rPr>
              <w:t xml:space="preserve">               </w:t>
            </w:r>
          </w:p>
          <w:p w14:paraId="7BF340A2">
            <w:pPr>
              <w:rPr>
                <w:rFonts w:hint="eastAsia"/>
                <w:color w:val="auto"/>
                <w:sz w:val="21"/>
                <w:szCs w:val="21"/>
                <w:highlight w:val="none"/>
              </w:rPr>
            </w:pPr>
            <w:r>
              <w:rPr>
                <w:rFonts w:hint="eastAsia"/>
                <w:color w:val="auto"/>
                <w:sz w:val="21"/>
                <w:szCs w:val="21"/>
                <w:highlight w:val="none"/>
                <w:lang w:val="en-US" w:eastAsia="zh-CN"/>
              </w:rPr>
              <w:t>4.</w:t>
            </w:r>
            <w:r>
              <w:rPr>
                <w:rFonts w:hint="eastAsia"/>
                <w:color w:val="auto"/>
                <w:sz w:val="21"/>
                <w:szCs w:val="21"/>
                <w:highlight w:val="none"/>
              </w:rPr>
              <w:t xml:space="preserve">  冷却循环系统   1套</w:t>
            </w:r>
          </w:p>
          <w:p w14:paraId="3E038DA6">
            <w:pPr>
              <w:rPr>
                <w:rFonts w:hint="eastAsia"/>
                <w:color w:val="auto"/>
                <w:sz w:val="21"/>
                <w:szCs w:val="21"/>
                <w:highlight w:val="none"/>
              </w:rPr>
            </w:pPr>
            <w:r>
              <w:rPr>
                <w:rFonts w:hint="eastAsia"/>
                <w:color w:val="auto"/>
                <w:sz w:val="21"/>
                <w:szCs w:val="21"/>
                <w:highlight w:val="none"/>
                <w:lang w:val="en-US" w:eastAsia="zh-CN"/>
              </w:rPr>
              <w:t xml:space="preserve">5.  </w:t>
            </w:r>
            <w:r>
              <w:rPr>
                <w:rFonts w:hint="eastAsia"/>
                <w:color w:val="auto"/>
                <w:sz w:val="21"/>
                <w:szCs w:val="21"/>
                <w:highlight w:val="none"/>
              </w:rPr>
              <w:t>20位320ml样品架   1套</w:t>
            </w:r>
          </w:p>
          <w:p w14:paraId="295DEA74">
            <w:pPr>
              <w:rPr>
                <w:rFonts w:hint="eastAsia" w:eastAsiaTheme="minorEastAsia"/>
                <w:color w:val="auto"/>
                <w:sz w:val="21"/>
                <w:szCs w:val="21"/>
                <w:highlight w:val="none"/>
                <w:lang w:val="en-US" w:eastAsia="zh-CN"/>
              </w:rPr>
            </w:pPr>
            <w:r>
              <w:rPr>
                <w:rFonts w:hint="eastAsia"/>
                <w:color w:val="auto"/>
                <w:sz w:val="21"/>
                <w:szCs w:val="21"/>
                <w:highlight w:val="none"/>
                <w:lang w:val="en-US" w:eastAsia="zh-CN"/>
              </w:rPr>
              <w:t xml:space="preserve">6.  </w:t>
            </w:r>
            <w:r>
              <w:rPr>
                <w:rFonts w:hint="eastAsia"/>
                <w:color w:val="auto"/>
                <w:sz w:val="21"/>
                <w:szCs w:val="21"/>
                <w:highlight w:val="none"/>
              </w:rPr>
              <w:t>20位加热真空旋转磁吸盖板   1件</w:t>
            </w:r>
            <w:r>
              <w:rPr>
                <w:rFonts w:hint="eastAsia"/>
                <w:color w:val="auto"/>
                <w:sz w:val="21"/>
                <w:szCs w:val="21"/>
                <w:highlight w:val="none"/>
                <w:lang w:val="en-US" w:eastAsia="zh-CN"/>
              </w:rPr>
              <w:t>套</w:t>
            </w:r>
          </w:p>
          <w:p w14:paraId="12F8331E">
            <w:pPr>
              <w:rPr>
                <w:rFonts w:hint="eastAsia" w:eastAsiaTheme="minorEastAsia"/>
                <w:color w:val="auto"/>
                <w:sz w:val="21"/>
                <w:szCs w:val="21"/>
                <w:highlight w:val="none"/>
                <w:lang w:eastAsia="zh-CN"/>
              </w:rPr>
            </w:pPr>
            <w:r>
              <w:rPr>
                <w:rFonts w:hint="eastAsia"/>
                <w:color w:val="auto"/>
                <w:sz w:val="21"/>
                <w:szCs w:val="21"/>
                <w:highlight w:val="none"/>
                <w:lang w:val="en-US" w:eastAsia="zh-CN"/>
              </w:rPr>
              <w:t>7.</w:t>
            </w:r>
            <w:r>
              <w:rPr>
                <w:rFonts w:hint="eastAsia"/>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320ml棕色平底样品瓶     40</w:t>
            </w:r>
            <w:r>
              <w:rPr>
                <w:rFonts w:hint="eastAsia"/>
                <w:color w:val="auto"/>
                <w:sz w:val="21"/>
                <w:szCs w:val="21"/>
                <w:highlight w:val="none"/>
                <w:lang w:val="en-US" w:eastAsia="zh-CN"/>
              </w:rPr>
              <w:t>个</w:t>
            </w:r>
          </w:p>
          <w:p w14:paraId="035B3416">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color w:val="auto"/>
                <w:sz w:val="21"/>
                <w:szCs w:val="21"/>
                <w:highlight w:val="none"/>
                <w:lang w:val="en-US" w:eastAsia="zh-CN"/>
              </w:rPr>
              <w:t>8.</w:t>
            </w:r>
            <w:r>
              <w:rPr>
                <w:rFonts w:hint="eastAsia"/>
                <w:color w:val="auto"/>
                <w:sz w:val="21"/>
                <w:szCs w:val="21"/>
                <w:highlight w:val="none"/>
              </w:rPr>
              <w:t xml:space="preserve"> 自动连续常压排放废液系统（含20L废液收集） 1</w:t>
            </w:r>
            <w:r>
              <w:rPr>
                <w:rFonts w:hint="eastAsia" w:eastAsia="宋体"/>
                <w:color w:val="auto"/>
                <w:sz w:val="21"/>
                <w:szCs w:val="21"/>
                <w:highlight w:val="none"/>
                <w:lang w:val="en-US" w:eastAsia="zh-CN"/>
              </w:rPr>
              <w:t>套</w:t>
            </w:r>
          </w:p>
        </w:tc>
        <w:tc>
          <w:tcPr>
            <w:tcW w:w="750" w:type="dxa"/>
          </w:tcPr>
          <w:p w14:paraId="004DCB39">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0F3A6DE2">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200000</w:t>
            </w:r>
          </w:p>
        </w:tc>
      </w:tr>
      <w:tr w14:paraId="761E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88" w:type="dxa"/>
            <w:noWrap/>
          </w:tcPr>
          <w:p w14:paraId="5AE4CBE4">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rPr>
              <w:t>1</w:t>
            </w:r>
            <w:r>
              <w:rPr>
                <w:rFonts w:hint="eastAsia"/>
                <w:b/>
                <w:bCs/>
                <w:color w:val="auto"/>
                <w:highlight w:val="none"/>
                <w:lang w:val="en-US" w:eastAsia="zh-CN"/>
              </w:rPr>
              <w:t>3</w:t>
            </w:r>
          </w:p>
        </w:tc>
        <w:tc>
          <w:tcPr>
            <w:tcW w:w="1233" w:type="dxa"/>
          </w:tcPr>
          <w:p w14:paraId="440CFCC1">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甲醛分析仪</w:t>
            </w:r>
          </w:p>
        </w:tc>
        <w:tc>
          <w:tcPr>
            <w:tcW w:w="5369" w:type="dxa"/>
          </w:tcPr>
          <w:p w14:paraId="07CE8C53">
            <w:pPr>
              <w:keepNext w:val="0"/>
              <w:keepLines w:val="0"/>
              <w:pageBreakBefore w:val="0"/>
              <w:widowControl w:val="0"/>
              <w:kinsoku/>
              <w:wordWrap w:val="0"/>
              <w:overflowPunct/>
              <w:topLinePunct w:val="0"/>
              <w:autoSpaceDE/>
              <w:autoSpaceDN/>
              <w:bidi w:val="0"/>
              <w:adjustRightInd/>
              <w:snapToGrid/>
              <w:textAlignment w:val="auto"/>
              <w:rPr>
                <w:color w:val="auto"/>
                <w:highlight w:val="none"/>
              </w:rPr>
            </w:pPr>
            <w:r>
              <w:rPr>
                <w:rFonts w:hint="eastAsia"/>
                <w:color w:val="auto"/>
                <w:highlight w:val="none"/>
              </w:rPr>
              <w:t>1、检测原理：电化学传感器</w:t>
            </w:r>
            <w:r>
              <w:rPr>
                <w:rFonts w:hint="eastAsia"/>
                <w:color w:val="auto"/>
                <w:highlight w:val="none"/>
              </w:rPr>
              <w:br w:type="textWrapping"/>
            </w:r>
            <w:r>
              <w:rPr>
                <w:rFonts w:hint="eastAsia"/>
                <w:color w:val="auto"/>
                <w:highlight w:val="none"/>
              </w:rPr>
              <w:t>2、检测方式：泵吸式</w:t>
            </w:r>
            <w:r>
              <w:rPr>
                <w:rFonts w:hint="eastAsia"/>
                <w:color w:val="auto"/>
                <w:highlight w:val="none"/>
              </w:rPr>
              <w:br w:type="textWrapping"/>
            </w:r>
            <w:r>
              <w:rPr>
                <w:rFonts w:hint="eastAsia"/>
                <w:color w:val="auto"/>
                <w:highlight w:val="none"/>
              </w:rPr>
              <w:t>3、检测范围：0～19.99ppm</w:t>
            </w:r>
            <w:r>
              <w:rPr>
                <w:rFonts w:hint="eastAsia"/>
                <w:color w:val="auto"/>
                <w:highlight w:val="none"/>
              </w:rPr>
              <w:br w:type="textWrapping"/>
            </w:r>
            <w:r>
              <w:rPr>
                <w:color w:val="auto"/>
                <w:highlight w:val="none"/>
              </w:rPr>
              <w:t>4、分 辨 率：0.01</w:t>
            </w:r>
            <w:r>
              <w:rPr>
                <w:rFonts w:hint="eastAsia"/>
                <w:color w:val="auto"/>
                <w:highlight w:val="none"/>
              </w:rPr>
              <w:br w:type="textWrapping"/>
            </w:r>
            <w:r>
              <w:rPr>
                <w:color w:val="auto"/>
                <w:highlight w:val="none"/>
              </w:rPr>
              <w:t>5、最小检测：0.01PPM</w:t>
            </w:r>
            <w:r>
              <w:rPr>
                <w:rFonts w:hint="eastAsia"/>
                <w:color w:val="auto"/>
                <w:highlight w:val="none"/>
              </w:rPr>
              <w:br w:type="textWrapping"/>
            </w:r>
            <w:r>
              <w:rPr>
                <w:color w:val="auto"/>
                <w:highlight w:val="none"/>
              </w:rPr>
              <w:t>6、显示方式：数码液晶显示</w:t>
            </w:r>
            <w:r>
              <w:rPr>
                <w:rFonts w:hint="eastAsia"/>
                <w:color w:val="auto"/>
                <w:highlight w:val="none"/>
              </w:rPr>
              <w:br w:type="textWrapping"/>
            </w:r>
            <w:r>
              <w:rPr>
                <w:color w:val="auto"/>
                <w:highlight w:val="none"/>
              </w:rPr>
              <w:t>7、响 应 性：&lt;10S</w:t>
            </w:r>
            <w:r>
              <w:rPr>
                <w:rFonts w:hint="eastAsia"/>
                <w:color w:val="auto"/>
                <w:highlight w:val="none"/>
              </w:rPr>
              <w:br w:type="textWrapping"/>
            </w:r>
            <w:r>
              <w:rPr>
                <w:color w:val="auto"/>
                <w:highlight w:val="none"/>
              </w:rPr>
              <w:t>8、零点漂移：±1%F.S</w:t>
            </w:r>
            <w:r>
              <w:rPr>
                <w:rFonts w:hint="eastAsia"/>
                <w:color w:val="auto"/>
                <w:highlight w:val="none"/>
              </w:rPr>
              <w:br w:type="textWrapping"/>
            </w:r>
            <w:r>
              <w:rPr>
                <w:color w:val="auto"/>
                <w:highlight w:val="none"/>
              </w:rPr>
              <w:t>9、电 源：锂离子充电电池</w:t>
            </w:r>
            <w:r>
              <w:rPr>
                <w:rFonts w:hint="eastAsia"/>
                <w:color w:val="auto"/>
                <w:highlight w:val="none"/>
              </w:rPr>
              <w:br w:type="textWrapping"/>
            </w:r>
            <w:r>
              <w:rPr>
                <w:color w:val="auto"/>
                <w:highlight w:val="none"/>
              </w:rPr>
              <w:t>10、外形尺寸：</w:t>
            </w:r>
            <w:r>
              <w:rPr>
                <w:rFonts w:hint="eastAsia"/>
                <w:color w:val="auto"/>
                <w:highlight w:val="none"/>
              </w:rPr>
              <w:t>≤</w:t>
            </w:r>
            <w:r>
              <w:rPr>
                <w:color w:val="auto"/>
                <w:highlight w:val="none"/>
              </w:rPr>
              <w:t>（205×95×95)mm</w:t>
            </w:r>
            <w:r>
              <w:rPr>
                <w:rFonts w:hint="eastAsia"/>
                <w:color w:val="auto"/>
                <w:highlight w:val="none"/>
              </w:rPr>
              <w:br w:type="textWrapping"/>
            </w:r>
            <w:r>
              <w:rPr>
                <w:color w:val="auto"/>
                <w:highlight w:val="none"/>
              </w:rPr>
              <w:t>11、重 量：</w:t>
            </w:r>
            <w:r>
              <w:rPr>
                <w:rFonts w:hint="eastAsia"/>
                <w:color w:val="auto"/>
                <w:highlight w:val="none"/>
              </w:rPr>
              <w:t>≤</w:t>
            </w:r>
            <w:r>
              <w:rPr>
                <w:rFonts w:hint="eastAsia"/>
                <w:color w:val="auto"/>
                <w:highlight w:val="none"/>
                <w:lang w:val="en-US" w:eastAsia="zh-CN"/>
              </w:rPr>
              <w:t>0.7</w:t>
            </w:r>
            <w:r>
              <w:rPr>
                <w:color w:val="auto"/>
                <w:highlight w:val="none"/>
              </w:rPr>
              <w:t>kg</w:t>
            </w:r>
          </w:p>
        </w:tc>
        <w:tc>
          <w:tcPr>
            <w:tcW w:w="750" w:type="dxa"/>
          </w:tcPr>
          <w:p w14:paraId="04999805">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6CFE553B">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16000</w:t>
            </w:r>
          </w:p>
        </w:tc>
      </w:tr>
      <w:tr w14:paraId="1484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88" w:type="dxa"/>
            <w:noWrap/>
          </w:tcPr>
          <w:p w14:paraId="194FBAA5">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val="en-US" w:eastAsia="zh-CN"/>
              </w:rPr>
            </w:pPr>
            <w:r>
              <w:rPr>
                <w:rFonts w:hint="eastAsia"/>
                <w:b/>
                <w:bCs/>
                <w:color w:val="auto"/>
                <w:highlight w:val="none"/>
              </w:rPr>
              <w:t>1</w:t>
            </w:r>
            <w:r>
              <w:rPr>
                <w:rFonts w:hint="eastAsia"/>
                <w:b/>
                <w:bCs/>
                <w:color w:val="auto"/>
                <w:highlight w:val="none"/>
                <w:lang w:val="en-US" w:eastAsia="zh-CN"/>
              </w:rPr>
              <w:t>4</w:t>
            </w:r>
          </w:p>
        </w:tc>
        <w:tc>
          <w:tcPr>
            <w:tcW w:w="1233" w:type="dxa"/>
          </w:tcPr>
          <w:p w14:paraId="451A8FEB">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全自动二氧化硫分析仪</w:t>
            </w:r>
          </w:p>
        </w:tc>
        <w:tc>
          <w:tcPr>
            <w:tcW w:w="5369" w:type="dxa"/>
          </w:tcPr>
          <w:p w14:paraId="0789EF07">
            <w:pPr>
              <w:spacing w:line="294" w:lineRule="exact"/>
              <w:rPr>
                <w:rFonts w:ascii="宋体" w:hAnsi="宋体" w:cs="宋体"/>
                <w:bCs/>
                <w:color w:val="auto"/>
                <w:szCs w:val="21"/>
                <w:highlight w:val="none"/>
              </w:rPr>
            </w:pPr>
            <w:r>
              <w:rPr>
                <w:rFonts w:hint="eastAsia" w:ascii="宋体" w:hAnsi="宋体" w:cs="宋体"/>
                <w:bCs/>
                <w:color w:val="auto"/>
                <w:szCs w:val="21"/>
                <w:highlight w:val="none"/>
              </w:rPr>
              <w:t>一主机参数要求：</w:t>
            </w:r>
          </w:p>
          <w:p w14:paraId="68B3D3D8">
            <w:pPr>
              <w:spacing w:line="294" w:lineRule="exact"/>
              <w:rPr>
                <w:rFonts w:ascii="宋体" w:hAnsi="宋体" w:cs="宋体"/>
                <w:bCs/>
                <w:color w:val="auto"/>
                <w:szCs w:val="21"/>
                <w:highlight w:val="none"/>
              </w:rPr>
            </w:pPr>
            <w:r>
              <w:rPr>
                <w:rFonts w:hint="eastAsia" w:ascii="宋体" w:hAnsi="宋体" w:cs="宋体"/>
                <w:bCs/>
                <w:color w:val="auto"/>
                <w:szCs w:val="21"/>
                <w:highlight w:val="none"/>
              </w:rPr>
              <w:t>1加热单元： 　 　</w:t>
            </w:r>
          </w:p>
          <w:p w14:paraId="1812A49D">
            <w:pPr>
              <w:spacing w:line="294" w:lineRule="exact"/>
              <w:rPr>
                <w:rFonts w:ascii="宋体" w:hAnsi="宋体" w:cs="宋体"/>
                <w:bCs/>
                <w:color w:val="auto"/>
                <w:szCs w:val="21"/>
                <w:highlight w:val="none"/>
              </w:rPr>
            </w:pPr>
            <w:r>
              <w:rPr>
                <w:rFonts w:hint="eastAsia" w:ascii="宋体" w:hAnsi="宋体" w:cs="宋体"/>
                <w:bCs/>
                <w:color w:val="auto"/>
                <w:szCs w:val="21"/>
                <w:highlight w:val="none"/>
              </w:rPr>
              <w:t>1.1 加热装置需采用适合圆底烧瓶加热的内壁凹凸式碗式形状的远红外陶瓷器皿，加热单元不低于8位。每加热单元位均可单孔单控，排列采用线性方式，不接受矩阵，加热最高功率不低于500W；</w:t>
            </w:r>
          </w:p>
          <w:p w14:paraId="3A46BC41">
            <w:pPr>
              <w:spacing w:line="294" w:lineRule="exact"/>
              <w:rPr>
                <w:rFonts w:ascii="宋体" w:hAnsi="宋体" w:cs="宋体"/>
                <w:bCs/>
                <w:color w:val="auto"/>
                <w:szCs w:val="21"/>
                <w:highlight w:val="none"/>
              </w:rPr>
            </w:pPr>
            <w:r>
              <w:rPr>
                <w:rFonts w:hint="eastAsia" w:ascii="宋体" w:hAnsi="宋体" w:cs="宋体"/>
                <w:bCs/>
                <w:color w:val="auto"/>
                <w:szCs w:val="21"/>
                <w:highlight w:val="none"/>
              </w:rPr>
              <w:t xml:space="preserve">1.2  每个加热单元均设有防干烧功能,保证试验人员安全操作； </w:t>
            </w:r>
          </w:p>
          <w:p w14:paraId="7C83DDFC">
            <w:pPr>
              <w:spacing w:line="294" w:lineRule="exact"/>
              <w:rPr>
                <w:rFonts w:ascii="宋体" w:hAnsi="宋体" w:cs="宋体"/>
                <w:bCs/>
                <w:color w:val="auto"/>
                <w:szCs w:val="21"/>
                <w:highlight w:val="none"/>
              </w:rPr>
            </w:pPr>
            <w:r>
              <w:rPr>
                <w:rFonts w:hint="eastAsia" w:ascii="宋体" w:hAnsi="宋体" w:cs="宋体"/>
                <w:bCs/>
                <w:color w:val="auto"/>
                <w:szCs w:val="21"/>
                <w:highlight w:val="none"/>
              </w:rPr>
              <w:t>2 控制系统：  　 　</w:t>
            </w:r>
          </w:p>
          <w:p w14:paraId="40F487C1">
            <w:pPr>
              <w:spacing w:line="294" w:lineRule="exact"/>
              <w:rPr>
                <w:rFonts w:ascii="宋体" w:hAnsi="宋体" w:cs="宋体"/>
                <w:bCs/>
                <w:color w:val="auto"/>
                <w:szCs w:val="21"/>
                <w:highlight w:val="none"/>
              </w:rPr>
            </w:pPr>
            <w:r>
              <w:rPr>
                <w:rFonts w:hint="eastAsia" w:ascii="宋体" w:hAnsi="宋体" w:cs="宋体"/>
                <w:bCs/>
                <w:color w:val="auto"/>
                <w:szCs w:val="21"/>
                <w:highlight w:val="none"/>
              </w:rPr>
              <w:t>2.1控制系统需采用电脑分析软件控制，设有微沸和全沸控制模式，加热速率可调，确保蒸馏实验稳定、避免样品爆沸现象出现；</w:t>
            </w:r>
          </w:p>
          <w:p w14:paraId="0FE91B6E">
            <w:pPr>
              <w:spacing w:line="294" w:lineRule="exact"/>
              <w:rPr>
                <w:rFonts w:ascii="宋体" w:hAnsi="宋体" w:cs="宋体"/>
                <w:bCs/>
                <w:color w:val="auto"/>
                <w:szCs w:val="21"/>
                <w:highlight w:val="none"/>
              </w:rPr>
            </w:pPr>
            <w:r>
              <w:rPr>
                <w:rFonts w:hint="eastAsia" w:ascii="宋体" w:hAnsi="宋体" w:cs="宋体"/>
                <w:bCs/>
                <w:color w:val="auto"/>
                <w:szCs w:val="21"/>
                <w:highlight w:val="none"/>
              </w:rPr>
              <w:t xml:space="preserve">2.2控制系统需具有远程WIFI控制功能，可通过手机小程序对设备进行操作。设备动态以及实验数据动态实时显示。 </w:t>
            </w:r>
          </w:p>
          <w:p w14:paraId="0C4F820E">
            <w:pPr>
              <w:spacing w:line="294" w:lineRule="exact"/>
              <w:rPr>
                <w:rFonts w:ascii="宋体" w:hAnsi="宋体" w:cs="宋体"/>
                <w:bCs/>
                <w:color w:val="auto"/>
                <w:szCs w:val="21"/>
                <w:highlight w:val="none"/>
              </w:rPr>
            </w:pPr>
            <w:r>
              <w:rPr>
                <w:rFonts w:hint="eastAsia" w:ascii="宋体" w:hAnsi="宋体" w:cs="宋体"/>
                <w:bCs/>
                <w:color w:val="auto"/>
                <w:szCs w:val="21"/>
                <w:highlight w:val="none"/>
              </w:rPr>
              <w:t>3 冷却水循环系统： 　 　</w:t>
            </w:r>
          </w:p>
          <w:p w14:paraId="042324FB">
            <w:pPr>
              <w:spacing w:line="294" w:lineRule="exact"/>
              <w:rPr>
                <w:rFonts w:ascii="宋体" w:hAnsi="宋体" w:cs="宋体"/>
                <w:bCs/>
                <w:color w:val="auto"/>
                <w:szCs w:val="21"/>
                <w:highlight w:val="none"/>
              </w:rPr>
            </w:pPr>
            <w:r>
              <w:rPr>
                <w:rFonts w:hint="eastAsia" w:ascii="宋体" w:hAnsi="宋体" w:cs="宋体"/>
                <w:bCs/>
                <w:color w:val="auto"/>
                <w:szCs w:val="21"/>
                <w:highlight w:val="none"/>
              </w:rPr>
              <w:t>主机采用冷却水制冷循环单元，电脑分析软件需实时同步显示当前水位高水位，低水位与正常水位。电脑分析软件需具有实时液位监测功能，智能缺水监测提醒，并自动开启自动补水过程，全程无需人为干预。实时显示当前冷凝水温度，冷凝水温度可通过电脑分析软件界面自由设定，电脑分析软件根据所需温度自动控制制冷系统启停。</w:t>
            </w:r>
          </w:p>
          <w:p w14:paraId="1ACC806C">
            <w:pPr>
              <w:spacing w:line="294" w:lineRule="exact"/>
              <w:rPr>
                <w:rFonts w:ascii="宋体" w:hAnsi="宋体" w:cs="宋体"/>
                <w:bCs/>
                <w:color w:val="auto"/>
                <w:szCs w:val="21"/>
                <w:highlight w:val="none"/>
              </w:rPr>
            </w:pPr>
            <w:r>
              <w:rPr>
                <w:rFonts w:hint="eastAsia" w:ascii="宋体" w:hAnsi="宋体" w:cs="宋体"/>
                <w:bCs/>
                <w:color w:val="auto"/>
                <w:szCs w:val="21"/>
                <w:highlight w:val="none"/>
              </w:rPr>
              <w:t>4 氮气流量控制单元： 　 　</w:t>
            </w:r>
          </w:p>
          <w:p w14:paraId="757A2F11">
            <w:pPr>
              <w:spacing w:line="294" w:lineRule="exact"/>
              <w:rPr>
                <w:rFonts w:ascii="宋体" w:hAnsi="宋体" w:cs="宋体"/>
                <w:bCs/>
                <w:color w:val="auto"/>
                <w:szCs w:val="21"/>
                <w:highlight w:val="none"/>
              </w:rPr>
            </w:pPr>
            <w:r>
              <w:rPr>
                <w:rFonts w:hint="eastAsia" w:ascii="宋体" w:hAnsi="宋体" w:cs="宋体"/>
                <w:bCs/>
                <w:color w:val="auto"/>
                <w:szCs w:val="21"/>
                <w:highlight w:val="none"/>
              </w:rPr>
              <w:t xml:space="preserve">4.1 主机设有氮气入口，能外接氮气源, 氮气入口设有压力保护装置，防止过压过载造成氮气泄漏；  </w:t>
            </w:r>
          </w:p>
          <w:p w14:paraId="04C4627B">
            <w:pPr>
              <w:spacing w:line="294" w:lineRule="exact"/>
              <w:rPr>
                <w:rFonts w:ascii="宋体" w:hAnsi="宋体" w:cs="宋体"/>
                <w:bCs/>
                <w:color w:val="auto"/>
                <w:szCs w:val="21"/>
                <w:highlight w:val="none"/>
              </w:rPr>
            </w:pPr>
            <w:r>
              <w:rPr>
                <w:rFonts w:hint="eastAsia" w:ascii="宋体" w:hAnsi="宋体" w:cs="宋体"/>
                <w:bCs/>
                <w:color w:val="auto"/>
                <w:szCs w:val="21"/>
                <w:highlight w:val="none"/>
              </w:rPr>
              <w:t xml:space="preserve">4.2  蒸馏单元应不低于8组，每组应设有单控的氮气转子流量计控制流速，设有气阀控制氮气开关,流量控制范围为：200-2000ml/min；  </w:t>
            </w:r>
          </w:p>
          <w:p w14:paraId="71A84491">
            <w:pPr>
              <w:spacing w:line="294" w:lineRule="exact"/>
              <w:rPr>
                <w:rFonts w:ascii="宋体" w:hAnsi="宋体" w:cs="宋体"/>
                <w:bCs/>
                <w:color w:val="auto"/>
                <w:szCs w:val="21"/>
                <w:highlight w:val="none"/>
              </w:rPr>
            </w:pPr>
            <w:r>
              <w:rPr>
                <w:rFonts w:hint="eastAsia" w:ascii="宋体" w:hAnsi="宋体" w:cs="宋体"/>
                <w:bCs/>
                <w:color w:val="auto"/>
                <w:szCs w:val="21"/>
                <w:highlight w:val="none"/>
              </w:rPr>
              <w:t>5 磁力搅拌控制单元： 　 　</w:t>
            </w:r>
          </w:p>
          <w:p w14:paraId="75730AA0">
            <w:pPr>
              <w:spacing w:line="294" w:lineRule="exact"/>
              <w:rPr>
                <w:rFonts w:ascii="宋体" w:hAnsi="宋体" w:cs="宋体"/>
                <w:bCs/>
                <w:color w:val="auto"/>
                <w:szCs w:val="21"/>
                <w:highlight w:val="none"/>
              </w:rPr>
            </w:pPr>
            <w:r>
              <w:rPr>
                <w:rFonts w:hint="eastAsia" w:ascii="宋体" w:hAnsi="宋体" w:cs="宋体"/>
                <w:bCs/>
                <w:color w:val="auto"/>
                <w:szCs w:val="21"/>
                <w:highlight w:val="none"/>
              </w:rPr>
              <w:t>在蒸馏单元的接收区应设有独立的内置式磁力搅拌装置，搅拌速度可自动调节。</w:t>
            </w:r>
          </w:p>
          <w:p w14:paraId="3375DD0D">
            <w:pPr>
              <w:spacing w:line="294" w:lineRule="exact"/>
              <w:rPr>
                <w:rFonts w:ascii="宋体" w:hAnsi="宋体" w:cs="宋体"/>
                <w:bCs/>
                <w:color w:val="auto"/>
                <w:szCs w:val="21"/>
                <w:highlight w:val="none"/>
              </w:rPr>
            </w:pPr>
            <w:r>
              <w:rPr>
                <w:rFonts w:hint="eastAsia" w:ascii="宋体" w:hAnsi="宋体" w:cs="宋体"/>
                <w:bCs/>
                <w:color w:val="auto"/>
                <w:szCs w:val="21"/>
                <w:highlight w:val="none"/>
              </w:rPr>
              <w:t>6自动加酸单元： 　 　</w:t>
            </w:r>
          </w:p>
          <w:p w14:paraId="1410A653">
            <w:pPr>
              <w:spacing w:line="294" w:lineRule="exact"/>
              <w:rPr>
                <w:rFonts w:ascii="宋体" w:hAnsi="宋体" w:cs="宋体"/>
                <w:b w:val="0"/>
                <w:bCs w:val="0"/>
                <w:color w:val="auto"/>
                <w:szCs w:val="21"/>
                <w:highlight w:val="none"/>
              </w:rPr>
            </w:pPr>
            <w:r>
              <w:rPr>
                <w:rFonts w:hint="eastAsia" w:ascii="宋体" w:hAnsi="宋体" w:cs="宋体"/>
                <w:bCs/>
                <w:color w:val="auto"/>
                <w:szCs w:val="21"/>
                <w:highlight w:val="none"/>
              </w:rPr>
              <w:t>6.1主机需设有不低于8路自动加酸结构耐酸管路接头及自动加酸程序软件，仪器有加酸与氮气自动切换功能设计，可通过电脑分析软件控制输入端设定加酸参数自动完成定量加酸，</w:t>
            </w:r>
            <w:r>
              <w:rPr>
                <w:rFonts w:hint="eastAsia" w:ascii="宋体" w:hAnsi="宋体" w:cs="宋体"/>
                <w:b w:val="0"/>
                <w:bCs w:val="0"/>
                <w:color w:val="auto"/>
                <w:szCs w:val="21"/>
                <w:highlight w:val="none"/>
              </w:rPr>
              <w:t>加酸量范围：1-100</w:t>
            </w:r>
            <w:r>
              <w:rPr>
                <w:rFonts w:ascii="宋体" w:hAnsi="宋体" w:cs="宋体"/>
                <w:b w:val="0"/>
                <w:bCs w:val="0"/>
                <w:color w:val="auto"/>
                <w:szCs w:val="21"/>
                <w:highlight w:val="none"/>
              </w:rPr>
              <w:t>ml</w:t>
            </w:r>
            <w:r>
              <w:rPr>
                <w:rFonts w:hint="eastAsia" w:ascii="宋体" w:hAnsi="宋体" w:cs="宋体"/>
                <w:b w:val="0"/>
                <w:bCs w:val="0"/>
                <w:color w:val="auto"/>
                <w:szCs w:val="21"/>
                <w:highlight w:val="none"/>
              </w:rPr>
              <w:t>，无需人工干预。</w:t>
            </w:r>
          </w:p>
          <w:p w14:paraId="612D93F0">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7 自动滴定单元： 　 　</w:t>
            </w:r>
          </w:p>
          <w:p w14:paraId="2884D2F8">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7.1主机需设计有不低于9位自动滴定单元结构及滴定程序软件以及终点判定装置，可通过电脑控制系统自动完成滴定作业并到达终点自动停止滴定，根据消耗滴定剂的体积自动计算实验结果,并自动记录保持相关数据。主机采用计量产品实现滴定剂精确加注及滴定终点准确判定，保证结果准确性，并具有实验结果输出功能。电脑监控软件可实时显示滴定装置详细位置,且需为动态直观界面。监控动态需和滴定装置位置一致。</w:t>
            </w:r>
          </w:p>
          <w:p w14:paraId="778E50CB">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7.2</w:t>
            </w:r>
            <w:r>
              <w:rPr>
                <w:rFonts w:ascii="宋体" w:hAnsi="宋体" w:cs="宋体"/>
                <w:b w:val="0"/>
                <w:bCs w:val="0"/>
                <w:color w:val="auto"/>
                <w:szCs w:val="21"/>
                <w:highlight w:val="none"/>
              </w:rPr>
              <w:t>滴定部分采用</w:t>
            </w:r>
            <w:r>
              <w:rPr>
                <w:rFonts w:hint="eastAsia" w:ascii="宋体" w:hAnsi="宋体" w:cs="宋体"/>
                <w:b w:val="0"/>
                <w:bCs w:val="0"/>
                <w:color w:val="auto"/>
                <w:szCs w:val="21"/>
                <w:highlight w:val="none"/>
                <w:lang w:val="en-US" w:eastAsia="zh-CN"/>
              </w:rPr>
              <w:t>的</w:t>
            </w:r>
            <w:r>
              <w:rPr>
                <w:rFonts w:hint="eastAsia" w:ascii="宋体" w:hAnsi="宋体" w:cs="宋体"/>
                <w:b w:val="0"/>
                <w:bCs w:val="0"/>
                <w:color w:val="auto"/>
                <w:szCs w:val="21"/>
                <w:highlight w:val="none"/>
              </w:rPr>
              <w:t>视觉摄像元件光源通道≥16，响应时间最快≤200μs</w:t>
            </w:r>
            <w:r>
              <w:rPr>
                <w:rFonts w:hint="eastAsia" w:ascii="宋体" w:hAnsi="宋体" w:cs="宋体"/>
                <w:b w:val="0"/>
                <w:bCs w:val="0"/>
                <w:color w:val="auto"/>
                <w:szCs w:val="21"/>
                <w:highlight w:val="none"/>
                <w:lang w:eastAsia="zh-CN"/>
              </w:rPr>
              <w:t>；</w:t>
            </w:r>
            <w:r>
              <w:rPr>
                <w:rFonts w:ascii="宋体" w:hAnsi="宋体" w:cs="宋体"/>
                <w:b w:val="0"/>
                <w:bCs w:val="0"/>
                <w:color w:val="auto"/>
                <w:szCs w:val="21"/>
                <w:highlight w:val="none"/>
              </w:rPr>
              <w:t>电脑分析软件需实时监测仪器各部位动态，保证测量结果精确无误</w:t>
            </w:r>
            <w:r>
              <w:rPr>
                <w:rFonts w:hint="eastAsia" w:ascii="宋体" w:hAnsi="宋体" w:cs="宋体"/>
                <w:b w:val="0"/>
                <w:bCs w:val="0"/>
                <w:color w:val="auto"/>
                <w:szCs w:val="21"/>
                <w:highlight w:val="none"/>
              </w:rPr>
              <w:t>。（需提供产品彩页证明文件）</w:t>
            </w:r>
          </w:p>
          <w:p w14:paraId="07700069">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7.3 电脑分析软件具有实时监控仪器中各电器元件实时运行数据动态功能,电器部件运行实时数据界面需逐一直观显示</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仪器电器元件实时数据需同步精准显示于电脑分析系统界面</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精准监测实验过程，对实验环节进行精确控制，实验过程中的加酸、加热、滴定等关键环节均可通过电脑软件监控界面直观展现。同时，电脑分析软件能够实时记录实验数据，包括各个环节的时间、实时颜色、滴定值、所测物质含量等关键参数，滴定速度：≤</w:t>
            </w:r>
            <w:r>
              <w:rPr>
                <w:rFonts w:ascii="宋体" w:hAnsi="宋体" w:cs="宋体"/>
                <w:b w:val="0"/>
                <w:bCs w:val="0"/>
                <w:color w:val="auto"/>
                <w:szCs w:val="21"/>
                <w:highlight w:val="none"/>
              </w:rPr>
              <w:t>3</w:t>
            </w:r>
            <w:r>
              <w:rPr>
                <w:rFonts w:hint="eastAsia" w:ascii="宋体" w:hAnsi="宋体" w:cs="宋体"/>
                <w:b w:val="0"/>
                <w:bCs w:val="0"/>
                <w:color w:val="auto"/>
                <w:szCs w:val="21"/>
                <w:highlight w:val="none"/>
              </w:rPr>
              <w:t>S</w:t>
            </w:r>
            <w:r>
              <w:rPr>
                <w:rFonts w:ascii="宋体" w:hAnsi="宋体" w:cs="宋体"/>
                <w:b w:val="0"/>
                <w:bCs w:val="0"/>
                <w:color w:val="auto"/>
                <w:szCs w:val="21"/>
                <w:highlight w:val="none"/>
              </w:rPr>
              <w:t>/步，滴定精度</w:t>
            </w:r>
            <w:r>
              <w:rPr>
                <w:rFonts w:hint="eastAsia" w:ascii="宋体" w:hAnsi="宋体" w:cs="宋体"/>
                <w:b w:val="0"/>
                <w:bCs w:val="0"/>
                <w:color w:val="auto"/>
                <w:szCs w:val="21"/>
                <w:highlight w:val="none"/>
              </w:rPr>
              <w:t>：≤0</w:t>
            </w:r>
            <w:r>
              <w:rPr>
                <w:rFonts w:ascii="宋体" w:hAnsi="宋体" w:cs="宋体"/>
                <w:b w:val="0"/>
                <w:bCs w:val="0"/>
                <w:color w:val="auto"/>
                <w:szCs w:val="21"/>
                <w:highlight w:val="none"/>
              </w:rPr>
              <w:t>.1ml/步</w:t>
            </w:r>
            <w:r>
              <w:rPr>
                <w:rFonts w:hint="eastAsia" w:ascii="宋体" w:hAnsi="宋体" w:cs="宋体"/>
                <w:b w:val="0"/>
                <w:bCs w:val="0"/>
                <w:color w:val="auto"/>
                <w:szCs w:val="21"/>
                <w:highlight w:val="none"/>
              </w:rPr>
              <w:t>，</w:t>
            </w:r>
            <w:r>
              <w:rPr>
                <w:rFonts w:ascii="宋体" w:hAnsi="宋体" w:cs="宋体"/>
                <w:b w:val="0"/>
                <w:bCs w:val="0"/>
                <w:color w:val="auto"/>
                <w:szCs w:val="21"/>
                <w:highlight w:val="none"/>
              </w:rPr>
              <w:t>滴定样品位数</w:t>
            </w:r>
            <w:r>
              <w:rPr>
                <w:rFonts w:hint="eastAsia" w:ascii="宋体" w:hAnsi="宋体" w:cs="宋体"/>
                <w:b w:val="0"/>
                <w:bCs w:val="0"/>
                <w:color w:val="auto"/>
                <w:szCs w:val="21"/>
                <w:highlight w:val="none"/>
              </w:rPr>
              <w:t>：≥8位。电脑监控分析软件支持自定义设置，用户可以根据实验需求灵活调整实验参数，如加酸量、加热时间等。</w:t>
            </w:r>
          </w:p>
          <w:p w14:paraId="31A420D2">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8 安全设计</w:t>
            </w:r>
          </w:p>
          <w:p w14:paraId="60A362DC">
            <w:pPr>
              <w:spacing w:line="294" w:lineRule="exact"/>
              <w:ind w:firstLine="420" w:firstLineChars="200"/>
              <w:rPr>
                <w:rFonts w:ascii="宋体" w:hAnsi="宋体" w:cs="宋体"/>
                <w:b w:val="0"/>
                <w:bCs w:val="0"/>
                <w:color w:val="auto"/>
                <w:szCs w:val="21"/>
                <w:highlight w:val="none"/>
              </w:rPr>
            </w:pPr>
            <w:r>
              <w:rPr>
                <w:rFonts w:hint="eastAsia" w:ascii="宋体" w:hAnsi="宋体" w:cs="宋体"/>
                <w:b w:val="0"/>
                <w:bCs w:val="0"/>
                <w:color w:val="auto"/>
                <w:szCs w:val="21"/>
                <w:highlight w:val="none"/>
              </w:rPr>
              <w:t>主机需配置不低于8个1000ml柱形圆底烧瓶，合理利用机器空间。为保证实验人员人身安全，杜绝化学有毒气体扩散，仪器两侧需</w:t>
            </w:r>
            <w:r>
              <w:rPr>
                <w:rFonts w:hint="eastAsia" w:ascii="宋体" w:hAnsi="宋体" w:cs="宋体"/>
                <w:b w:val="0"/>
                <w:bCs w:val="0"/>
                <w:color w:val="auto"/>
                <w:szCs w:val="21"/>
                <w:highlight w:val="none"/>
                <w:lang w:val="en-US" w:eastAsia="zh-CN"/>
              </w:rPr>
              <w:t>分别</w:t>
            </w:r>
            <w:r>
              <w:rPr>
                <w:rFonts w:hint="eastAsia" w:ascii="宋体" w:hAnsi="宋体" w:cs="宋体"/>
                <w:b w:val="0"/>
                <w:bCs w:val="0"/>
                <w:color w:val="auto"/>
                <w:szCs w:val="21"/>
                <w:highlight w:val="none"/>
              </w:rPr>
              <w:t>设计长×宽</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≥800mm×6</w:t>
            </w:r>
            <w:r>
              <w:rPr>
                <w:rFonts w:ascii="宋体" w:hAnsi="宋体" w:cs="宋体"/>
                <w:b w:val="0"/>
                <w:bCs w:val="0"/>
                <w:color w:val="auto"/>
                <w:szCs w:val="21"/>
                <w:highlight w:val="none"/>
              </w:rPr>
              <w:t>00mm</w:t>
            </w:r>
            <w:r>
              <w:rPr>
                <w:rFonts w:hint="eastAsia" w:ascii="宋体" w:hAnsi="宋体" w:cs="宋体"/>
                <w:b w:val="0"/>
                <w:bCs w:val="0"/>
                <w:color w:val="auto"/>
                <w:szCs w:val="21"/>
                <w:highlight w:val="none"/>
              </w:rPr>
              <w:t>防护罩以及前端防护面板长×宽</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w:t>
            </w:r>
            <w:r>
              <w:rPr>
                <w:rFonts w:ascii="宋体" w:hAnsi="宋体" w:cs="宋体"/>
                <w:b w:val="0"/>
                <w:bCs w:val="0"/>
                <w:color w:val="auto"/>
                <w:szCs w:val="21"/>
                <w:highlight w:val="none"/>
              </w:rPr>
              <w:t>1000mm</w:t>
            </w:r>
            <w:r>
              <w:rPr>
                <w:rFonts w:hint="eastAsia" w:ascii="宋体" w:hAnsi="宋体" w:cs="宋体"/>
                <w:b w:val="0"/>
                <w:bCs w:val="0"/>
                <w:color w:val="auto"/>
                <w:szCs w:val="21"/>
                <w:highlight w:val="none"/>
              </w:rPr>
              <w:t>×2</w:t>
            </w:r>
            <w:r>
              <w:rPr>
                <w:rFonts w:ascii="宋体" w:hAnsi="宋体" w:cs="宋体"/>
                <w:b w:val="0"/>
                <w:bCs w:val="0"/>
                <w:color w:val="auto"/>
                <w:szCs w:val="21"/>
                <w:highlight w:val="none"/>
              </w:rPr>
              <w:t>00mm</w:t>
            </w:r>
            <w:r>
              <w:rPr>
                <w:rFonts w:hint="eastAsia" w:ascii="宋体" w:hAnsi="宋体" w:cs="宋体"/>
                <w:b w:val="0"/>
                <w:bCs w:val="0"/>
                <w:color w:val="auto"/>
                <w:szCs w:val="21"/>
                <w:highlight w:val="none"/>
              </w:rPr>
              <w:t>机械结构防护设计（需提供机械结构示意图证明文件）</w:t>
            </w:r>
            <w:r>
              <w:rPr>
                <w:rFonts w:hint="eastAsia" w:ascii="宋体" w:hAnsi="宋体" w:cs="宋体"/>
                <w:b w:val="0"/>
                <w:bCs w:val="0"/>
                <w:color w:val="auto"/>
                <w:szCs w:val="21"/>
                <w:highlight w:val="none"/>
              </w:rPr>
              <w:br w:type="textWrapping"/>
            </w:r>
            <w:r>
              <w:rPr>
                <w:rFonts w:hint="eastAsia" w:ascii="宋体" w:hAnsi="宋体" w:cs="宋体"/>
                <w:b w:val="0"/>
                <w:bCs w:val="0"/>
                <w:color w:val="auto"/>
                <w:szCs w:val="21"/>
                <w:highlight w:val="none"/>
              </w:rPr>
              <w:t>9规格要求：</w:t>
            </w:r>
          </w:p>
          <w:p w14:paraId="75134E7E">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主机尺寸（mm）：≤1250×650×850</w:t>
            </w:r>
          </w:p>
          <w:p w14:paraId="0C8906E9">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蒸馏最长时间控制：≥200min</w:t>
            </w:r>
          </w:p>
          <w:p w14:paraId="46CF0BFC">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额定功率：≤3600W</w:t>
            </w:r>
          </w:p>
          <w:p w14:paraId="59CAB0B0">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加热至沸腾的升温时间：≤8min</w:t>
            </w:r>
          </w:p>
          <w:p w14:paraId="1E6BF962">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氮气流速：200-2000ml/min</w:t>
            </w:r>
          </w:p>
          <w:p w14:paraId="4FC1508F">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二、氮气分析仪技术参数：</w:t>
            </w:r>
          </w:p>
          <w:p w14:paraId="7F796E4A">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氮气纯度：≥99.99%</w:t>
            </w:r>
          </w:p>
          <w:p w14:paraId="740876CB">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输出流量： 0-20L/min</w:t>
            </w:r>
          </w:p>
          <w:p w14:paraId="166C1174">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输出压力：0-0.6Mpa</w:t>
            </w:r>
          </w:p>
          <w:p w14:paraId="081D795F">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最大功率：≤1650W</w:t>
            </w:r>
          </w:p>
          <w:p w14:paraId="4F864664">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外形尺寸：≤700mm×600mm×1330mm</w:t>
            </w:r>
          </w:p>
          <w:p w14:paraId="3B105AB3">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三、系统配置：</w:t>
            </w:r>
          </w:p>
          <w:p w14:paraId="03503BF0">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1、主机1台；</w:t>
            </w:r>
          </w:p>
          <w:p w14:paraId="6D577124">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2、数据分析工作站1套（CPU i5-13400以上 ，内存：≥8G ，固态硬盘，容量≥512GB，显示屏：≥23.8英寸，16:9）；</w:t>
            </w:r>
          </w:p>
          <w:p w14:paraId="314BA494">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3、数据输出设备1台: 单面支持纸张尺寸：A4,A5，具有打印，复印，扫描功能，端口：USB</w:t>
            </w:r>
          </w:p>
          <w:p w14:paraId="6B2D6A71">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4、20升氮气分析仪1台；</w:t>
            </w:r>
          </w:p>
          <w:p w14:paraId="69AFF23D">
            <w:pPr>
              <w:spacing w:line="294" w:lineRule="exact"/>
              <w:rPr>
                <w:rFonts w:ascii="宋体" w:hAnsi="宋体" w:cs="宋体"/>
                <w:b w:val="0"/>
                <w:bCs w:val="0"/>
                <w:color w:val="auto"/>
                <w:szCs w:val="21"/>
                <w:highlight w:val="none"/>
              </w:rPr>
            </w:pPr>
            <w:r>
              <w:rPr>
                <w:rFonts w:hint="eastAsia" w:ascii="宋体" w:hAnsi="宋体" w:cs="宋体"/>
                <w:b w:val="0"/>
                <w:bCs w:val="0"/>
                <w:color w:val="auto"/>
                <w:szCs w:val="21"/>
                <w:highlight w:val="none"/>
              </w:rPr>
              <w:t>5、冷却系统1套、1000ml双口玻璃烧瓶50只、加酸斜管50个、8位的耐酸置放架4副、回流冷凝管24只、100ml接收瓶50只及附属配件若干、数据分析工作站软件一套。</w:t>
            </w:r>
          </w:p>
          <w:p w14:paraId="5CF12EE5">
            <w:pPr>
              <w:keepNext w:val="0"/>
              <w:keepLines w:val="0"/>
              <w:pageBreakBefore w:val="0"/>
              <w:widowControl w:val="0"/>
              <w:kinsoku/>
              <w:wordWrap w:val="0"/>
              <w:overflowPunct/>
              <w:topLinePunct w:val="0"/>
              <w:autoSpaceDE/>
              <w:autoSpaceDN/>
              <w:bidi w:val="0"/>
              <w:adjustRightInd/>
              <w:snapToGrid/>
              <w:spacing w:line="294" w:lineRule="exact"/>
              <w:textAlignment w:val="auto"/>
              <w:rPr>
                <w:rFonts w:hint="eastAsia"/>
                <w:color w:val="auto"/>
                <w:highlight w:val="none"/>
              </w:rPr>
            </w:pPr>
            <w:r>
              <w:rPr>
                <w:rFonts w:hint="eastAsia" w:ascii="宋体" w:hAnsi="宋体" w:cs="宋体"/>
                <w:b w:val="0"/>
                <w:bCs w:val="0"/>
                <w:color w:val="auto"/>
                <w:szCs w:val="21"/>
                <w:highlight w:val="none"/>
              </w:rPr>
              <w:t>四、</w:t>
            </w:r>
            <w:r>
              <w:rPr>
                <w:rFonts w:hint="eastAsia" w:ascii="宋体" w:hAnsi="宋体" w:eastAsia="宋体" w:cs="宋体"/>
                <w:b w:val="0"/>
                <w:bCs w:val="0"/>
                <w:snapToGrid w:val="0"/>
                <w:color w:val="auto"/>
                <w:spacing w:val="0"/>
                <w:kern w:val="0"/>
                <w:position w:val="0"/>
                <w:sz w:val="21"/>
                <w:szCs w:val="21"/>
                <w:highlight w:val="none"/>
                <w:lang w:val="en-US" w:eastAsia="zh-CN" w:bidi="ar"/>
              </w:rPr>
              <w:t>交货时</w:t>
            </w:r>
            <w:r>
              <w:rPr>
                <w:rFonts w:hint="eastAsia"/>
                <w:b w:val="0"/>
                <w:bCs w:val="0"/>
                <w:color w:val="auto"/>
                <w:highlight w:val="none"/>
              </w:rPr>
              <w:t>提供合格的计量检定或者校准证书。</w:t>
            </w:r>
          </w:p>
        </w:tc>
        <w:tc>
          <w:tcPr>
            <w:tcW w:w="750" w:type="dxa"/>
          </w:tcPr>
          <w:p w14:paraId="07C9D086">
            <w:pPr>
              <w:keepNext w:val="0"/>
              <w:keepLines w:val="0"/>
              <w:pageBreakBefore w:val="0"/>
              <w:widowControl w:val="0"/>
              <w:numPr>
                <w:ilvl w:val="0"/>
                <w:numId w:val="0"/>
              </w:numPr>
              <w:kinsoku/>
              <w:wordWrap w:val="0"/>
              <w:overflowPunct/>
              <w:topLinePunct w:val="0"/>
              <w:autoSpaceDE/>
              <w:autoSpaceDN/>
              <w:bidi w:val="0"/>
              <w:adjustRightInd/>
              <w:snapToGrid/>
              <w:ind w:firstLine="210" w:firstLineChars="100"/>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40A549E0">
            <w:pPr>
              <w:keepNext w:val="0"/>
              <w:keepLines w:val="0"/>
              <w:pageBreakBefore w:val="0"/>
              <w:widowControl w:val="0"/>
              <w:numPr>
                <w:ilvl w:val="0"/>
                <w:numId w:val="0"/>
              </w:numPr>
              <w:kinsoku/>
              <w:wordWrap w:val="0"/>
              <w:overflowPunct/>
              <w:topLinePunct w:val="0"/>
              <w:autoSpaceDE/>
              <w:autoSpaceDN/>
              <w:bidi w:val="0"/>
              <w:adjustRightInd/>
              <w:snapToGrid/>
              <w:ind w:firstLine="210" w:firstLineChars="100"/>
              <w:textAlignment w:val="auto"/>
              <w:rPr>
                <w:rFonts w:hint="default" w:eastAsia="宋体"/>
                <w:color w:val="auto"/>
                <w:highlight w:val="none"/>
                <w:lang w:val="en-US" w:eastAsia="zh-CN"/>
              </w:rPr>
            </w:pPr>
            <w:r>
              <w:rPr>
                <w:rFonts w:hint="eastAsia" w:eastAsia="宋体"/>
                <w:color w:val="auto"/>
                <w:highlight w:val="none"/>
                <w:lang w:val="en-US" w:eastAsia="zh-CN"/>
              </w:rPr>
              <w:t>230000</w:t>
            </w:r>
          </w:p>
        </w:tc>
      </w:tr>
      <w:tr w14:paraId="35D4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688" w:type="dxa"/>
            <w:noWrap/>
          </w:tcPr>
          <w:p w14:paraId="3675C904">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rPr>
              <w:t>1</w:t>
            </w:r>
            <w:r>
              <w:rPr>
                <w:rFonts w:hint="eastAsia"/>
                <w:b/>
                <w:bCs/>
                <w:color w:val="auto"/>
                <w:highlight w:val="none"/>
                <w:lang w:val="en-US" w:eastAsia="zh-CN"/>
              </w:rPr>
              <w:t>5</w:t>
            </w:r>
          </w:p>
        </w:tc>
        <w:tc>
          <w:tcPr>
            <w:tcW w:w="1233" w:type="dxa"/>
          </w:tcPr>
          <w:p w14:paraId="71D4450F">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电动自行车轮胎里程试验机</w:t>
            </w:r>
          </w:p>
        </w:tc>
        <w:tc>
          <w:tcPr>
            <w:tcW w:w="5369" w:type="dxa"/>
          </w:tcPr>
          <w:p w14:paraId="5BB6D9CA">
            <w:pPr>
              <w:spacing w:line="294" w:lineRule="exact"/>
              <w:rPr>
                <w:rFonts w:hint="eastAsia" w:ascii="宋体" w:hAnsi="宋体" w:cs="宋体"/>
                <w:b w:val="0"/>
                <w:bCs w:val="0"/>
                <w:color w:val="auto"/>
                <w:szCs w:val="21"/>
                <w:highlight w:val="none"/>
              </w:rPr>
            </w:pPr>
            <w:r>
              <w:rPr>
                <w:rFonts w:hint="eastAsia"/>
                <w:color w:val="auto"/>
                <w:highlight w:val="none"/>
              </w:rPr>
              <w:t>1.</w:t>
            </w:r>
            <w:r>
              <w:rPr>
                <w:rFonts w:hint="eastAsia" w:ascii="宋体" w:hAnsi="宋体" w:cs="宋体"/>
                <w:b w:val="0"/>
                <w:bCs w:val="0"/>
                <w:color w:val="auto"/>
                <w:szCs w:val="21"/>
                <w:highlight w:val="none"/>
              </w:rPr>
              <w:t xml:space="preserve"> 设备应符合</w:t>
            </w:r>
            <w:r>
              <w:rPr>
                <w:rFonts w:hint="eastAsia" w:ascii="宋体" w:hAnsi="宋体" w:cs="宋体"/>
                <w:b w:val="0"/>
                <w:bCs w:val="0"/>
                <w:color w:val="auto"/>
                <w:szCs w:val="21"/>
                <w:highlight w:val="none"/>
              </w:rPr>
              <w:fldChar w:fldCharType="begin"/>
            </w:r>
            <w:r>
              <w:rPr>
                <w:rFonts w:hint="eastAsia" w:ascii="宋体" w:hAnsi="宋体" w:cs="宋体"/>
                <w:b w:val="0"/>
                <w:bCs w:val="0"/>
                <w:color w:val="auto"/>
                <w:szCs w:val="21"/>
                <w:highlight w:val="none"/>
              </w:rPr>
              <w:instrText xml:space="preserve"> HYPERLINK "javascript:void(0)" </w:instrText>
            </w:r>
            <w:r>
              <w:rPr>
                <w:rFonts w:hint="eastAsia" w:ascii="宋体" w:hAnsi="宋体" w:cs="宋体"/>
                <w:b w:val="0"/>
                <w:bCs w:val="0"/>
                <w:color w:val="auto"/>
                <w:szCs w:val="21"/>
                <w:highlight w:val="none"/>
              </w:rPr>
              <w:fldChar w:fldCharType="separate"/>
            </w:r>
            <w:r>
              <w:rPr>
                <w:rFonts w:hint="eastAsia" w:ascii="宋体" w:hAnsi="宋体" w:cs="宋体"/>
                <w:b w:val="0"/>
                <w:bCs w:val="0"/>
                <w:color w:val="auto"/>
                <w:szCs w:val="21"/>
                <w:highlight w:val="none"/>
              </w:rPr>
              <w:t>GB/T 31549的要求</w:t>
            </w:r>
            <w:r>
              <w:rPr>
                <w:rFonts w:hint="eastAsia" w:ascii="宋体" w:hAnsi="宋体" w:cs="宋体"/>
                <w:b w:val="0"/>
                <w:bCs w:val="0"/>
                <w:color w:val="auto"/>
                <w:szCs w:val="21"/>
                <w:highlight w:val="none"/>
              </w:rPr>
              <w:fldChar w:fldCharType="end"/>
            </w:r>
          </w:p>
          <w:p w14:paraId="4078E2B2">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 转鼓参数</w:t>
            </w:r>
          </w:p>
          <w:p w14:paraId="556CCB57">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2.1转鼓直径：Ф790±10mm；鼓面宽度：200±5mm；数量1个。</w:t>
            </w:r>
          </w:p>
          <w:p w14:paraId="1497D170">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2.2转鼓为钢质材料，表面硬度HRC42～48，工作表面粗糙度Ra≤6.3μm。</w:t>
            </w:r>
          </w:p>
          <w:p w14:paraId="627C6548">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2.3转鼓形位公差：径向跳动≤0.20mm，轴向端面跳动≤0.15mm.</w:t>
            </w:r>
          </w:p>
          <w:p w14:paraId="72EF8D5C">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2.4障碍物：宽度10.0mm±0.1mm、高度5.0mm±0.1mm的长方形钢质材料块，角曲率半径1.0mm±0.05mm，工作面粗糙度Ra值不大于6.3μm，数量2个。</w:t>
            </w:r>
          </w:p>
          <w:p w14:paraId="14E8E5A6">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2.5障碍物沿转鼓轴向等距离安装在转鼓表面，长度与转鼓宽度相等。</w:t>
            </w:r>
          </w:p>
          <w:p w14:paraId="11745F4A">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3.试验速度：10～60km/h，可调。</w:t>
            </w:r>
          </w:p>
          <w:p w14:paraId="6775037B">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4.最大加载负荷：300kg，可调。</w:t>
            </w:r>
          </w:p>
          <w:p w14:paraId="50ABC0C9">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5.试验工位：2个</w:t>
            </w:r>
          </w:p>
          <w:p w14:paraId="2B63342D">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6.转鼓电机驱动器：4KW</w:t>
            </w:r>
          </w:p>
          <w:p w14:paraId="10091648">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7.加载方式：给定气压闭环加载</w:t>
            </w:r>
          </w:p>
          <w:p w14:paraId="002B4BB1">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8.主电机传动方式：三角带传动变频控制</w:t>
            </w:r>
          </w:p>
          <w:p w14:paraId="4A4976B8">
            <w:pPr>
              <w:spacing w:line="294" w:lineRule="exac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9. PLC主程序执行周期：小于20ms</w:t>
            </w:r>
          </w:p>
          <w:p w14:paraId="24B46D66">
            <w:pPr>
              <w:spacing w:line="294" w:lineRule="exact"/>
              <w:rPr>
                <w:rFonts w:hint="default" w:ascii="宋体" w:hAnsi="宋体" w:cs="宋体" w:eastAsiaTheme="minorEastAsia"/>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r>
              <w:rPr>
                <w:rFonts w:hint="eastAsia" w:ascii="宋体" w:hAnsi="宋体" w:cs="宋体"/>
                <w:b w:val="0"/>
                <w:bCs w:val="0"/>
                <w:color w:val="auto"/>
                <w:szCs w:val="21"/>
                <w:highlight w:val="none"/>
              </w:rPr>
              <w:t>转鼓</w:t>
            </w:r>
            <w:r>
              <w:rPr>
                <w:rFonts w:hint="eastAsia" w:ascii="宋体" w:hAnsi="宋体" w:cs="宋体"/>
                <w:b w:val="0"/>
                <w:bCs w:val="0"/>
                <w:color w:val="auto"/>
                <w:szCs w:val="21"/>
                <w:highlight w:val="none"/>
                <w:lang w:val="en-US" w:eastAsia="zh-CN"/>
              </w:rPr>
              <w:t>的转速、轮胎</w:t>
            </w:r>
            <w:r>
              <w:rPr>
                <w:rFonts w:hint="eastAsia" w:ascii="宋体" w:hAnsi="宋体" w:cs="宋体"/>
                <w:b w:val="0"/>
                <w:bCs w:val="0"/>
                <w:color w:val="auto"/>
                <w:szCs w:val="21"/>
                <w:highlight w:val="none"/>
              </w:rPr>
              <w:t>载荷</w:t>
            </w:r>
            <w:r>
              <w:rPr>
                <w:rFonts w:hint="eastAsia" w:ascii="宋体" w:hAnsi="宋体" w:cs="宋体"/>
                <w:b w:val="0"/>
                <w:bCs w:val="0"/>
                <w:color w:val="auto"/>
                <w:szCs w:val="21"/>
                <w:highlight w:val="none"/>
                <w:lang w:val="en-US" w:eastAsia="zh-CN"/>
              </w:rPr>
              <w:t>需在显示屏上数字显示</w:t>
            </w:r>
          </w:p>
          <w:p w14:paraId="2CD1E678">
            <w:pPr>
              <w:keepNext w:val="0"/>
              <w:keepLines w:val="0"/>
              <w:pageBreakBefore w:val="0"/>
              <w:widowControl w:val="0"/>
              <w:kinsoku/>
              <w:wordWrap w:val="0"/>
              <w:overflowPunct/>
              <w:topLinePunct w:val="0"/>
              <w:autoSpaceDE/>
              <w:autoSpaceDN/>
              <w:bidi w:val="0"/>
              <w:adjustRightInd/>
              <w:snapToGrid/>
              <w:textAlignment w:val="auto"/>
              <w:rPr>
                <w:color w:val="auto"/>
                <w:highlight w:val="none"/>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szCs w:val="21"/>
                <w:highlight w:val="none"/>
              </w:rPr>
              <w:t xml:space="preserve">. </w:t>
            </w:r>
            <w:r>
              <w:rPr>
                <w:rFonts w:hint="eastAsia" w:ascii="宋体" w:hAnsi="宋体" w:eastAsia="宋体" w:cs="宋体"/>
                <w:b w:val="0"/>
                <w:bCs w:val="0"/>
                <w:snapToGrid w:val="0"/>
                <w:color w:val="auto"/>
                <w:spacing w:val="0"/>
                <w:kern w:val="0"/>
                <w:position w:val="0"/>
                <w:sz w:val="21"/>
                <w:szCs w:val="21"/>
                <w:highlight w:val="none"/>
                <w:lang w:val="en-US" w:eastAsia="zh-CN" w:bidi="ar"/>
              </w:rPr>
              <w:t>交货时</w:t>
            </w:r>
            <w:r>
              <w:rPr>
                <w:rFonts w:hint="eastAsia" w:ascii="宋体" w:hAnsi="宋体" w:cs="宋体"/>
                <w:b w:val="0"/>
                <w:bCs w:val="0"/>
                <w:color w:val="auto"/>
                <w:szCs w:val="21"/>
                <w:highlight w:val="none"/>
              </w:rPr>
              <w:t>提供</w:t>
            </w:r>
            <w:r>
              <w:rPr>
                <w:rFonts w:hint="eastAsia"/>
                <w:b w:val="0"/>
                <w:bCs w:val="0"/>
                <w:color w:val="auto"/>
                <w:highlight w:val="none"/>
              </w:rPr>
              <w:t>合格的</w:t>
            </w:r>
            <w:r>
              <w:rPr>
                <w:rFonts w:hint="eastAsia" w:ascii="宋体" w:hAnsi="宋体" w:cs="宋体"/>
                <w:b w:val="0"/>
                <w:bCs w:val="0"/>
                <w:color w:val="auto"/>
                <w:szCs w:val="21"/>
                <w:highlight w:val="none"/>
              </w:rPr>
              <w:t>计量检定或者校准证书（载荷校准点：60kg、100kg、200kg，速度校准点：40km/h）</w:t>
            </w:r>
          </w:p>
        </w:tc>
        <w:tc>
          <w:tcPr>
            <w:tcW w:w="750" w:type="dxa"/>
          </w:tcPr>
          <w:p w14:paraId="3CDB1A91">
            <w:pPr>
              <w:keepNext w:val="0"/>
              <w:keepLines w:val="0"/>
              <w:pageBreakBefore w:val="0"/>
              <w:widowControl w:val="0"/>
              <w:kinsoku/>
              <w:wordWrap w:val="0"/>
              <w:overflowPunct/>
              <w:topLinePunct w:val="0"/>
              <w:autoSpaceDE/>
              <w:autoSpaceDN/>
              <w:bidi w:val="0"/>
              <w:adjustRightInd/>
              <w:snapToGrid/>
              <w:textAlignment w:val="auto"/>
              <w:rPr>
                <w:rFonts w:hint="eastAsia" w:eastAsia="宋体"/>
                <w:color w:val="auto"/>
                <w:highlight w:val="none"/>
                <w:lang w:val="en-US" w:eastAsia="zh-CN"/>
              </w:rPr>
            </w:pPr>
            <w:r>
              <w:rPr>
                <w:rFonts w:hint="eastAsia" w:eastAsia="宋体"/>
                <w:color w:val="auto"/>
                <w:highlight w:val="none"/>
                <w:lang w:val="en-US" w:eastAsia="zh-CN"/>
              </w:rPr>
              <w:t>1</w:t>
            </w:r>
          </w:p>
        </w:tc>
        <w:tc>
          <w:tcPr>
            <w:tcW w:w="1151" w:type="dxa"/>
          </w:tcPr>
          <w:p w14:paraId="19A851E8">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78000</w:t>
            </w:r>
          </w:p>
        </w:tc>
      </w:tr>
      <w:tr w14:paraId="730E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688" w:type="dxa"/>
            <w:noWrap/>
          </w:tcPr>
          <w:p w14:paraId="0C31FED8">
            <w:pPr>
              <w:keepNext w:val="0"/>
              <w:keepLines w:val="0"/>
              <w:pageBreakBefore w:val="0"/>
              <w:widowControl w:val="0"/>
              <w:kinsoku/>
              <w:wordWrap w:val="0"/>
              <w:overflowPunct/>
              <w:topLinePunct w:val="0"/>
              <w:autoSpaceDE/>
              <w:autoSpaceDN/>
              <w:bidi w:val="0"/>
              <w:adjustRightInd/>
              <w:snapToGrid/>
              <w:jc w:val="center"/>
              <w:textAlignment w:val="auto"/>
              <w:rPr>
                <w:rFonts w:hint="eastAsia" w:eastAsiaTheme="minorEastAsia"/>
                <w:b/>
                <w:bCs/>
                <w:color w:val="auto"/>
                <w:highlight w:val="none"/>
                <w:lang w:eastAsia="zh-CN"/>
              </w:rPr>
            </w:pPr>
            <w:r>
              <w:rPr>
                <w:rFonts w:hint="eastAsia"/>
                <w:b/>
                <w:bCs/>
                <w:color w:val="auto"/>
                <w:highlight w:val="none"/>
              </w:rPr>
              <w:t>1</w:t>
            </w:r>
            <w:r>
              <w:rPr>
                <w:rFonts w:hint="eastAsia"/>
                <w:b/>
                <w:bCs/>
                <w:color w:val="auto"/>
                <w:highlight w:val="none"/>
                <w:lang w:val="en-US" w:eastAsia="zh-CN"/>
              </w:rPr>
              <w:t>6</w:t>
            </w:r>
          </w:p>
        </w:tc>
        <w:tc>
          <w:tcPr>
            <w:tcW w:w="1233" w:type="dxa"/>
          </w:tcPr>
          <w:p w14:paraId="3A7EADAC">
            <w:pPr>
              <w:keepNext w:val="0"/>
              <w:keepLines w:val="0"/>
              <w:pageBreakBefore w:val="0"/>
              <w:widowControl w:val="0"/>
              <w:kinsoku/>
              <w:wordWrap w:val="0"/>
              <w:overflowPunct/>
              <w:topLinePunct w:val="0"/>
              <w:autoSpaceDE/>
              <w:autoSpaceDN/>
              <w:bidi w:val="0"/>
              <w:adjustRightInd/>
              <w:snapToGrid/>
              <w:jc w:val="center"/>
              <w:textAlignment w:val="auto"/>
              <w:rPr>
                <w:color w:val="auto"/>
                <w:highlight w:val="none"/>
              </w:rPr>
            </w:pPr>
            <w:r>
              <w:rPr>
                <w:rFonts w:hint="eastAsia"/>
                <w:color w:val="auto"/>
                <w:highlight w:val="none"/>
              </w:rPr>
              <w:t>温湿度监控设备</w:t>
            </w:r>
          </w:p>
        </w:tc>
        <w:tc>
          <w:tcPr>
            <w:tcW w:w="5369" w:type="dxa"/>
          </w:tcPr>
          <w:p w14:paraId="65A56405">
            <w:pPr>
              <w:numPr>
                <w:ilvl w:val="0"/>
                <w:numId w:val="5"/>
              </w:numPr>
              <w:rPr>
                <w:rFonts w:hint="eastAsia" w:ascii="宋体" w:hAnsi="宋体" w:eastAsia="宋体" w:cs="宋体"/>
                <w:color w:val="auto"/>
                <w:highlight w:val="none"/>
              </w:rPr>
            </w:pPr>
            <w:r>
              <w:rPr>
                <w:rFonts w:hint="eastAsia"/>
                <w:color w:val="auto"/>
                <w:highlight w:val="none"/>
              </w:rPr>
              <w:t>温度：-40</w:t>
            </w:r>
            <w:r>
              <w:rPr>
                <w:rFonts w:hint="eastAsia" w:ascii="宋体" w:hAnsi="宋体" w:eastAsia="宋体" w:cs="宋体"/>
                <w:color w:val="auto"/>
                <w:highlight w:val="none"/>
              </w:rPr>
              <w:t>℃</w:t>
            </w:r>
            <w:r>
              <w:rPr>
                <w:rFonts w:hint="eastAsia"/>
                <w:color w:val="auto"/>
                <w:highlight w:val="none"/>
              </w:rPr>
              <w:t>至85</w:t>
            </w:r>
            <w:r>
              <w:rPr>
                <w:rFonts w:hint="eastAsia" w:ascii="宋体" w:hAnsi="宋体" w:eastAsia="宋体" w:cs="宋体"/>
                <w:color w:val="auto"/>
                <w:highlight w:val="none"/>
              </w:rPr>
              <w:t>℃</w:t>
            </w:r>
            <w:r>
              <w:rPr>
                <w:rFonts w:hint="eastAsia"/>
                <w:color w:val="auto"/>
                <w:highlight w:val="none"/>
              </w:rPr>
              <w:br w:type="textWrapping"/>
            </w:r>
            <w:r>
              <w:rPr>
                <w:rFonts w:hint="eastAsia"/>
                <w:color w:val="auto"/>
                <w:highlight w:val="none"/>
              </w:rPr>
              <w:t>2.湿度：0%至100%</w:t>
            </w:r>
            <w:r>
              <w:rPr>
                <w:rFonts w:hint="eastAsia"/>
                <w:color w:val="auto"/>
                <w:highlight w:val="none"/>
              </w:rPr>
              <w:br w:type="textWrapping"/>
            </w:r>
            <w:r>
              <w:rPr>
                <w:rFonts w:hint="eastAsia"/>
                <w:color w:val="auto"/>
                <w:highlight w:val="none"/>
              </w:rPr>
              <w:t>3.温度精度：0.3</w:t>
            </w:r>
            <w:r>
              <w:rPr>
                <w:rFonts w:hint="eastAsia" w:ascii="宋体" w:hAnsi="宋体" w:eastAsia="宋体" w:cs="宋体"/>
                <w:color w:val="auto"/>
                <w:highlight w:val="none"/>
              </w:rPr>
              <w:t>℃</w:t>
            </w:r>
          </w:p>
          <w:p w14:paraId="133B75AD">
            <w:pPr>
              <w:numPr>
                <w:ilvl w:val="0"/>
                <w:numId w:val="0"/>
              </w:numPr>
              <w:rPr>
                <w:rFonts w:hint="eastAsia"/>
                <w:color w:val="auto"/>
                <w:highlight w:val="none"/>
              </w:rPr>
            </w:pPr>
            <w:r>
              <w:rPr>
                <w:rFonts w:hint="eastAsia"/>
                <w:color w:val="auto"/>
                <w:highlight w:val="none"/>
              </w:rPr>
              <w:t>4.湿度精度：3%</w:t>
            </w:r>
            <w:r>
              <w:rPr>
                <w:rFonts w:hint="eastAsia"/>
                <w:color w:val="auto"/>
                <w:highlight w:val="none"/>
              </w:rPr>
              <w:br w:type="textWrapping"/>
            </w:r>
            <w:r>
              <w:rPr>
                <w:rFonts w:hint="eastAsia"/>
                <w:color w:val="auto"/>
                <w:highlight w:val="none"/>
              </w:rPr>
              <w:t xml:space="preserve">5.配置：探头共10套，配套网关1套 ， </w:t>
            </w:r>
          </w:p>
          <w:p w14:paraId="335FC2DD">
            <w:pPr>
              <w:keepNext w:val="0"/>
              <w:keepLines w:val="0"/>
              <w:pageBreakBefore w:val="0"/>
              <w:widowControl w:val="0"/>
              <w:kinsoku/>
              <w:wordWrap w:val="0"/>
              <w:overflowPunct/>
              <w:topLinePunct w:val="0"/>
              <w:autoSpaceDE/>
              <w:autoSpaceDN/>
              <w:bidi w:val="0"/>
              <w:adjustRightInd/>
              <w:snapToGrid/>
              <w:textAlignment w:val="auto"/>
              <w:rPr>
                <w:color w:val="auto"/>
                <w:highlight w:val="none"/>
              </w:rPr>
            </w:pPr>
            <w:r>
              <w:rPr>
                <w:rFonts w:hint="eastAsia"/>
                <w:color w:val="auto"/>
                <w:highlight w:val="none"/>
              </w:rPr>
              <w:t>6</w:t>
            </w:r>
            <w:r>
              <w:rPr>
                <w:rFonts w:hint="eastAsia"/>
                <w:color w:val="auto"/>
                <w:highlight w:val="none"/>
                <w:lang w:eastAsia="zh-CN"/>
              </w:rPr>
              <w:t>.</w:t>
            </w:r>
            <w:r>
              <w:rPr>
                <w:rFonts w:hint="eastAsia" w:ascii="宋体" w:hAnsi="宋体" w:eastAsia="宋体" w:cs="宋体"/>
                <w:b w:val="0"/>
                <w:bCs w:val="0"/>
                <w:snapToGrid w:val="0"/>
                <w:color w:val="auto"/>
                <w:spacing w:val="0"/>
                <w:kern w:val="0"/>
                <w:position w:val="0"/>
                <w:sz w:val="21"/>
                <w:szCs w:val="21"/>
                <w:highlight w:val="none"/>
                <w:lang w:val="en-US" w:eastAsia="zh-CN" w:bidi="ar"/>
              </w:rPr>
              <w:t>交货时</w:t>
            </w:r>
            <w:r>
              <w:rPr>
                <w:rFonts w:hint="eastAsia"/>
                <w:color w:val="auto"/>
                <w:highlight w:val="none"/>
              </w:rPr>
              <w:t>提供合格计量检定或者校准证书（温度校准点：23℃，湿度校准点：50%）</w:t>
            </w:r>
          </w:p>
        </w:tc>
        <w:tc>
          <w:tcPr>
            <w:tcW w:w="750" w:type="dxa"/>
          </w:tcPr>
          <w:p w14:paraId="02BE252A">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11</w:t>
            </w:r>
          </w:p>
        </w:tc>
        <w:tc>
          <w:tcPr>
            <w:tcW w:w="1151" w:type="dxa"/>
          </w:tcPr>
          <w:p w14:paraId="7F42F22B">
            <w:pPr>
              <w:keepNext w:val="0"/>
              <w:keepLines w:val="0"/>
              <w:pageBreakBefore w:val="0"/>
              <w:widowControl w:val="0"/>
              <w:kinsoku/>
              <w:wordWrap w:val="0"/>
              <w:overflowPunct/>
              <w:topLinePunct w:val="0"/>
              <w:autoSpaceDE/>
              <w:autoSpaceDN/>
              <w:bidi w:val="0"/>
              <w:adjustRightInd/>
              <w:snapToGrid/>
              <w:textAlignment w:val="auto"/>
              <w:rPr>
                <w:rFonts w:hint="default" w:eastAsia="宋体"/>
                <w:color w:val="auto"/>
                <w:highlight w:val="none"/>
                <w:lang w:val="en-US" w:eastAsia="zh-CN"/>
              </w:rPr>
            </w:pPr>
            <w:r>
              <w:rPr>
                <w:rFonts w:hint="eastAsia" w:eastAsia="宋体"/>
                <w:color w:val="auto"/>
                <w:highlight w:val="none"/>
                <w:lang w:val="en-US" w:eastAsia="zh-CN"/>
              </w:rPr>
              <w:t>700</w:t>
            </w:r>
          </w:p>
        </w:tc>
      </w:tr>
      <w:tr w14:paraId="6B04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21" w:type="dxa"/>
            <w:gridSpan w:val="2"/>
            <w:shd w:val="clear" w:color="auto" w:fill="auto"/>
            <w:noWrap/>
            <w:vAlign w:val="top"/>
          </w:tcPr>
          <w:p w14:paraId="68379ACE">
            <w:pPr>
              <w:pStyle w:val="30"/>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jc w:val="center"/>
              <w:textAlignment w:val="baseline"/>
              <w:rPr>
                <w:rFonts w:hint="default" w:ascii="Arial" w:hAnsi="Arial" w:eastAsia="Arial" w:cs="Arial"/>
                <w:b/>
                <w:bCs/>
                <w:snapToGrid w:val="0"/>
                <w:color w:val="auto"/>
                <w:spacing w:val="0"/>
                <w:kern w:val="0"/>
                <w:position w:val="0"/>
                <w:sz w:val="21"/>
                <w:szCs w:val="21"/>
                <w:highlight w:val="none"/>
                <w:lang w:val="en-US" w:eastAsia="zh-CN" w:bidi="ar-SA"/>
              </w:rPr>
            </w:pPr>
            <w:r>
              <w:rPr>
                <w:rFonts w:hint="eastAsia" w:ascii="Arial" w:hAnsi="Arial" w:eastAsia="Arial" w:cs="Arial"/>
                <w:b/>
                <w:bCs/>
                <w:snapToGrid w:val="0"/>
                <w:color w:val="auto"/>
                <w:spacing w:val="0"/>
                <w:kern w:val="0"/>
                <w:position w:val="0"/>
                <w:sz w:val="21"/>
                <w:szCs w:val="21"/>
                <w:highlight w:val="none"/>
                <w:lang w:val="en-US" w:eastAsia="zh-CN" w:bidi="ar-SA"/>
              </w:rPr>
              <w:t>核心产品</w:t>
            </w:r>
          </w:p>
        </w:tc>
        <w:tc>
          <w:tcPr>
            <w:tcW w:w="7270" w:type="dxa"/>
            <w:gridSpan w:val="3"/>
            <w:shd w:val="clear" w:color="auto" w:fill="auto"/>
            <w:noWrap/>
            <w:vAlign w:val="center"/>
          </w:tcPr>
          <w:p w14:paraId="38A9B716">
            <w:pPr>
              <w:pStyle w:val="30"/>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jc w:val="left"/>
              <w:textAlignment w:val="baseline"/>
              <w:rPr>
                <w:rFonts w:hint="eastAsia" w:ascii="Arial" w:hAnsi="Arial" w:eastAsia="Arial" w:cs="Arial"/>
                <w:b/>
                <w:bCs/>
                <w:snapToGrid w:val="0"/>
                <w:color w:val="auto"/>
                <w:spacing w:val="0"/>
                <w:kern w:val="0"/>
                <w:position w:val="0"/>
                <w:sz w:val="21"/>
                <w:szCs w:val="21"/>
                <w:highlight w:val="none"/>
                <w:lang w:val="en-US" w:eastAsia="zh-CN" w:bidi="ar-SA"/>
              </w:rPr>
            </w:pPr>
            <w:r>
              <w:rPr>
                <w:rFonts w:hint="eastAsia" w:ascii="Arial" w:hAnsi="Arial" w:eastAsia="Arial" w:cs="Arial"/>
                <w:b/>
                <w:bCs/>
                <w:snapToGrid w:val="0"/>
                <w:color w:val="auto"/>
                <w:spacing w:val="0"/>
                <w:kern w:val="0"/>
                <w:position w:val="0"/>
                <w:sz w:val="21"/>
                <w:szCs w:val="21"/>
                <w:highlight w:val="none"/>
                <w:lang w:val="en-US" w:eastAsia="zh-CN" w:bidi="ar-SA"/>
              </w:rPr>
              <w:t>第3项设备“气相色谱仪”</w:t>
            </w:r>
          </w:p>
        </w:tc>
      </w:tr>
      <w:tr w14:paraId="7FAC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1" w:type="dxa"/>
            <w:gridSpan w:val="5"/>
            <w:shd w:val="clear" w:color="auto" w:fill="auto"/>
            <w:noWrap/>
            <w:vAlign w:val="top"/>
          </w:tcPr>
          <w:p w14:paraId="4E456F28">
            <w:pPr>
              <w:pStyle w:val="30"/>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hint="eastAsia" w:ascii="宋体" w:hAnsi="宋体" w:eastAsia="宋体" w:cs="宋体"/>
                <w:snapToGrid w:val="0"/>
                <w:color w:val="auto"/>
                <w:spacing w:val="0"/>
                <w:kern w:val="0"/>
                <w:position w:val="0"/>
                <w:sz w:val="20"/>
                <w:szCs w:val="20"/>
                <w:highlight w:val="none"/>
                <w:lang w:val="en-US" w:eastAsia="zh-CN" w:bidi="ar-SA"/>
              </w:rPr>
            </w:pPr>
            <w:r>
              <w:rPr>
                <w:rFonts w:hint="eastAsia" w:ascii="Arial" w:hAnsi="Arial" w:eastAsia="Arial" w:cs="Arial"/>
                <w:b/>
                <w:bCs/>
                <w:snapToGrid w:val="0"/>
                <w:color w:val="auto"/>
                <w:spacing w:val="0"/>
                <w:kern w:val="0"/>
                <w:position w:val="0"/>
                <w:sz w:val="21"/>
                <w:szCs w:val="21"/>
                <w:highlight w:val="none"/>
                <w:lang w:val="en-US" w:eastAsia="zh-CN" w:bidi="ar-SA"/>
              </w:rPr>
              <w:t>商务要求</w:t>
            </w:r>
          </w:p>
        </w:tc>
      </w:tr>
      <w:tr w14:paraId="4315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921" w:type="dxa"/>
            <w:gridSpan w:val="2"/>
            <w:shd w:val="clear" w:color="auto" w:fill="auto"/>
            <w:noWrap/>
            <w:vAlign w:val="top"/>
          </w:tcPr>
          <w:p w14:paraId="4B4B54BB">
            <w:pPr>
              <w:pStyle w:val="30"/>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color w:val="auto"/>
                <w:spacing w:val="0"/>
                <w:kern w:val="0"/>
                <w:position w:val="0"/>
                <w:highlight w:val="none"/>
              </w:rPr>
            </w:pPr>
          </w:p>
          <w:p w14:paraId="1778C890">
            <w:pPr>
              <w:pStyle w:val="30"/>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color w:val="auto"/>
                <w:spacing w:val="0"/>
                <w:kern w:val="0"/>
                <w:position w:val="0"/>
                <w:highlight w:val="none"/>
              </w:rPr>
            </w:pPr>
          </w:p>
          <w:p w14:paraId="012D431C">
            <w:pPr>
              <w:pStyle w:val="30"/>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hint="eastAsia" w:ascii="宋体" w:hAnsi="宋体" w:eastAsia="Arial"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售后服务要求及免费保修期</w:t>
            </w:r>
          </w:p>
        </w:tc>
        <w:tc>
          <w:tcPr>
            <w:tcW w:w="7270" w:type="dxa"/>
            <w:gridSpan w:val="3"/>
            <w:shd w:val="clear" w:color="auto" w:fill="auto"/>
            <w:vAlign w:val="top"/>
          </w:tcPr>
          <w:p w14:paraId="575E620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Arial"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1、本项目包含货物采购及安装调试。所供产品必须为原厂正品，对所有的采购内容质保期≥12 个月（产品技术要求里面有特别注明的除外）,免费保修期自验收合格签字之日起计算；免费保修期内上门维修免收维修费和调试费，并提供终身维护服务。保修期内出现故障导致仪器停用的时间，从保修期中扣除。 </w:t>
            </w:r>
          </w:p>
          <w:p w14:paraId="762E79F4">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Arial"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2、按厂家承诺实行“三包”；成交供应商提供能本地化服务，免费安装调试，免费提供现场技术培训免费进行设备工作原理、操作、维护的技术培训，保证使用人员正常操作设备的各种功能；设备自带软件的在免费保修期内免费升级；其余按中标人承诺进行。 </w:t>
            </w:r>
          </w:p>
          <w:p w14:paraId="0EE4D533">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Arial"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3、故障解决及维修服务要求： </w:t>
            </w:r>
          </w:p>
          <w:p w14:paraId="7CD1DA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Arial"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（1）接采购人报障电话 1 小时内响应，7*24 小时电话和远程支持服务，若电话和远程无法解决，成交供应商 48 小时内派技术人员到达现场解决故障。 </w:t>
            </w:r>
          </w:p>
          <w:p w14:paraId="56D8CD7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Arial"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2）免费保修（维护）期内免费定期上门检查、免费上门维修服务（免收维修费和系统维护费）。维护中如需要更换软件系统的，要求更换的品牌、类型相一致或者是同类同档次的替代品，后者需提供相应证明文件并征得采购方同意。</w:t>
            </w:r>
          </w:p>
        </w:tc>
      </w:tr>
      <w:tr w14:paraId="2CA3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1921" w:type="dxa"/>
            <w:gridSpan w:val="2"/>
            <w:shd w:val="clear" w:color="auto" w:fill="auto"/>
            <w:noWrap/>
            <w:vAlign w:val="center"/>
          </w:tcPr>
          <w:p w14:paraId="53D034BD">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rFonts w:hint="eastAsia" w:ascii="Arial" w:hAnsi="Arial" w:eastAsia="Arial" w:cs="Arial"/>
                <w:snapToGrid w:val="0"/>
                <w:color w:val="auto"/>
                <w:spacing w:val="0"/>
                <w:kern w:val="0"/>
                <w:position w:val="0"/>
                <w:sz w:val="21"/>
                <w:szCs w:val="21"/>
                <w:highlight w:val="none"/>
                <w:lang w:val="en-US" w:eastAsia="en-US" w:bidi="ar-SA"/>
              </w:rPr>
            </w:pPr>
            <w:r>
              <w:rPr>
                <w:rFonts w:hint="eastAsia" w:ascii="宋体" w:hAnsi="宋体"/>
                <w:color w:val="auto"/>
                <w:spacing w:val="0"/>
                <w:kern w:val="0"/>
                <w:position w:val="0"/>
                <w:highlight w:val="none"/>
              </w:rPr>
              <w:t>交付使用时间及地点</w:t>
            </w:r>
          </w:p>
        </w:tc>
        <w:tc>
          <w:tcPr>
            <w:tcW w:w="7270" w:type="dxa"/>
            <w:gridSpan w:val="3"/>
            <w:shd w:val="clear" w:color="auto" w:fill="auto"/>
            <w:vAlign w:val="top"/>
          </w:tcPr>
          <w:p w14:paraId="7B007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color w:val="auto"/>
                <w:spacing w:val="0"/>
                <w:position w:val="0"/>
                <w:szCs w:val="21"/>
                <w:highlight w:val="none"/>
              </w:rPr>
            </w:pPr>
            <w:r>
              <w:rPr>
                <w:rFonts w:hint="eastAsia" w:ascii="宋体" w:hAnsi="宋体"/>
                <w:color w:val="auto"/>
                <w:spacing w:val="0"/>
                <w:position w:val="0"/>
                <w:highlight w:val="none"/>
              </w:rPr>
              <w:t xml:space="preserve">1、交付使用时间：交付使用时间：自签订合同之日起产品必须 </w:t>
            </w:r>
            <w:r>
              <w:rPr>
                <w:rFonts w:hint="eastAsia" w:ascii="宋体" w:hAnsi="宋体" w:eastAsia="宋体"/>
                <w:color w:val="auto"/>
                <w:spacing w:val="0"/>
                <w:position w:val="0"/>
                <w:highlight w:val="none"/>
                <w:lang w:val="en-US" w:eastAsia="zh-CN"/>
              </w:rPr>
              <w:t>4</w:t>
            </w:r>
            <w:r>
              <w:rPr>
                <w:rFonts w:hint="eastAsia" w:ascii="宋体" w:hAnsi="宋体"/>
                <w:color w:val="auto"/>
                <w:spacing w:val="0"/>
                <w:position w:val="0"/>
                <w:highlight w:val="none"/>
              </w:rPr>
              <w:t>0个工作日必须到货；并全部安装调试合格完毕；</w:t>
            </w:r>
          </w:p>
          <w:p w14:paraId="6E50CE6A">
            <w:pPr>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rFonts w:hint="eastAsia" w:ascii="Arial" w:hAnsi="Arial" w:eastAsia="Arial" w:cs="Arial"/>
                <w:snapToGrid w:val="0"/>
                <w:color w:val="auto"/>
                <w:spacing w:val="0"/>
                <w:kern w:val="0"/>
                <w:position w:val="0"/>
                <w:sz w:val="21"/>
                <w:szCs w:val="21"/>
                <w:highlight w:val="none"/>
                <w:lang w:val="en-US" w:eastAsia="zh-CN" w:bidi="ar-SA"/>
              </w:rPr>
            </w:pPr>
            <w:r>
              <w:rPr>
                <w:rFonts w:hint="eastAsia" w:ascii="宋体" w:hAnsi="宋体"/>
                <w:color w:val="auto"/>
                <w:spacing w:val="0"/>
                <w:position w:val="0"/>
                <w:highlight w:val="none"/>
              </w:rPr>
              <w:t>2、交货地点：桂林市七星区铁山路12号采购人指定地点。</w:t>
            </w:r>
          </w:p>
        </w:tc>
      </w:tr>
      <w:tr w14:paraId="3A68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921" w:type="dxa"/>
            <w:gridSpan w:val="2"/>
            <w:shd w:val="clear" w:color="auto" w:fill="auto"/>
            <w:noWrap/>
            <w:vAlign w:val="center"/>
          </w:tcPr>
          <w:p w14:paraId="1EE8EA9E">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rFonts w:hint="eastAsia" w:ascii="Arial" w:hAnsi="Arial" w:eastAsia="Arial" w:cs="Arial"/>
                <w:snapToGrid w:val="0"/>
                <w:color w:val="auto"/>
                <w:spacing w:val="0"/>
                <w:kern w:val="0"/>
                <w:position w:val="0"/>
                <w:sz w:val="21"/>
                <w:szCs w:val="21"/>
                <w:highlight w:val="none"/>
                <w:lang w:val="en-US" w:eastAsia="en-US" w:bidi="ar-SA"/>
              </w:rPr>
            </w:pPr>
            <w:r>
              <w:rPr>
                <w:rFonts w:hint="eastAsia" w:ascii="宋体" w:hAnsi="宋体"/>
                <w:color w:val="auto"/>
                <w:spacing w:val="0"/>
                <w:kern w:val="0"/>
                <w:position w:val="0"/>
                <w:highlight w:val="none"/>
              </w:rPr>
              <w:t>付款方式</w:t>
            </w:r>
          </w:p>
        </w:tc>
        <w:tc>
          <w:tcPr>
            <w:tcW w:w="7270" w:type="dxa"/>
            <w:gridSpan w:val="3"/>
            <w:shd w:val="clear" w:color="auto" w:fill="auto"/>
            <w:vAlign w:val="top"/>
          </w:tcPr>
          <w:p w14:paraId="1545CC0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baseline"/>
              <w:rPr>
                <w:rFonts w:hint="eastAsia" w:ascii="Arial" w:hAnsi="Arial" w:eastAsia="Arial" w:cs="Arial"/>
                <w:snapToGrid w:val="0"/>
                <w:color w:val="auto"/>
                <w:spacing w:val="0"/>
                <w:kern w:val="0"/>
                <w:position w:val="0"/>
                <w:sz w:val="21"/>
                <w:szCs w:val="21"/>
                <w:highlight w:val="none"/>
                <w:lang w:val="en-US" w:eastAsia="zh-CN" w:bidi="ar-SA"/>
              </w:rPr>
            </w:pPr>
            <w:r>
              <w:rPr>
                <w:rFonts w:hint="eastAsia"/>
                <w:color w:val="auto"/>
                <w:spacing w:val="0"/>
                <w:position w:val="0"/>
                <w:highlight w:val="none"/>
                <w:lang w:val="en-US" w:eastAsia="zh-CN"/>
              </w:rPr>
              <w:t>设备在交货验收合格、培训指导完成及设备正常使用后，</w:t>
            </w:r>
            <w:r>
              <w:rPr>
                <w:rFonts w:hint="eastAsia" w:ascii="宋体" w:hAnsi="宋体" w:cs="宋体"/>
                <w:b w:val="0"/>
                <w:bCs w:val="0"/>
                <w:color w:val="auto"/>
                <w:szCs w:val="21"/>
                <w:highlight w:val="none"/>
                <w:lang w:val="en-US" w:eastAsia="zh-CN"/>
              </w:rPr>
              <w:t>成交供应商在 5 天内开具增值税专用发票给采购人，采购人在收到成交供应商开具的发票后 10个工作日内一次性支付合同价款的</w:t>
            </w:r>
            <w:r>
              <w:rPr>
                <w:rFonts w:hint="eastAsia" w:ascii="宋体" w:hAnsi="宋体" w:cs="宋体"/>
                <w:b w:val="0"/>
                <w:bCs w:val="0"/>
                <w:color w:val="auto"/>
                <w:szCs w:val="21"/>
                <w:highlight w:val="none"/>
              </w:rPr>
              <w:t>全部款项</w:t>
            </w:r>
            <w:r>
              <w:rPr>
                <w:rFonts w:hint="eastAsia" w:ascii="宋体" w:hAnsi="宋体" w:cs="宋体"/>
                <w:b w:val="0"/>
                <w:bCs w:val="0"/>
                <w:color w:val="auto"/>
                <w:szCs w:val="21"/>
                <w:highlight w:val="none"/>
                <w:lang w:val="en-US" w:eastAsia="zh-CN"/>
              </w:rPr>
              <w:t>（因财政支付系统延迟的，支付顺延）。</w:t>
            </w:r>
          </w:p>
        </w:tc>
      </w:tr>
      <w:tr w14:paraId="1331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921" w:type="dxa"/>
            <w:gridSpan w:val="2"/>
            <w:shd w:val="clear" w:color="auto" w:fill="auto"/>
            <w:noWrap/>
            <w:vAlign w:val="top"/>
          </w:tcPr>
          <w:p w14:paraId="289E411C">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rFonts w:hint="eastAsia" w:ascii="宋体" w:hAnsi="宋体" w:eastAsia="Arial" w:cs="Arial"/>
                <w:snapToGrid w:val="0"/>
                <w:color w:val="auto"/>
                <w:spacing w:val="0"/>
                <w:kern w:val="0"/>
                <w:position w:val="0"/>
                <w:sz w:val="21"/>
                <w:szCs w:val="21"/>
                <w:highlight w:val="none"/>
                <w:lang w:val="en-US" w:eastAsia="en-US" w:bidi="ar-SA"/>
              </w:rPr>
            </w:pPr>
            <w:r>
              <w:rPr>
                <w:rFonts w:hint="eastAsia" w:ascii="宋体" w:hAnsi="宋体"/>
                <w:color w:val="auto"/>
                <w:spacing w:val="0"/>
                <w:kern w:val="0"/>
                <w:position w:val="0"/>
                <w:highlight w:val="none"/>
              </w:rPr>
              <w:t>其他要求</w:t>
            </w:r>
          </w:p>
        </w:tc>
        <w:tc>
          <w:tcPr>
            <w:tcW w:w="7270" w:type="dxa"/>
            <w:gridSpan w:val="3"/>
            <w:shd w:val="clear" w:color="auto" w:fill="auto"/>
            <w:vAlign w:val="top"/>
          </w:tcPr>
          <w:p w14:paraId="111B4369">
            <w:pPr>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rFonts w:hint="eastAsia" w:ascii="Arial" w:hAnsi="Arial" w:eastAsia="Arial" w:cs="Arial"/>
                <w:snapToGrid w:val="0"/>
                <w:color w:val="auto"/>
                <w:spacing w:val="0"/>
                <w:kern w:val="0"/>
                <w:position w:val="0"/>
                <w:sz w:val="21"/>
                <w:szCs w:val="21"/>
                <w:highlight w:val="none"/>
                <w:lang w:val="en-US" w:eastAsia="zh-CN" w:bidi="ar-SA"/>
              </w:rPr>
            </w:pPr>
            <w:r>
              <w:rPr>
                <w:rFonts w:hint="eastAsia" w:ascii="Arial" w:hAnsi="Arial" w:eastAsia="Arial" w:cs="Arial"/>
                <w:snapToGrid w:val="0"/>
                <w:color w:val="auto"/>
                <w:spacing w:val="0"/>
                <w:kern w:val="0"/>
                <w:position w:val="0"/>
                <w:sz w:val="21"/>
                <w:szCs w:val="21"/>
                <w:highlight w:val="none"/>
                <w:lang w:val="en-US" w:eastAsia="zh-CN" w:bidi="ar-SA"/>
              </w:rPr>
              <w:t xml:space="preserve">1、本项目不接受进口产品（即通过中国海关报关验放进入中国境内且产自关境外的产品）参与投标，如有此类产品参与投标报价的作无效文件处理）。 </w:t>
            </w:r>
          </w:p>
          <w:p w14:paraId="4054DB4A">
            <w:pPr>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rFonts w:hint="eastAsia" w:ascii="Arial" w:hAnsi="Arial" w:eastAsia="Arial" w:cs="Arial"/>
                <w:snapToGrid w:val="0"/>
                <w:color w:val="auto"/>
                <w:spacing w:val="0"/>
                <w:kern w:val="0"/>
                <w:position w:val="0"/>
                <w:sz w:val="21"/>
                <w:szCs w:val="21"/>
                <w:highlight w:val="none"/>
                <w:lang w:val="en-US" w:eastAsia="zh-CN" w:bidi="ar-SA"/>
              </w:rPr>
            </w:pPr>
            <w:r>
              <w:rPr>
                <w:rFonts w:hint="eastAsia" w:ascii="Arial" w:hAnsi="Arial" w:eastAsia="Arial" w:cs="Arial"/>
                <w:snapToGrid w:val="0"/>
                <w:color w:val="auto"/>
                <w:spacing w:val="0"/>
                <w:kern w:val="0"/>
                <w:position w:val="0"/>
                <w:sz w:val="21"/>
                <w:szCs w:val="21"/>
                <w:highlight w:val="none"/>
                <w:lang w:val="en-US" w:eastAsia="zh-CN" w:bidi="ar-SA"/>
              </w:rPr>
              <w:t>2、</w:t>
            </w:r>
            <w:r>
              <w:rPr>
                <w:rFonts w:hint="eastAsia" w:cs="Arial"/>
                <w:snapToGrid w:val="0"/>
                <w:color w:val="auto"/>
                <w:spacing w:val="0"/>
                <w:kern w:val="0"/>
                <w:position w:val="0"/>
                <w:sz w:val="21"/>
                <w:szCs w:val="21"/>
                <w:highlight w:val="none"/>
                <w:lang w:val="en-US" w:eastAsia="zh-CN" w:bidi="ar-SA"/>
              </w:rPr>
              <w:t>响应</w:t>
            </w:r>
            <w:r>
              <w:rPr>
                <w:rFonts w:hint="eastAsia" w:ascii="Arial" w:hAnsi="Arial" w:eastAsia="Arial" w:cs="Arial"/>
                <w:snapToGrid w:val="0"/>
                <w:color w:val="auto"/>
                <w:spacing w:val="0"/>
                <w:kern w:val="0"/>
                <w:position w:val="0"/>
                <w:sz w:val="21"/>
                <w:szCs w:val="21"/>
                <w:highlight w:val="none"/>
                <w:lang w:val="en-US" w:eastAsia="zh-CN" w:bidi="ar-SA"/>
              </w:rPr>
              <w:t xml:space="preserve">报价需包括设备的所有费用，本次采购全部货物金额、随配附件、备品备件、工具、货物运抵指定交货地点的各种费用、装卸费、搬运费、安装及相关材料费、调试费、实施费、迁移费、培训费、技术支持、售后服务、更新升级、软件费、检验费、培训费、售后服务、税金、利息及其它所有成本费用，采购人不再支付任何费用。 </w:t>
            </w:r>
          </w:p>
          <w:p w14:paraId="7904BD03">
            <w:pPr>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rFonts w:hint="eastAsia" w:ascii="Arial" w:hAnsi="Arial" w:eastAsia="Arial" w:cs="Arial"/>
                <w:snapToGrid w:val="0"/>
                <w:color w:val="auto"/>
                <w:spacing w:val="0"/>
                <w:kern w:val="0"/>
                <w:position w:val="0"/>
                <w:sz w:val="21"/>
                <w:szCs w:val="21"/>
                <w:highlight w:val="none"/>
                <w:lang w:val="en-US" w:eastAsia="zh-CN" w:bidi="ar-SA"/>
              </w:rPr>
            </w:pPr>
            <w:r>
              <w:rPr>
                <w:rFonts w:hint="eastAsia" w:ascii="Arial" w:hAnsi="Arial" w:eastAsia="Arial" w:cs="Arial"/>
                <w:snapToGrid w:val="0"/>
                <w:color w:val="auto"/>
                <w:spacing w:val="0"/>
                <w:kern w:val="0"/>
                <w:position w:val="0"/>
                <w:sz w:val="21"/>
                <w:szCs w:val="21"/>
                <w:highlight w:val="none"/>
                <w:lang w:val="en-US" w:eastAsia="zh-CN" w:bidi="ar-SA"/>
              </w:rPr>
              <w:t>3、采购货物必须满足采购需求的全部功能。验收时按技术参数逐条验证，如不满足不予验收。</w:t>
            </w:r>
          </w:p>
        </w:tc>
      </w:tr>
    </w:tbl>
    <w:p w14:paraId="7EF556D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b/>
          <w:bCs/>
          <w:color w:val="auto"/>
          <w:spacing w:val="0"/>
          <w:position w:val="0"/>
          <w:sz w:val="20"/>
          <w:szCs w:val="20"/>
          <w:highlight w:val="none"/>
        </w:rPr>
      </w:pPr>
    </w:p>
    <w:p w14:paraId="5D53766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EB38B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 w:firstLineChars="200"/>
        <w:textAlignment w:val="baseline"/>
        <w:rPr>
          <w:rFonts w:ascii="Arial"/>
          <w:color w:val="auto"/>
          <w:spacing w:val="0"/>
          <w:position w:val="0"/>
          <w:sz w:val="2"/>
          <w:highlight w:val="none"/>
        </w:rPr>
      </w:pPr>
    </w:p>
    <w:p w14:paraId="05A383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sectPr>
          <w:footerReference r:id="rId11" w:type="default"/>
          <w:pgSz w:w="11906" w:h="16839"/>
          <w:pgMar w:top="1417" w:right="1417" w:bottom="1417" w:left="1417" w:header="0" w:footer="822" w:gutter="0"/>
          <w:pgNumType w:fmt="decimal"/>
          <w:cols w:space="0" w:num="1"/>
          <w:rtlGutter w:val="0"/>
          <w:docGrid w:linePitch="0" w:charSpace="0"/>
        </w:sectPr>
      </w:pPr>
    </w:p>
    <w:p w14:paraId="7748F9E2">
      <w:pPr>
        <w:pStyle w:val="2"/>
        <w:keepNext w:val="0"/>
        <w:keepLines w:val="0"/>
        <w:pageBreakBefore w:val="0"/>
        <w:widowControl w:val="0"/>
        <w:numPr>
          <w:ilvl w:val="0"/>
          <w:numId w:val="6"/>
        </w:numPr>
        <w:overflowPunct/>
        <w:topLinePunct w:val="0"/>
        <w:bidi w:val="0"/>
        <w:jc w:val="center"/>
        <w:rPr>
          <w:rFonts w:ascii="宋体" w:hAnsi="宋体" w:eastAsia="宋体" w:cs="宋体"/>
          <w:b/>
          <w:bCs/>
          <w:color w:val="auto"/>
          <w:spacing w:val="0"/>
          <w:position w:val="0"/>
          <w:sz w:val="31"/>
          <w:szCs w:val="31"/>
          <w:highlight w:val="none"/>
        </w:rPr>
      </w:pPr>
      <w:bookmarkStart w:id="25" w:name="_Toc25408"/>
      <w:r>
        <w:rPr>
          <w:rFonts w:ascii="宋体" w:hAnsi="宋体" w:eastAsia="宋体" w:cs="宋体"/>
          <w:b/>
          <w:bCs/>
          <w:color w:val="auto"/>
          <w:spacing w:val="0"/>
          <w:position w:val="0"/>
          <w:sz w:val="31"/>
          <w:szCs w:val="31"/>
          <w:highlight w:val="none"/>
        </w:rPr>
        <w:t>评审办法</w:t>
      </w:r>
      <w:bookmarkEnd w:id="25"/>
    </w:p>
    <w:p w14:paraId="2693487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b/>
          <w:bCs/>
          <w:color w:val="auto"/>
          <w:spacing w:val="0"/>
          <w:position w:val="0"/>
          <w:sz w:val="21"/>
          <w:szCs w:val="21"/>
          <w:highlight w:val="none"/>
        </w:rPr>
      </w:pPr>
      <w:r>
        <w:rPr>
          <w:rFonts w:ascii="宋体" w:hAnsi="宋体" w:eastAsia="宋体" w:cs="宋体"/>
          <w:b/>
          <w:bCs/>
          <w:color w:val="auto"/>
          <w:spacing w:val="0"/>
          <w:position w:val="0"/>
          <w:sz w:val="21"/>
          <w:szCs w:val="21"/>
          <w:highlight w:val="none"/>
        </w:rPr>
        <w:t>一、评审依据及方式</w:t>
      </w:r>
    </w:p>
    <w:p w14:paraId="3ADC500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1.评审依据：谈判小组以竞争性谈判文件和响应文件为评审依据。</w:t>
      </w:r>
    </w:p>
    <w:p w14:paraId="4350684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2.评审方式： 以封闭方式进行评审。</w:t>
      </w:r>
    </w:p>
    <w:p w14:paraId="0C3F63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3.根据财库〔2012〕69 号文规定，采购人和采购代理机构，谈判小组成员要严格遵守政府采购相关法律制度，依法履行各自职责，公正、客观、审慎地组织和参与评审工作。</w:t>
      </w:r>
    </w:p>
    <w:p w14:paraId="504AB38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二、评审办法</w:t>
      </w:r>
    </w:p>
    <w:p w14:paraId="33CE67F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1.谈判小组应当从质量和服务均能满足竞争性谈判文件全部实质性响应要求的供应商中，按照评审报价由低到高顺序提出 3 名以上（含 3 名）成交候选人。</w:t>
      </w:r>
    </w:p>
    <w:p w14:paraId="5A0D30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2.根据《政府采购促进中小企业发展管理办法》（财库[2020]46 号）规定：扣除后的价格为评审报价。</w:t>
      </w:r>
    </w:p>
    <w:p w14:paraId="414EC61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①供应商提供的货物全部由符合政策要求的小型、微型企业制造，响应文件中提供《中小企业声明函》的，供应商最后报价给予 20%的扣除，扣除后的价格为评审报价，即供应商的评审报价=最后报价×（1-20%）；</w:t>
      </w:r>
    </w:p>
    <w:p w14:paraId="69B574B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②除上述情况外，评审报价=最后报价。</w:t>
      </w:r>
    </w:p>
    <w:p w14:paraId="6125DA5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注：评审报价为供应商的最后报价进行政策性扣除后的价格，评审报价只是作为评审时使用。最</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终成交供应商的成交金额＝最后报价。</w:t>
      </w:r>
    </w:p>
    <w:p w14:paraId="755556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3.根据《关于政府采购支持监狱企业发展有关问题的通知》（财库[2014]68 号）和《关于促进残 疾人就业政府采购政策的通知》（财库[2017]141 号），监狱企业和符合条件的残疾人福利性单位视同小型、微型企业，享受小型、微型企业评审中价格扣除的政府采购政策。残疾人福利性单位属于小型、 微型企业的，不重复享受政策。</w:t>
      </w:r>
    </w:p>
    <w:p w14:paraId="1FC8D71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4.评审时，应当将通过资格性审查和符合性审查各供应商的评审报价，按照由低到高顺序排序， 当评审报价相同时， 以最后报价低的优先排序；当最后报价相同时，则依次按节能环保产品优先、技术指标高优先、免费保修期长优先、运维期限长优先、项目实施方案优的优先原则排序。</w:t>
      </w:r>
    </w:p>
    <w:p w14:paraId="64B727B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三、成交候选人确定原则</w:t>
      </w:r>
    </w:p>
    <w:p w14:paraId="68CC4FE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（1）采购单位应当确定谈判小组推荐排名第一的成交候选人为成交供应商。</w:t>
      </w:r>
    </w:p>
    <w:p w14:paraId="06682D1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14:paraId="78F1FA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（3）排名第二的成交候选人因前款规定的同样原因不能签订合同的，采购单位可以确定排名第三的成交候选人为成交供应商。</w:t>
      </w:r>
    </w:p>
    <w:p w14:paraId="70FE663E">
      <w:pPr>
        <w:keepNext w:val="0"/>
        <w:keepLines w:val="0"/>
        <w:pageBreakBefore w:val="0"/>
        <w:widowControl w:val="0"/>
        <w:kinsoku/>
        <w:wordWrap w:val="0"/>
        <w:overflowPunct/>
        <w:topLinePunct w:val="0"/>
        <w:bidi w:val="0"/>
        <w:spacing w:before="156" w:beforeLines="50" w:after="156" w:afterLines="50" w:line="360" w:lineRule="auto"/>
        <w:jc w:val="center"/>
        <w:rPr>
          <w:rFonts w:ascii="宋体" w:hAnsi="宋体" w:cs="宋体"/>
          <w:b/>
          <w:bCs/>
          <w:color w:val="auto"/>
          <w:spacing w:val="0"/>
          <w:kern w:val="0"/>
          <w:position w:val="0"/>
          <w:sz w:val="30"/>
          <w:szCs w:val="30"/>
          <w:highlight w:val="none"/>
        </w:rPr>
      </w:pPr>
      <w:bookmarkStart w:id="26" w:name="_Toc28361_WPSOffice_Level2"/>
      <w:r>
        <w:rPr>
          <w:rFonts w:hint="eastAsia" w:ascii="宋体" w:hAnsi="宋体" w:cs="宋体"/>
          <w:b/>
          <w:bCs/>
          <w:color w:val="auto"/>
          <w:spacing w:val="0"/>
          <w:kern w:val="0"/>
          <w:position w:val="0"/>
          <w:sz w:val="30"/>
          <w:szCs w:val="30"/>
          <w:highlight w:val="none"/>
        </w:rPr>
        <w:t>统计上大中小微型企业划分标准</w:t>
      </w:r>
      <w:bookmarkEnd w:id="26"/>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A8C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vAlign w:val="center"/>
          </w:tcPr>
          <w:p w14:paraId="7259E2AF">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21"/>
                <w:highlight w:val="none"/>
              </w:rPr>
            </w:pPr>
            <w:r>
              <w:rPr>
                <w:rFonts w:hint="eastAsia" w:ascii="宋体" w:hAnsi="宋体" w:cs="宋体"/>
                <w:b/>
                <w:bCs/>
                <w:color w:val="auto"/>
                <w:spacing w:val="0"/>
                <w:kern w:val="0"/>
                <w:position w:val="0"/>
                <w:sz w:val="18"/>
                <w:szCs w:val="21"/>
                <w:highlight w:val="none"/>
              </w:rPr>
              <w:t>行业名称</w:t>
            </w:r>
          </w:p>
        </w:tc>
        <w:tc>
          <w:tcPr>
            <w:tcW w:w="1369" w:type="dxa"/>
            <w:shd w:val="clear" w:color="auto" w:fill="FFFFFF"/>
            <w:vAlign w:val="center"/>
          </w:tcPr>
          <w:p w14:paraId="52425B8E">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18"/>
                <w:highlight w:val="none"/>
              </w:rPr>
            </w:pPr>
            <w:r>
              <w:rPr>
                <w:rFonts w:hint="eastAsia" w:ascii="宋体" w:hAnsi="宋体" w:cs="宋体"/>
                <w:b/>
                <w:bCs/>
                <w:color w:val="auto"/>
                <w:spacing w:val="0"/>
                <w:kern w:val="0"/>
                <w:position w:val="0"/>
                <w:sz w:val="18"/>
                <w:szCs w:val="18"/>
                <w:highlight w:val="none"/>
              </w:rPr>
              <w:t>指标名称</w:t>
            </w:r>
          </w:p>
        </w:tc>
        <w:tc>
          <w:tcPr>
            <w:tcW w:w="709" w:type="dxa"/>
            <w:shd w:val="clear" w:color="auto" w:fill="FFFFFF"/>
            <w:vAlign w:val="center"/>
          </w:tcPr>
          <w:p w14:paraId="25A97ECD">
            <w:pPr>
              <w:keepNext w:val="0"/>
              <w:keepLines w:val="0"/>
              <w:pageBreakBefore w:val="0"/>
              <w:widowControl w:val="0"/>
              <w:kinsoku/>
              <w:wordWrap w:val="0"/>
              <w:overflowPunct/>
              <w:topLinePunct w:val="0"/>
              <w:bidi w:val="0"/>
              <w:spacing w:line="360" w:lineRule="auto"/>
              <w:jc w:val="center"/>
              <w:rPr>
                <w:rFonts w:hint="eastAsia" w:ascii="宋体" w:hAnsi="宋体" w:eastAsia="宋体" w:cs="宋体"/>
                <w:b/>
                <w:bCs/>
                <w:color w:val="auto"/>
                <w:spacing w:val="0"/>
                <w:kern w:val="0"/>
                <w:position w:val="0"/>
                <w:sz w:val="18"/>
                <w:szCs w:val="18"/>
                <w:highlight w:val="none"/>
                <w:lang w:eastAsia="zh-CN"/>
              </w:rPr>
            </w:pPr>
            <w:r>
              <w:rPr>
                <w:rFonts w:hint="eastAsia" w:ascii="宋体" w:hAnsi="宋体" w:cs="宋体"/>
                <w:b/>
                <w:bCs/>
                <w:color w:val="auto"/>
                <w:spacing w:val="0"/>
                <w:kern w:val="0"/>
                <w:position w:val="0"/>
                <w:sz w:val="18"/>
                <w:szCs w:val="18"/>
                <w:highlight w:val="none"/>
              </w:rPr>
              <w:t>计量</w:t>
            </w:r>
          </w:p>
          <w:p w14:paraId="588933EF">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18"/>
                <w:highlight w:val="none"/>
              </w:rPr>
            </w:pPr>
            <w:r>
              <w:rPr>
                <w:rFonts w:hint="eastAsia" w:ascii="宋体" w:hAnsi="宋体" w:cs="宋体"/>
                <w:b/>
                <w:bCs/>
                <w:color w:val="auto"/>
                <w:spacing w:val="0"/>
                <w:kern w:val="0"/>
                <w:position w:val="0"/>
                <w:sz w:val="18"/>
                <w:szCs w:val="18"/>
                <w:highlight w:val="none"/>
              </w:rPr>
              <w:t>单位</w:t>
            </w:r>
          </w:p>
        </w:tc>
        <w:tc>
          <w:tcPr>
            <w:tcW w:w="1125" w:type="dxa"/>
            <w:shd w:val="clear" w:color="auto" w:fill="FFFFFF"/>
            <w:vAlign w:val="center"/>
          </w:tcPr>
          <w:p w14:paraId="5550E5DF">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18"/>
                <w:highlight w:val="none"/>
              </w:rPr>
            </w:pPr>
            <w:r>
              <w:rPr>
                <w:rFonts w:hint="eastAsia" w:ascii="宋体" w:hAnsi="宋体" w:cs="宋体"/>
                <w:b/>
                <w:bCs/>
                <w:color w:val="auto"/>
                <w:spacing w:val="0"/>
                <w:kern w:val="0"/>
                <w:position w:val="0"/>
                <w:sz w:val="18"/>
                <w:szCs w:val="18"/>
                <w:highlight w:val="none"/>
              </w:rPr>
              <w:t>大型</w:t>
            </w:r>
          </w:p>
        </w:tc>
        <w:tc>
          <w:tcPr>
            <w:tcW w:w="1701" w:type="dxa"/>
            <w:shd w:val="clear" w:color="auto" w:fill="FFFFFF"/>
            <w:vAlign w:val="center"/>
          </w:tcPr>
          <w:p w14:paraId="051C36F8">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18"/>
                <w:highlight w:val="none"/>
              </w:rPr>
            </w:pPr>
            <w:r>
              <w:rPr>
                <w:rFonts w:hint="eastAsia" w:ascii="宋体" w:hAnsi="宋体" w:cs="宋体"/>
                <w:b/>
                <w:bCs/>
                <w:color w:val="auto"/>
                <w:spacing w:val="0"/>
                <w:kern w:val="0"/>
                <w:position w:val="0"/>
                <w:sz w:val="18"/>
                <w:szCs w:val="18"/>
                <w:highlight w:val="none"/>
              </w:rPr>
              <w:t>中型</w:t>
            </w:r>
          </w:p>
        </w:tc>
        <w:tc>
          <w:tcPr>
            <w:tcW w:w="1426" w:type="dxa"/>
            <w:shd w:val="clear" w:color="auto" w:fill="FFFFFF"/>
            <w:vAlign w:val="center"/>
          </w:tcPr>
          <w:p w14:paraId="6E2941B8">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18"/>
                <w:highlight w:val="none"/>
              </w:rPr>
            </w:pPr>
            <w:r>
              <w:rPr>
                <w:rFonts w:hint="eastAsia" w:ascii="宋体" w:hAnsi="宋体" w:cs="宋体"/>
                <w:b/>
                <w:bCs/>
                <w:color w:val="auto"/>
                <w:spacing w:val="0"/>
                <w:kern w:val="0"/>
                <w:position w:val="0"/>
                <w:sz w:val="18"/>
                <w:szCs w:val="18"/>
                <w:highlight w:val="none"/>
              </w:rPr>
              <w:t>小型</w:t>
            </w:r>
          </w:p>
        </w:tc>
        <w:tc>
          <w:tcPr>
            <w:tcW w:w="992" w:type="dxa"/>
            <w:shd w:val="clear" w:color="auto" w:fill="FFFFFF"/>
            <w:vAlign w:val="center"/>
          </w:tcPr>
          <w:p w14:paraId="679B417E">
            <w:pPr>
              <w:keepNext w:val="0"/>
              <w:keepLines w:val="0"/>
              <w:pageBreakBefore w:val="0"/>
              <w:widowControl w:val="0"/>
              <w:kinsoku/>
              <w:wordWrap w:val="0"/>
              <w:overflowPunct/>
              <w:topLinePunct w:val="0"/>
              <w:bidi w:val="0"/>
              <w:spacing w:line="360" w:lineRule="auto"/>
              <w:jc w:val="center"/>
              <w:rPr>
                <w:rFonts w:ascii="宋体" w:hAnsi="宋体" w:cs="宋体"/>
                <w:b/>
                <w:bCs/>
                <w:color w:val="auto"/>
                <w:spacing w:val="0"/>
                <w:kern w:val="0"/>
                <w:position w:val="0"/>
                <w:sz w:val="18"/>
                <w:szCs w:val="18"/>
                <w:highlight w:val="none"/>
              </w:rPr>
            </w:pPr>
            <w:r>
              <w:rPr>
                <w:rFonts w:hint="eastAsia" w:ascii="宋体" w:hAnsi="宋体" w:cs="宋体"/>
                <w:b/>
                <w:bCs/>
                <w:color w:val="auto"/>
                <w:spacing w:val="0"/>
                <w:kern w:val="0"/>
                <w:position w:val="0"/>
                <w:sz w:val="18"/>
                <w:szCs w:val="18"/>
                <w:highlight w:val="none"/>
              </w:rPr>
              <w:t>微型</w:t>
            </w:r>
          </w:p>
        </w:tc>
      </w:tr>
      <w:tr w14:paraId="5408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C955281">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农、林、牧、渔业</w:t>
            </w:r>
          </w:p>
        </w:tc>
        <w:tc>
          <w:tcPr>
            <w:tcW w:w="1369" w:type="dxa"/>
            <w:vAlign w:val="center"/>
          </w:tcPr>
          <w:p w14:paraId="5591C51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1C4E2EA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47CE4E9C">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Y≥20000</w:t>
            </w:r>
          </w:p>
        </w:tc>
        <w:tc>
          <w:tcPr>
            <w:tcW w:w="1701" w:type="dxa"/>
            <w:vAlign w:val="center"/>
          </w:tcPr>
          <w:p w14:paraId="00989ED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500≤Y＜20000</w:t>
            </w:r>
          </w:p>
        </w:tc>
        <w:tc>
          <w:tcPr>
            <w:tcW w:w="1426" w:type="dxa"/>
            <w:vAlign w:val="center"/>
          </w:tcPr>
          <w:p w14:paraId="438E779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50≤Y＜500</w:t>
            </w:r>
          </w:p>
        </w:tc>
        <w:tc>
          <w:tcPr>
            <w:tcW w:w="992" w:type="dxa"/>
            <w:vAlign w:val="center"/>
          </w:tcPr>
          <w:p w14:paraId="67E43EF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Y＜50</w:t>
            </w:r>
          </w:p>
        </w:tc>
      </w:tr>
      <w:tr w14:paraId="1894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34710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工业 *</w:t>
            </w:r>
          </w:p>
        </w:tc>
        <w:tc>
          <w:tcPr>
            <w:tcW w:w="1369" w:type="dxa"/>
            <w:vAlign w:val="center"/>
          </w:tcPr>
          <w:p w14:paraId="53273860">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6DF0599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148A2EDC">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X≥1000</w:t>
            </w:r>
          </w:p>
        </w:tc>
        <w:tc>
          <w:tcPr>
            <w:tcW w:w="1701" w:type="dxa"/>
            <w:vAlign w:val="center"/>
          </w:tcPr>
          <w:p w14:paraId="5A4F672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300≤X＜1000</w:t>
            </w:r>
          </w:p>
        </w:tc>
        <w:tc>
          <w:tcPr>
            <w:tcW w:w="1426" w:type="dxa"/>
            <w:vAlign w:val="center"/>
          </w:tcPr>
          <w:p w14:paraId="4FAFA36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20≤X＜300</w:t>
            </w:r>
          </w:p>
        </w:tc>
        <w:tc>
          <w:tcPr>
            <w:tcW w:w="992" w:type="dxa"/>
            <w:vAlign w:val="center"/>
          </w:tcPr>
          <w:p w14:paraId="640678F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w:t>
            </w:r>
          </w:p>
        </w:tc>
      </w:tr>
      <w:tr w14:paraId="6C7B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5728DE">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58557A7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0629B22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3279F98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Y≥40000</w:t>
            </w:r>
          </w:p>
        </w:tc>
        <w:tc>
          <w:tcPr>
            <w:tcW w:w="1701" w:type="dxa"/>
            <w:vAlign w:val="center"/>
          </w:tcPr>
          <w:p w14:paraId="7ED13C8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2000≤Y＜40000</w:t>
            </w:r>
          </w:p>
        </w:tc>
        <w:tc>
          <w:tcPr>
            <w:tcW w:w="1426" w:type="dxa"/>
            <w:vAlign w:val="center"/>
          </w:tcPr>
          <w:p w14:paraId="4BF9A1A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300≤Y＜2000</w:t>
            </w:r>
          </w:p>
        </w:tc>
        <w:tc>
          <w:tcPr>
            <w:tcW w:w="992" w:type="dxa"/>
            <w:vAlign w:val="center"/>
          </w:tcPr>
          <w:p w14:paraId="3615736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Y＜300</w:t>
            </w:r>
          </w:p>
        </w:tc>
      </w:tr>
      <w:tr w14:paraId="748B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AC4BF74">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建筑业</w:t>
            </w:r>
          </w:p>
        </w:tc>
        <w:tc>
          <w:tcPr>
            <w:tcW w:w="1369" w:type="dxa"/>
            <w:vAlign w:val="center"/>
          </w:tcPr>
          <w:p w14:paraId="07441D02">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151D517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13922B8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Y≥80000</w:t>
            </w:r>
          </w:p>
        </w:tc>
        <w:tc>
          <w:tcPr>
            <w:tcW w:w="1701" w:type="dxa"/>
            <w:vAlign w:val="center"/>
          </w:tcPr>
          <w:p w14:paraId="7C554DD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6000≤Y＜80000</w:t>
            </w:r>
          </w:p>
        </w:tc>
        <w:tc>
          <w:tcPr>
            <w:tcW w:w="1426" w:type="dxa"/>
            <w:vAlign w:val="center"/>
          </w:tcPr>
          <w:p w14:paraId="4AF3DC4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300≤Y＜6000</w:t>
            </w:r>
          </w:p>
        </w:tc>
        <w:tc>
          <w:tcPr>
            <w:tcW w:w="992" w:type="dxa"/>
            <w:vAlign w:val="center"/>
          </w:tcPr>
          <w:p w14:paraId="6F11784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Y＜300</w:t>
            </w:r>
          </w:p>
        </w:tc>
      </w:tr>
      <w:tr w14:paraId="5A6A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3524A88">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458B3A3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资产总额(Z)</w:t>
            </w:r>
          </w:p>
        </w:tc>
        <w:tc>
          <w:tcPr>
            <w:tcW w:w="709" w:type="dxa"/>
            <w:vAlign w:val="center"/>
          </w:tcPr>
          <w:p w14:paraId="173687DF">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7D07161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Z≥80000</w:t>
            </w:r>
          </w:p>
        </w:tc>
        <w:tc>
          <w:tcPr>
            <w:tcW w:w="1701" w:type="dxa"/>
            <w:vAlign w:val="center"/>
          </w:tcPr>
          <w:p w14:paraId="07ECFCE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5000≤Z＜80000</w:t>
            </w:r>
          </w:p>
        </w:tc>
        <w:tc>
          <w:tcPr>
            <w:tcW w:w="1426" w:type="dxa"/>
            <w:vAlign w:val="center"/>
          </w:tcPr>
          <w:p w14:paraId="0AFEEAE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300≤Z＜5000</w:t>
            </w:r>
          </w:p>
        </w:tc>
        <w:tc>
          <w:tcPr>
            <w:tcW w:w="992" w:type="dxa"/>
            <w:vAlign w:val="center"/>
          </w:tcPr>
          <w:p w14:paraId="46B274E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Z＜300</w:t>
            </w:r>
          </w:p>
        </w:tc>
      </w:tr>
      <w:tr w14:paraId="2AEF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C1510DC">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批发业</w:t>
            </w:r>
          </w:p>
        </w:tc>
        <w:tc>
          <w:tcPr>
            <w:tcW w:w="1369" w:type="dxa"/>
            <w:vAlign w:val="center"/>
          </w:tcPr>
          <w:p w14:paraId="3F9E220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22643D9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6948710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X≥200</w:t>
            </w:r>
          </w:p>
        </w:tc>
        <w:tc>
          <w:tcPr>
            <w:tcW w:w="1701" w:type="dxa"/>
            <w:vAlign w:val="center"/>
          </w:tcPr>
          <w:p w14:paraId="6848FAB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20≤X＜200</w:t>
            </w:r>
          </w:p>
        </w:tc>
        <w:tc>
          <w:tcPr>
            <w:tcW w:w="1426" w:type="dxa"/>
            <w:vAlign w:val="center"/>
          </w:tcPr>
          <w:p w14:paraId="483AC5B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5≤X＜20</w:t>
            </w:r>
          </w:p>
        </w:tc>
        <w:tc>
          <w:tcPr>
            <w:tcW w:w="992" w:type="dxa"/>
            <w:vAlign w:val="center"/>
          </w:tcPr>
          <w:p w14:paraId="36AB20E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X＜5</w:t>
            </w:r>
          </w:p>
        </w:tc>
      </w:tr>
      <w:tr w14:paraId="4767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9D356BD">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5B6B03B0">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3F42E89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2B8902D0">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Y≥40000</w:t>
            </w:r>
          </w:p>
        </w:tc>
        <w:tc>
          <w:tcPr>
            <w:tcW w:w="1701" w:type="dxa"/>
            <w:vAlign w:val="center"/>
          </w:tcPr>
          <w:p w14:paraId="0ECC4AA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5000≤Y＜40000</w:t>
            </w:r>
          </w:p>
        </w:tc>
        <w:tc>
          <w:tcPr>
            <w:tcW w:w="1426" w:type="dxa"/>
            <w:vAlign w:val="center"/>
          </w:tcPr>
          <w:p w14:paraId="4FAFAB7F">
            <w:pPr>
              <w:keepNext w:val="0"/>
              <w:keepLines w:val="0"/>
              <w:pageBreakBefore w:val="0"/>
              <w:widowControl w:val="0"/>
              <w:kinsoku/>
              <w:wordWrap w:val="0"/>
              <w:overflowPunct/>
              <w:topLinePunct w:val="0"/>
              <w:bidi w:val="0"/>
              <w:spacing w:line="360" w:lineRule="auto"/>
              <w:ind w:left="-1" w:leftChars="-1" w:hanging="1"/>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1000≤Y＜5000</w:t>
            </w:r>
          </w:p>
        </w:tc>
        <w:tc>
          <w:tcPr>
            <w:tcW w:w="992" w:type="dxa"/>
            <w:vAlign w:val="center"/>
          </w:tcPr>
          <w:p w14:paraId="7DB4784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Y＜1000</w:t>
            </w:r>
          </w:p>
        </w:tc>
      </w:tr>
      <w:tr w14:paraId="6057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DAD136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零售业</w:t>
            </w:r>
          </w:p>
        </w:tc>
        <w:tc>
          <w:tcPr>
            <w:tcW w:w="1369" w:type="dxa"/>
            <w:vAlign w:val="center"/>
          </w:tcPr>
          <w:p w14:paraId="04E0E33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0D22E29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47F593A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X≥300</w:t>
            </w:r>
          </w:p>
        </w:tc>
        <w:tc>
          <w:tcPr>
            <w:tcW w:w="1701" w:type="dxa"/>
            <w:vAlign w:val="center"/>
          </w:tcPr>
          <w:p w14:paraId="65369392">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50≤X＜300</w:t>
            </w:r>
          </w:p>
        </w:tc>
        <w:tc>
          <w:tcPr>
            <w:tcW w:w="1426" w:type="dxa"/>
            <w:vAlign w:val="center"/>
          </w:tcPr>
          <w:p w14:paraId="225ECA40">
            <w:pPr>
              <w:keepNext w:val="0"/>
              <w:keepLines w:val="0"/>
              <w:pageBreakBefore w:val="0"/>
              <w:widowControl w:val="0"/>
              <w:kinsoku/>
              <w:wordWrap w:val="0"/>
              <w:overflowPunct/>
              <w:topLinePunct w:val="0"/>
              <w:bidi w:val="0"/>
              <w:spacing w:line="360" w:lineRule="auto"/>
              <w:ind w:left="-1" w:leftChars="-1" w:hanging="1"/>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 xml:space="preserve">10≤X＜50 </w:t>
            </w:r>
          </w:p>
        </w:tc>
        <w:tc>
          <w:tcPr>
            <w:tcW w:w="992" w:type="dxa"/>
            <w:vAlign w:val="center"/>
          </w:tcPr>
          <w:p w14:paraId="0407505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r w14:paraId="78D9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93B01B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20B3440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70C21B9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28E7D4C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Y≥20000</w:t>
            </w:r>
          </w:p>
        </w:tc>
        <w:tc>
          <w:tcPr>
            <w:tcW w:w="1701" w:type="dxa"/>
            <w:vAlign w:val="center"/>
          </w:tcPr>
          <w:p w14:paraId="20FEFB2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500≤Y＜20000</w:t>
            </w:r>
          </w:p>
        </w:tc>
        <w:tc>
          <w:tcPr>
            <w:tcW w:w="1426" w:type="dxa"/>
            <w:vAlign w:val="center"/>
          </w:tcPr>
          <w:p w14:paraId="00A459F4">
            <w:pPr>
              <w:keepNext w:val="0"/>
              <w:keepLines w:val="0"/>
              <w:pageBreakBefore w:val="0"/>
              <w:widowControl w:val="0"/>
              <w:kinsoku/>
              <w:wordWrap w:val="0"/>
              <w:overflowPunct/>
              <w:topLinePunct w:val="0"/>
              <w:bidi w:val="0"/>
              <w:spacing w:line="360" w:lineRule="auto"/>
              <w:ind w:left="-1" w:leftChars="-1" w:hanging="1"/>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100≤Y＜500</w:t>
            </w:r>
          </w:p>
        </w:tc>
        <w:tc>
          <w:tcPr>
            <w:tcW w:w="992" w:type="dxa"/>
            <w:vAlign w:val="center"/>
          </w:tcPr>
          <w:p w14:paraId="45C0246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482D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298DE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交通运输业 *</w:t>
            </w:r>
          </w:p>
        </w:tc>
        <w:tc>
          <w:tcPr>
            <w:tcW w:w="1369" w:type="dxa"/>
            <w:vAlign w:val="center"/>
          </w:tcPr>
          <w:p w14:paraId="7F21807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7D9F10B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0D273EB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X≥1000</w:t>
            </w:r>
          </w:p>
        </w:tc>
        <w:tc>
          <w:tcPr>
            <w:tcW w:w="1701" w:type="dxa"/>
            <w:vAlign w:val="center"/>
          </w:tcPr>
          <w:p w14:paraId="2AF38EB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300≤X＜1000</w:t>
            </w:r>
          </w:p>
        </w:tc>
        <w:tc>
          <w:tcPr>
            <w:tcW w:w="1426" w:type="dxa"/>
            <w:vAlign w:val="center"/>
          </w:tcPr>
          <w:p w14:paraId="09501B8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20≤X＜300</w:t>
            </w:r>
          </w:p>
        </w:tc>
        <w:tc>
          <w:tcPr>
            <w:tcW w:w="992" w:type="dxa"/>
            <w:vAlign w:val="center"/>
          </w:tcPr>
          <w:p w14:paraId="53DFA46C">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w:t>
            </w:r>
          </w:p>
        </w:tc>
      </w:tr>
      <w:tr w14:paraId="2DF5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706DD2D">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5375016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71F3DBB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595274D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Y≥30000</w:t>
            </w:r>
          </w:p>
        </w:tc>
        <w:tc>
          <w:tcPr>
            <w:tcW w:w="1701" w:type="dxa"/>
            <w:vAlign w:val="center"/>
          </w:tcPr>
          <w:p w14:paraId="21AF4130">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3000≤Y＜30000</w:t>
            </w:r>
          </w:p>
        </w:tc>
        <w:tc>
          <w:tcPr>
            <w:tcW w:w="1426" w:type="dxa"/>
            <w:vAlign w:val="center"/>
          </w:tcPr>
          <w:p w14:paraId="01C7D2F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200≤Y＜3000</w:t>
            </w:r>
          </w:p>
        </w:tc>
        <w:tc>
          <w:tcPr>
            <w:tcW w:w="992" w:type="dxa"/>
            <w:vAlign w:val="center"/>
          </w:tcPr>
          <w:p w14:paraId="6A77039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Y＜200</w:t>
            </w:r>
          </w:p>
        </w:tc>
      </w:tr>
      <w:tr w14:paraId="10B7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7DB40F3">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仓储业*</w:t>
            </w:r>
          </w:p>
        </w:tc>
        <w:tc>
          <w:tcPr>
            <w:tcW w:w="1369" w:type="dxa"/>
            <w:vAlign w:val="center"/>
          </w:tcPr>
          <w:p w14:paraId="0266F9F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4B67EF5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06BCAF3F">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X≥200</w:t>
            </w:r>
          </w:p>
        </w:tc>
        <w:tc>
          <w:tcPr>
            <w:tcW w:w="1701" w:type="dxa"/>
            <w:vAlign w:val="center"/>
          </w:tcPr>
          <w:p w14:paraId="34607470">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100≤X＜200</w:t>
            </w:r>
          </w:p>
        </w:tc>
        <w:tc>
          <w:tcPr>
            <w:tcW w:w="1426" w:type="dxa"/>
            <w:vAlign w:val="center"/>
          </w:tcPr>
          <w:p w14:paraId="4208380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20≤X＜100</w:t>
            </w:r>
          </w:p>
        </w:tc>
        <w:tc>
          <w:tcPr>
            <w:tcW w:w="992" w:type="dxa"/>
            <w:vAlign w:val="center"/>
          </w:tcPr>
          <w:p w14:paraId="6BB09E1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w:t>
            </w:r>
          </w:p>
        </w:tc>
      </w:tr>
      <w:tr w14:paraId="1867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2F89CE7">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1C03CAD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20ED7E9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31E9578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Y≥30000</w:t>
            </w:r>
          </w:p>
        </w:tc>
        <w:tc>
          <w:tcPr>
            <w:tcW w:w="1701" w:type="dxa"/>
            <w:vAlign w:val="center"/>
          </w:tcPr>
          <w:p w14:paraId="16EB7E2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1000≤Y＜30000</w:t>
            </w:r>
          </w:p>
        </w:tc>
        <w:tc>
          <w:tcPr>
            <w:tcW w:w="1426" w:type="dxa"/>
            <w:vAlign w:val="center"/>
          </w:tcPr>
          <w:p w14:paraId="0607297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100≤Y＜1000</w:t>
            </w:r>
          </w:p>
        </w:tc>
        <w:tc>
          <w:tcPr>
            <w:tcW w:w="992" w:type="dxa"/>
            <w:vAlign w:val="center"/>
          </w:tcPr>
          <w:p w14:paraId="43D72CB0">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34BD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3B915D2">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邮政业</w:t>
            </w:r>
          </w:p>
        </w:tc>
        <w:tc>
          <w:tcPr>
            <w:tcW w:w="1369" w:type="dxa"/>
            <w:vAlign w:val="center"/>
          </w:tcPr>
          <w:p w14:paraId="2F84D8C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272CEAC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00ED7AA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X≥1000</w:t>
            </w:r>
          </w:p>
        </w:tc>
        <w:tc>
          <w:tcPr>
            <w:tcW w:w="1701" w:type="dxa"/>
            <w:vAlign w:val="center"/>
          </w:tcPr>
          <w:p w14:paraId="5F89D96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300≤X＜1000</w:t>
            </w:r>
          </w:p>
        </w:tc>
        <w:tc>
          <w:tcPr>
            <w:tcW w:w="1426" w:type="dxa"/>
            <w:vAlign w:val="center"/>
          </w:tcPr>
          <w:p w14:paraId="1E0425C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20≤X＜300</w:t>
            </w:r>
          </w:p>
        </w:tc>
        <w:tc>
          <w:tcPr>
            <w:tcW w:w="992" w:type="dxa"/>
            <w:vAlign w:val="center"/>
          </w:tcPr>
          <w:p w14:paraId="479851A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w:t>
            </w:r>
          </w:p>
        </w:tc>
      </w:tr>
      <w:tr w14:paraId="0478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D16FB9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43279A9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2844EC5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1E1382C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Y≥30000</w:t>
            </w:r>
          </w:p>
        </w:tc>
        <w:tc>
          <w:tcPr>
            <w:tcW w:w="1701" w:type="dxa"/>
            <w:vAlign w:val="center"/>
          </w:tcPr>
          <w:p w14:paraId="251784B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2000≤Y＜30000</w:t>
            </w:r>
          </w:p>
        </w:tc>
        <w:tc>
          <w:tcPr>
            <w:tcW w:w="1426" w:type="dxa"/>
            <w:vAlign w:val="center"/>
          </w:tcPr>
          <w:p w14:paraId="43F548E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100≤Y＜2000</w:t>
            </w:r>
          </w:p>
        </w:tc>
        <w:tc>
          <w:tcPr>
            <w:tcW w:w="992" w:type="dxa"/>
            <w:vAlign w:val="center"/>
          </w:tcPr>
          <w:p w14:paraId="7FF4096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26F6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C1F4B4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住宿业</w:t>
            </w:r>
          </w:p>
        </w:tc>
        <w:tc>
          <w:tcPr>
            <w:tcW w:w="1369" w:type="dxa"/>
            <w:vAlign w:val="center"/>
          </w:tcPr>
          <w:p w14:paraId="584184D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68A79B6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1579221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X≥300</w:t>
            </w:r>
          </w:p>
        </w:tc>
        <w:tc>
          <w:tcPr>
            <w:tcW w:w="1701" w:type="dxa"/>
            <w:vAlign w:val="center"/>
          </w:tcPr>
          <w:p w14:paraId="7F617101">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100≤X＜300</w:t>
            </w:r>
          </w:p>
        </w:tc>
        <w:tc>
          <w:tcPr>
            <w:tcW w:w="1426" w:type="dxa"/>
            <w:vAlign w:val="center"/>
          </w:tcPr>
          <w:p w14:paraId="4FFC15F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10≤X＜100</w:t>
            </w:r>
          </w:p>
        </w:tc>
        <w:tc>
          <w:tcPr>
            <w:tcW w:w="992" w:type="dxa"/>
            <w:vAlign w:val="center"/>
          </w:tcPr>
          <w:p w14:paraId="49B9BC6C">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r w14:paraId="083E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3E9747B">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01A3F6F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1C4C9FF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5154B62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Y≥10000</w:t>
            </w:r>
          </w:p>
        </w:tc>
        <w:tc>
          <w:tcPr>
            <w:tcW w:w="1701" w:type="dxa"/>
            <w:vAlign w:val="center"/>
          </w:tcPr>
          <w:p w14:paraId="280E2B1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2000≤Y＜10000</w:t>
            </w:r>
          </w:p>
        </w:tc>
        <w:tc>
          <w:tcPr>
            <w:tcW w:w="1426" w:type="dxa"/>
            <w:vAlign w:val="center"/>
          </w:tcPr>
          <w:p w14:paraId="06DCBA12">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100≤Y＜2000</w:t>
            </w:r>
          </w:p>
        </w:tc>
        <w:tc>
          <w:tcPr>
            <w:tcW w:w="992" w:type="dxa"/>
            <w:vAlign w:val="center"/>
          </w:tcPr>
          <w:p w14:paraId="5C94FDA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72D2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1ADD2E5">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餐饮业</w:t>
            </w:r>
          </w:p>
        </w:tc>
        <w:tc>
          <w:tcPr>
            <w:tcW w:w="1369" w:type="dxa"/>
            <w:vAlign w:val="center"/>
          </w:tcPr>
          <w:p w14:paraId="3D6A2A1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1776BFA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699F0CD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X≥300</w:t>
            </w:r>
          </w:p>
        </w:tc>
        <w:tc>
          <w:tcPr>
            <w:tcW w:w="1701" w:type="dxa"/>
            <w:vAlign w:val="center"/>
          </w:tcPr>
          <w:p w14:paraId="770E5B9C">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 xml:space="preserve">100≤X＜300 </w:t>
            </w:r>
          </w:p>
        </w:tc>
        <w:tc>
          <w:tcPr>
            <w:tcW w:w="1426" w:type="dxa"/>
            <w:vAlign w:val="center"/>
          </w:tcPr>
          <w:p w14:paraId="19CA82B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10≤X＜100</w:t>
            </w:r>
          </w:p>
        </w:tc>
        <w:tc>
          <w:tcPr>
            <w:tcW w:w="992" w:type="dxa"/>
            <w:vAlign w:val="center"/>
          </w:tcPr>
          <w:p w14:paraId="45DA451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r w14:paraId="1BBF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A003B62">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346D21B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4108166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4D5AA4A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Y≥10000</w:t>
            </w:r>
          </w:p>
        </w:tc>
        <w:tc>
          <w:tcPr>
            <w:tcW w:w="1701" w:type="dxa"/>
            <w:vAlign w:val="center"/>
          </w:tcPr>
          <w:p w14:paraId="500E6BF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2000≤Y＜10000</w:t>
            </w:r>
          </w:p>
        </w:tc>
        <w:tc>
          <w:tcPr>
            <w:tcW w:w="1426" w:type="dxa"/>
            <w:vAlign w:val="center"/>
          </w:tcPr>
          <w:p w14:paraId="48F226DF">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100≤Y＜2000</w:t>
            </w:r>
          </w:p>
        </w:tc>
        <w:tc>
          <w:tcPr>
            <w:tcW w:w="992" w:type="dxa"/>
            <w:vAlign w:val="center"/>
          </w:tcPr>
          <w:p w14:paraId="0355604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6C5F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FC6B63D">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信息传输业 *</w:t>
            </w:r>
          </w:p>
        </w:tc>
        <w:tc>
          <w:tcPr>
            <w:tcW w:w="1369" w:type="dxa"/>
            <w:vAlign w:val="center"/>
          </w:tcPr>
          <w:p w14:paraId="1C12CF7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7E80C6D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0FA287A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X≥2000</w:t>
            </w:r>
          </w:p>
        </w:tc>
        <w:tc>
          <w:tcPr>
            <w:tcW w:w="1701" w:type="dxa"/>
            <w:vAlign w:val="center"/>
          </w:tcPr>
          <w:p w14:paraId="3F88A58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100≤X＜2000</w:t>
            </w:r>
          </w:p>
        </w:tc>
        <w:tc>
          <w:tcPr>
            <w:tcW w:w="1426" w:type="dxa"/>
            <w:vAlign w:val="center"/>
          </w:tcPr>
          <w:p w14:paraId="4E69661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10≤X＜100</w:t>
            </w:r>
          </w:p>
        </w:tc>
        <w:tc>
          <w:tcPr>
            <w:tcW w:w="992" w:type="dxa"/>
            <w:vAlign w:val="center"/>
          </w:tcPr>
          <w:p w14:paraId="4423489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r w14:paraId="1B97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FF6A9D2">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350270B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1FE3CFB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090CFA5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Y≥100000</w:t>
            </w:r>
          </w:p>
        </w:tc>
        <w:tc>
          <w:tcPr>
            <w:tcW w:w="1701" w:type="dxa"/>
            <w:vAlign w:val="center"/>
          </w:tcPr>
          <w:p w14:paraId="43C33F2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1000≤Y＜100000</w:t>
            </w:r>
          </w:p>
        </w:tc>
        <w:tc>
          <w:tcPr>
            <w:tcW w:w="1426" w:type="dxa"/>
            <w:vAlign w:val="center"/>
          </w:tcPr>
          <w:p w14:paraId="0768053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100≤Y＜1000</w:t>
            </w:r>
          </w:p>
        </w:tc>
        <w:tc>
          <w:tcPr>
            <w:tcW w:w="992" w:type="dxa"/>
            <w:vAlign w:val="center"/>
          </w:tcPr>
          <w:p w14:paraId="2044791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09F8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B5993D8">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软件和信息技术服务业</w:t>
            </w:r>
          </w:p>
        </w:tc>
        <w:tc>
          <w:tcPr>
            <w:tcW w:w="1369" w:type="dxa"/>
            <w:vAlign w:val="center"/>
          </w:tcPr>
          <w:p w14:paraId="68E1D9B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177C46C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78FCF95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X≥300</w:t>
            </w:r>
          </w:p>
        </w:tc>
        <w:tc>
          <w:tcPr>
            <w:tcW w:w="1701" w:type="dxa"/>
            <w:vAlign w:val="center"/>
          </w:tcPr>
          <w:p w14:paraId="13A9CB8B">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 xml:space="preserve">100≤X＜300 </w:t>
            </w:r>
          </w:p>
        </w:tc>
        <w:tc>
          <w:tcPr>
            <w:tcW w:w="1426" w:type="dxa"/>
            <w:vAlign w:val="center"/>
          </w:tcPr>
          <w:p w14:paraId="7C378E1F">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10≤X＜100</w:t>
            </w:r>
          </w:p>
        </w:tc>
        <w:tc>
          <w:tcPr>
            <w:tcW w:w="992" w:type="dxa"/>
            <w:vAlign w:val="center"/>
          </w:tcPr>
          <w:p w14:paraId="72EE52E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r w14:paraId="1E30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8718877">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6004886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2889126C">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171B8F3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Y≥10000</w:t>
            </w:r>
          </w:p>
        </w:tc>
        <w:tc>
          <w:tcPr>
            <w:tcW w:w="1701" w:type="dxa"/>
            <w:vAlign w:val="center"/>
          </w:tcPr>
          <w:p w14:paraId="6142609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1000≤Y＜10000</w:t>
            </w:r>
          </w:p>
        </w:tc>
        <w:tc>
          <w:tcPr>
            <w:tcW w:w="1426" w:type="dxa"/>
            <w:vAlign w:val="center"/>
          </w:tcPr>
          <w:p w14:paraId="4423922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50≤Y＜1000</w:t>
            </w:r>
          </w:p>
        </w:tc>
        <w:tc>
          <w:tcPr>
            <w:tcW w:w="992" w:type="dxa"/>
            <w:vAlign w:val="center"/>
          </w:tcPr>
          <w:p w14:paraId="208E525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Y＜50</w:t>
            </w:r>
          </w:p>
        </w:tc>
      </w:tr>
      <w:tr w14:paraId="2D66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8F18A37">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房地产开发经营</w:t>
            </w:r>
          </w:p>
        </w:tc>
        <w:tc>
          <w:tcPr>
            <w:tcW w:w="1369" w:type="dxa"/>
            <w:vAlign w:val="center"/>
          </w:tcPr>
          <w:p w14:paraId="3251639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070BD36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727EF33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Y≥200000</w:t>
            </w:r>
          </w:p>
        </w:tc>
        <w:tc>
          <w:tcPr>
            <w:tcW w:w="1701" w:type="dxa"/>
            <w:vAlign w:val="center"/>
          </w:tcPr>
          <w:p w14:paraId="205B7F96">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1000≤Y＜200000</w:t>
            </w:r>
          </w:p>
        </w:tc>
        <w:tc>
          <w:tcPr>
            <w:tcW w:w="1426" w:type="dxa"/>
            <w:vAlign w:val="center"/>
          </w:tcPr>
          <w:p w14:paraId="2B17E7A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100≤Y＜1000</w:t>
            </w:r>
          </w:p>
        </w:tc>
        <w:tc>
          <w:tcPr>
            <w:tcW w:w="992" w:type="dxa"/>
            <w:vAlign w:val="center"/>
          </w:tcPr>
          <w:p w14:paraId="14441F4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Y＜100</w:t>
            </w:r>
          </w:p>
        </w:tc>
      </w:tr>
      <w:tr w14:paraId="43EB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8512D94">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4180FAA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资产总额(Z)</w:t>
            </w:r>
          </w:p>
        </w:tc>
        <w:tc>
          <w:tcPr>
            <w:tcW w:w="709" w:type="dxa"/>
            <w:vAlign w:val="center"/>
          </w:tcPr>
          <w:p w14:paraId="7458E61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3622F92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Z≥10000</w:t>
            </w:r>
          </w:p>
        </w:tc>
        <w:tc>
          <w:tcPr>
            <w:tcW w:w="1701" w:type="dxa"/>
            <w:vAlign w:val="center"/>
          </w:tcPr>
          <w:p w14:paraId="58094CD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5000≤Z＜10000</w:t>
            </w:r>
          </w:p>
        </w:tc>
        <w:tc>
          <w:tcPr>
            <w:tcW w:w="1426" w:type="dxa"/>
            <w:vAlign w:val="center"/>
          </w:tcPr>
          <w:p w14:paraId="19DDC6F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2000≤Z＜5000</w:t>
            </w:r>
          </w:p>
        </w:tc>
        <w:tc>
          <w:tcPr>
            <w:tcW w:w="992" w:type="dxa"/>
            <w:vAlign w:val="center"/>
          </w:tcPr>
          <w:p w14:paraId="6A42102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Z＜2000</w:t>
            </w:r>
          </w:p>
        </w:tc>
      </w:tr>
      <w:tr w14:paraId="7F73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EE667B9">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物业管理</w:t>
            </w:r>
          </w:p>
        </w:tc>
        <w:tc>
          <w:tcPr>
            <w:tcW w:w="1369" w:type="dxa"/>
            <w:vAlign w:val="center"/>
          </w:tcPr>
          <w:p w14:paraId="7AFE53F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5FCBF1E0">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6190D612">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X≥1000</w:t>
            </w:r>
          </w:p>
        </w:tc>
        <w:tc>
          <w:tcPr>
            <w:tcW w:w="1701" w:type="dxa"/>
            <w:vAlign w:val="center"/>
          </w:tcPr>
          <w:p w14:paraId="69815F8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300≤X＜1000</w:t>
            </w:r>
          </w:p>
        </w:tc>
        <w:tc>
          <w:tcPr>
            <w:tcW w:w="1426" w:type="dxa"/>
            <w:vAlign w:val="center"/>
          </w:tcPr>
          <w:p w14:paraId="17523D9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100≤X＜300</w:t>
            </w:r>
          </w:p>
        </w:tc>
        <w:tc>
          <w:tcPr>
            <w:tcW w:w="992" w:type="dxa"/>
            <w:vAlign w:val="center"/>
          </w:tcPr>
          <w:p w14:paraId="60583C99">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X＜100</w:t>
            </w:r>
          </w:p>
        </w:tc>
      </w:tr>
      <w:tr w14:paraId="2521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190AECD">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020638D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营业收入(Y)</w:t>
            </w:r>
          </w:p>
        </w:tc>
        <w:tc>
          <w:tcPr>
            <w:tcW w:w="709" w:type="dxa"/>
            <w:vAlign w:val="center"/>
          </w:tcPr>
          <w:p w14:paraId="0BEEE2B8">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3B2A01B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Y≥5000</w:t>
            </w:r>
          </w:p>
        </w:tc>
        <w:tc>
          <w:tcPr>
            <w:tcW w:w="1701" w:type="dxa"/>
            <w:vAlign w:val="center"/>
          </w:tcPr>
          <w:p w14:paraId="7AC91DE5">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1000≤Y＜5000</w:t>
            </w:r>
          </w:p>
        </w:tc>
        <w:tc>
          <w:tcPr>
            <w:tcW w:w="1426" w:type="dxa"/>
            <w:vAlign w:val="center"/>
          </w:tcPr>
          <w:p w14:paraId="0E080B8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500≤Y＜1000</w:t>
            </w:r>
          </w:p>
        </w:tc>
        <w:tc>
          <w:tcPr>
            <w:tcW w:w="992" w:type="dxa"/>
            <w:vAlign w:val="center"/>
          </w:tcPr>
          <w:p w14:paraId="5E5F617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Y＜500</w:t>
            </w:r>
          </w:p>
        </w:tc>
      </w:tr>
      <w:tr w14:paraId="1E19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C28D483">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租赁和商务服务业</w:t>
            </w:r>
          </w:p>
        </w:tc>
        <w:tc>
          <w:tcPr>
            <w:tcW w:w="1369" w:type="dxa"/>
            <w:vAlign w:val="center"/>
          </w:tcPr>
          <w:p w14:paraId="2B96A043">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210FBDF2">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2F76252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X≥300</w:t>
            </w:r>
          </w:p>
        </w:tc>
        <w:tc>
          <w:tcPr>
            <w:tcW w:w="1701" w:type="dxa"/>
            <w:vAlign w:val="center"/>
          </w:tcPr>
          <w:p w14:paraId="37F18568">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100≤X＜300</w:t>
            </w:r>
          </w:p>
        </w:tc>
        <w:tc>
          <w:tcPr>
            <w:tcW w:w="1426" w:type="dxa"/>
            <w:vAlign w:val="center"/>
          </w:tcPr>
          <w:p w14:paraId="2438029D">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10≤X＜100</w:t>
            </w:r>
          </w:p>
        </w:tc>
        <w:tc>
          <w:tcPr>
            <w:tcW w:w="992" w:type="dxa"/>
            <w:vAlign w:val="center"/>
          </w:tcPr>
          <w:p w14:paraId="06FA15A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r w14:paraId="6F78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F9F3E96">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p>
        </w:tc>
        <w:tc>
          <w:tcPr>
            <w:tcW w:w="1369" w:type="dxa"/>
            <w:vAlign w:val="center"/>
          </w:tcPr>
          <w:p w14:paraId="16D852A2">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资产总额(Z)</w:t>
            </w:r>
          </w:p>
        </w:tc>
        <w:tc>
          <w:tcPr>
            <w:tcW w:w="709" w:type="dxa"/>
            <w:vAlign w:val="center"/>
          </w:tcPr>
          <w:p w14:paraId="764648C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万元</w:t>
            </w:r>
          </w:p>
        </w:tc>
        <w:tc>
          <w:tcPr>
            <w:tcW w:w="1125" w:type="dxa"/>
            <w:vAlign w:val="center"/>
          </w:tcPr>
          <w:p w14:paraId="2BB7045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Z≥120000</w:t>
            </w:r>
          </w:p>
        </w:tc>
        <w:tc>
          <w:tcPr>
            <w:tcW w:w="1701" w:type="dxa"/>
            <w:vAlign w:val="center"/>
          </w:tcPr>
          <w:p w14:paraId="75E4BFBA">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8000≤Z＜120000</w:t>
            </w:r>
          </w:p>
        </w:tc>
        <w:tc>
          <w:tcPr>
            <w:tcW w:w="1426" w:type="dxa"/>
            <w:vAlign w:val="center"/>
          </w:tcPr>
          <w:p w14:paraId="75C5DAC5">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100≤Z＜8000</w:t>
            </w:r>
          </w:p>
        </w:tc>
        <w:tc>
          <w:tcPr>
            <w:tcW w:w="992" w:type="dxa"/>
            <w:vAlign w:val="center"/>
          </w:tcPr>
          <w:p w14:paraId="32D1ABD7">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Z＜100</w:t>
            </w:r>
          </w:p>
        </w:tc>
      </w:tr>
      <w:tr w14:paraId="040B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0A10994E">
            <w:pPr>
              <w:keepNext w:val="0"/>
              <w:keepLines w:val="0"/>
              <w:pageBreakBefore w:val="0"/>
              <w:widowControl w:val="0"/>
              <w:kinsoku/>
              <w:wordWrap w:val="0"/>
              <w:overflowPunct/>
              <w:topLinePunct w:val="0"/>
              <w:bidi w:val="0"/>
              <w:spacing w:line="360" w:lineRule="auto"/>
              <w:jc w:val="left"/>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其他未列明行业 *</w:t>
            </w:r>
          </w:p>
        </w:tc>
        <w:tc>
          <w:tcPr>
            <w:tcW w:w="1369" w:type="dxa"/>
            <w:vAlign w:val="center"/>
          </w:tcPr>
          <w:p w14:paraId="4D25F50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从业人员(X)</w:t>
            </w:r>
          </w:p>
        </w:tc>
        <w:tc>
          <w:tcPr>
            <w:tcW w:w="709" w:type="dxa"/>
            <w:vAlign w:val="center"/>
          </w:tcPr>
          <w:p w14:paraId="3185361B">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人</w:t>
            </w:r>
          </w:p>
        </w:tc>
        <w:tc>
          <w:tcPr>
            <w:tcW w:w="1125" w:type="dxa"/>
            <w:vAlign w:val="center"/>
          </w:tcPr>
          <w:p w14:paraId="598062FE">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X≥300</w:t>
            </w:r>
          </w:p>
        </w:tc>
        <w:tc>
          <w:tcPr>
            <w:tcW w:w="1701" w:type="dxa"/>
            <w:vAlign w:val="center"/>
          </w:tcPr>
          <w:p w14:paraId="5EEF1A25">
            <w:pPr>
              <w:keepNext w:val="0"/>
              <w:keepLines w:val="0"/>
              <w:pageBreakBefore w:val="0"/>
              <w:widowControl w:val="0"/>
              <w:kinsoku/>
              <w:wordWrap w:val="0"/>
              <w:overflowPunct/>
              <w:topLinePunct w:val="0"/>
              <w:bidi w:val="0"/>
              <w:spacing w:line="360" w:lineRule="auto"/>
              <w:ind w:left="1" w:leftChars="-51" w:hanging="108" w:hangingChars="60"/>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100≤X＜300</w:t>
            </w:r>
          </w:p>
        </w:tc>
        <w:tc>
          <w:tcPr>
            <w:tcW w:w="1426" w:type="dxa"/>
            <w:vAlign w:val="center"/>
          </w:tcPr>
          <w:p w14:paraId="3B87A444">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10≤X＜100</w:t>
            </w:r>
          </w:p>
        </w:tc>
        <w:tc>
          <w:tcPr>
            <w:tcW w:w="992" w:type="dxa"/>
            <w:vAlign w:val="center"/>
          </w:tcPr>
          <w:p w14:paraId="6CEB6CA1">
            <w:pPr>
              <w:keepNext w:val="0"/>
              <w:keepLines w:val="0"/>
              <w:pageBreakBefore w:val="0"/>
              <w:widowControl w:val="0"/>
              <w:kinsoku/>
              <w:wordWrap w:val="0"/>
              <w:overflowPunct/>
              <w:topLinePunct w:val="0"/>
              <w:bidi w:val="0"/>
              <w:spacing w:line="360" w:lineRule="auto"/>
              <w:jc w:val="center"/>
              <w:rPr>
                <w:rFonts w:ascii="宋体" w:hAnsi="宋体" w:cs="宋体"/>
                <w:color w:val="auto"/>
                <w:spacing w:val="0"/>
                <w:kern w:val="0"/>
                <w:position w:val="0"/>
                <w:sz w:val="18"/>
                <w:szCs w:val="18"/>
                <w:highlight w:val="none"/>
              </w:rPr>
            </w:pPr>
            <w:r>
              <w:rPr>
                <w:rFonts w:hint="eastAsia" w:ascii="宋体" w:hAnsi="宋体" w:cs="宋体"/>
                <w:color w:val="auto"/>
                <w:spacing w:val="0"/>
                <w:kern w:val="0"/>
                <w:position w:val="0"/>
                <w:sz w:val="18"/>
                <w:szCs w:val="18"/>
                <w:highlight w:val="none"/>
              </w:rPr>
              <w:t>X＜10</w:t>
            </w:r>
          </w:p>
        </w:tc>
      </w:tr>
    </w:tbl>
    <w:p w14:paraId="5DC47FF1">
      <w:pPr>
        <w:keepNext w:val="0"/>
        <w:keepLines w:val="0"/>
        <w:pageBreakBefore w:val="0"/>
        <w:widowControl w:val="0"/>
        <w:kinsoku/>
        <w:wordWrap w:val="0"/>
        <w:overflowPunct/>
        <w:topLinePunct w:val="0"/>
        <w:bidi w:val="0"/>
        <w:spacing w:line="360" w:lineRule="auto"/>
        <w:rPr>
          <w:rFonts w:ascii="宋体" w:hAnsi="宋体" w:cs="宋体"/>
          <w:color w:val="auto"/>
          <w:spacing w:val="0"/>
          <w:kern w:val="0"/>
          <w:position w:val="0"/>
          <w:sz w:val="24"/>
          <w:highlight w:val="none"/>
        </w:rPr>
      </w:pPr>
    </w:p>
    <w:p w14:paraId="7B648277">
      <w:pPr>
        <w:keepNext w:val="0"/>
        <w:keepLines w:val="0"/>
        <w:pageBreakBefore w:val="0"/>
        <w:widowControl w:val="0"/>
        <w:kinsoku/>
        <w:wordWrap w:val="0"/>
        <w:overflowPunct/>
        <w:topLinePunct w:val="0"/>
        <w:bidi w:val="0"/>
        <w:spacing w:line="360" w:lineRule="auto"/>
        <w:rPr>
          <w:rFonts w:ascii="宋体" w:hAnsi="宋体" w:cs="宋体"/>
          <w:color w:val="auto"/>
          <w:spacing w:val="0"/>
          <w:kern w:val="0"/>
          <w:position w:val="0"/>
          <w:sz w:val="21"/>
          <w:szCs w:val="21"/>
          <w:highlight w:val="none"/>
        </w:rPr>
      </w:pPr>
      <w:r>
        <w:rPr>
          <w:rFonts w:hint="eastAsia" w:ascii="宋体" w:hAnsi="宋体" w:cs="宋体"/>
          <w:color w:val="auto"/>
          <w:spacing w:val="0"/>
          <w:kern w:val="0"/>
          <w:position w:val="0"/>
          <w:sz w:val="21"/>
          <w:szCs w:val="21"/>
          <w:highlight w:val="none"/>
        </w:rPr>
        <w:t>说明：</w:t>
      </w:r>
    </w:p>
    <w:p w14:paraId="76B7E306">
      <w:pPr>
        <w:pStyle w:val="9"/>
        <w:keepNext w:val="0"/>
        <w:keepLines w:val="0"/>
        <w:pageBreakBefore w:val="0"/>
        <w:widowControl w:val="0"/>
        <w:kinsoku/>
        <w:wordWrap w:val="0"/>
        <w:overflowPunct/>
        <w:topLinePunct w:val="0"/>
        <w:autoSpaceDE/>
        <w:autoSpaceDN/>
        <w:bidi w:val="0"/>
        <w:adjustRightInd w:val="0"/>
        <w:snapToGrid/>
        <w:spacing w:line="360" w:lineRule="auto"/>
        <w:ind w:firstLine="420" w:firstLineChars="200"/>
        <w:contextualSpacing/>
        <w:textAlignment w:val="auto"/>
        <w:rPr>
          <w:rFonts w:hAnsi="宋体" w:cs="宋体"/>
          <w:color w:val="auto"/>
          <w:spacing w:val="0"/>
          <w:kern w:val="0"/>
          <w:position w:val="0"/>
          <w:sz w:val="21"/>
          <w:szCs w:val="21"/>
          <w:highlight w:val="none"/>
        </w:rPr>
      </w:pPr>
      <w:r>
        <w:rPr>
          <w:rFonts w:hint="eastAsia" w:hAnsi="宋体" w:cs="宋体"/>
          <w:color w:val="auto"/>
          <w:spacing w:val="0"/>
          <w:kern w:val="0"/>
          <w:position w:val="0"/>
          <w:sz w:val="21"/>
          <w:szCs w:val="21"/>
          <w:highlight w:val="none"/>
        </w:rPr>
        <w:t>1.大型、中型和小型企业须同时满足所列指标的下限，否则下划一档；微型企业只须满足所列指标中的一项即可。</w:t>
      </w:r>
    </w:p>
    <w:p w14:paraId="10CAEA01">
      <w:pPr>
        <w:pStyle w:val="9"/>
        <w:keepNext w:val="0"/>
        <w:keepLines w:val="0"/>
        <w:pageBreakBefore w:val="0"/>
        <w:widowControl w:val="0"/>
        <w:kinsoku/>
        <w:wordWrap w:val="0"/>
        <w:overflowPunct/>
        <w:topLinePunct w:val="0"/>
        <w:autoSpaceDE/>
        <w:autoSpaceDN/>
        <w:bidi w:val="0"/>
        <w:adjustRightInd w:val="0"/>
        <w:snapToGrid/>
        <w:spacing w:line="360" w:lineRule="auto"/>
        <w:ind w:firstLine="420" w:firstLineChars="200"/>
        <w:contextualSpacing/>
        <w:textAlignment w:val="auto"/>
        <w:rPr>
          <w:rFonts w:hAnsi="宋体" w:cs="宋体"/>
          <w:color w:val="auto"/>
          <w:spacing w:val="0"/>
          <w:kern w:val="0"/>
          <w:position w:val="0"/>
          <w:sz w:val="21"/>
          <w:szCs w:val="21"/>
          <w:highlight w:val="none"/>
        </w:rPr>
      </w:pPr>
      <w:r>
        <w:rPr>
          <w:rFonts w:hint="eastAsia" w:hAnsi="宋体" w:cs="宋体"/>
          <w:color w:val="auto"/>
          <w:spacing w:val="0"/>
          <w:kern w:val="0"/>
          <w:positio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40A61CF">
      <w:pPr>
        <w:pStyle w:val="9"/>
        <w:keepNext w:val="0"/>
        <w:keepLines w:val="0"/>
        <w:pageBreakBefore w:val="0"/>
        <w:widowControl w:val="0"/>
        <w:kinsoku/>
        <w:wordWrap w:val="0"/>
        <w:overflowPunct/>
        <w:topLinePunct w:val="0"/>
        <w:autoSpaceDE/>
        <w:autoSpaceDN/>
        <w:bidi w:val="0"/>
        <w:snapToGrid/>
        <w:spacing w:line="360" w:lineRule="auto"/>
        <w:ind w:firstLine="420" w:firstLineChars="200"/>
        <w:textAlignment w:val="auto"/>
        <w:rPr>
          <w:rFonts w:hAnsi="宋体" w:cs="宋体"/>
          <w:color w:val="auto"/>
          <w:spacing w:val="0"/>
          <w:kern w:val="0"/>
          <w:position w:val="0"/>
          <w:sz w:val="21"/>
          <w:szCs w:val="21"/>
          <w:highlight w:val="none"/>
        </w:rPr>
      </w:pPr>
      <w:r>
        <w:rPr>
          <w:rFonts w:hint="eastAsia" w:hAnsi="宋体" w:cs="宋体"/>
          <w:color w:val="auto"/>
          <w:spacing w:val="0"/>
          <w:kern w:val="0"/>
          <w:positio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3708CEC">
      <w:pPr>
        <w:pStyle w:val="5"/>
        <w:keepNext w:val="0"/>
        <w:keepLines w:val="0"/>
        <w:pageBreakBefore w:val="0"/>
        <w:widowControl w:val="0"/>
        <w:kinsoku/>
        <w:wordWrap w:val="0"/>
        <w:overflowPunct/>
        <w:topLinePunct w:val="0"/>
        <w:autoSpaceDE/>
        <w:autoSpaceDN/>
        <w:bidi w:val="0"/>
        <w:snapToGrid/>
        <w:spacing w:line="360" w:lineRule="auto"/>
        <w:textAlignment w:val="auto"/>
        <w:rPr>
          <w:rFonts w:ascii="宋体" w:hAnsi="宋体" w:cs="宋体"/>
          <w:color w:val="auto"/>
          <w:spacing w:val="0"/>
          <w:kern w:val="0"/>
          <w:position w:val="0"/>
          <w:sz w:val="24"/>
          <w:highlight w:val="none"/>
        </w:rPr>
      </w:pPr>
    </w:p>
    <w:p w14:paraId="16763A55">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66B606D3">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219D155F">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5AC78515">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7B7577B0">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1F85E17F">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799A9A13">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6C846A55">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6B8E8292">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7B654E14">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4CCA5386">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7F7DF7AB">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6FDB41FE">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4ACE0194">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1938CD0D">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632C74F6">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47D36BCC">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5DB122F7">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2CCC4FDE">
      <w:pPr>
        <w:keepNext w:val="0"/>
        <w:keepLines w:val="0"/>
        <w:pageBreakBefore w:val="0"/>
        <w:widowControl w:val="0"/>
        <w:overflowPunct/>
        <w:topLinePunct w:val="0"/>
        <w:bidi w:val="0"/>
        <w:rPr>
          <w:rFonts w:ascii="宋体" w:hAnsi="宋体" w:cs="宋体"/>
          <w:color w:val="auto"/>
          <w:spacing w:val="0"/>
          <w:kern w:val="0"/>
          <w:position w:val="0"/>
          <w:sz w:val="24"/>
          <w:highlight w:val="none"/>
        </w:rPr>
      </w:pPr>
    </w:p>
    <w:p w14:paraId="3D534DB2">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outlineLvl w:val="0"/>
        <w:rPr>
          <w:rFonts w:ascii="宋体" w:hAnsi="宋体" w:eastAsia="宋体" w:cs="宋体"/>
          <w:b/>
          <w:bCs/>
          <w:color w:val="auto"/>
          <w:spacing w:val="0"/>
          <w:position w:val="0"/>
          <w:sz w:val="31"/>
          <w:szCs w:val="31"/>
          <w:highlight w:val="none"/>
        </w:rPr>
      </w:pPr>
      <w:bookmarkStart w:id="27" w:name="_Toc17335"/>
    </w:p>
    <w:p w14:paraId="4C0F9D7E">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outlineLvl w:val="0"/>
        <w:rPr>
          <w:rFonts w:ascii="宋体" w:hAnsi="宋体" w:eastAsia="宋体" w:cs="宋体"/>
          <w:b/>
          <w:bCs/>
          <w:color w:val="auto"/>
          <w:spacing w:val="0"/>
          <w:position w:val="0"/>
          <w:sz w:val="31"/>
          <w:szCs w:val="31"/>
          <w:highlight w:val="none"/>
        </w:rPr>
      </w:pPr>
    </w:p>
    <w:p w14:paraId="6A7DED10">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outlineLvl w:val="0"/>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第五章</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政府采购合同（合同主要条款及格式）</w:t>
      </w:r>
      <w:bookmarkEnd w:id="27"/>
    </w:p>
    <w:p w14:paraId="04ACC63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项目名称：</w:t>
      </w:r>
    </w:p>
    <w:p w14:paraId="641B7F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项目编号：</w:t>
      </w:r>
    </w:p>
    <w:p w14:paraId="6C3C275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甲方：</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（采购人）</w:t>
      </w:r>
    </w:p>
    <w:p w14:paraId="5FAFAD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乙方：</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（成交供应商）</w:t>
      </w:r>
    </w:p>
    <w:p w14:paraId="1B8BDA7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根据《中华人民共和国政府采购法》、《中华人民共和国政府采购法实施条例》、《中华人民 共和国民法典》等法律、法规规定，按照招投标文件规定条款和成交供应商承诺、 甲乙双方签订本合同。</w:t>
      </w:r>
    </w:p>
    <w:p w14:paraId="0E00B7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第一条合同标的及合同金额</w:t>
      </w:r>
    </w:p>
    <w:tbl>
      <w:tblPr>
        <w:tblStyle w:val="29"/>
        <w:tblW w:w="95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231"/>
        <w:gridCol w:w="1444"/>
        <w:gridCol w:w="1482"/>
        <w:gridCol w:w="1073"/>
        <w:gridCol w:w="714"/>
        <w:gridCol w:w="1320"/>
        <w:gridCol w:w="1563"/>
      </w:tblGrid>
      <w:tr w14:paraId="78B3B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713" w:type="dxa"/>
            <w:vAlign w:val="top"/>
          </w:tcPr>
          <w:p w14:paraId="27A3A7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3E6F6C3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项号</w:t>
            </w:r>
          </w:p>
        </w:tc>
        <w:tc>
          <w:tcPr>
            <w:tcW w:w="1231" w:type="dxa"/>
            <w:vAlign w:val="top"/>
          </w:tcPr>
          <w:p w14:paraId="44E5407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36E6247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货物名称</w:t>
            </w:r>
          </w:p>
        </w:tc>
        <w:tc>
          <w:tcPr>
            <w:tcW w:w="1444" w:type="dxa"/>
            <w:vAlign w:val="top"/>
          </w:tcPr>
          <w:p w14:paraId="7A17DF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4FB0180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厂家、品牌、 规格型号</w:t>
            </w:r>
          </w:p>
        </w:tc>
        <w:tc>
          <w:tcPr>
            <w:tcW w:w="1482" w:type="dxa"/>
            <w:vAlign w:val="top"/>
          </w:tcPr>
          <w:p w14:paraId="7711C95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284C5C6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技术参数、性能、配置</w:t>
            </w:r>
          </w:p>
        </w:tc>
        <w:tc>
          <w:tcPr>
            <w:tcW w:w="1073" w:type="dxa"/>
            <w:vAlign w:val="top"/>
          </w:tcPr>
          <w:p w14:paraId="2249F69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0566A4A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数量 ①</w:t>
            </w:r>
          </w:p>
        </w:tc>
        <w:tc>
          <w:tcPr>
            <w:tcW w:w="714" w:type="dxa"/>
            <w:vAlign w:val="top"/>
          </w:tcPr>
          <w:p w14:paraId="2FB4015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3AD6BF0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单位</w:t>
            </w:r>
          </w:p>
        </w:tc>
        <w:tc>
          <w:tcPr>
            <w:tcW w:w="1320" w:type="dxa"/>
            <w:vAlign w:val="top"/>
          </w:tcPr>
          <w:p w14:paraId="6B96E3E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7274961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单价（元）</w:t>
            </w:r>
          </w:p>
          <w:p w14:paraId="17795D4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②</w:t>
            </w:r>
          </w:p>
        </w:tc>
        <w:tc>
          <w:tcPr>
            <w:tcW w:w="1563" w:type="dxa"/>
            <w:vAlign w:val="top"/>
          </w:tcPr>
          <w:p w14:paraId="4EFCF3A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单项合计金额</w:t>
            </w:r>
          </w:p>
          <w:p w14:paraId="16B6CC94">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（元）</w:t>
            </w:r>
          </w:p>
          <w:p w14:paraId="0C35D73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③ = ①×②</w:t>
            </w:r>
          </w:p>
        </w:tc>
      </w:tr>
      <w:tr w14:paraId="3F7F0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vAlign w:val="top"/>
          </w:tcPr>
          <w:p w14:paraId="564A8FC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w:t>
            </w:r>
          </w:p>
        </w:tc>
        <w:tc>
          <w:tcPr>
            <w:tcW w:w="1231" w:type="dxa"/>
            <w:vAlign w:val="top"/>
          </w:tcPr>
          <w:p w14:paraId="535EEA6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444" w:type="dxa"/>
            <w:vAlign w:val="top"/>
          </w:tcPr>
          <w:p w14:paraId="61428F8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482" w:type="dxa"/>
            <w:vAlign w:val="top"/>
          </w:tcPr>
          <w:p w14:paraId="1B68C15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073" w:type="dxa"/>
            <w:vAlign w:val="top"/>
          </w:tcPr>
          <w:p w14:paraId="6F93489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714" w:type="dxa"/>
            <w:vAlign w:val="top"/>
          </w:tcPr>
          <w:p w14:paraId="7281BC2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320" w:type="dxa"/>
            <w:vAlign w:val="top"/>
          </w:tcPr>
          <w:p w14:paraId="02501E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563" w:type="dxa"/>
            <w:vAlign w:val="top"/>
          </w:tcPr>
          <w:p w14:paraId="1BD72F9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r w14:paraId="22DCB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vAlign w:val="top"/>
          </w:tcPr>
          <w:p w14:paraId="3637D03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w:t>
            </w:r>
          </w:p>
        </w:tc>
        <w:tc>
          <w:tcPr>
            <w:tcW w:w="1231" w:type="dxa"/>
            <w:vAlign w:val="top"/>
          </w:tcPr>
          <w:p w14:paraId="25A2FA0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444" w:type="dxa"/>
            <w:vAlign w:val="top"/>
          </w:tcPr>
          <w:p w14:paraId="12C6C2F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482" w:type="dxa"/>
            <w:vAlign w:val="top"/>
          </w:tcPr>
          <w:p w14:paraId="10758BA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073" w:type="dxa"/>
            <w:vAlign w:val="top"/>
          </w:tcPr>
          <w:p w14:paraId="5AD4FB1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714" w:type="dxa"/>
            <w:vAlign w:val="top"/>
          </w:tcPr>
          <w:p w14:paraId="0CE2A4D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320" w:type="dxa"/>
            <w:vAlign w:val="top"/>
          </w:tcPr>
          <w:p w14:paraId="4CC0A2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563" w:type="dxa"/>
            <w:vAlign w:val="top"/>
          </w:tcPr>
          <w:p w14:paraId="6943CFA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r w14:paraId="16E8F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13" w:type="dxa"/>
            <w:vAlign w:val="top"/>
          </w:tcPr>
          <w:p w14:paraId="54C1B73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10" w:firstLineChars="200"/>
              <w:jc w:val="right"/>
              <w:textAlignment w:val="baseline"/>
              <w:rPr>
                <w:color w:val="auto"/>
                <w:spacing w:val="0"/>
                <w:position w:val="0"/>
                <w:sz w:val="21"/>
                <w:szCs w:val="21"/>
                <w:highlight w:val="none"/>
              </w:rPr>
            </w:pPr>
            <w:r>
              <w:rPr>
                <w:color w:val="auto"/>
                <w:spacing w:val="0"/>
                <w:w w:val="98"/>
                <w:position w:val="0"/>
                <w:sz w:val="21"/>
                <w:szCs w:val="21"/>
                <w:highlight w:val="none"/>
              </w:rPr>
              <w:t>…</w:t>
            </w:r>
          </w:p>
        </w:tc>
        <w:tc>
          <w:tcPr>
            <w:tcW w:w="1231" w:type="dxa"/>
            <w:vAlign w:val="top"/>
          </w:tcPr>
          <w:p w14:paraId="5426296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444" w:type="dxa"/>
            <w:vAlign w:val="top"/>
          </w:tcPr>
          <w:p w14:paraId="422D11F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482" w:type="dxa"/>
            <w:vAlign w:val="top"/>
          </w:tcPr>
          <w:p w14:paraId="1FFFE4F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073" w:type="dxa"/>
            <w:vAlign w:val="top"/>
          </w:tcPr>
          <w:p w14:paraId="2F2F8E9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714" w:type="dxa"/>
            <w:vAlign w:val="top"/>
          </w:tcPr>
          <w:p w14:paraId="5EE4A67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320" w:type="dxa"/>
            <w:vAlign w:val="top"/>
          </w:tcPr>
          <w:p w14:paraId="39761AE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563" w:type="dxa"/>
            <w:vAlign w:val="top"/>
          </w:tcPr>
          <w:p w14:paraId="233D55E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r w14:paraId="0153F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7977" w:type="dxa"/>
            <w:gridSpan w:val="7"/>
            <w:vAlign w:val="top"/>
          </w:tcPr>
          <w:p w14:paraId="5AB37A3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合计</w:t>
            </w:r>
          </w:p>
        </w:tc>
        <w:tc>
          <w:tcPr>
            <w:tcW w:w="1563" w:type="dxa"/>
            <w:vAlign w:val="top"/>
          </w:tcPr>
          <w:p w14:paraId="47FECB4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bl>
    <w:p w14:paraId="454954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根据《成交通知书》的中标内容，合同的总金额为：</w:t>
      </w:r>
      <w:r>
        <w:rPr>
          <w:rFonts w:ascii="宋体" w:hAnsi="宋体" w:eastAsia="宋体" w:cs="宋体"/>
          <w:color w:val="auto"/>
          <w:spacing w:val="0"/>
          <w:position w:val="0"/>
          <w:sz w:val="21"/>
          <w:szCs w:val="21"/>
          <w:highlight w:val="none"/>
          <w:u w:val="single" w:color="auto"/>
        </w:rPr>
        <w:t xml:space="preserve">（大写）人民币    元 (￥)      </w:t>
      </w:r>
      <w:r>
        <w:rPr>
          <w:rFonts w:ascii="宋体" w:hAnsi="宋体" w:eastAsia="宋体" w:cs="宋体"/>
          <w:color w:val="auto"/>
          <w:spacing w:val="0"/>
          <w:position w:val="0"/>
          <w:sz w:val="21"/>
          <w:szCs w:val="21"/>
          <w:highlight w:val="none"/>
        </w:rPr>
        <w:t>。</w:t>
      </w:r>
    </w:p>
    <w:p w14:paraId="271351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第二条质量保证</w:t>
      </w:r>
    </w:p>
    <w:p w14:paraId="39137AE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1、乙方应按投标文件承诺的货物规格型号、技术参数、性能、配置、质量标准向甲方提供未经 使用的全新原装正品，且在正常安装使用和保养条件下，其使用寿命期内各项指标均达到质量标准。 乙方提供的节能和环境标志产品必须是列入现行政府采购清单目录内的产品。</w:t>
      </w:r>
    </w:p>
    <w:p w14:paraId="2AC69C2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2.乙方提供货物的质量保证期为</w:t>
      </w:r>
      <w:r>
        <w:rPr>
          <w:rFonts w:ascii="宋体" w:hAnsi="宋体" w:eastAsia="宋体" w:cs="宋体"/>
          <w:color w:val="auto"/>
          <w:spacing w:val="0"/>
          <w:position w:val="0"/>
          <w:sz w:val="21"/>
          <w:szCs w:val="21"/>
          <w:highlight w:val="none"/>
          <w:u w:val="single" w:color="auto"/>
        </w:rPr>
        <w:t>按招标要求及投标承诺填写</w:t>
      </w:r>
      <w:r>
        <w:rPr>
          <w:rFonts w:ascii="宋体" w:hAnsi="宋体" w:eastAsia="宋体" w:cs="宋体"/>
          <w:color w:val="auto"/>
          <w:spacing w:val="0"/>
          <w:position w:val="0"/>
          <w:sz w:val="21"/>
          <w:szCs w:val="21"/>
          <w:highlight w:val="none"/>
        </w:rPr>
        <w:t>。在质保期内因货物本身的质量问 题发生故障，乙方应负责免费修理和更换零部件。对达不到技术要求者，根据实际情况，经双方协 商，可按以下办法处理：</w:t>
      </w:r>
    </w:p>
    <w:p w14:paraId="4E3C587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（1）更换： 由乙方承担所有发生的全部费用。</w:t>
      </w:r>
    </w:p>
    <w:p w14:paraId="03592B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（2）贬值处理： 由甲乙双方合议定价。</w:t>
      </w:r>
    </w:p>
    <w:p w14:paraId="25369DF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（3）退货处理：乙方应退还甲方支付的合同款，同时应承担该货物的直接费用（运输、保险、 检验、贷款利息及银行手续费等）。</w:t>
      </w:r>
    </w:p>
    <w:p w14:paraId="243F5B6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b/>
          <w:bCs/>
          <w:color w:val="auto"/>
          <w:spacing w:val="0"/>
          <w:position w:val="0"/>
          <w:sz w:val="21"/>
          <w:szCs w:val="21"/>
          <w:highlight w:val="none"/>
        </w:rPr>
      </w:pPr>
      <w:r>
        <w:rPr>
          <w:rFonts w:ascii="宋体" w:hAnsi="宋体" w:eastAsia="宋体" w:cs="宋体"/>
          <w:b/>
          <w:bCs/>
          <w:color w:val="auto"/>
          <w:spacing w:val="0"/>
          <w:position w:val="0"/>
          <w:sz w:val="21"/>
          <w:szCs w:val="21"/>
          <w:highlight w:val="none"/>
        </w:rPr>
        <w:t>第三条权力保证</w:t>
      </w:r>
    </w:p>
    <w:p w14:paraId="1D0CCB5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1、乙方应保证所提供货物在使用时不会侵犯任何第三方的专利权、商标权、工业设计权或其他 权利。</w:t>
      </w:r>
    </w:p>
    <w:p w14:paraId="244D0DA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2、乙方应按招标文件规定的时间向甲方提供使用货物的有关技术资料。</w:t>
      </w:r>
    </w:p>
    <w:p w14:paraId="3639FE1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3、乙方保证所交付的货物的所有权完全属于乙方且无任何抵押、质押、查封等产权瑕疵。</w:t>
      </w:r>
    </w:p>
    <w:p w14:paraId="0E2483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第四条货物包装、运输</w:t>
      </w:r>
    </w:p>
    <w:p w14:paraId="1733C20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1、乙方应在货物发运前对其进行满足运输距离、防潮、防震、防锈和防破损装卸等要求包装， 以保证货物安全运达甲方指定地点。</w:t>
      </w:r>
    </w:p>
    <w:p w14:paraId="2F1F1A2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2、使用中文说明书、质量检验证明书、随配附件和工具以及清单一并附于货物内。</w:t>
      </w:r>
    </w:p>
    <w:p w14:paraId="6E82000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3、乙方在货物发运手续办理完毕后二十四小时内或货到甲方四十八小时前通知甲方， 以准备接货。</w:t>
      </w:r>
    </w:p>
    <w:p w14:paraId="7EB5F6B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4、货物在交付甲方前发生的风险均由乙方负责。</w:t>
      </w:r>
    </w:p>
    <w:p w14:paraId="446E007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第五条交付</w:t>
      </w:r>
    </w:p>
    <w:p w14:paraId="18AC8BC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1、交付使用期：</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。交付地点：</w:t>
      </w:r>
      <w:r>
        <w:rPr>
          <w:rFonts w:ascii="宋体" w:hAnsi="宋体" w:eastAsia="宋体" w:cs="宋体"/>
          <w:color w:val="auto"/>
          <w:spacing w:val="0"/>
          <w:position w:val="0"/>
          <w:sz w:val="21"/>
          <w:szCs w:val="21"/>
          <w:highlight w:val="none"/>
          <w:u w:val="single" w:color="auto"/>
        </w:rPr>
        <w:t>广西桂林市采购人指定地点</w:t>
      </w:r>
      <w:r>
        <w:rPr>
          <w:rFonts w:ascii="宋体" w:hAnsi="宋体" w:eastAsia="宋体" w:cs="宋体"/>
          <w:color w:val="auto"/>
          <w:spacing w:val="0"/>
          <w:position w:val="0"/>
          <w:sz w:val="21"/>
          <w:szCs w:val="21"/>
          <w:highlight w:val="none"/>
        </w:rPr>
        <w:t>；</w:t>
      </w:r>
    </w:p>
    <w:p w14:paraId="60F7F36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2.乙方提供不符合招投标文件和本合同规定的货物， 甲方有权拒绝接受。</w:t>
      </w:r>
    </w:p>
    <w:p w14:paraId="29C68ED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3.乙方应将所有提供货物的装箱清单、用户手册、原厂保修卡、随机资料、工具和备用、备件等交付给甲方，货物属于进口产品的，供货时应同时附上中文使用说明书，如有缺失应及时补齐， 否则视为逾期交货。</w:t>
      </w:r>
    </w:p>
    <w:p w14:paraId="2956C64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第六条验收</w:t>
      </w:r>
    </w:p>
    <w:p w14:paraId="45348FE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按竞争性谈判文件要求，供应商谈判承诺及强制执行的国家、行业、地方标准要求验收。供应 商的响应文件承诺必须是真实、有效的响应和承诺。所提供的产品必须为原装正品的、全新的、完 好无破损、且为未开箱状态的产品，产品应符合相关国家标准、行业标准、地方标准或者其他标准、 规范等有关质量标准；采购人于现场根据竞争性谈判文件要求及响应文件承诺逐条对应进行核验， 核验不合格的，采购人有权终止合同执行并全部退货，同时报相关监督管理部门处理，由此造成采 购人损失的由成交供应商负责承担全部赔偿责。</w:t>
      </w:r>
    </w:p>
    <w:p w14:paraId="667C907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第七条安装和培训</w:t>
      </w:r>
    </w:p>
    <w:p w14:paraId="49CD756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 甲方应提供必要安装条件（如场地、电源、水源等）。</w:t>
      </w:r>
    </w:p>
    <w:p w14:paraId="57C11C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2、乙方负责甲方有关人员的培训。根据甲方要求进行培训，培训时间、地点：</w:t>
      </w:r>
      <w:r>
        <w:rPr>
          <w:rFonts w:ascii="宋体" w:hAnsi="宋体" w:eastAsia="宋体" w:cs="宋体"/>
          <w:color w:val="auto"/>
          <w:spacing w:val="0"/>
          <w:position w:val="0"/>
          <w:sz w:val="21"/>
          <w:szCs w:val="21"/>
          <w:highlight w:val="none"/>
          <w:u w:val="single" w:color="auto"/>
        </w:rPr>
        <w:t>广西桂林市采</w:t>
      </w:r>
      <w:r>
        <w:rPr>
          <w:rFonts w:ascii="宋体" w:hAnsi="宋体" w:eastAsia="宋体" w:cs="宋体"/>
          <w:color w:val="auto"/>
          <w:spacing w:val="0"/>
          <w:position w:val="0"/>
          <w:sz w:val="21"/>
          <w:szCs w:val="21"/>
          <w:highlight w:val="none"/>
        </w:rPr>
        <w:t xml:space="preserve"> </w:t>
      </w:r>
      <w:r>
        <w:rPr>
          <w:rFonts w:ascii="宋体" w:hAnsi="宋体" w:eastAsia="宋体" w:cs="宋体"/>
          <w:color w:val="auto"/>
          <w:spacing w:val="0"/>
          <w:position w:val="0"/>
          <w:sz w:val="21"/>
          <w:szCs w:val="21"/>
          <w:highlight w:val="none"/>
          <w:u w:val="single" w:color="auto"/>
        </w:rPr>
        <w:t>购人指定地点</w:t>
      </w:r>
      <w:r>
        <w:rPr>
          <w:rFonts w:ascii="宋体" w:hAnsi="宋体" w:eastAsia="宋体" w:cs="宋体"/>
          <w:color w:val="auto"/>
          <w:spacing w:val="0"/>
          <w:position w:val="0"/>
          <w:sz w:val="21"/>
          <w:szCs w:val="21"/>
          <w:highlight w:val="none"/>
        </w:rPr>
        <w:t>。</w:t>
      </w:r>
    </w:p>
    <w:p w14:paraId="0FA8B8D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3、采购范围内的货物免费送货上门、免费调试合格，免费技术及使用培训（培训内容详见采 购需求表及投标文件）。</w:t>
      </w:r>
    </w:p>
    <w:p w14:paraId="6DBD052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第八条售后服务</w:t>
      </w:r>
    </w:p>
    <w:p w14:paraId="4B2A922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Arial" w:cs="Arial"/>
          <w:snapToGrid w:val="0"/>
          <w:color w:val="auto"/>
          <w:spacing w:val="0"/>
          <w:kern w:val="0"/>
          <w:position w:val="0"/>
          <w:sz w:val="21"/>
          <w:szCs w:val="21"/>
          <w:highlight w:val="none"/>
          <w:lang w:val="en-US" w:eastAsia="en-US" w:bidi="ar-SA"/>
        </w:rPr>
      </w:pPr>
      <w:r>
        <w:rPr>
          <w:rFonts w:hint="eastAsia" w:ascii="宋体" w:hAnsi="宋体" w:eastAsia="Arial" w:cs="Arial"/>
          <w:snapToGrid w:val="0"/>
          <w:color w:val="auto"/>
          <w:spacing w:val="0"/>
          <w:kern w:val="0"/>
          <w:position w:val="0"/>
          <w:sz w:val="21"/>
          <w:szCs w:val="21"/>
          <w:highlight w:val="none"/>
          <w:lang w:val="en-US" w:eastAsia="zh-CN" w:bidi="ar-SA"/>
        </w:rPr>
        <w:t>1、本项目包含货物采购及安装调试。所供产品必须为原厂正品，对所有的采购内容质保期≥12 个月（产品技术要求里面有特别注明的除外）,免费保修期自验收合格签字之日起计算；免费保修期内上门维修免收维修费和调试费，并提供终身维护服务。保修期内出现故障导致仪器停用的时间，从保修期中扣除。</w:t>
      </w:r>
    </w:p>
    <w:p w14:paraId="170D111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Arial" w:cs="Arial"/>
          <w:snapToGrid w:val="0"/>
          <w:color w:val="auto"/>
          <w:spacing w:val="0"/>
          <w:kern w:val="0"/>
          <w:position w:val="0"/>
          <w:sz w:val="21"/>
          <w:szCs w:val="21"/>
          <w:highlight w:val="none"/>
          <w:lang w:val="en-US" w:eastAsia="en-US"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2、按厂家承诺实行“三包”；成交供应商提供能本地化服务，免费安装调试，免费提供现场技术培训免费进行设备工作原理、操作、维护的技术培训，保证使用人员正常操作设备的各种功能；设备自带软件的在免费保修期内免费升级；其余按中标人承诺进行。 </w:t>
      </w:r>
    </w:p>
    <w:p w14:paraId="02B3CD8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Arial" w:cs="Arial"/>
          <w:snapToGrid w:val="0"/>
          <w:color w:val="auto"/>
          <w:spacing w:val="0"/>
          <w:kern w:val="0"/>
          <w:position w:val="0"/>
          <w:sz w:val="21"/>
          <w:szCs w:val="21"/>
          <w:highlight w:val="none"/>
          <w:lang w:val="en-US" w:eastAsia="en-US"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3、故障解决及维修服务要求： </w:t>
      </w:r>
    </w:p>
    <w:p w14:paraId="14561DE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Arial" w:cs="Arial"/>
          <w:snapToGrid w:val="0"/>
          <w:color w:val="auto"/>
          <w:spacing w:val="0"/>
          <w:kern w:val="0"/>
          <w:position w:val="0"/>
          <w:sz w:val="21"/>
          <w:szCs w:val="21"/>
          <w:highlight w:val="none"/>
          <w:lang w:val="en-US" w:eastAsia="en-US" w:bidi="ar-SA"/>
        </w:rPr>
      </w:pPr>
      <w:r>
        <w:rPr>
          <w:rFonts w:hint="eastAsia" w:ascii="宋体" w:hAnsi="宋体" w:eastAsia="Arial" w:cs="Arial"/>
          <w:snapToGrid w:val="0"/>
          <w:color w:val="auto"/>
          <w:spacing w:val="0"/>
          <w:kern w:val="0"/>
          <w:position w:val="0"/>
          <w:sz w:val="21"/>
          <w:szCs w:val="21"/>
          <w:highlight w:val="none"/>
          <w:lang w:val="en-US" w:eastAsia="zh-CN" w:bidi="ar-SA"/>
        </w:rPr>
        <w:t xml:space="preserve">（1）接采购人报障电话 1 小时内响应，7*24 小时电话和远程支持服务，若电话和远程无法解决，成交供应商 48 小时内派技术人员到达现场解决故障。 </w:t>
      </w:r>
    </w:p>
    <w:p w14:paraId="30BAEF2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cs="Arial"/>
          <w:snapToGrid w:val="0"/>
          <w:color w:val="auto"/>
          <w:spacing w:val="0"/>
          <w:kern w:val="0"/>
          <w:position w:val="0"/>
          <w:sz w:val="21"/>
          <w:szCs w:val="21"/>
          <w:highlight w:val="none"/>
          <w:lang w:val="en-US" w:eastAsia="zh-CN" w:bidi="ar-SA"/>
        </w:rPr>
      </w:pPr>
      <w:r>
        <w:rPr>
          <w:rFonts w:hint="eastAsia" w:ascii="宋体" w:hAnsi="宋体" w:eastAsia="Arial" w:cs="Arial"/>
          <w:snapToGrid w:val="0"/>
          <w:color w:val="auto"/>
          <w:spacing w:val="0"/>
          <w:kern w:val="0"/>
          <w:position w:val="0"/>
          <w:sz w:val="21"/>
          <w:szCs w:val="21"/>
          <w:highlight w:val="none"/>
          <w:lang w:val="en-US" w:eastAsia="zh-CN" w:bidi="ar-SA"/>
        </w:rPr>
        <w:t>（2）免费保修（维护）期内免费定期上门检查、免费上门维修服务（免收维修费和系统维护费）。维护中如需要更换软件系统的，要求更换的品牌、类型相一致或者是同类同档次的替代品，后者需提供相应证明文件并征得采购方同意</w:t>
      </w:r>
      <w:r>
        <w:rPr>
          <w:rFonts w:hint="eastAsia" w:ascii="宋体" w:hAnsi="宋体" w:cs="Arial"/>
          <w:snapToGrid w:val="0"/>
          <w:color w:val="auto"/>
          <w:spacing w:val="0"/>
          <w:kern w:val="0"/>
          <w:position w:val="0"/>
          <w:sz w:val="21"/>
          <w:szCs w:val="21"/>
          <w:highlight w:val="none"/>
          <w:lang w:val="en-US" w:eastAsia="zh-CN" w:bidi="ar-SA"/>
        </w:rPr>
        <w:t>。</w:t>
      </w:r>
    </w:p>
    <w:p w14:paraId="746694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第九条税费</w:t>
      </w:r>
    </w:p>
    <w:p w14:paraId="5243D55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本合同执行中相关的一切税费均由乙方负担。</w:t>
      </w:r>
    </w:p>
    <w:p w14:paraId="36A549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第十条付款方式</w:t>
      </w:r>
    </w:p>
    <w:p w14:paraId="75472DC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color w:val="auto"/>
          <w:spacing w:val="0"/>
          <w:position w:val="0"/>
          <w:highlight w:val="none"/>
          <w:lang w:val="en-US" w:eastAsia="zh-CN"/>
        </w:rPr>
      </w:pPr>
      <w:r>
        <w:rPr>
          <w:rFonts w:hint="eastAsia"/>
          <w:color w:val="auto"/>
          <w:spacing w:val="0"/>
          <w:position w:val="0"/>
          <w:highlight w:val="none"/>
          <w:lang w:val="en-US" w:eastAsia="zh-CN"/>
        </w:rPr>
        <w:t>设备在交货验收合格、培训指导完成及设备正常使用后，</w:t>
      </w:r>
      <w:r>
        <w:rPr>
          <w:rFonts w:hint="eastAsia" w:ascii="宋体" w:hAnsi="宋体" w:cs="宋体"/>
          <w:b w:val="0"/>
          <w:bCs w:val="0"/>
          <w:color w:val="auto"/>
          <w:szCs w:val="21"/>
          <w:highlight w:val="none"/>
          <w:lang w:val="en-US" w:eastAsia="zh-CN"/>
        </w:rPr>
        <w:t>成交供应商在 5 天内开具增值税专用发票给采购人，采购人在收到成交供应商开具的发票后 10个工作日内一次性支付合同价款</w:t>
      </w:r>
      <w:r>
        <w:rPr>
          <w:rFonts w:hint="eastAsia" w:ascii="宋体" w:hAnsi="宋体" w:cs="宋体"/>
          <w:b w:val="0"/>
          <w:bCs w:val="0"/>
          <w:color w:val="auto"/>
          <w:szCs w:val="21"/>
          <w:highlight w:val="none"/>
        </w:rPr>
        <w:t>的全部款项</w:t>
      </w:r>
      <w:r>
        <w:rPr>
          <w:rFonts w:hint="eastAsia" w:ascii="宋体" w:hAnsi="宋体" w:cs="宋体"/>
          <w:b w:val="0"/>
          <w:bCs w:val="0"/>
          <w:color w:val="auto"/>
          <w:szCs w:val="21"/>
          <w:highlight w:val="none"/>
          <w:lang w:val="en-US" w:eastAsia="zh-CN"/>
        </w:rPr>
        <w:t>（因财政支付系统延迟的，支付顺延）。</w:t>
      </w:r>
    </w:p>
    <w:p w14:paraId="1EF0E72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第十一条违约责任</w:t>
      </w:r>
    </w:p>
    <w:p w14:paraId="6DDB8E2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1、乙方所提供的货物规格、技术标准、材料等质量不合格的，应及时更换，更换不及时的按逾期交货处罚，乙方应向甲方支付合同金额 </w:t>
      </w:r>
      <w:r>
        <w:rPr>
          <w:rFonts w:ascii="宋体" w:hAnsi="宋体" w:eastAsia="宋体" w:cs="宋体"/>
          <w:color w:val="auto"/>
          <w:spacing w:val="0"/>
          <w:position w:val="0"/>
          <w:sz w:val="21"/>
          <w:szCs w:val="21"/>
          <w:highlight w:val="none"/>
          <w:u w:val="single" w:color="auto"/>
        </w:rPr>
        <w:t>5</w:t>
      </w:r>
      <w:r>
        <w:rPr>
          <w:rFonts w:ascii="宋体" w:hAnsi="宋体" w:eastAsia="宋体" w:cs="宋体"/>
          <w:color w:val="auto"/>
          <w:spacing w:val="0"/>
          <w:position w:val="0"/>
          <w:sz w:val="21"/>
          <w:szCs w:val="21"/>
          <w:highlight w:val="none"/>
        </w:rPr>
        <w:t>%违约金并赔偿甲方经济损失。</w:t>
      </w:r>
    </w:p>
    <w:p w14:paraId="73B49F2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2、乙方提供的货物如果侵犯了第三方合法权益而引发的任何纠纷或诉讼，均由乙方负责交涉并承担全部责任。</w:t>
      </w:r>
    </w:p>
    <w:p w14:paraId="08A935A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3、因包装、运输引起的货物损坏，按量不合格处理。</w:t>
      </w:r>
    </w:p>
    <w:p w14:paraId="5920C11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4、甲方无故延期接受货物、乙方逾期交货的，每天向对方偿付合同金额</w:t>
      </w:r>
      <w:r>
        <w:rPr>
          <w:rFonts w:ascii="宋体" w:hAnsi="宋体" w:eastAsia="宋体" w:cs="宋体"/>
          <w:color w:val="auto"/>
          <w:spacing w:val="0"/>
          <w:position w:val="0"/>
          <w:sz w:val="21"/>
          <w:szCs w:val="21"/>
          <w:highlight w:val="none"/>
          <w:u w:val="single" w:color="auto"/>
        </w:rPr>
        <w:t>0.5</w:t>
      </w:r>
      <w:r>
        <w:rPr>
          <w:rFonts w:ascii="宋体" w:hAnsi="宋体" w:eastAsia="宋体" w:cs="宋体"/>
          <w:color w:val="auto"/>
          <w:spacing w:val="0"/>
          <w:position w:val="0"/>
          <w:sz w:val="21"/>
          <w:szCs w:val="21"/>
          <w:highlight w:val="none"/>
        </w:rPr>
        <w:t xml:space="preserve">‰违约金，但违约 金额不得超过合同金额 </w:t>
      </w:r>
      <w:r>
        <w:rPr>
          <w:rFonts w:ascii="宋体" w:hAnsi="宋体" w:eastAsia="宋体" w:cs="宋体"/>
          <w:color w:val="auto"/>
          <w:spacing w:val="0"/>
          <w:position w:val="0"/>
          <w:sz w:val="21"/>
          <w:szCs w:val="21"/>
          <w:highlight w:val="none"/>
          <w:u w:val="single" w:color="auto"/>
        </w:rPr>
        <w:t>5</w:t>
      </w:r>
      <w:r>
        <w:rPr>
          <w:rFonts w:ascii="宋体" w:hAnsi="宋体" w:eastAsia="宋体" w:cs="宋体"/>
          <w:color w:val="auto"/>
          <w:spacing w:val="0"/>
          <w:position w:val="0"/>
          <w:sz w:val="21"/>
          <w:szCs w:val="21"/>
          <w:highlight w:val="none"/>
        </w:rPr>
        <w:t xml:space="preserve">%，超过 </w:t>
      </w:r>
      <w:r>
        <w:rPr>
          <w:rFonts w:ascii="宋体" w:hAnsi="宋体" w:eastAsia="宋体" w:cs="宋体"/>
          <w:color w:val="auto"/>
          <w:spacing w:val="0"/>
          <w:position w:val="0"/>
          <w:sz w:val="21"/>
          <w:szCs w:val="21"/>
          <w:highlight w:val="none"/>
          <w:u w:val="single" w:color="auto"/>
        </w:rPr>
        <w:t xml:space="preserve"> 10 </w:t>
      </w:r>
      <w:r>
        <w:rPr>
          <w:rFonts w:ascii="宋体" w:hAnsi="宋体" w:eastAsia="宋体" w:cs="宋体"/>
          <w:color w:val="auto"/>
          <w:spacing w:val="0"/>
          <w:position w:val="0"/>
          <w:sz w:val="21"/>
          <w:szCs w:val="21"/>
          <w:highlight w:val="none"/>
        </w:rPr>
        <w:t>天对方有权解除合同，违约方承担因此给对方造成的经济损失。</w:t>
      </w:r>
    </w:p>
    <w:p w14:paraId="65137C4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5、乙方未按本合同和投标文件中规定的服务承诺提供售后服务的，乙方应按本合同合计金额</w:t>
      </w:r>
      <w:r>
        <w:rPr>
          <w:rFonts w:ascii="宋体" w:hAnsi="宋体" w:eastAsia="宋体" w:cs="宋体"/>
          <w:color w:val="auto"/>
          <w:spacing w:val="0"/>
          <w:position w:val="0"/>
          <w:sz w:val="21"/>
          <w:szCs w:val="21"/>
          <w:highlight w:val="none"/>
          <w:u w:val="single" w:color="auto"/>
        </w:rPr>
        <w:t>5</w:t>
      </w:r>
      <w:r>
        <w:rPr>
          <w:rFonts w:ascii="宋体" w:hAnsi="宋体" w:eastAsia="宋体" w:cs="宋体"/>
          <w:color w:val="auto"/>
          <w:spacing w:val="0"/>
          <w:position w:val="0"/>
          <w:sz w:val="21"/>
          <w:szCs w:val="21"/>
          <w:highlight w:val="none"/>
        </w:rPr>
        <w:t>%向甲方支付违约金。</w:t>
      </w:r>
    </w:p>
    <w:p w14:paraId="19A477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6、乙方提供的货物在质保期内，因设计、工艺或材料的缺陷和其他质量原因造成的问题， 由乙方负责，费用从质量保证金中扣除，不足另补。</w:t>
      </w:r>
    </w:p>
    <w:p w14:paraId="7A748A6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7、售后服务服务过程中如有违反约定的情况， 甲方有权扣除质保金。</w:t>
      </w:r>
    </w:p>
    <w:p w14:paraId="668BCC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8、其他违约行为按违约货款额 </w:t>
      </w:r>
      <w:r>
        <w:rPr>
          <w:rFonts w:ascii="宋体" w:hAnsi="宋体" w:eastAsia="宋体" w:cs="宋体"/>
          <w:color w:val="auto"/>
          <w:spacing w:val="0"/>
          <w:position w:val="0"/>
          <w:sz w:val="21"/>
          <w:szCs w:val="21"/>
          <w:highlight w:val="none"/>
          <w:u w:val="single" w:color="auto"/>
        </w:rPr>
        <w:t>5</w:t>
      </w:r>
      <w:r>
        <w:rPr>
          <w:rFonts w:ascii="宋体" w:hAnsi="宋体" w:eastAsia="宋体" w:cs="宋体"/>
          <w:color w:val="auto"/>
          <w:spacing w:val="0"/>
          <w:position w:val="0"/>
          <w:sz w:val="21"/>
          <w:szCs w:val="21"/>
          <w:highlight w:val="none"/>
        </w:rPr>
        <w:t>%收取违约金并赔偿经济损失。</w:t>
      </w:r>
    </w:p>
    <w:p w14:paraId="396C089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第十二条不可抗力事件处理</w:t>
      </w:r>
    </w:p>
    <w:p w14:paraId="23427EE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1、在合同有效期内，乙方因不可抗力事件导致不能履行合同，则合同履行期可延长，其延长 期与不可抗力影响期相同。</w:t>
      </w:r>
    </w:p>
    <w:p w14:paraId="3B4FFF0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2、不可抗力事件发生后，应立即通知对方，并寄送有关权威机构出具的证明。</w:t>
      </w:r>
    </w:p>
    <w:p w14:paraId="63D67A7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3、不可抗力事件延续一百二十天以上，双方应通过友好协商，确定是否继续履行合同。</w:t>
      </w:r>
    </w:p>
    <w:p w14:paraId="1C7C348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第十三条合同争议解决</w:t>
      </w:r>
    </w:p>
    <w:p w14:paraId="36207D0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1、因货物质量问题发生争议的，应邀请国家认可的质量检测机构对货物质量进行鉴定。货物 符合标准的，鉴定费由甲方承担；货物不符合标准的，鉴定费由乙方承担。</w:t>
      </w:r>
    </w:p>
    <w:p w14:paraId="7D4F93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2、因履行本合同引起的或与本合同有关的争议， 甲乙双方应首先通过友好协商解决，如果协 商不能解决，可向项目所在地人民法院提起诉讼。</w:t>
      </w:r>
    </w:p>
    <w:p w14:paraId="018B903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3、诉讼期间，本合同继续履行。</w:t>
      </w:r>
    </w:p>
    <w:p w14:paraId="71566C7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第十四条合同生效及其它</w:t>
      </w:r>
    </w:p>
    <w:p w14:paraId="3EA1EED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1、合同经甲乙双方法定代表人（负责人）或授权代表签字并加盖投供应商公章后生效。</w:t>
      </w:r>
    </w:p>
    <w:p w14:paraId="4C039F1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2、合同执行中涉及采购资金和采购内容修改或补充的，需经桂林市财政部门审批，并签订书面补充协议报桂林市财政局备案，方可作为主合同不可分割的一部分。</w:t>
      </w:r>
    </w:p>
    <w:p w14:paraId="3068FCC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3、本合同未尽事宜，遵照《中华人民共和国民法典》有关条文执行。</w:t>
      </w:r>
    </w:p>
    <w:p w14:paraId="54DF6AD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第十五条合同的变更、终止与转让</w:t>
      </w:r>
    </w:p>
    <w:p w14:paraId="0D61724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1、除《中华人民共和国政府采购法》第五十条规定的情形外，本合同一经签订， 甲乙双方不 得擅自变更，中止或终止。</w:t>
      </w:r>
    </w:p>
    <w:p w14:paraId="27B4EC6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2、乙方不得擅自转让其应履行的合同义务。</w:t>
      </w:r>
    </w:p>
    <w:p w14:paraId="0E46C2E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第十六条签订本合同依据</w:t>
      </w:r>
    </w:p>
    <w:p w14:paraId="30D14B3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1.招标文件；</w:t>
      </w:r>
    </w:p>
    <w:p w14:paraId="228CF88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2.乙方提供的投标文件；</w:t>
      </w:r>
    </w:p>
    <w:p w14:paraId="4D9208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3.售后服务承诺书；</w:t>
      </w:r>
    </w:p>
    <w:p w14:paraId="59C6660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4.成交通知书。</w:t>
      </w:r>
    </w:p>
    <w:p w14:paraId="2484B4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本合同甲乙双方签字盖章后生效，一式六份，具有同等法律效力， 甲、乙双方各二份。政府采购合同双方自签订之日起 1 个工作日内将合同原件两份交采购代理机构。采购代理机构将政府采购合同在省级以上人民政府财政部门指定媒体上公告并于合同签订之日起 7 个工作日内将一份合同原 件送桂林市财政局备案，一份由采购代理机构存档。</w:t>
      </w:r>
    </w:p>
    <w:p w14:paraId="1B6F52E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甲方名称（公章）：</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乙方（公章， 自然人除外）：</w:t>
      </w:r>
    </w:p>
    <w:p w14:paraId="02EF30D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法定代表人：</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法定代表人（负责人、 自然人）签字</w:t>
      </w:r>
    </w:p>
    <w:p w14:paraId="7DC925F6">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0" w:firstLineChars="20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（属自然人的应在签名处加盖大拇指指印）：</w:t>
      </w:r>
    </w:p>
    <w:p w14:paraId="3E61476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委托代理人：</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委托代理人：</w:t>
      </w:r>
    </w:p>
    <w:p w14:paraId="62D3C3A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电  话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电   话：</w:t>
      </w:r>
    </w:p>
    <w:p w14:paraId="3C3E02E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开户名称：</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开户名称：</w:t>
      </w:r>
    </w:p>
    <w:p w14:paraId="18AB2CA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开户银行：</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开户银行：</w:t>
      </w:r>
    </w:p>
    <w:p w14:paraId="368A1C2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银行账号：</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银行账号：</w:t>
      </w:r>
    </w:p>
    <w:p w14:paraId="144940A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日    期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日    期：</w:t>
      </w:r>
    </w:p>
    <w:p w14:paraId="6E04581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12" w:type="default"/>
          <w:pgSz w:w="11906" w:h="16839"/>
          <w:pgMar w:top="1417" w:right="1417" w:bottom="1417" w:left="1417" w:header="0" w:footer="1097" w:gutter="0"/>
          <w:pgNumType w:fmt="decimal"/>
          <w:cols w:space="720" w:num="1"/>
          <w:rtlGutter w:val="0"/>
          <w:docGrid w:linePitch="0" w:charSpace="0"/>
        </w:sectPr>
      </w:pPr>
    </w:p>
    <w:p w14:paraId="620D32D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F2548A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6175F4E">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outlineLvl w:val="0"/>
        <w:rPr>
          <w:rFonts w:ascii="宋体" w:hAnsi="宋体" w:eastAsia="宋体" w:cs="宋体"/>
          <w:color w:val="auto"/>
          <w:spacing w:val="0"/>
          <w:position w:val="0"/>
          <w:sz w:val="31"/>
          <w:szCs w:val="31"/>
          <w:highlight w:val="none"/>
        </w:rPr>
      </w:pPr>
      <w:bookmarkStart w:id="28" w:name="bookmark6"/>
      <w:bookmarkEnd w:id="28"/>
      <w:bookmarkStart w:id="29" w:name="_Toc20031"/>
      <w:r>
        <w:rPr>
          <w:rFonts w:ascii="宋体" w:hAnsi="宋体" w:eastAsia="宋体" w:cs="宋体"/>
          <w:b/>
          <w:bCs/>
          <w:color w:val="auto"/>
          <w:spacing w:val="0"/>
          <w:position w:val="0"/>
          <w:sz w:val="31"/>
          <w:szCs w:val="31"/>
          <w:highlight w:val="none"/>
        </w:rPr>
        <w:t>第六章</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响应文件（格式）</w:t>
      </w:r>
      <w:bookmarkEnd w:id="29"/>
    </w:p>
    <w:p w14:paraId="41696604">
      <w:pPr>
        <w:keepNext w:val="0"/>
        <w:keepLines w:val="0"/>
        <w:pageBreakBefore w:val="0"/>
        <w:widowControl w:val="0"/>
        <w:kinsoku/>
        <w:wordWrap w:val="0"/>
        <w:overflowPunct/>
        <w:topLinePunct w:val="0"/>
        <w:bidi w:val="0"/>
        <w:snapToGrid w:val="0"/>
        <w:spacing w:before="156" w:beforeLines="50" w:after="50" w:line="360" w:lineRule="auto"/>
        <w:jc w:val="center"/>
        <w:rPr>
          <w:rFonts w:hint="eastAsia" w:ascii="宋体" w:hAnsi="宋体" w:cs="宋体"/>
          <w:b/>
          <w:color w:val="auto"/>
          <w:spacing w:val="0"/>
          <w:position w:val="0"/>
          <w:sz w:val="36"/>
          <w:szCs w:val="36"/>
          <w:highlight w:val="none"/>
        </w:rPr>
      </w:pPr>
    </w:p>
    <w:p w14:paraId="3D8308C4">
      <w:pPr>
        <w:pStyle w:val="9"/>
        <w:keepNext w:val="0"/>
        <w:keepLines w:val="0"/>
        <w:pageBreakBefore w:val="0"/>
        <w:widowControl w:val="0"/>
        <w:kinsoku/>
        <w:wordWrap w:val="0"/>
        <w:overflowPunct/>
        <w:topLinePunct w:val="0"/>
        <w:autoSpaceDE/>
        <w:autoSpaceDN/>
        <w:bidi w:val="0"/>
        <w:adjustRightInd/>
        <w:snapToGrid/>
        <w:spacing w:line="360" w:lineRule="auto"/>
        <w:textAlignment w:val="auto"/>
        <w:rPr>
          <w:rFonts w:hAnsi="宋体" w:cs="宋体"/>
          <w:b/>
          <w:color w:val="auto"/>
          <w:spacing w:val="0"/>
          <w:position w:val="0"/>
          <w:sz w:val="32"/>
          <w:highlight w:val="none"/>
        </w:rPr>
      </w:pPr>
      <w:bookmarkStart w:id="30" w:name="_Toc21496"/>
      <w:bookmarkStart w:id="31" w:name="_Toc18351"/>
      <w:bookmarkStart w:id="32" w:name="_Toc497927069"/>
      <w:r>
        <w:rPr>
          <w:rFonts w:hint="eastAsia" w:hAnsi="宋体" w:cs="宋体"/>
          <w:b/>
          <w:color w:val="auto"/>
          <w:spacing w:val="0"/>
          <w:position w:val="0"/>
          <w:sz w:val="32"/>
          <w:highlight w:val="none"/>
        </w:rPr>
        <w:t>一、响应文件袋（盒、箱）标记</w:t>
      </w:r>
      <w:bookmarkEnd w:id="30"/>
      <w:bookmarkEnd w:id="31"/>
      <w:bookmarkEnd w:id="32"/>
    </w:p>
    <w:p w14:paraId="2218C229">
      <w:pPr>
        <w:keepNext w:val="0"/>
        <w:keepLines w:val="0"/>
        <w:pageBreakBefore w:val="0"/>
        <w:widowControl w:val="0"/>
        <w:kinsoku/>
        <w:wordWrap w:val="0"/>
        <w:overflowPunct/>
        <w:topLinePunct w:val="0"/>
        <w:bidi w:val="0"/>
        <w:snapToGrid w:val="0"/>
        <w:spacing w:before="156" w:beforeLines="50" w:after="50" w:line="360" w:lineRule="auto"/>
        <w:jc w:val="center"/>
        <w:rPr>
          <w:rFonts w:hint="eastAsia" w:ascii="宋体" w:hAnsi="宋体" w:cs="宋体"/>
          <w:b/>
          <w:color w:val="auto"/>
          <w:spacing w:val="0"/>
          <w:position w:val="0"/>
          <w:sz w:val="36"/>
          <w:szCs w:val="36"/>
          <w:highlight w:val="none"/>
        </w:rPr>
      </w:pPr>
    </w:p>
    <w:p w14:paraId="2838FDAE">
      <w:pPr>
        <w:keepNext w:val="0"/>
        <w:keepLines w:val="0"/>
        <w:pageBreakBefore w:val="0"/>
        <w:widowControl w:val="0"/>
        <w:kinsoku/>
        <w:wordWrap w:val="0"/>
        <w:overflowPunct/>
        <w:topLinePunct w:val="0"/>
        <w:bidi w:val="0"/>
        <w:snapToGrid w:val="0"/>
        <w:spacing w:before="156" w:beforeLines="50" w:after="50" w:line="360" w:lineRule="auto"/>
        <w:jc w:val="center"/>
        <w:rPr>
          <w:rFonts w:ascii="宋体" w:hAnsi="宋体" w:cs="宋体"/>
          <w:b/>
          <w:color w:val="auto"/>
          <w:spacing w:val="0"/>
          <w:position w:val="0"/>
          <w:sz w:val="36"/>
          <w:szCs w:val="36"/>
          <w:highlight w:val="none"/>
        </w:rPr>
      </w:pPr>
      <w:r>
        <w:rPr>
          <w:rFonts w:hint="eastAsia" w:ascii="宋体" w:hAnsi="宋体" w:cs="宋体"/>
          <w:b/>
          <w:color w:val="auto"/>
          <w:spacing w:val="0"/>
          <w:position w:val="0"/>
          <w:sz w:val="36"/>
          <w:szCs w:val="36"/>
          <w:highlight w:val="none"/>
        </w:rPr>
        <w:t>响 应 文 件</w:t>
      </w:r>
    </w:p>
    <w:p w14:paraId="4FE6175F">
      <w:pPr>
        <w:keepNext w:val="0"/>
        <w:keepLines w:val="0"/>
        <w:pageBreakBefore w:val="0"/>
        <w:widowControl w:val="0"/>
        <w:kinsoku/>
        <w:wordWrap w:val="0"/>
        <w:overflowPunct/>
        <w:topLinePunct w:val="0"/>
        <w:bidi w:val="0"/>
        <w:snapToGrid w:val="0"/>
        <w:spacing w:before="156" w:beforeLines="50" w:after="50" w:line="360" w:lineRule="auto"/>
        <w:ind w:firstLine="480" w:firstLineChars="150"/>
        <w:rPr>
          <w:rFonts w:hint="eastAsia" w:ascii="宋体" w:hAnsi="宋体" w:eastAsia="宋体" w:cs="宋体"/>
          <w:b/>
          <w:color w:val="auto"/>
          <w:spacing w:val="0"/>
          <w:position w:val="0"/>
          <w:sz w:val="28"/>
          <w:szCs w:val="28"/>
          <w:highlight w:val="none"/>
          <w:lang w:eastAsia="zh-CN"/>
        </w:rPr>
      </w:pPr>
      <w:r>
        <w:rPr>
          <w:rFonts w:hint="eastAsia" w:ascii="宋体" w:hAnsi="宋体" w:cs="宋体"/>
          <w:color w:val="auto"/>
          <w:spacing w:val="0"/>
          <w:position w:val="0"/>
          <w:sz w:val="32"/>
          <w:szCs w:val="32"/>
          <w:highlight w:val="none"/>
        </w:rPr>
        <w:t xml:space="preserve">                     </w:t>
      </w:r>
      <w:r>
        <w:rPr>
          <w:rFonts w:hint="eastAsia" w:ascii="宋体" w:hAnsi="宋体" w:cs="宋体"/>
          <w:color w:val="auto"/>
          <w:spacing w:val="0"/>
          <w:position w:val="0"/>
          <w:sz w:val="32"/>
          <w:szCs w:val="32"/>
          <w:highlight w:val="none"/>
          <w:lang w:val="en-US" w:eastAsia="zh-CN"/>
        </w:rPr>
        <w:t xml:space="preserve"> </w:t>
      </w:r>
      <w:r>
        <w:rPr>
          <w:rFonts w:hint="eastAsia" w:ascii="宋体" w:hAnsi="宋体" w:cs="宋体"/>
          <w:b/>
          <w:bCs/>
          <w:color w:val="auto"/>
          <w:spacing w:val="0"/>
          <w:position w:val="0"/>
          <w:sz w:val="32"/>
          <w:szCs w:val="32"/>
          <w:highlight w:val="none"/>
          <w:lang w:val="en-US" w:eastAsia="zh-CN"/>
        </w:rPr>
        <w:t xml:space="preserve"> </w:t>
      </w:r>
    </w:p>
    <w:p w14:paraId="723CEF8F">
      <w:pPr>
        <w:keepNext w:val="0"/>
        <w:keepLines w:val="0"/>
        <w:pageBreakBefore w:val="0"/>
        <w:widowControl w:val="0"/>
        <w:kinsoku/>
        <w:wordWrap w:val="0"/>
        <w:overflowPunct/>
        <w:topLinePunct w:val="0"/>
        <w:bidi w:val="0"/>
        <w:snapToGrid w:val="0"/>
        <w:spacing w:before="156" w:beforeLines="50" w:after="50" w:line="360" w:lineRule="auto"/>
        <w:ind w:firstLine="420" w:firstLineChars="150"/>
        <w:rPr>
          <w:rFonts w:ascii="宋体" w:hAnsi="宋体" w:cs="宋体"/>
          <w:b/>
          <w:color w:val="auto"/>
          <w:spacing w:val="0"/>
          <w:position w:val="0"/>
          <w:sz w:val="28"/>
          <w:szCs w:val="28"/>
          <w:highlight w:val="none"/>
        </w:rPr>
      </w:pPr>
    </w:p>
    <w:p w14:paraId="58D864EF">
      <w:pPr>
        <w:keepNext w:val="0"/>
        <w:keepLines w:val="0"/>
        <w:pageBreakBefore w:val="0"/>
        <w:widowControl w:val="0"/>
        <w:kinsoku/>
        <w:wordWrap w:val="0"/>
        <w:overflowPunct/>
        <w:topLinePunct w:val="0"/>
        <w:bidi w:val="0"/>
        <w:snapToGrid w:val="0"/>
        <w:spacing w:before="156" w:beforeLines="50" w:after="50" w:line="360" w:lineRule="auto"/>
        <w:ind w:firstLine="420" w:firstLineChars="150"/>
        <w:rPr>
          <w:rFonts w:ascii="宋体" w:hAnsi="宋体" w:cs="宋体"/>
          <w:b/>
          <w:color w:val="auto"/>
          <w:spacing w:val="0"/>
          <w:position w:val="0"/>
          <w:sz w:val="28"/>
          <w:szCs w:val="28"/>
          <w:highlight w:val="none"/>
        </w:rPr>
      </w:pPr>
    </w:p>
    <w:p w14:paraId="140F08A4">
      <w:pPr>
        <w:keepNext w:val="0"/>
        <w:keepLines w:val="0"/>
        <w:pageBreakBefore w:val="0"/>
        <w:widowControl w:val="0"/>
        <w:kinsoku/>
        <w:wordWrap w:val="0"/>
        <w:overflowPunct/>
        <w:topLinePunct w:val="0"/>
        <w:bidi w:val="0"/>
        <w:snapToGrid w:val="0"/>
        <w:spacing w:before="156" w:beforeLines="50" w:after="50" w:line="360" w:lineRule="auto"/>
        <w:ind w:firstLine="1681" w:firstLineChars="600"/>
        <w:rPr>
          <w:rFonts w:hint="default" w:ascii="宋体" w:hAnsi="宋体" w:eastAsia="宋体" w:cs="宋体"/>
          <w:b/>
          <w:color w:val="auto"/>
          <w:spacing w:val="0"/>
          <w:position w:val="0"/>
          <w:sz w:val="28"/>
          <w:szCs w:val="28"/>
          <w:highlight w:val="none"/>
          <w:u w:val="single"/>
          <w:lang w:val="en-US" w:eastAsia="zh-CN"/>
        </w:rPr>
      </w:pPr>
      <w:r>
        <w:rPr>
          <w:rFonts w:hint="eastAsia" w:ascii="宋体" w:hAnsi="宋体" w:cs="宋体"/>
          <w:b/>
          <w:color w:val="auto"/>
          <w:spacing w:val="0"/>
          <w:position w:val="0"/>
          <w:sz w:val="28"/>
          <w:szCs w:val="28"/>
          <w:highlight w:val="none"/>
        </w:rPr>
        <w:t>项目名称：</w:t>
      </w:r>
      <w:r>
        <w:rPr>
          <w:rFonts w:hint="eastAsia" w:ascii="宋体" w:hAnsi="宋体" w:cs="宋体"/>
          <w:b/>
          <w:bCs/>
          <w:color w:val="auto"/>
          <w:spacing w:val="0"/>
          <w:position w:val="0"/>
          <w:sz w:val="28"/>
          <w:szCs w:val="28"/>
          <w:highlight w:val="none"/>
          <w:u w:val="single"/>
          <w:lang w:val="en-US" w:eastAsia="zh-CN"/>
        </w:rPr>
        <w:t xml:space="preserve">        </w:t>
      </w:r>
    </w:p>
    <w:p w14:paraId="575A94A5">
      <w:pPr>
        <w:keepNext w:val="0"/>
        <w:keepLines w:val="0"/>
        <w:pageBreakBefore w:val="0"/>
        <w:widowControl w:val="0"/>
        <w:kinsoku/>
        <w:wordWrap w:val="0"/>
        <w:overflowPunct/>
        <w:topLinePunct w:val="0"/>
        <w:bidi w:val="0"/>
        <w:snapToGrid w:val="0"/>
        <w:spacing w:before="156" w:beforeLines="50" w:after="50" w:line="360" w:lineRule="auto"/>
        <w:ind w:firstLine="2695" w:firstLineChars="962"/>
        <w:rPr>
          <w:rFonts w:ascii="宋体" w:hAnsi="宋体" w:cs="宋体"/>
          <w:b/>
          <w:color w:val="auto"/>
          <w:spacing w:val="0"/>
          <w:position w:val="0"/>
          <w:sz w:val="28"/>
          <w:szCs w:val="28"/>
          <w:highlight w:val="none"/>
        </w:rPr>
      </w:pPr>
    </w:p>
    <w:p w14:paraId="1593CEB4">
      <w:pPr>
        <w:keepNext w:val="0"/>
        <w:keepLines w:val="0"/>
        <w:pageBreakBefore w:val="0"/>
        <w:widowControl w:val="0"/>
        <w:kinsoku/>
        <w:wordWrap w:val="0"/>
        <w:overflowPunct/>
        <w:topLinePunct w:val="0"/>
        <w:bidi w:val="0"/>
        <w:snapToGrid w:val="0"/>
        <w:spacing w:before="156" w:beforeLines="50" w:after="50" w:line="360" w:lineRule="auto"/>
        <w:ind w:firstLine="1681" w:firstLineChars="600"/>
        <w:rPr>
          <w:rFonts w:hint="default" w:ascii="宋体" w:hAnsi="宋体" w:eastAsia="宋体" w:cs="宋体"/>
          <w:b/>
          <w:color w:val="auto"/>
          <w:spacing w:val="0"/>
          <w:position w:val="0"/>
          <w:sz w:val="28"/>
          <w:szCs w:val="28"/>
          <w:highlight w:val="none"/>
          <w:u w:val="single"/>
          <w:lang w:val="en-US" w:eastAsia="zh-CN"/>
        </w:rPr>
      </w:pPr>
      <w:r>
        <w:rPr>
          <w:rFonts w:hint="eastAsia" w:ascii="宋体" w:hAnsi="宋体" w:cs="宋体"/>
          <w:b/>
          <w:color w:val="auto"/>
          <w:spacing w:val="0"/>
          <w:position w:val="0"/>
          <w:sz w:val="28"/>
          <w:szCs w:val="28"/>
          <w:highlight w:val="none"/>
        </w:rPr>
        <w:t>项目编号：</w:t>
      </w:r>
      <w:r>
        <w:rPr>
          <w:rFonts w:hint="eastAsia" w:ascii="宋体" w:hAnsi="宋体" w:eastAsia="宋体" w:cs="宋体"/>
          <w:b/>
          <w:color w:val="auto"/>
          <w:spacing w:val="0"/>
          <w:position w:val="0"/>
          <w:sz w:val="28"/>
          <w:szCs w:val="28"/>
          <w:highlight w:val="none"/>
          <w:lang w:val="en-US" w:eastAsia="zh-CN"/>
        </w:rPr>
        <w:t xml:space="preserve"> </w:t>
      </w:r>
      <w:r>
        <w:rPr>
          <w:rFonts w:hint="eastAsia" w:ascii="宋体" w:hAnsi="宋体" w:eastAsia="宋体" w:cs="宋体"/>
          <w:b/>
          <w:color w:val="auto"/>
          <w:spacing w:val="0"/>
          <w:position w:val="0"/>
          <w:sz w:val="28"/>
          <w:szCs w:val="28"/>
          <w:highlight w:val="none"/>
          <w:u w:val="single"/>
          <w:lang w:val="en-US" w:eastAsia="zh-CN"/>
        </w:rPr>
        <w:t xml:space="preserve">         </w:t>
      </w:r>
    </w:p>
    <w:p w14:paraId="65AD1538">
      <w:pPr>
        <w:keepNext w:val="0"/>
        <w:keepLines w:val="0"/>
        <w:pageBreakBefore w:val="0"/>
        <w:widowControl w:val="0"/>
        <w:kinsoku/>
        <w:wordWrap w:val="0"/>
        <w:overflowPunct/>
        <w:topLinePunct w:val="0"/>
        <w:bidi w:val="0"/>
        <w:spacing w:line="360" w:lineRule="auto"/>
        <w:rPr>
          <w:rFonts w:ascii="宋体" w:hAnsi="宋体" w:cs="宋体"/>
          <w:b/>
          <w:color w:val="auto"/>
          <w:spacing w:val="0"/>
          <w:position w:val="0"/>
          <w:highlight w:val="none"/>
        </w:rPr>
      </w:pPr>
    </w:p>
    <w:p w14:paraId="781C719B">
      <w:pPr>
        <w:pStyle w:val="31"/>
        <w:keepNext w:val="0"/>
        <w:keepLines w:val="0"/>
        <w:pageBreakBefore w:val="0"/>
        <w:widowControl w:val="0"/>
        <w:kinsoku/>
        <w:wordWrap w:val="0"/>
        <w:overflowPunct/>
        <w:topLinePunct w:val="0"/>
        <w:bidi w:val="0"/>
        <w:spacing w:line="360" w:lineRule="auto"/>
        <w:rPr>
          <w:rFonts w:ascii="宋体" w:hAnsi="宋体" w:cs="宋体"/>
          <w:b/>
          <w:color w:val="auto"/>
          <w:spacing w:val="0"/>
          <w:position w:val="0"/>
          <w:sz w:val="28"/>
          <w:szCs w:val="28"/>
          <w:highlight w:val="none"/>
        </w:rPr>
      </w:pPr>
    </w:p>
    <w:p w14:paraId="54501DE1">
      <w:pPr>
        <w:keepNext w:val="0"/>
        <w:keepLines w:val="0"/>
        <w:pageBreakBefore w:val="0"/>
        <w:widowControl w:val="0"/>
        <w:kinsoku/>
        <w:wordWrap w:val="0"/>
        <w:overflowPunct/>
        <w:topLinePunct w:val="0"/>
        <w:bidi w:val="0"/>
        <w:snapToGrid w:val="0"/>
        <w:spacing w:before="156" w:beforeLines="50" w:after="50" w:line="360" w:lineRule="auto"/>
        <w:rPr>
          <w:rFonts w:ascii="宋体" w:hAnsi="宋体" w:cs="宋体"/>
          <w:b/>
          <w:color w:val="auto"/>
          <w:spacing w:val="0"/>
          <w:position w:val="0"/>
          <w:sz w:val="28"/>
          <w:szCs w:val="28"/>
          <w:highlight w:val="none"/>
          <w:u w:val="single"/>
        </w:rPr>
      </w:pPr>
      <w:r>
        <w:rPr>
          <w:rFonts w:hint="eastAsia" w:ascii="宋体" w:hAnsi="宋体" w:cs="宋体"/>
          <w:b/>
          <w:color w:val="auto"/>
          <w:spacing w:val="0"/>
          <w:position w:val="0"/>
          <w:sz w:val="28"/>
          <w:szCs w:val="28"/>
          <w:highlight w:val="none"/>
        </w:rPr>
        <w:t>采购代理机构：</w:t>
      </w:r>
      <w:r>
        <w:rPr>
          <w:rFonts w:hint="eastAsia" w:ascii="宋体" w:hAnsi="宋体" w:cs="宋体"/>
          <w:b/>
          <w:color w:val="auto"/>
          <w:spacing w:val="0"/>
          <w:position w:val="0"/>
          <w:sz w:val="28"/>
          <w:szCs w:val="28"/>
          <w:highlight w:val="none"/>
          <w:u w:val="single"/>
        </w:rPr>
        <w:t xml:space="preserve"> </w:t>
      </w:r>
      <w:r>
        <w:rPr>
          <w:rFonts w:hint="eastAsia" w:ascii="宋体" w:hAnsi="宋体" w:cs="宋体"/>
          <w:b/>
          <w:color w:val="auto"/>
          <w:spacing w:val="0"/>
          <w:position w:val="0"/>
          <w:sz w:val="28"/>
          <w:szCs w:val="28"/>
          <w:highlight w:val="none"/>
          <w:u w:val="single"/>
          <w:lang w:eastAsia="zh-CN"/>
        </w:rPr>
        <w:t>广西昶吉工程项目管理有限公司</w:t>
      </w:r>
      <w:r>
        <w:rPr>
          <w:rFonts w:hint="eastAsia" w:ascii="宋体" w:hAnsi="宋体" w:cs="宋体"/>
          <w:b/>
          <w:color w:val="auto"/>
          <w:spacing w:val="0"/>
          <w:position w:val="0"/>
          <w:sz w:val="28"/>
          <w:szCs w:val="28"/>
          <w:highlight w:val="none"/>
          <w:u w:val="single"/>
        </w:rPr>
        <w:t xml:space="preserve">   </w:t>
      </w:r>
    </w:p>
    <w:p w14:paraId="786DABF1">
      <w:pPr>
        <w:pStyle w:val="7"/>
        <w:keepNext w:val="0"/>
        <w:keepLines w:val="0"/>
        <w:pageBreakBefore w:val="0"/>
        <w:widowControl w:val="0"/>
        <w:kinsoku/>
        <w:wordWrap w:val="0"/>
        <w:overflowPunct/>
        <w:topLinePunct w:val="0"/>
        <w:bidi w:val="0"/>
        <w:spacing w:line="360" w:lineRule="auto"/>
        <w:ind w:left="0" w:leftChars="0" w:firstLine="0" w:firstLineChars="0"/>
        <w:rPr>
          <w:rFonts w:ascii="宋体" w:hAnsi="宋体" w:cs="宋体"/>
          <w:bCs/>
          <w:color w:val="auto"/>
          <w:spacing w:val="0"/>
          <w:position w:val="0"/>
          <w:sz w:val="28"/>
          <w:szCs w:val="28"/>
          <w:highlight w:val="none"/>
        </w:rPr>
      </w:pPr>
      <w:bookmarkStart w:id="33" w:name="_Toc20319_WPSOffice_Level2"/>
      <w:bookmarkStart w:id="34" w:name="_Toc4932_WPSOffice_Level2"/>
      <w:r>
        <w:rPr>
          <w:rFonts w:hint="eastAsia" w:ascii="宋体" w:hAnsi="宋体" w:cs="宋体"/>
          <w:bCs/>
          <w:color w:val="auto"/>
          <w:spacing w:val="0"/>
          <w:position w:val="0"/>
          <w:sz w:val="28"/>
          <w:szCs w:val="28"/>
          <w:highlight w:val="none"/>
        </w:rPr>
        <w:t>供应商[公章(CA签章)、自然人除外]：</w:t>
      </w:r>
      <w:r>
        <w:rPr>
          <w:rFonts w:hint="eastAsia" w:ascii="宋体" w:hAnsi="宋体" w:cs="宋体"/>
          <w:bCs/>
          <w:color w:val="auto"/>
          <w:spacing w:val="0"/>
          <w:position w:val="0"/>
          <w:sz w:val="28"/>
          <w:szCs w:val="28"/>
          <w:highlight w:val="none"/>
          <w:u w:val="single"/>
        </w:rPr>
        <w:t xml:space="preserve">                     </w:t>
      </w:r>
      <w:bookmarkEnd w:id="33"/>
      <w:bookmarkEnd w:id="34"/>
    </w:p>
    <w:p w14:paraId="71276D12">
      <w:pPr>
        <w:pStyle w:val="9"/>
        <w:keepNext w:val="0"/>
        <w:keepLines w:val="0"/>
        <w:pageBreakBefore w:val="0"/>
        <w:widowControl w:val="0"/>
        <w:kinsoku/>
        <w:wordWrap w:val="0"/>
        <w:overflowPunct/>
        <w:topLinePunct w:val="0"/>
        <w:bidi w:val="0"/>
        <w:spacing w:line="360" w:lineRule="auto"/>
        <w:rPr>
          <w:rFonts w:ascii="宋体" w:hAnsi="宋体" w:cs="宋体"/>
          <w:color w:val="auto"/>
          <w:spacing w:val="0"/>
          <w:position w:val="0"/>
          <w:sz w:val="28"/>
          <w:szCs w:val="28"/>
          <w:highlight w:val="none"/>
          <w:u w:val="single"/>
        </w:rPr>
      </w:pPr>
      <w:bookmarkStart w:id="35" w:name="_Toc9622_WPSOffice_Level2"/>
      <w:bookmarkStart w:id="36" w:name="_Toc32056_WPSOffice_Level2"/>
      <w:r>
        <w:rPr>
          <w:rFonts w:hint="eastAsia" w:hAnsi="宋体" w:cs="宋体"/>
          <w:color w:val="auto"/>
          <w:spacing w:val="0"/>
          <w:position w:val="0"/>
          <w:sz w:val="28"/>
          <w:szCs w:val="28"/>
          <w:highlight w:val="none"/>
        </w:rPr>
        <w:t>法定代表人、负责人、自然人或相应的委托代理人签字[或盖章(CA签章)]</w:t>
      </w:r>
      <w:r>
        <w:rPr>
          <w:rFonts w:hint="eastAsia" w:ascii="宋体" w:hAnsi="宋体" w:cs="宋体"/>
          <w:color w:val="auto"/>
          <w:spacing w:val="0"/>
          <w:position w:val="0"/>
          <w:sz w:val="28"/>
          <w:szCs w:val="28"/>
          <w:highlight w:val="none"/>
        </w:rPr>
        <w:t>（属自然人的应在签名处加盖大拇指指印或个人CA签章）：</w:t>
      </w:r>
      <w:r>
        <w:rPr>
          <w:rFonts w:hint="eastAsia" w:ascii="宋体" w:hAnsi="宋体" w:cs="宋体"/>
          <w:color w:val="auto"/>
          <w:spacing w:val="0"/>
          <w:position w:val="0"/>
          <w:sz w:val="28"/>
          <w:szCs w:val="28"/>
          <w:highlight w:val="none"/>
          <w:u w:val="single"/>
        </w:rPr>
        <w:t xml:space="preserve">          </w:t>
      </w:r>
    </w:p>
    <w:p w14:paraId="5B4B756D">
      <w:pPr>
        <w:pStyle w:val="7"/>
        <w:keepNext w:val="0"/>
        <w:keepLines w:val="0"/>
        <w:pageBreakBefore w:val="0"/>
        <w:widowControl w:val="0"/>
        <w:kinsoku/>
        <w:wordWrap w:val="0"/>
        <w:overflowPunct/>
        <w:topLinePunct w:val="0"/>
        <w:bidi w:val="0"/>
        <w:spacing w:line="360" w:lineRule="auto"/>
        <w:ind w:left="0" w:leftChars="0" w:firstLine="0" w:firstLineChars="0"/>
        <w:rPr>
          <w:rFonts w:ascii="宋体" w:hAnsi="宋体" w:cs="宋体"/>
          <w:bCs/>
          <w:color w:val="auto"/>
          <w:spacing w:val="0"/>
          <w:position w:val="0"/>
          <w:sz w:val="28"/>
          <w:szCs w:val="28"/>
          <w:highlight w:val="none"/>
          <w:u w:val="single"/>
        </w:rPr>
      </w:pPr>
      <w:r>
        <w:rPr>
          <w:rFonts w:hint="eastAsia" w:ascii="宋体" w:hAnsi="宋体" w:cs="宋体"/>
          <w:bCs/>
          <w:color w:val="auto"/>
          <w:spacing w:val="0"/>
          <w:position w:val="0"/>
          <w:sz w:val="28"/>
          <w:szCs w:val="28"/>
          <w:highlight w:val="none"/>
        </w:rPr>
        <w:t>联系电话：</w:t>
      </w:r>
      <w:bookmarkEnd w:id="35"/>
      <w:bookmarkEnd w:id="36"/>
      <w:r>
        <w:rPr>
          <w:rFonts w:hint="eastAsia" w:ascii="宋体" w:hAnsi="宋体" w:cs="宋体"/>
          <w:bCs/>
          <w:color w:val="auto"/>
          <w:spacing w:val="0"/>
          <w:position w:val="0"/>
          <w:sz w:val="28"/>
          <w:szCs w:val="28"/>
          <w:highlight w:val="none"/>
          <w:u w:val="single"/>
        </w:rPr>
        <w:t xml:space="preserve">                                                </w:t>
      </w:r>
    </w:p>
    <w:p w14:paraId="43F5EC0D">
      <w:pPr>
        <w:pStyle w:val="7"/>
        <w:keepNext w:val="0"/>
        <w:keepLines w:val="0"/>
        <w:pageBreakBefore w:val="0"/>
        <w:widowControl w:val="0"/>
        <w:kinsoku/>
        <w:wordWrap w:val="0"/>
        <w:overflowPunct/>
        <w:topLinePunct w:val="0"/>
        <w:bidi w:val="0"/>
        <w:spacing w:line="360" w:lineRule="auto"/>
        <w:ind w:left="0" w:leftChars="0" w:firstLine="0" w:firstLineChars="0"/>
        <w:rPr>
          <w:rFonts w:ascii="宋体" w:hAnsi="宋体" w:cs="宋体"/>
          <w:bCs/>
          <w:color w:val="auto"/>
          <w:spacing w:val="0"/>
          <w:position w:val="0"/>
          <w:sz w:val="28"/>
          <w:szCs w:val="28"/>
          <w:highlight w:val="none"/>
        </w:rPr>
      </w:pPr>
      <w:bookmarkStart w:id="37" w:name="_Toc15933_WPSOffice_Level2"/>
      <w:bookmarkStart w:id="38" w:name="_Toc26465_WPSOffice_Level2"/>
      <w:r>
        <w:rPr>
          <w:rFonts w:hint="eastAsia" w:ascii="宋体" w:hAnsi="宋体" w:cs="宋体"/>
          <w:bCs/>
          <w:color w:val="auto"/>
          <w:spacing w:val="0"/>
          <w:position w:val="0"/>
          <w:sz w:val="28"/>
          <w:szCs w:val="28"/>
          <w:highlight w:val="none"/>
        </w:rPr>
        <w:t>日期：</w:t>
      </w:r>
      <w:r>
        <w:rPr>
          <w:rFonts w:hint="eastAsia" w:ascii="宋体" w:hAnsi="宋体" w:cs="宋体"/>
          <w:bCs/>
          <w:color w:val="auto"/>
          <w:spacing w:val="0"/>
          <w:position w:val="0"/>
          <w:sz w:val="28"/>
          <w:szCs w:val="28"/>
          <w:highlight w:val="none"/>
          <w:u w:val="single"/>
        </w:rPr>
        <w:t xml:space="preserve">              </w:t>
      </w:r>
      <w:r>
        <w:rPr>
          <w:rFonts w:hint="eastAsia" w:ascii="宋体" w:hAnsi="宋体" w:cs="宋体"/>
          <w:bCs/>
          <w:color w:val="auto"/>
          <w:spacing w:val="0"/>
          <w:position w:val="0"/>
          <w:sz w:val="28"/>
          <w:szCs w:val="28"/>
          <w:highlight w:val="none"/>
        </w:rPr>
        <w:t>年</w:t>
      </w:r>
      <w:r>
        <w:rPr>
          <w:rFonts w:hint="eastAsia" w:ascii="宋体" w:hAnsi="宋体" w:cs="宋体"/>
          <w:bCs/>
          <w:color w:val="auto"/>
          <w:spacing w:val="0"/>
          <w:position w:val="0"/>
          <w:sz w:val="28"/>
          <w:szCs w:val="28"/>
          <w:highlight w:val="none"/>
          <w:u w:val="single"/>
        </w:rPr>
        <w:t xml:space="preserve">           </w:t>
      </w:r>
      <w:r>
        <w:rPr>
          <w:rFonts w:hint="eastAsia" w:ascii="宋体" w:hAnsi="宋体" w:cs="宋体"/>
          <w:bCs/>
          <w:color w:val="auto"/>
          <w:spacing w:val="0"/>
          <w:position w:val="0"/>
          <w:sz w:val="28"/>
          <w:szCs w:val="28"/>
          <w:highlight w:val="none"/>
        </w:rPr>
        <w:t>月</w:t>
      </w:r>
      <w:r>
        <w:rPr>
          <w:rFonts w:hint="eastAsia" w:ascii="宋体" w:hAnsi="宋体" w:cs="宋体"/>
          <w:bCs/>
          <w:color w:val="auto"/>
          <w:spacing w:val="0"/>
          <w:position w:val="0"/>
          <w:sz w:val="28"/>
          <w:szCs w:val="28"/>
          <w:highlight w:val="none"/>
          <w:u w:val="single"/>
        </w:rPr>
        <w:t xml:space="preserve">           </w:t>
      </w:r>
      <w:r>
        <w:rPr>
          <w:rFonts w:hint="eastAsia" w:ascii="宋体" w:hAnsi="宋体" w:cs="宋体"/>
          <w:bCs/>
          <w:color w:val="auto"/>
          <w:spacing w:val="0"/>
          <w:position w:val="0"/>
          <w:sz w:val="28"/>
          <w:szCs w:val="28"/>
          <w:highlight w:val="none"/>
        </w:rPr>
        <w:t>日</w:t>
      </w:r>
      <w:bookmarkEnd w:id="37"/>
      <w:bookmarkEnd w:id="38"/>
    </w:p>
    <w:p w14:paraId="29F68C9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0" w:firstLineChars="200"/>
        <w:textAlignment w:val="baseline"/>
        <w:rPr>
          <w:rFonts w:ascii="宋体" w:hAnsi="宋体" w:eastAsia="宋体" w:cs="宋体"/>
          <w:color w:val="auto"/>
          <w:spacing w:val="0"/>
          <w:position w:val="0"/>
          <w:sz w:val="31"/>
          <w:szCs w:val="31"/>
          <w:highlight w:val="none"/>
        </w:rPr>
        <w:sectPr>
          <w:footerReference r:id="rId13" w:type="default"/>
          <w:pgSz w:w="11906" w:h="16839"/>
          <w:pgMar w:top="1417" w:right="1417" w:bottom="1417" w:left="1417" w:header="0" w:footer="1097" w:gutter="0"/>
          <w:pgNumType w:fmt="decimal"/>
          <w:cols w:space="720" w:num="1"/>
          <w:rtlGutter w:val="0"/>
          <w:docGrid w:linePitch="0" w:charSpace="0"/>
        </w:sectPr>
      </w:pPr>
    </w:p>
    <w:p w14:paraId="3243816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31"/>
          <w:szCs w:val="31"/>
          <w:highlight w:val="none"/>
          <w:lang w:val="en-US" w:eastAsia="zh-CN"/>
        </w:rPr>
        <w:t>二</w:t>
      </w:r>
      <w:r>
        <w:rPr>
          <w:rFonts w:ascii="宋体" w:hAnsi="宋体" w:eastAsia="宋体" w:cs="宋体"/>
          <w:b/>
          <w:bCs/>
          <w:color w:val="auto"/>
          <w:spacing w:val="0"/>
          <w:position w:val="0"/>
          <w:sz w:val="31"/>
          <w:szCs w:val="31"/>
          <w:highlight w:val="none"/>
        </w:rPr>
        <w:t>、响应文件组成</w:t>
      </w:r>
    </w:p>
    <w:p w14:paraId="3A02322F">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D12CA7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A68BE5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87B98A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5C9239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24"/>
          <w:szCs w:val="24"/>
          <w:highlight w:val="none"/>
        </w:rPr>
        <w:t>（一）</w:t>
      </w:r>
      <w:r>
        <w:rPr>
          <w:rFonts w:ascii="宋体" w:hAnsi="宋体" w:eastAsia="宋体" w:cs="宋体"/>
          <w:b/>
          <w:bCs/>
          <w:color w:val="auto"/>
          <w:spacing w:val="0"/>
          <w:position w:val="0"/>
          <w:sz w:val="31"/>
          <w:szCs w:val="31"/>
          <w:highlight w:val="none"/>
        </w:rPr>
        <w:t>资格性响应证明材料</w:t>
      </w:r>
    </w:p>
    <w:p w14:paraId="01C77DA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D31719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5A1A481">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DD6661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03C616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BC77FF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18EA87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24"/>
          <w:szCs w:val="24"/>
          <w:highlight w:val="none"/>
        </w:rPr>
        <w:t>（二）</w:t>
      </w:r>
      <w:r>
        <w:rPr>
          <w:rFonts w:ascii="宋体" w:hAnsi="宋体" w:eastAsia="宋体" w:cs="宋体"/>
          <w:b/>
          <w:bCs/>
          <w:color w:val="auto"/>
          <w:spacing w:val="0"/>
          <w:position w:val="0"/>
          <w:sz w:val="31"/>
          <w:szCs w:val="31"/>
          <w:highlight w:val="none"/>
        </w:rPr>
        <w:t>符合性响应证明材料</w:t>
      </w:r>
    </w:p>
    <w:p w14:paraId="1AFEABF4">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731093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7922A8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531F55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54B070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67A1F9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AF823B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24"/>
          <w:szCs w:val="24"/>
          <w:highlight w:val="none"/>
        </w:rPr>
        <w:t>（三）</w:t>
      </w:r>
      <w:r>
        <w:rPr>
          <w:rFonts w:ascii="宋体" w:hAnsi="宋体" w:eastAsia="宋体" w:cs="宋体"/>
          <w:b/>
          <w:bCs/>
          <w:color w:val="auto"/>
          <w:spacing w:val="0"/>
          <w:position w:val="0"/>
          <w:sz w:val="31"/>
          <w:szCs w:val="31"/>
          <w:highlight w:val="none"/>
        </w:rPr>
        <w:t>其它有效证明材料</w:t>
      </w:r>
    </w:p>
    <w:p w14:paraId="2C6E529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0" w:firstLineChars="200"/>
        <w:textAlignment w:val="baseline"/>
        <w:rPr>
          <w:rFonts w:ascii="宋体" w:hAnsi="宋体" w:eastAsia="宋体" w:cs="宋体"/>
          <w:color w:val="auto"/>
          <w:spacing w:val="0"/>
          <w:position w:val="0"/>
          <w:sz w:val="31"/>
          <w:szCs w:val="31"/>
          <w:highlight w:val="none"/>
        </w:rPr>
        <w:sectPr>
          <w:footerReference r:id="rId14" w:type="default"/>
          <w:pgSz w:w="11906" w:h="16839"/>
          <w:pgMar w:top="1417" w:right="1417" w:bottom="1417" w:left="1417" w:header="0" w:footer="1097" w:gutter="0"/>
          <w:pgNumType w:fmt="decimal"/>
          <w:cols w:space="720" w:num="1"/>
          <w:rtlGutter w:val="0"/>
          <w:docGrid w:linePitch="0" w:charSpace="0"/>
        </w:sectPr>
      </w:pPr>
    </w:p>
    <w:p w14:paraId="5B31BF8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（一）资格性响应证明材料目录</w:t>
      </w:r>
    </w:p>
    <w:p w14:paraId="6A22F912">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1</w:t>
      </w:r>
      <w:r>
        <w:rPr>
          <w:rFonts w:ascii="宋体" w:hAnsi="宋体" w:eastAsia="宋体" w:cs="宋体"/>
          <w:color w:val="auto"/>
          <w:spacing w:val="0"/>
          <w:position w:val="0"/>
          <w:sz w:val="21"/>
          <w:szCs w:val="21"/>
          <w:highlight w:val="none"/>
        </w:rPr>
        <w:t>.供应商相应的法定代表人(负责人、 自然人)身份证正反两面复印件（必须提供）；</w:t>
      </w:r>
    </w:p>
    <w:p w14:paraId="6C3340DD">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2</w:t>
      </w:r>
      <w:r>
        <w:rPr>
          <w:rFonts w:ascii="宋体" w:hAnsi="宋体" w:eastAsia="宋体" w:cs="宋体"/>
          <w:color w:val="auto"/>
          <w:spacing w:val="0"/>
          <w:position w:val="0"/>
          <w:sz w:val="21"/>
          <w:szCs w:val="21"/>
          <w:highlight w:val="none"/>
        </w:rPr>
        <w:t>.供应商的授权委托书原件、委托代理人身份证正反面复印件（委托代理时必须提供）；</w:t>
      </w:r>
    </w:p>
    <w:p w14:paraId="1418A125">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3</w:t>
      </w:r>
      <w:r>
        <w:rPr>
          <w:rFonts w:ascii="宋体" w:hAnsi="宋体" w:eastAsia="宋体" w:cs="宋体"/>
          <w:color w:val="auto"/>
          <w:spacing w:val="0"/>
          <w:position w:val="0"/>
          <w:sz w:val="21"/>
          <w:szCs w:val="21"/>
          <w:highlight w:val="none"/>
        </w:rPr>
        <w:t>.供应商的法人或者其他组织营业执照等证明文件复印件（必须提供， 自然人除外）；</w:t>
      </w:r>
    </w:p>
    <w:p w14:paraId="07B0D9BA">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注：①法人包括企业法人、机关法人、事业单位法人和社会团体法人；其他组织主要包括合伙 企业、非企业专业服务机构、个体工商户、农村承包经营户。②如供应商为企业（包括合伙企业）， 应提供市场监督管理部门（或行政审批部门）注册的有效“企业法人营业执照 ”或“营业执照；供 应商为事业单位，应提供有效的“事业单位法人证书 ”；供应商为非企业专业服务机构的，应提供 执业许可证等证明文件；供应商为个体工商户，应提供有效的“个体工商户营业执照 ”。③如供应 商为企业法人的分支机构的，除应提供营业执照复印件外，还应提供其所属的总公司授权其参加政 府采购活动的授权文件或授权其独立开展经营业务活动的证明材料复印件。</w:t>
      </w:r>
    </w:p>
    <w:p w14:paraId="1D16B5D2">
      <w:pPr>
        <w:keepNext w:val="0"/>
        <w:keepLines w:val="0"/>
        <w:pageBreakBefore w:val="0"/>
        <w:widowControl w:val="0"/>
        <w:numPr>
          <w:ilvl w:val="0"/>
          <w:numId w:val="7"/>
        </w:numPr>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eastAsia="zh-CN"/>
        </w:rPr>
        <w:t>供应商财务状况报告复印件</w:t>
      </w:r>
      <w:r>
        <w:rPr>
          <w:rFonts w:ascii="宋体" w:hAnsi="宋体" w:eastAsia="宋体" w:cs="宋体"/>
          <w:color w:val="auto"/>
          <w:spacing w:val="0"/>
          <w:position w:val="0"/>
          <w:sz w:val="21"/>
          <w:szCs w:val="21"/>
          <w:highlight w:val="none"/>
        </w:rPr>
        <w:t>（必须提供）；</w:t>
      </w:r>
    </w:p>
    <w:p w14:paraId="7886BAE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40" w:lineRule="exact"/>
        <w:ind w:right="0" w:rightChars="0" w:firstLine="402" w:firstLineChars="200"/>
        <w:textAlignment w:val="baseline"/>
        <w:rPr>
          <w:rFonts w:ascii="宋体" w:hAnsi="宋体" w:eastAsia="宋体" w:cs="宋体"/>
          <w:b/>
          <w:bCs/>
          <w:color w:val="auto"/>
          <w:spacing w:val="0"/>
          <w:position w:val="0"/>
          <w:sz w:val="20"/>
          <w:szCs w:val="20"/>
          <w:highlight w:val="none"/>
        </w:rPr>
      </w:pPr>
      <w:r>
        <w:rPr>
          <w:rFonts w:hint="eastAsia" w:ascii="宋体" w:hAnsi="宋体" w:eastAsia="宋体" w:cs="宋体"/>
          <w:b/>
          <w:bCs/>
          <w:color w:val="auto"/>
          <w:spacing w:val="0"/>
          <w:position w:val="0"/>
          <w:sz w:val="20"/>
          <w:szCs w:val="20"/>
          <w:highlight w:val="none"/>
        </w:rPr>
        <w:t>注：</w:t>
      </w:r>
      <w:r>
        <w:rPr>
          <w:rFonts w:hint="eastAsia" w:ascii="宋体" w:hAnsi="宋体" w:eastAsia="宋体" w:cs="宋体"/>
          <w:b/>
          <w:bCs/>
          <w:color w:val="auto"/>
          <w:spacing w:val="0"/>
          <w:position w:val="0"/>
          <w:sz w:val="20"/>
          <w:szCs w:val="20"/>
          <w:highlight w:val="none"/>
          <w:lang w:val="en-US" w:eastAsia="zh-CN"/>
        </w:rPr>
        <w:t>供应商</w:t>
      </w:r>
      <w:r>
        <w:rPr>
          <w:rFonts w:hint="eastAsia" w:ascii="宋体" w:hAnsi="宋体" w:eastAsia="宋体" w:cs="宋体"/>
          <w:b/>
          <w:bCs/>
          <w:color w:val="auto"/>
          <w:spacing w:val="0"/>
          <w:position w:val="0"/>
          <w:sz w:val="20"/>
          <w:szCs w:val="20"/>
          <w:highlight w:val="none"/>
        </w:rPr>
        <w:t>2025年度的财务报表复印件，或者2026年以来银行出具的资信证明，或者2026年以来中国人民银行征信中心出具的信用报告（企业参与</w:t>
      </w:r>
      <w:r>
        <w:rPr>
          <w:rFonts w:hint="eastAsia" w:ascii="宋体" w:hAnsi="宋体" w:eastAsia="宋体" w:cs="宋体"/>
          <w:b/>
          <w:bCs/>
          <w:color w:val="auto"/>
          <w:spacing w:val="0"/>
          <w:position w:val="0"/>
          <w:sz w:val="20"/>
          <w:szCs w:val="20"/>
          <w:highlight w:val="none"/>
          <w:lang w:val="en-US" w:eastAsia="zh-CN"/>
        </w:rPr>
        <w:t>竞</w:t>
      </w:r>
      <w:r>
        <w:rPr>
          <w:rFonts w:hint="eastAsia" w:ascii="宋体" w:hAnsi="宋体" w:eastAsia="宋体" w:cs="宋体"/>
          <w:b/>
          <w:bCs/>
          <w:color w:val="auto"/>
          <w:spacing w:val="0"/>
          <w:position w:val="0"/>
          <w:sz w:val="20"/>
          <w:szCs w:val="20"/>
          <w:highlight w:val="none"/>
        </w:rPr>
        <w:t>标的提供企业信用报告，自然人参与</w:t>
      </w:r>
      <w:r>
        <w:rPr>
          <w:rFonts w:hint="eastAsia" w:ascii="宋体" w:hAnsi="宋体" w:eastAsia="宋体" w:cs="宋体"/>
          <w:b/>
          <w:bCs/>
          <w:color w:val="auto"/>
          <w:spacing w:val="0"/>
          <w:position w:val="0"/>
          <w:sz w:val="20"/>
          <w:szCs w:val="20"/>
          <w:highlight w:val="none"/>
          <w:lang w:val="en-US" w:eastAsia="zh-CN"/>
        </w:rPr>
        <w:t>竞</w:t>
      </w:r>
      <w:r>
        <w:rPr>
          <w:rFonts w:hint="eastAsia" w:ascii="宋体" w:hAnsi="宋体" w:eastAsia="宋体" w:cs="宋体"/>
          <w:b/>
          <w:bCs/>
          <w:color w:val="auto"/>
          <w:spacing w:val="0"/>
          <w:position w:val="0"/>
          <w:sz w:val="20"/>
          <w:szCs w:val="20"/>
          <w:highlight w:val="none"/>
        </w:rPr>
        <w:t>标的提供个人信用报告，</w:t>
      </w:r>
      <w:r>
        <w:rPr>
          <w:rFonts w:hint="eastAsia" w:ascii="宋体" w:hAnsi="宋体" w:eastAsia="宋体" w:cs="宋体"/>
          <w:b/>
          <w:bCs/>
          <w:color w:val="auto"/>
          <w:spacing w:val="0"/>
          <w:position w:val="0"/>
          <w:sz w:val="20"/>
          <w:szCs w:val="20"/>
          <w:highlight w:val="none"/>
          <w:lang w:val="en-US" w:eastAsia="zh-CN"/>
        </w:rPr>
        <w:t>供应商</w:t>
      </w:r>
      <w:r>
        <w:rPr>
          <w:rFonts w:hint="eastAsia" w:ascii="宋体" w:hAnsi="宋体" w:eastAsia="宋体" w:cs="宋体"/>
          <w:b/>
          <w:bCs/>
          <w:color w:val="auto"/>
          <w:spacing w:val="0"/>
          <w:position w:val="0"/>
          <w:sz w:val="20"/>
          <w:szCs w:val="20"/>
          <w:highlight w:val="none"/>
        </w:rPr>
        <w:t>属于成立时间在规定年度之后的法人或其他组织，需提供成立之日起至投标文件递交截止时间前的月报表或银行出具的资信证明或者中国人民银行征信中心出具的企业信用报告；资信证明应在有效期内）</w:t>
      </w:r>
      <w:r>
        <w:rPr>
          <w:rFonts w:ascii="宋体" w:hAnsi="宋体" w:eastAsia="宋体" w:cs="宋体"/>
          <w:b/>
          <w:bCs/>
          <w:color w:val="auto"/>
          <w:spacing w:val="0"/>
          <w:position w:val="0"/>
          <w:sz w:val="20"/>
          <w:szCs w:val="20"/>
          <w:highlight w:val="none"/>
        </w:rPr>
        <w:t>（必须提供）</w:t>
      </w:r>
      <w:r>
        <w:rPr>
          <w:rFonts w:hint="eastAsia" w:ascii="宋体" w:hAnsi="宋体" w:eastAsia="宋体" w:cs="宋体"/>
          <w:b/>
          <w:bCs/>
          <w:color w:val="auto"/>
          <w:spacing w:val="0"/>
          <w:position w:val="0"/>
          <w:sz w:val="20"/>
          <w:szCs w:val="20"/>
          <w:highlight w:val="none"/>
        </w:rPr>
        <w:t>。</w:t>
      </w:r>
    </w:p>
    <w:p w14:paraId="63A8FD28">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5</w:t>
      </w: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eastAsia="zh-CN"/>
        </w:rPr>
        <w:t>供应商 2026年以来任意一个月依法缴纳税收的相关材料复印件【增值税发票(税收完税证明) 或企业所得税完税证明或税务部门出具的免税（无欠税）证明等证明材料】复印件（必须提供，从成立之日起到投标文件提交截止时间止不足一个月的，则无需提供）</w:t>
      </w:r>
      <w:r>
        <w:rPr>
          <w:rFonts w:ascii="宋体" w:hAnsi="宋体" w:eastAsia="宋体" w:cs="宋体"/>
          <w:color w:val="auto"/>
          <w:spacing w:val="0"/>
          <w:position w:val="0"/>
          <w:sz w:val="21"/>
          <w:szCs w:val="21"/>
          <w:highlight w:val="none"/>
        </w:rPr>
        <w:t>；</w:t>
      </w:r>
    </w:p>
    <w:p w14:paraId="1ABB8EAA">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6</w:t>
      </w:r>
      <w:r>
        <w:rPr>
          <w:rFonts w:ascii="宋体" w:hAnsi="宋体" w:eastAsia="宋体" w:cs="宋体"/>
          <w:color w:val="auto"/>
          <w:spacing w:val="0"/>
          <w:position w:val="0"/>
          <w:sz w:val="21"/>
          <w:szCs w:val="21"/>
          <w:highlight w:val="none"/>
        </w:rPr>
        <w:t>.供应商参加政府采购活动前 3 年内在经营活动中没有重大违法记录及有关信用信息的书面声 明（必须提供）；</w:t>
      </w:r>
    </w:p>
    <w:p w14:paraId="387E886E">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7</w:t>
      </w:r>
      <w:r>
        <w:rPr>
          <w:rFonts w:ascii="宋体" w:hAnsi="宋体" w:eastAsia="宋体" w:cs="宋体"/>
          <w:color w:val="auto"/>
          <w:spacing w:val="0"/>
          <w:position w:val="0"/>
          <w:sz w:val="21"/>
          <w:szCs w:val="21"/>
          <w:highlight w:val="none"/>
        </w:rPr>
        <w:t>.</w:t>
      </w:r>
      <w:r>
        <w:rPr>
          <w:rFonts w:hint="eastAsia" w:hAnsi="宋体" w:eastAsia="宋体"/>
          <w:b w:val="0"/>
          <w:bCs/>
          <w:color w:val="auto"/>
          <w:highlight w:val="none"/>
          <w:lang w:val="en-US" w:eastAsia="zh-CN"/>
        </w:rPr>
        <w:t>供应商</w:t>
      </w:r>
      <w:r>
        <w:rPr>
          <w:rFonts w:hint="eastAsia" w:hAnsi="宋体"/>
          <w:b w:val="0"/>
          <w:bCs/>
          <w:color w:val="auto"/>
          <w:highlight w:val="none"/>
        </w:rPr>
        <w:t>依</w:t>
      </w:r>
      <w:r>
        <w:rPr>
          <w:rFonts w:hint="eastAsia" w:ascii="宋体" w:hAnsi="宋体" w:eastAsia="宋体" w:cs="宋体"/>
          <w:color w:val="auto"/>
          <w:spacing w:val="0"/>
          <w:position w:val="0"/>
          <w:sz w:val="21"/>
          <w:szCs w:val="21"/>
          <w:highlight w:val="none"/>
        </w:rPr>
        <w:t>法缴纳社会保障资金的相关材料（必须提供）；</w:t>
      </w:r>
    </w:p>
    <w:p w14:paraId="371938E9">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注：</w:t>
      </w:r>
      <w:r>
        <w:rPr>
          <w:rFonts w:ascii="宋体" w:hAnsi="宋体" w:eastAsia="宋体" w:cs="宋体"/>
          <w:color w:val="auto"/>
          <w:spacing w:val="0"/>
          <w:position w:val="0"/>
          <w:sz w:val="21"/>
          <w:szCs w:val="21"/>
          <w:highlight w:val="none"/>
        </w:rPr>
        <w:t>供应商</w:t>
      </w:r>
      <w:r>
        <w:rPr>
          <w:rFonts w:hint="eastAsia" w:ascii="宋体" w:hAnsi="宋体" w:eastAsia="宋体" w:cs="宋体"/>
          <w:color w:val="auto"/>
          <w:spacing w:val="0"/>
          <w:position w:val="0"/>
          <w:sz w:val="21"/>
          <w:szCs w:val="21"/>
          <w:highlight w:val="none"/>
        </w:rPr>
        <w:t>2026年1月以来任意1个月的依法缴纳社会保障资金的缴费证明材料（如：专用收据、社会保险缴纳清单或者社保部门的证明）复印件；依法不需要缴纳社会保障资金的</w:t>
      </w:r>
      <w:r>
        <w:rPr>
          <w:rFonts w:hint="eastAsia" w:ascii="宋体" w:hAnsi="宋体" w:eastAsia="宋体" w:cs="宋体"/>
          <w:color w:val="auto"/>
          <w:spacing w:val="0"/>
          <w:position w:val="0"/>
          <w:sz w:val="21"/>
          <w:szCs w:val="21"/>
          <w:highlight w:val="none"/>
          <w:lang w:val="en-US" w:eastAsia="zh-CN"/>
        </w:rPr>
        <w:t>供应商</w:t>
      </w:r>
      <w:r>
        <w:rPr>
          <w:rFonts w:hint="eastAsia" w:ascii="宋体" w:hAnsi="宋体" w:eastAsia="宋体" w:cs="宋体"/>
          <w:color w:val="auto"/>
          <w:spacing w:val="0"/>
          <w:position w:val="0"/>
          <w:sz w:val="21"/>
          <w:szCs w:val="21"/>
          <w:highlight w:val="none"/>
        </w:rPr>
        <w:t>，必须提供相应文件证明不需要缴纳社会保障资金。从成立之日起到</w:t>
      </w:r>
      <w:r>
        <w:rPr>
          <w:rFonts w:hint="eastAsia" w:ascii="宋体" w:hAnsi="宋体" w:eastAsia="宋体" w:cs="宋体"/>
          <w:color w:val="auto"/>
          <w:spacing w:val="0"/>
          <w:position w:val="0"/>
          <w:sz w:val="21"/>
          <w:szCs w:val="21"/>
          <w:highlight w:val="none"/>
          <w:lang w:val="en-US" w:eastAsia="zh-CN"/>
        </w:rPr>
        <w:t>响应</w:t>
      </w:r>
      <w:r>
        <w:rPr>
          <w:rFonts w:hint="eastAsia" w:ascii="宋体" w:hAnsi="宋体" w:eastAsia="宋体" w:cs="宋体"/>
          <w:color w:val="auto"/>
          <w:spacing w:val="0"/>
          <w:position w:val="0"/>
          <w:sz w:val="21"/>
          <w:szCs w:val="21"/>
          <w:highlight w:val="none"/>
        </w:rPr>
        <w:t>文件提交截止时间止不足要求月数的，则无需提交。</w:t>
      </w:r>
    </w:p>
    <w:p w14:paraId="2DA1C429">
      <w:pPr>
        <w:keepNext w:val="0"/>
        <w:keepLines w:val="0"/>
        <w:pageBreakBefore w:val="0"/>
        <w:widowControl w:val="0"/>
        <w:kinsoku w:val="0"/>
        <w:wordWrap/>
        <w:overflowPunct/>
        <w:topLinePunct w:val="0"/>
        <w:autoSpaceDE w:val="0"/>
        <w:autoSpaceDN w:val="0"/>
        <w:bidi w:val="0"/>
        <w:adjustRightInd w:val="0"/>
        <w:snapToGrid w:val="0"/>
        <w:spacing w:line="440" w:lineRule="exact"/>
        <w:ind w:left="0" w:right="0" w:firstLine="420" w:firstLineChars="200"/>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供应商参加本项目无围标串标行为的承诺函（必须提供）。</w:t>
      </w:r>
    </w:p>
    <w:p w14:paraId="059BFA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15" w:type="default"/>
          <w:pgSz w:w="11906" w:h="16839"/>
          <w:pgMar w:top="1417" w:right="1417" w:bottom="1417" w:left="1417" w:header="0" w:footer="1097" w:gutter="0"/>
          <w:pgNumType w:fmt="decimal"/>
          <w:cols w:space="720" w:num="1"/>
          <w:rtlGutter w:val="0"/>
          <w:docGrid w:linePitch="0" w:charSpace="0"/>
        </w:sectPr>
      </w:pPr>
    </w:p>
    <w:p w14:paraId="785E2BEA">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1</w:t>
      </w:r>
      <w:r>
        <w:rPr>
          <w:rFonts w:ascii="宋体" w:hAnsi="宋体" w:eastAsia="宋体" w:cs="宋体"/>
          <w:b/>
          <w:bCs/>
          <w:color w:val="auto"/>
          <w:spacing w:val="0"/>
          <w:position w:val="0"/>
          <w:sz w:val="28"/>
          <w:szCs w:val="28"/>
          <w:highlight w:val="none"/>
        </w:rPr>
        <w:t>.</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供应商相应的法定代表人(负责人、自然人)身份证正反两面复印件（必</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须提供）</w:t>
      </w:r>
    </w:p>
    <w:p w14:paraId="6AB45F3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FBE4C4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CA6FD76">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2</w:t>
      </w:r>
      <w:r>
        <w:rPr>
          <w:rFonts w:ascii="宋体" w:hAnsi="宋体" w:eastAsia="宋体" w:cs="宋体"/>
          <w:b/>
          <w:bCs/>
          <w:color w:val="auto"/>
          <w:spacing w:val="0"/>
          <w:position w:val="0"/>
          <w:sz w:val="28"/>
          <w:szCs w:val="28"/>
          <w:highlight w:val="none"/>
        </w:rPr>
        <w:t>.供应商的授权委托书原件、委托代理人身份证正反面复印件（委托代理时必须提供）</w:t>
      </w:r>
    </w:p>
    <w:p w14:paraId="7113FC8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9064C8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FF8445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附件：</w:t>
      </w:r>
    </w:p>
    <w:p w14:paraId="5168EEE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授权委托书（格式一）</w:t>
      </w:r>
    </w:p>
    <w:p w14:paraId="6CCA743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color w:val="auto"/>
          <w:spacing w:val="0"/>
          <w:position w:val="0"/>
          <w:sz w:val="21"/>
          <w:szCs w:val="21"/>
          <w:highlight w:val="none"/>
          <w:lang w:eastAsia="zh-CN"/>
        </w:rPr>
      </w:pPr>
      <w:r>
        <w:rPr>
          <w:rFonts w:hint="eastAsia" w:asciiTheme="minorEastAsia" w:hAnsiTheme="minorEastAsia" w:eastAsiaTheme="minorEastAsia" w:cstheme="minorEastAsia"/>
          <w:b/>
          <w:bCs/>
          <w:color w:val="auto"/>
          <w:spacing w:val="0"/>
          <w:position w:val="0"/>
          <w:sz w:val="21"/>
          <w:szCs w:val="21"/>
          <w:highlight w:val="none"/>
        </w:rPr>
        <w:t>致</w:t>
      </w:r>
      <w:r>
        <w:rPr>
          <w:rFonts w:hint="eastAsia" w:asciiTheme="minorEastAsia" w:hAnsiTheme="minorEastAsia" w:eastAsiaTheme="minorEastAsia" w:cstheme="minorEastAsia"/>
          <w:color w:val="auto"/>
          <w:spacing w:val="0"/>
          <w:position w:val="0"/>
          <w:sz w:val="21"/>
          <w:szCs w:val="21"/>
          <w:highlight w:val="none"/>
        </w:rPr>
        <w:t>：</w:t>
      </w:r>
      <w:r>
        <w:rPr>
          <w:rFonts w:hint="eastAsia" w:asciiTheme="minorEastAsia" w:hAnsiTheme="minorEastAsia" w:eastAsiaTheme="minorEastAsia" w:cstheme="minorEastAsia"/>
          <w:color w:val="auto"/>
          <w:spacing w:val="0"/>
          <w:position w:val="0"/>
          <w:sz w:val="21"/>
          <w:szCs w:val="21"/>
          <w:highlight w:val="none"/>
          <w:u w:val="single" w:color="auto"/>
          <w:lang w:eastAsia="zh-CN"/>
        </w:rPr>
        <w:t>广西昶吉工程项目管理有限公司</w:t>
      </w:r>
    </w:p>
    <w:p w14:paraId="5CEA16E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color w:val="auto"/>
          <w:spacing w:val="0"/>
          <w:position w:val="0"/>
          <w:sz w:val="21"/>
          <w:szCs w:val="21"/>
          <w:highlight w:val="none"/>
        </w:rPr>
      </w:pPr>
      <w:r>
        <w:rPr>
          <w:rFonts w:hint="eastAsia" w:asciiTheme="minorEastAsia" w:hAnsiTheme="minorEastAsia" w:eastAsiaTheme="minorEastAsia" w:cstheme="minorEastAsia"/>
          <w:color w:val="auto"/>
          <w:spacing w:val="0"/>
          <w:position w:val="0"/>
          <w:sz w:val="21"/>
          <w:szCs w:val="21"/>
          <w:highlight w:val="none"/>
        </w:rPr>
        <w:t xml:space="preserve">我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（姓名）系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（供应商名称）的法定代表 人（负责人），现授权委托本单位在职职工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（姓名） 以我公司名义参加</w:t>
      </w:r>
      <w:r>
        <w:rPr>
          <w:rFonts w:hint="eastAsia" w:asciiTheme="minorEastAsia" w:hAnsiTheme="minorEastAsia" w:eastAsiaTheme="minorEastAsia" w:cstheme="minorEastAsia"/>
          <w:color w:val="auto"/>
          <w:spacing w:val="0"/>
          <w:position w:val="0"/>
          <w:sz w:val="21"/>
          <w:szCs w:val="21"/>
          <w:highlight w:val="none"/>
          <w:u w:val="single" w:color="auto"/>
        </w:rPr>
        <w:t xml:space="preserve">      （项目</w:t>
      </w:r>
      <w:r>
        <w:rPr>
          <w:rFonts w:hint="eastAsia" w:asciiTheme="minorEastAsia" w:hAnsiTheme="minorEastAsia" w:eastAsiaTheme="minorEastAsia" w:cstheme="minorEastAsia"/>
          <w:color w:val="auto"/>
          <w:spacing w:val="0"/>
          <w:position w:val="0"/>
          <w:sz w:val="21"/>
          <w:szCs w:val="21"/>
          <w:highlight w:val="none"/>
        </w:rPr>
        <w:t xml:space="preserve"> </w:t>
      </w:r>
      <w:r>
        <w:rPr>
          <w:rFonts w:hint="eastAsia" w:asciiTheme="minorEastAsia" w:hAnsiTheme="minorEastAsia" w:eastAsiaTheme="minorEastAsia" w:cstheme="minorEastAsia"/>
          <w:color w:val="auto"/>
          <w:spacing w:val="0"/>
          <w:position w:val="0"/>
          <w:sz w:val="21"/>
          <w:szCs w:val="21"/>
          <w:highlight w:val="none"/>
          <w:u w:val="single" w:color="auto"/>
        </w:rPr>
        <w:t xml:space="preserve">名称及项目编号）        </w:t>
      </w:r>
      <w:r>
        <w:rPr>
          <w:rFonts w:hint="eastAsia" w:asciiTheme="minorEastAsia" w:hAnsiTheme="minorEastAsia" w:eastAsiaTheme="minorEastAsia" w:cstheme="minorEastAsia"/>
          <w:color w:val="auto"/>
          <w:spacing w:val="0"/>
          <w:position w:val="0"/>
          <w:sz w:val="21"/>
          <w:szCs w:val="21"/>
          <w:highlight w:val="none"/>
        </w:rPr>
        <w:t xml:space="preserve"> 项目的谈判活动，并代表我方全权办理针对上述项目的谈判、签约等具 体事务和签署相关文件。</w:t>
      </w:r>
    </w:p>
    <w:p w14:paraId="4880E92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color w:val="auto"/>
          <w:spacing w:val="0"/>
          <w:position w:val="0"/>
          <w:sz w:val="21"/>
          <w:szCs w:val="21"/>
          <w:highlight w:val="none"/>
        </w:rPr>
      </w:pPr>
      <w:r>
        <w:rPr>
          <w:rFonts w:hint="eastAsia" w:asciiTheme="minorEastAsia" w:hAnsiTheme="minorEastAsia" w:eastAsiaTheme="minorEastAsia" w:cstheme="minorEastAsia"/>
          <w:color w:val="auto"/>
          <w:spacing w:val="0"/>
          <w:position w:val="0"/>
          <w:sz w:val="21"/>
          <w:szCs w:val="21"/>
          <w:highlight w:val="none"/>
        </w:rPr>
        <w:t>我方对被授权人的签字事项负全部责任。</w:t>
      </w:r>
    </w:p>
    <w:p w14:paraId="3E82BE3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color w:val="auto"/>
          <w:spacing w:val="0"/>
          <w:position w:val="0"/>
          <w:sz w:val="21"/>
          <w:szCs w:val="21"/>
          <w:highlight w:val="none"/>
        </w:rPr>
      </w:pPr>
      <w:r>
        <w:rPr>
          <w:rFonts w:hint="eastAsia" w:asciiTheme="minorEastAsia" w:hAnsiTheme="minorEastAsia" w:eastAsiaTheme="minorEastAsia" w:cstheme="minorEastAsia"/>
          <w:color w:val="auto"/>
          <w:spacing w:val="0"/>
          <w:position w:val="0"/>
          <w:sz w:val="21"/>
          <w:szCs w:val="21"/>
          <w:highlight w:val="none"/>
        </w:rPr>
        <w:t xml:space="preserve">授权委托代理期限：从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 年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 月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 日起至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 年</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 月 </w:t>
      </w:r>
      <w:r>
        <w:rPr>
          <w:rFonts w:hint="eastAsia" w:asciiTheme="minorEastAsia" w:hAnsiTheme="minorEastAsia" w:eastAsiaTheme="minorEastAsia" w:cstheme="minorEastAsia"/>
          <w:color w:val="auto"/>
          <w:spacing w:val="0"/>
          <w:position w:val="0"/>
          <w:sz w:val="21"/>
          <w:szCs w:val="21"/>
          <w:highlight w:val="none"/>
          <w:u w:val="single" w:color="auto"/>
        </w:rPr>
        <w:t xml:space="preserve">     </w:t>
      </w:r>
      <w:r>
        <w:rPr>
          <w:rFonts w:hint="eastAsia" w:asciiTheme="minorEastAsia" w:hAnsiTheme="minorEastAsia" w:eastAsiaTheme="minorEastAsia" w:cstheme="minorEastAsia"/>
          <w:color w:val="auto"/>
          <w:spacing w:val="0"/>
          <w:position w:val="0"/>
          <w:sz w:val="21"/>
          <w:szCs w:val="21"/>
          <w:highlight w:val="none"/>
        </w:rPr>
        <w:t xml:space="preserve"> 日止。</w:t>
      </w:r>
    </w:p>
    <w:p w14:paraId="02B483D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color w:val="auto"/>
          <w:spacing w:val="0"/>
          <w:position w:val="0"/>
          <w:sz w:val="21"/>
          <w:szCs w:val="21"/>
          <w:highlight w:val="none"/>
        </w:rPr>
      </w:pPr>
      <w:r>
        <w:rPr>
          <w:rFonts w:hint="eastAsia" w:asciiTheme="minorEastAsia" w:hAnsiTheme="minorEastAsia" w:eastAsiaTheme="minorEastAsia" w:cstheme="minorEastAsia"/>
          <w:color w:val="auto"/>
          <w:spacing w:val="0"/>
          <w:position w:val="0"/>
          <w:sz w:val="21"/>
          <w:szCs w:val="21"/>
          <w:highlight w:val="none"/>
        </w:rPr>
        <w:t>代理人无转委托权,特此委托。</w:t>
      </w:r>
    </w:p>
    <w:p w14:paraId="0F436F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color w:val="auto"/>
          <w:spacing w:val="0"/>
          <w:position w:val="0"/>
          <w:sz w:val="21"/>
          <w:szCs w:val="21"/>
          <w:highlight w:val="none"/>
        </w:rPr>
      </w:pPr>
      <w:r>
        <w:rPr>
          <w:rFonts w:hint="eastAsia" w:asciiTheme="minorEastAsia" w:hAnsiTheme="minorEastAsia" w:eastAsiaTheme="minorEastAsia" w:cstheme="minorEastAsia"/>
          <w:color w:val="auto"/>
          <w:spacing w:val="0"/>
          <w:position w:val="0"/>
          <w:sz w:val="21"/>
          <w:szCs w:val="21"/>
          <w:highlight w:val="none"/>
        </w:rPr>
        <w:t>我已在下面签字， 以资证明。</w:t>
      </w:r>
    </w:p>
    <w:p w14:paraId="146017B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0CADD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p>
    <w:p w14:paraId="2C24E2D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供应商（CA 证书签章）：</w:t>
      </w:r>
    </w:p>
    <w:p w14:paraId="3ABD03B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09F7864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法定代表人（负责人）签字（或个人 CA 证书签章）：</w:t>
      </w:r>
    </w:p>
    <w:p w14:paraId="639D42E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175677B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年      月     日</w:t>
      </w:r>
    </w:p>
    <w:p w14:paraId="5862D6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附：委托代理人身份证正反面复印件以（委托代理时必须提供）。</w:t>
      </w:r>
    </w:p>
    <w:p w14:paraId="07BBE4B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sectPr>
          <w:footerReference r:id="rId16" w:type="default"/>
          <w:pgSz w:w="11906" w:h="16839"/>
          <w:pgMar w:top="1417" w:right="1417" w:bottom="1417" w:left="1417" w:header="0" w:footer="1097" w:gutter="0"/>
          <w:pgNumType w:fmt="decimal"/>
          <w:cols w:space="720" w:num="1"/>
          <w:rtlGutter w:val="0"/>
          <w:docGrid w:linePitch="0" w:charSpace="0"/>
        </w:sectPr>
      </w:pPr>
    </w:p>
    <w:p w14:paraId="023536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授权委托书（格式二）</w:t>
      </w:r>
    </w:p>
    <w:p w14:paraId="0E55C87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b/>
          <w:bCs/>
          <w:color w:val="auto"/>
          <w:spacing w:val="0"/>
          <w:position w:val="0"/>
          <w:sz w:val="21"/>
          <w:szCs w:val="21"/>
          <w:highlight w:val="none"/>
        </w:rPr>
        <w:t>致</w:t>
      </w: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u w:val="single" w:color="auto"/>
          <w:lang w:eastAsia="zh-CN"/>
        </w:rPr>
        <w:t>广西昶吉工程项目管理有限公司</w:t>
      </w:r>
    </w:p>
    <w:p w14:paraId="4DBE9F98">
      <w:pPr>
        <w:keepNext w:val="0"/>
        <w:keepLines w:val="0"/>
        <w:pageBreakBefore w:val="0"/>
        <w:widowControl w:val="0"/>
        <w:tabs>
          <w:tab w:val="left" w:pos="118"/>
        </w:tabs>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我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（姓名）系自然人，现授权委托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（姓 名） 以本人名义参加 </w:t>
      </w:r>
      <w:r>
        <w:rPr>
          <w:rFonts w:ascii="宋体" w:hAnsi="宋体" w:eastAsia="宋体" w:cs="宋体"/>
          <w:color w:val="auto"/>
          <w:spacing w:val="0"/>
          <w:position w:val="0"/>
          <w:sz w:val="21"/>
          <w:szCs w:val="21"/>
          <w:highlight w:val="none"/>
          <w:u w:val="single" w:color="auto"/>
        </w:rPr>
        <w:tab/>
      </w:r>
      <w:r>
        <w:rPr>
          <w:rFonts w:ascii="宋体" w:hAnsi="宋体" w:eastAsia="宋体" w:cs="宋体"/>
          <w:color w:val="auto"/>
          <w:spacing w:val="0"/>
          <w:position w:val="0"/>
          <w:sz w:val="21"/>
          <w:szCs w:val="21"/>
          <w:highlight w:val="none"/>
          <w:u w:val="single" w:color="auto"/>
        </w:rPr>
        <w:t xml:space="preserve">（项目名称及项目编号）        </w:t>
      </w:r>
      <w:r>
        <w:rPr>
          <w:rFonts w:ascii="宋体" w:hAnsi="宋体" w:eastAsia="宋体" w:cs="宋体"/>
          <w:color w:val="auto"/>
          <w:spacing w:val="0"/>
          <w:position w:val="0"/>
          <w:sz w:val="21"/>
          <w:szCs w:val="21"/>
          <w:highlight w:val="none"/>
        </w:rPr>
        <w:t xml:space="preserve"> 项目的谈判活动，并代表本人全权办理针对上述项目的谈判、签 约等具体事务和签署相关文件。</w:t>
      </w:r>
    </w:p>
    <w:p w14:paraId="175E365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本人对被授权人的签字事项负全部责任。</w:t>
      </w:r>
    </w:p>
    <w:p w14:paraId="752ABF8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授权委托代理期限：从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年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月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日起至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年</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月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日止。</w:t>
      </w:r>
    </w:p>
    <w:p w14:paraId="092EEE5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代理人无转委托权,特此委托。</w:t>
      </w:r>
    </w:p>
    <w:p w14:paraId="03384FB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我已在下面签字， 以资证明。</w:t>
      </w:r>
    </w:p>
    <w:p w14:paraId="0982D481">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38EEE60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自然人签字（或个人 CA 证书签章）：</w:t>
      </w:r>
      <w:r>
        <w:rPr>
          <w:rFonts w:ascii="宋体" w:hAnsi="宋体" w:eastAsia="宋体" w:cs="宋体"/>
          <w:color w:val="auto"/>
          <w:spacing w:val="0"/>
          <w:position w:val="0"/>
          <w:sz w:val="21"/>
          <w:szCs w:val="21"/>
          <w:highlight w:val="none"/>
          <w:u w:val="single" w:color="auto"/>
        </w:rPr>
        <w:t xml:space="preserve">                   </w:t>
      </w:r>
    </w:p>
    <w:p w14:paraId="08749F6C">
      <w:pPr>
        <w:keepNext w:val="0"/>
        <w:keepLines w:val="0"/>
        <w:pageBreakBefore w:val="0"/>
        <w:widowControl w:val="0"/>
        <w:tabs>
          <w:tab w:val="left" w:pos="1260"/>
        </w:tabs>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u w:val="single" w:color="auto"/>
        </w:rPr>
        <w:tab/>
      </w:r>
      <w:r>
        <w:rPr>
          <w:rFonts w:ascii="宋体" w:hAnsi="宋体" w:eastAsia="宋体" w:cs="宋体"/>
          <w:color w:val="auto"/>
          <w:spacing w:val="0"/>
          <w:position w:val="0"/>
          <w:sz w:val="21"/>
          <w:szCs w:val="21"/>
          <w:highlight w:val="none"/>
        </w:rPr>
        <w:t xml:space="preserve"> 年</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月</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日</w:t>
      </w:r>
    </w:p>
    <w:p w14:paraId="51CDA3A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9CF813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附：委托代理人身份证正反面复印件（委托代理时必须提供）。</w:t>
      </w:r>
    </w:p>
    <w:p w14:paraId="1EC368F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475806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E1A69C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4D6066C">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3</w:t>
      </w:r>
      <w:r>
        <w:rPr>
          <w:rFonts w:ascii="宋体" w:hAnsi="宋体" w:eastAsia="宋体" w:cs="宋体"/>
          <w:b/>
          <w:bCs/>
          <w:color w:val="auto"/>
          <w:spacing w:val="0"/>
          <w:position w:val="0"/>
          <w:sz w:val="28"/>
          <w:szCs w:val="28"/>
          <w:highlight w:val="none"/>
        </w:rPr>
        <w:t>.供应商的法人或者其他组织营业执照等证明文件复印件（必须提供，</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自</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然人除外）</w:t>
      </w:r>
    </w:p>
    <w:p w14:paraId="2BEAAAB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jc w:val="both"/>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注：①法人包括企业法人、机关法人、事业单位法人和社会团体法人；其他组织主要包括合伙</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企业、非企业专业服务机构、个体工商户、农村承包经营户。②如供应商为企业（包括合伙企业），</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应提供市场监督管理部门（或行政审批部门）注册的有效“企业法人营业执照</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”或“营业执照；供</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应商为事业单位，应提供有效的“事业单位法人证书</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”；供应商为非企业专业服务机构的，应提供</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执业许可证等证明文件；供应商为个体工商户，应提供有效的“个体工商户营业执照</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”。③如供应</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商为企业法人的分支机构的，除应提供营业执照复印件外，还应提供其所属的总公司授权其参加政</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府采购活动的授权文件或授权其独立开展经营业务活动的证明材料复印件。</w:t>
      </w:r>
    </w:p>
    <w:p w14:paraId="5BAF2F5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b/>
          <w:bCs/>
          <w:color w:val="auto"/>
          <w:spacing w:val="0"/>
          <w:position w:val="0"/>
          <w:sz w:val="28"/>
          <w:szCs w:val="28"/>
          <w:highlight w:val="none"/>
        </w:rPr>
      </w:pPr>
    </w:p>
    <w:p w14:paraId="41ED0532">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exact"/>
        <w:jc w:val="left"/>
        <w:textAlignment w:val="auto"/>
        <w:rPr>
          <w:rFonts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4.</w:t>
      </w:r>
      <w:r>
        <w:rPr>
          <w:rFonts w:hint="eastAsia" w:ascii="宋体" w:hAnsi="宋体" w:eastAsia="宋体" w:cs="宋体"/>
          <w:b/>
          <w:bCs/>
          <w:color w:val="auto"/>
          <w:spacing w:val="0"/>
          <w:position w:val="0"/>
          <w:sz w:val="28"/>
          <w:szCs w:val="28"/>
          <w:highlight w:val="none"/>
          <w:lang w:eastAsia="zh-CN"/>
        </w:rPr>
        <w:t>供应商财务状况报告复印件</w:t>
      </w:r>
      <w:r>
        <w:rPr>
          <w:rFonts w:ascii="宋体" w:hAnsi="宋体" w:eastAsia="宋体" w:cs="宋体"/>
          <w:b/>
          <w:bCs/>
          <w:color w:val="auto"/>
          <w:spacing w:val="0"/>
          <w:position w:val="0"/>
          <w:sz w:val="28"/>
          <w:szCs w:val="28"/>
          <w:highlight w:val="none"/>
        </w:rPr>
        <w:t>（必须提供）；</w:t>
      </w:r>
    </w:p>
    <w:p w14:paraId="73594384">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exact"/>
        <w:ind w:firstLine="420" w:firstLineChars="200"/>
        <w:jc w:val="left"/>
        <w:textAlignment w:val="auto"/>
        <w:rPr>
          <w:rFonts w:hAnsi="宋体"/>
          <w:b/>
          <w:color w:val="auto"/>
          <w:highlight w:val="none"/>
        </w:rPr>
      </w:pPr>
      <w:r>
        <w:rPr>
          <w:rFonts w:hint="eastAsia" w:hAnsi="宋体"/>
          <w:b/>
          <w:color w:val="auto"/>
          <w:highlight w:val="none"/>
        </w:rPr>
        <w:t>注：</w:t>
      </w:r>
      <w:r>
        <w:rPr>
          <w:rFonts w:hint="eastAsia" w:hAnsi="宋体" w:eastAsia="宋体"/>
          <w:b/>
          <w:color w:val="auto"/>
          <w:highlight w:val="none"/>
          <w:lang w:val="en-US" w:eastAsia="zh-CN"/>
        </w:rPr>
        <w:t>供应商</w:t>
      </w:r>
      <w:r>
        <w:rPr>
          <w:rFonts w:hint="eastAsia" w:hAnsi="宋体"/>
          <w:b/>
          <w:color w:val="auto"/>
          <w:highlight w:val="none"/>
        </w:rPr>
        <w:t>2025年度的财务报表复印件，或者2026年以来银行出具的资信证明，或者2026年以来中国人民银行征信中心出具的信用报告（企业参与</w:t>
      </w:r>
      <w:r>
        <w:rPr>
          <w:rFonts w:hint="eastAsia" w:hAnsi="宋体" w:eastAsia="宋体"/>
          <w:b/>
          <w:color w:val="auto"/>
          <w:highlight w:val="none"/>
          <w:lang w:val="en-US" w:eastAsia="zh-CN"/>
        </w:rPr>
        <w:t>竞</w:t>
      </w:r>
      <w:r>
        <w:rPr>
          <w:rFonts w:hint="eastAsia" w:hAnsi="宋体"/>
          <w:b/>
          <w:color w:val="auto"/>
          <w:highlight w:val="none"/>
        </w:rPr>
        <w:t>标的提供企业信用报告，自然人参与</w:t>
      </w:r>
      <w:r>
        <w:rPr>
          <w:rFonts w:hint="eastAsia" w:hAnsi="宋体" w:eastAsia="宋体"/>
          <w:b/>
          <w:color w:val="auto"/>
          <w:highlight w:val="none"/>
          <w:lang w:val="en-US" w:eastAsia="zh-CN"/>
        </w:rPr>
        <w:t>竞</w:t>
      </w:r>
      <w:r>
        <w:rPr>
          <w:rFonts w:hint="eastAsia" w:hAnsi="宋体"/>
          <w:b/>
          <w:color w:val="auto"/>
          <w:highlight w:val="none"/>
        </w:rPr>
        <w:t>标的提供个人信用报告，</w:t>
      </w:r>
      <w:r>
        <w:rPr>
          <w:rFonts w:hint="eastAsia" w:hAnsi="宋体" w:eastAsia="宋体"/>
          <w:b/>
          <w:color w:val="auto"/>
          <w:highlight w:val="none"/>
          <w:lang w:val="en-US" w:eastAsia="zh-CN"/>
        </w:rPr>
        <w:t>供应商</w:t>
      </w:r>
      <w:r>
        <w:rPr>
          <w:rFonts w:hint="eastAsia" w:hAnsi="宋体"/>
          <w:b/>
          <w:color w:val="auto"/>
          <w:highlight w:val="none"/>
        </w:rPr>
        <w:t>属于成立时间在规定年度之后的法人或其他组织，需提供成立之日起至投标文件递交截止时间前的月报表或银行出具的资信证明或者中国人民银行征信中心出具的企业信用报告；资信证明应在有效期内）。</w:t>
      </w:r>
    </w:p>
    <w:p w14:paraId="5BE7942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highlight w:val="none"/>
        </w:rPr>
      </w:pPr>
      <w:r>
        <w:rPr>
          <w:rFonts w:hint="eastAsia" w:ascii="宋体" w:hAnsi="宋体" w:eastAsia="宋体" w:cs="宋体"/>
          <w:b/>
          <w:bCs/>
          <w:color w:val="auto"/>
          <w:spacing w:val="0"/>
          <w:position w:val="0"/>
          <w:sz w:val="28"/>
          <w:szCs w:val="28"/>
          <w:highlight w:val="none"/>
          <w:lang w:val="en-US" w:eastAsia="zh-CN"/>
        </w:rPr>
        <w:t>5</w:t>
      </w:r>
      <w:r>
        <w:rPr>
          <w:rFonts w:ascii="宋体" w:hAnsi="宋体" w:eastAsia="宋体" w:cs="宋体"/>
          <w:b/>
          <w:bCs/>
          <w:color w:val="auto"/>
          <w:spacing w:val="0"/>
          <w:position w:val="0"/>
          <w:sz w:val="28"/>
          <w:szCs w:val="28"/>
          <w:highlight w:val="none"/>
        </w:rPr>
        <w:t>.</w:t>
      </w:r>
      <w:r>
        <w:rPr>
          <w:rFonts w:hint="eastAsia" w:ascii="宋体" w:hAnsi="宋体" w:eastAsia="宋体" w:cs="宋体"/>
          <w:b/>
          <w:bCs/>
          <w:color w:val="auto"/>
          <w:spacing w:val="0"/>
          <w:position w:val="0"/>
          <w:sz w:val="28"/>
          <w:szCs w:val="28"/>
          <w:highlight w:val="none"/>
          <w:lang w:eastAsia="zh-CN"/>
        </w:rPr>
        <w:t>供应商 2026年以来任意一个月依法缴纳税收的相关材料复印件【增值税发票(税收完税证明) 或企业所得税完税证明或税务部门出具的免税（无欠税）证明等证明材料】复印件（必须提供，从成立之日起到投标文件提交截止时间止不足一个月的，则无需提供）</w:t>
      </w:r>
    </w:p>
    <w:p w14:paraId="532EF78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5E62984">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AAEBA6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5164778">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6</w:t>
      </w:r>
      <w:r>
        <w:rPr>
          <w:rFonts w:ascii="宋体" w:hAnsi="宋体" w:eastAsia="宋体" w:cs="宋体"/>
          <w:b/>
          <w:bCs/>
          <w:color w:val="auto"/>
          <w:spacing w:val="0"/>
          <w:position w:val="0"/>
          <w:sz w:val="28"/>
          <w:szCs w:val="28"/>
          <w:highlight w:val="none"/>
        </w:rPr>
        <w:t>.供应商参加政府采购活动前</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3</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年内在经营活动中没有重大违法记录及有关信用信息的书面声明（必须提供）</w:t>
      </w:r>
    </w:p>
    <w:p w14:paraId="4F20411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附件：</w:t>
      </w:r>
    </w:p>
    <w:p w14:paraId="79068FF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声</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明（格式）</w:t>
      </w:r>
    </w:p>
    <w:p w14:paraId="5A146122">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b/>
          <w:bCs/>
          <w:color w:val="auto"/>
          <w:spacing w:val="0"/>
          <w:position w:val="0"/>
          <w:sz w:val="21"/>
          <w:szCs w:val="21"/>
          <w:highlight w:val="none"/>
        </w:rPr>
        <w:t>致</w:t>
      </w:r>
      <w:r>
        <w:rPr>
          <w:rFonts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u w:val="single" w:color="auto"/>
          <w:lang w:eastAsia="zh-CN"/>
        </w:rPr>
        <w:t>广西昶吉工程项目管理有限公司</w:t>
      </w:r>
    </w:p>
    <w:p w14:paraId="3A740FC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091537A4">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我（公司）郑重声明，在参加本项目政府采购活动前 3 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D0E515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714EAE8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w:t>
      </w:r>
      <w:r>
        <w:rPr>
          <w:rFonts w:ascii="宋体" w:hAnsi="宋体" w:eastAsia="宋体" w:cs="宋体"/>
          <w:color w:val="auto"/>
          <w:spacing w:val="0"/>
          <w:position w:val="0"/>
          <w:sz w:val="21"/>
          <w:szCs w:val="21"/>
          <w:highlight w:val="none"/>
        </w:rPr>
        <w:t>：</w:t>
      </w:r>
    </w:p>
    <w:p w14:paraId="11B2B07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法定代表人(负责人、 自然人)或委托代理人签字</w:t>
      </w:r>
      <w:r>
        <w:rPr>
          <w:rFonts w:ascii="宋体" w:hAnsi="宋体" w:eastAsia="宋体" w:cs="宋体"/>
          <w:b/>
          <w:bCs/>
          <w:color w:val="auto"/>
          <w:spacing w:val="0"/>
          <w:position w:val="0"/>
          <w:sz w:val="21"/>
          <w:szCs w:val="21"/>
          <w:highlight w:val="none"/>
        </w:rPr>
        <w:t>（或个人</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w:t>
      </w:r>
      <w:r>
        <w:rPr>
          <w:rFonts w:ascii="宋体" w:hAnsi="宋体" w:eastAsia="宋体" w:cs="宋体"/>
          <w:color w:val="auto"/>
          <w:spacing w:val="0"/>
          <w:position w:val="0"/>
          <w:sz w:val="21"/>
          <w:szCs w:val="21"/>
          <w:highlight w:val="none"/>
        </w:rPr>
        <w:t>：</w:t>
      </w:r>
    </w:p>
    <w:p w14:paraId="383B09D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日          期：</w:t>
      </w:r>
    </w:p>
    <w:p w14:paraId="2FDA411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4A2F96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jc w:val="both"/>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注：供应商参加政府采购活动前</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3</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年内在经营活动中没有重大违法记录及有关信用信息的书面声明</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须由法定代表人(负责人、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自然人)或相应的委托代理人签字（或个人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证书签章）并加盖供应商</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公章（CA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p>
    <w:p w14:paraId="06BE1C1C">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b/>
          <w:bCs/>
          <w:color w:val="auto"/>
          <w:spacing w:val="0"/>
          <w:position w:val="0"/>
          <w:sz w:val="28"/>
          <w:szCs w:val="28"/>
          <w:highlight w:val="none"/>
          <w:lang w:val="en-US" w:eastAsia="zh-CN"/>
        </w:rPr>
      </w:pPr>
    </w:p>
    <w:p w14:paraId="59CE09BF">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b/>
          <w:bCs/>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7.供应商</w:t>
      </w:r>
      <w:r>
        <w:rPr>
          <w:rFonts w:hint="eastAsia" w:ascii="宋体" w:hAnsi="宋体" w:eastAsia="宋体" w:cs="宋体"/>
          <w:b/>
          <w:bCs/>
          <w:color w:val="auto"/>
          <w:spacing w:val="0"/>
          <w:position w:val="0"/>
          <w:sz w:val="28"/>
          <w:szCs w:val="28"/>
          <w:highlight w:val="none"/>
        </w:rPr>
        <w:t>依法缴纳社会保障资金的相关材料（必须提供）；</w:t>
      </w:r>
    </w:p>
    <w:p w14:paraId="76C2605E">
      <w:pPr>
        <w:autoSpaceDE w:val="0"/>
        <w:autoSpaceDN w:val="0"/>
        <w:snapToGrid w:val="0"/>
        <w:spacing w:line="360" w:lineRule="exact"/>
        <w:ind w:firstLine="420" w:firstLineChars="200"/>
        <w:jc w:val="left"/>
        <w:rPr>
          <w:rFonts w:hAnsi="宋体"/>
          <w:b/>
          <w:color w:val="auto"/>
          <w:highlight w:val="none"/>
        </w:rPr>
      </w:pPr>
      <w:r>
        <w:rPr>
          <w:rFonts w:hint="eastAsia" w:hAnsi="宋体"/>
          <w:b/>
          <w:color w:val="auto"/>
          <w:highlight w:val="none"/>
        </w:rPr>
        <w:t>注：</w:t>
      </w:r>
      <w:r>
        <w:rPr>
          <w:rFonts w:hint="eastAsia" w:hAnsi="宋体" w:eastAsia="宋体"/>
          <w:b/>
          <w:color w:val="auto"/>
          <w:highlight w:val="none"/>
          <w:lang w:val="en-US" w:eastAsia="zh-CN"/>
        </w:rPr>
        <w:t>供应商</w:t>
      </w:r>
      <w:r>
        <w:rPr>
          <w:rFonts w:hint="eastAsia" w:hAnsi="宋体"/>
          <w:b/>
          <w:color w:val="auto"/>
          <w:highlight w:val="none"/>
        </w:rPr>
        <w:t>2026年1月以来任意1个月的依法缴纳社会保障资金的缴费证明材料（如：专用收据、社会保险缴纳清单或者社保部门的证明）复印件；依法不需要缴纳社会保障资金的</w:t>
      </w:r>
      <w:r>
        <w:rPr>
          <w:rFonts w:hint="eastAsia" w:hAnsi="宋体" w:eastAsia="宋体"/>
          <w:b/>
          <w:color w:val="auto"/>
          <w:highlight w:val="none"/>
          <w:lang w:val="en-US" w:eastAsia="zh-CN"/>
        </w:rPr>
        <w:t>供应商</w:t>
      </w:r>
      <w:r>
        <w:rPr>
          <w:rFonts w:hint="eastAsia" w:hAnsi="宋体"/>
          <w:b/>
          <w:color w:val="auto"/>
          <w:highlight w:val="none"/>
        </w:rPr>
        <w:t>，必须提供相应文件证明不需要缴纳社会保障资金。从成立之日起到</w:t>
      </w:r>
      <w:r>
        <w:rPr>
          <w:rFonts w:hint="eastAsia" w:hAnsi="宋体" w:eastAsia="宋体"/>
          <w:b/>
          <w:color w:val="auto"/>
          <w:highlight w:val="none"/>
          <w:lang w:val="en-US" w:eastAsia="zh-CN"/>
        </w:rPr>
        <w:t>响应</w:t>
      </w:r>
      <w:r>
        <w:rPr>
          <w:rFonts w:hint="eastAsia" w:hAnsi="宋体"/>
          <w:b/>
          <w:color w:val="auto"/>
          <w:highlight w:val="none"/>
        </w:rPr>
        <w:t>文件提交截止时间止不足要求月数的，则无需提交。</w:t>
      </w:r>
    </w:p>
    <w:p w14:paraId="01C937E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right="0" w:rightChars="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8.</w:t>
      </w:r>
      <w:r>
        <w:rPr>
          <w:rFonts w:ascii="宋体" w:hAnsi="宋体" w:eastAsia="宋体" w:cs="宋体"/>
          <w:b/>
          <w:bCs/>
          <w:color w:val="auto"/>
          <w:spacing w:val="0"/>
          <w:position w:val="0"/>
          <w:sz w:val="28"/>
          <w:szCs w:val="28"/>
          <w:highlight w:val="none"/>
        </w:rPr>
        <w:t>供应商参加本项目无围标串标行为的承诺函（必须提供）</w:t>
      </w:r>
      <w:r>
        <w:rPr>
          <w:rFonts w:ascii="宋体" w:hAnsi="宋体" w:eastAsia="宋体" w:cs="宋体"/>
          <w:color w:val="auto"/>
          <w:spacing w:val="0"/>
          <w:position w:val="0"/>
          <w:sz w:val="28"/>
          <w:szCs w:val="28"/>
          <w:highlight w:val="none"/>
        </w:rPr>
        <w:t xml:space="preserve"> </w:t>
      </w:r>
    </w:p>
    <w:p w14:paraId="3BCC01B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right="0" w:rightChars="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附件：</w:t>
      </w:r>
    </w:p>
    <w:p w14:paraId="5C4B5E3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供应商参加本项目无围标串标行为的承诺函（格式）</w:t>
      </w:r>
    </w:p>
    <w:p w14:paraId="761D134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一、我（公司）承诺无下列相互串通的情形：</w:t>
      </w:r>
    </w:p>
    <w:p w14:paraId="6BE770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1.不同供应商的响应文件由同一单位或者个人编制；</w:t>
      </w:r>
    </w:p>
    <w:p w14:paraId="7B586DA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2.不同供应商委托同一单位或者个人办理谈判事宜；</w:t>
      </w:r>
    </w:p>
    <w:p w14:paraId="7203CC9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3.不同的供应商的响应文件载明的项目管理员为同一个人；</w:t>
      </w:r>
    </w:p>
    <w:p w14:paraId="444264D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4.不同供应商的响应文件异常一致或谈判报价呈规律性差异；</w:t>
      </w:r>
    </w:p>
    <w:p w14:paraId="385DE1A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5.不同供应商的响应文件相互混装；</w:t>
      </w:r>
    </w:p>
    <w:p w14:paraId="660068C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二、我（公司）承诺无下列恶意串通的情形：</w:t>
      </w:r>
    </w:p>
    <w:p w14:paraId="6A1C487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1.供应商直接或者间接从采购人或者采购代理机构处获得其他供应商的相关信息并修改其响 应文件或者响应文件；</w:t>
      </w:r>
    </w:p>
    <w:p w14:paraId="767A11A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2.供应商按照采购人或者采购代理机构的授意撤换、修改响应文件或者响应文件；</w:t>
      </w:r>
    </w:p>
    <w:p w14:paraId="1B8528E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3.供应商之间协商报价、技术方案等响应文件或者响应文件的实质性内容；</w:t>
      </w:r>
    </w:p>
    <w:p w14:paraId="5227A97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4.属于同一集团、协会、商会等组织成员的供应商按照该组织要求协同参加政府采购活动；</w:t>
      </w:r>
    </w:p>
    <w:p w14:paraId="7055737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5.供应商之间事先约定一致抬高或者压低谈判报价,或者在采购项目中事先约定轮流以高价位 或者低价位成交，或者事先约定由某一特定供应商成交，然后再参加采购；</w:t>
      </w:r>
    </w:p>
    <w:p w14:paraId="4A4AD2A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6.供应商之间商定部分供应商放弃参加政府采购活动或者放弃成交；</w:t>
      </w:r>
    </w:p>
    <w:p w14:paraId="55550AA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7.供应商与采购人或者采购代理机构之间、供应商相互之间，为谋求特定供应商成交或者排斥 其他供应商的其他串通行为。</w:t>
      </w:r>
    </w:p>
    <w:p w14:paraId="41DDA65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以上情形一经核查属实，我方愿意承担一切后果，并不再寻求任何旨在减轻或免除法律责任的 辩解。</w:t>
      </w:r>
    </w:p>
    <w:p w14:paraId="475F31C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3788962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w:t>
      </w:r>
      <w:r>
        <w:rPr>
          <w:rFonts w:ascii="宋体" w:hAnsi="宋体" w:eastAsia="宋体" w:cs="宋体"/>
          <w:color w:val="auto"/>
          <w:spacing w:val="0"/>
          <w:position w:val="0"/>
          <w:sz w:val="21"/>
          <w:szCs w:val="21"/>
          <w:highlight w:val="none"/>
        </w:rPr>
        <w:t>：</w:t>
      </w:r>
    </w:p>
    <w:p w14:paraId="0801588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法定代表人(负责人、 自然人)或委托代理人签字</w:t>
      </w:r>
      <w:r>
        <w:rPr>
          <w:rFonts w:ascii="宋体" w:hAnsi="宋体" w:eastAsia="宋体" w:cs="宋体"/>
          <w:b/>
          <w:bCs/>
          <w:color w:val="auto"/>
          <w:spacing w:val="0"/>
          <w:position w:val="0"/>
          <w:sz w:val="21"/>
          <w:szCs w:val="21"/>
          <w:highlight w:val="none"/>
        </w:rPr>
        <w:t>（或个人</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w:t>
      </w:r>
      <w:r>
        <w:rPr>
          <w:rFonts w:ascii="宋体" w:hAnsi="宋体" w:eastAsia="宋体" w:cs="宋体"/>
          <w:color w:val="auto"/>
          <w:spacing w:val="0"/>
          <w:position w:val="0"/>
          <w:sz w:val="21"/>
          <w:szCs w:val="21"/>
          <w:highlight w:val="none"/>
        </w:rPr>
        <w:t>：</w:t>
      </w:r>
    </w:p>
    <w:p w14:paraId="2275C74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日          期：</w:t>
      </w:r>
    </w:p>
    <w:p w14:paraId="42976AF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6D4315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33C623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注：供应商参加本项目无围标串标行为的承诺函须由法定代表人(负责人、自然人)或相应的委托代</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理人签字（或个人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证书签章）并加盖供应商公章（CA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p>
    <w:p w14:paraId="73DEBF9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17" w:type="default"/>
          <w:pgSz w:w="11906" w:h="16839"/>
          <w:pgMar w:top="1417" w:right="1417" w:bottom="1417" w:left="1417" w:header="0" w:footer="1097" w:gutter="0"/>
          <w:pgNumType w:fmt="decimal"/>
          <w:cols w:space="720" w:num="1"/>
          <w:rtlGutter w:val="0"/>
          <w:docGrid w:linePitch="0" w:charSpace="0"/>
        </w:sectPr>
      </w:pPr>
    </w:p>
    <w:p w14:paraId="3F94E2A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（二）符合性响应证明材料目录</w:t>
      </w:r>
    </w:p>
    <w:p w14:paraId="0BDD3D7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E3EEBB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C8EB76C">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1.响应函（必须提供）</w:t>
      </w:r>
      <w:r>
        <w:rPr>
          <w:rFonts w:hint="eastAsia" w:ascii="宋体" w:hAnsi="宋体" w:eastAsia="宋体" w:cs="宋体"/>
          <w:color w:val="auto"/>
          <w:spacing w:val="0"/>
          <w:position w:val="0"/>
          <w:sz w:val="21"/>
          <w:szCs w:val="21"/>
          <w:highlight w:val="none"/>
          <w:lang w:eastAsia="zh-CN"/>
        </w:rPr>
        <w:t>；</w:t>
      </w:r>
    </w:p>
    <w:p w14:paraId="195670E9">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2.</w:t>
      </w:r>
      <w:r>
        <w:rPr>
          <w:rFonts w:ascii="宋体" w:hAnsi="宋体" w:eastAsia="宋体" w:cs="宋体"/>
          <w:color w:val="auto"/>
          <w:spacing w:val="0"/>
          <w:position w:val="0"/>
          <w:sz w:val="21"/>
          <w:szCs w:val="21"/>
          <w:highlight w:val="none"/>
        </w:rPr>
        <w:t>谈判报价表（必须提供）；</w:t>
      </w:r>
    </w:p>
    <w:p w14:paraId="63B599C6">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3</w:t>
      </w:r>
      <w:r>
        <w:rPr>
          <w:rFonts w:ascii="宋体" w:hAnsi="宋体" w:eastAsia="宋体" w:cs="宋体"/>
          <w:color w:val="auto"/>
          <w:spacing w:val="0"/>
          <w:position w:val="0"/>
          <w:sz w:val="21"/>
          <w:szCs w:val="21"/>
          <w:highlight w:val="none"/>
        </w:rPr>
        <w:t>.技术响应表（必须提供）；</w:t>
      </w:r>
    </w:p>
    <w:p w14:paraId="658F37B5">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4</w:t>
      </w:r>
      <w:r>
        <w:rPr>
          <w:rFonts w:ascii="宋体" w:hAnsi="宋体" w:eastAsia="宋体" w:cs="宋体"/>
          <w:color w:val="auto"/>
          <w:spacing w:val="0"/>
          <w:position w:val="0"/>
          <w:sz w:val="21"/>
          <w:szCs w:val="21"/>
          <w:highlight w:val="none"/>
        </w:rPr>
        <w:t>.商务响应表（必须提供）；</w:t>
      </w:r>
    </w:p>
    <w:p w14:paraId="7D914997">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0"/>
          <w:position w:val="0"/>
          <w:sz w:val="21"/>
          <w:szCs w:val="21"/>
          <w:highlight w:val="none"/>
          <w:lang w:val="en-US" w:eastAsia="zh-CN"/>
        </w:rPr>
        <w:t>5</w:t>
      </w:r>
      <w:r>
        <w:rPr>
          <w:rFonts w:ascii="宋体" w:hAnsi="宋体" w:eastAsia="宋体" w:cs="宋体"/>
          <w:color w:val="auto"/>
          <w:spacing w:val="0"/>
          <w:position w:val="0"/>
          <w:sz w:val="21"/>
          <w:szCs w:val="21"/>
          <w:highlight w:val="none"/>
        </w:rPr>
        <w:t>.售后服务承诺书（必须提供）</w:t>
      </w:r>
      <w:r>
        <w:rPr>
          <w:rFonts w:hint="eastAsia" w:ascii="宋体" w:hAnsi="宋体" w:eastAsia="宋体" w:cs="宋体"/>
          <w:color w:val="auto"/>
          <w:spacing w:val="0"/>
          <w:position w:val="0"/>
          <w:sz w:val="21"/>
          <w:szCs w:val="21"/>
          <w:highlight w:val="none"/>
          <w:lang w:eastAsia="zh-CN"/>
        </w:rPr>
        <w:t>。</w:t>
      </w:r>
    </w:p>
    <w:p w14:paraId="2EB1D8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18" w:type="default"/>
          <w:pgSz w:w="11906" w:h="16839"/>
          <w:pgMar w:top="1417" w:right="1417" w:bottom="1417" w:left="1417" w:header="0" w:footer="1097" w:gutter="0"/>
          <w:pgNumType w:fmt="decimal"/>
          <w:cols w:space="720" w:num="1"/>
          <w:rtlGutter w:val="0"/>
          <w:docGrid w:linePitch="0" w:charSpace="0"/>
        </w:sectPr>
      </w:pPr>
    </w:p>
    <w:p w14:paraId="176F708F">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1.</w:t>
      </w:r>
      <w:r>
        <w:rPr>
          <w:rFonts w:ascii="宋体" w:hAnsi="宋体" w:eastAsia="宋体" w:cs="宋体"/>
          <w:b/>
          <w:bCs/>
          <w:color w:val="auto"/>
          <w:spacing w:val="0"/>
          <w:position w:val="0"/>
          <w:sz w:val="28"/>
          <w:szCs w:val="28"/>
          <w:highlight w:val="none"/>
        </w:rPr>
        <w:t>响应函（必须提供）</w:t>
      </w:r>
    </w:p>
    <w:p w14:paraId="6820B65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响</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应</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函</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（格</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式）</w:t>
      </w:r>
    </w:p>
    <w:p w14:paraId="446F76BE">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0"/>
          <w:position w:val="0"/>
          <w:sz w:val="21"/>
          <w:szCs w:val="21"/>
          <w:highlight w:val="none"/>
          <w:lang w:eastAsia="zh-CN"/>
        </w:rPr>
      </w:pPr>
      <w:r>
        <w:rPr>
          <w:rFonts w:ascii="宋体" w:hAnsi="宋体" w:eastAsia="宋体" w:cs="宋体"/>
          <w:color w:val="auto"/>
          <w:spacing w:val="0"/>
          <w:position w:val="0"/>
          <w:sz w:val="21"/>
          <w:szCs w:val="21"/>
          <w:highlight w:val="none"/>
        </w:rPr>
        <w:t>致：</w:t>
      </w:r>
      <w:r>
        <w:rPr>
          <w:rFonts w:hint="eastAsia" w:ascii="宋体" w:hAnsi="宋体" w:eastAsia="宋体" w:cs="宋体"/>
          <w:color w:val="auto"/>
          <w:spacing w:val="0"/>
          <w:position w:val="0"/>
          <w:sz w:val="21"/>
          <w:szCs w:val="21"/>
          <w:highlight w:val="none"/>
          <w:u w:val="single" w:color="auto"/>
          <w:lang w:eastAsia="zh-CN"/>
        </w:rPr>
        <w:t>广西昶吉工程项目管理有限公司</w:t>
      </w:r>
    </w:p>
    <w:p w14:paraId="2D7F5AA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根据贵方项目谈判文件，项目编号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，签字代表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（姓名）经正式授权并代表供应商</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供应商单位名称），提交响应文件。</w:t>
      </w:r>
    </w:p>
    <w:p w14:paraId="0874D4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据此函，签字代表宣布同意如下：</w:t>
      </w:r>
    </w:p>
    <w:p w14:paraId="4AA9B6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1.按谈判文件采购需求和谈判报价表：</w:t>
      </w:r>
    </w:p>
    <w:p w14:paraId="1AA2462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谈判报价（大写）</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元人民币(¥</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w:t>
      </w:r>
    </w:p>
    <w:p w14:paraId="462E298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2.我方承诺已具备谈判文件规定的供应商资格条件。</w:t>
      </w:r>
    </w:p>
    <w:p w14:paraId="5C12D69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3.我方已详细审核谈判文件，包括修改文件（如有的话）和有关附件，将自行承担因对全部谈 判文件理解不正确或误解而产生的相应后果。</w:t>
      </w:r>
    </w:p>
    <w:p w14:paraId="38289A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4.响应文件有效期为自响应文件提交截止时间之日起 90 天。</w:t>
      </w:r>
    </w:p>
    <w:p w14:paraId="4EC723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5.如我方成交：</w:t>
      </w:r>
    </w:p>
    <w:p w14:paraId="2A82A28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（1）我方承诺在收到成交通知书后，在成交通知书规定的期限内与采购人签订合同。</w:t>
      </w:r>
    </w:p>
    <w:p w14:paraId="180CE30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（2）我方承诺按照谈判文件规定提交履约担保。</w:t>
      </w:r>
    </w:p>
    <w:p w14:paraId="2A07985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（3）我方承诺本响应文件至本项目合同履行完毕止均保持有效，按谈判文件及政府采购法律、 法规的规定履行合同责任和义务。</w:t>
      </w:r>
    </w:p>
    <w:p w14:paraId="53BA5E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与本响应有关的正式通讯地址为：</w:t>
      </w:r>
    </w:p>
    <w:p w14:paraId="3A09000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地址：</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邮编：</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邮箱：</w:t>
      </w:r>
    </w:p>
    <w:p w14:paraId="04BBFEE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办公电话：</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传真：</w:t>
      </w:r>
      <w:r>
        <w:rPr>
          <w:rFonts w:ascii="宋体" w:hAnsi="宋体" w:eastAsia="宋体" w:cs="宋体"/>
          <w:color w:val="auto"/>
          <w:spacing w:val="0"/>
          <w:position w:val="0"/>
          <w:sz w:val="21"/>
          <w:szCs w:val="21"/>
          <w:highlight w:val="none"/>
          <w:u w:val="single" w:color="auto"/>
        </w:rPr>
        <w:t xml:space="preserve">                                  </w:t>
      </w:r>
    </w:p>
    <w:p w14:paraId="0CB0BB5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u w:val="single" w:color="auto"/>
        </w:rPr>
      </w:pPr>
      <w:r>
        <w:rPr>
          <w:rFonts w:ascii="宋体" w:hAnsi="宋体" w:eastAsia="宋体" w:cs="宋体"/>
          <w:color w:val="auto"/>
          <w:spacing w:val="0"/>
          <w:position w:val="0"/>
          <w:sz w:val="21"/>
          <w:szCs w:val="21"/>
          <w:highlight w:val="none"/>
        </w:rPr>
        <w:t>委托代理人联系电话：</w:t>
      </w:r>
      <w:r>
        <w:rPr>
          <w:rFonts w:ascii="宋体" w:hAnsi="宋体" w:eastAsia="宋体" w:cs="宋体"/>
          <w:color w:val="auto"/>
          <w:spacing w:val="0"/>
          <w:position w:val="0"/>
          <w:sz w:val="21"/>
          <w:szCs w:val="21"/>
          <w:highlight w:val="none"/>
          <w:u w:val="single" w:color="auto"/>
        </w:rPr>
        <w:t xml:space="preserve">                                  </w:t>
      </w:r>
    </w:p>
    <w:p w14:paraId="7CDF1E2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开户名称：</w:t>
      </w:r>
      <w:r>
        <w:rPr>
          <w:rFonts w:ascii="宋体" w:hAnsi="宋体" w:eastAsia="宋体" w:cs="宋体"/>
          <w:color w:val="auto"/>
          <w:spacing w:val="0"/>
          <w:position w:val="0"/>
          <w:sz w:val="21"/>
          <w:szCs w:val="21"/>
          <w:highlight w:val="none"/>
          <w:u w:val="single" w:color="auto"/>
        </w:rPr>
        <w:t xml:space="preserve">                                  </w:t>
      </w:r>
    </w:p>
    <w:p w14:paraId="6A4E811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开户银行：</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账号：</w:t>
      </w:r>
      <w:r>
        <w:rPr>
          <w:rFonts w:ascii="宋体" w:hAnsi="宋体" w:eastAsia="宋体" w:cs="宋体"/>
          <w:color w:val="auto"/>
          <w:spacing w:val="0"/>
          <w:position w:val="0"/>
          <w:sz w:val="21"/>
          <w:szCs w:val="21"/>
          <w:highlight w:val="none"/>
          <w:u w:val="single" w:color="auto"/>
        </w:rPr>
        <w:t xml:space="preserve">                                          </w:t>
      </w:r>
    </w:p>
    <w:p w14:paraId="2A42373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7D4B599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供应商（CA 证书签章）：</w:t>
      </w:r>
    </w:p>
    <w:p w14:paraId="4B662A3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法定代表人(负责人、 自然人)或相应的委托代理人签字（或个人 CA 证书签章）：</w:t>
      </w:r>
    </w:p>
    <w:p w14:paraId="567AA83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响应日期：</w:t>
      </w:r>
    </w:p>
    <w:p w14:paraId="327599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p>
    <w:p w14:paraId="4F7EBFA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注：1.未按照本响应函（格式）要求填报的应函将被视为非实质性响应竞争性谈判文件要求， 从而导致该响应被拒绝。</w:t>
      </w:r>
    </w:p>
    <w:p w14:paraId="144FD82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2.供应商必须按本响应函（格式）要求注明清楚联系方式（包括地址、邮编、邮箱、 电 话等），从而确保成交结果等相关信息能及时通知到位。</w:t>
      </w:r>
    </w:p>
    <w:p w14:paraId="6CC6F380">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b/>
          <w:bCs/>
          <w:color w:val="auto"/>
          <w:spacing w:val="0"/>
          <w:position w:val="0"/>
          <w:sz w:val="28"/>
          <w:szCs w:val="28"/>
          <w:highlight w:val="none"/>
        </w:rPr>
      </w:pPr>
      <w:r>
        <w:rPr>
          <w:rFonts w:ascii="宋体" w:hAnsi="宋体" w:eastAsia="宋体" w:cs="宋体"/>
          <w:color w:val="auto"/>
          <w:spacing w:val="0"/>
          <w:position w:val="0"/>
          <w:sz w:val="20"/>
          <w:szCs w:val="20"/>
          <w:highlight w:val="none"/>
        </w:rPr>
        <w:t>3.响应函须由法定代表人(负责人、自然人)或相应的委托代理人签字（或个人 CA 证书签 章）并加盖供应商公章（CA 证书签章）</w:t>
      </w:r>
      <w:r>
        <w:rPr>
          <w:rFonts w:ascii="宋体" w:hAnsi="宋体" w:eastAsia="宋体" w:cs="宋体"/>
          <w:color w:val="auto"/>
          <w:spacing w:val="0"/>
          <w:position w:val="0"/>
          <w:sz w:val="21"/>
          <w:szCs w:val="21"/>
          <w:highlight w:val="none"/>
        </w:rPr>
        <w:t>。</w:t>
      </w:r>
    </w:p>
    <w:p w14:paraId="756BFA5C">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2</w:t>
      </w:r>
      <w:r>
        <w:rPr>
          <w:rFonts w:ascii="宋体" w:hAnsi="宋体" w:eastAsia="宋体" w:cs="宋体"/>
          <w:b/>
          <w:bCs/>
          <w:color w:val="auto"/>
          <w:spacing w:val="0"/>
          <w:position w:val="0"/>
          <w:sz w:val="28"/>
          <w:szCs w:val="28"/>
          <w:highlight w:val="none"/>
        </w:rPr>
        <w:t>.谈判报价表（必须提供）</w:t>
      </w:r>
    </w:p>
    <w:p w14:paraId="58C92F16">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0"/>
          <w:szCs w:val="30"/>
          <w:highlight w:val="none"/>
        </w:rPr>
      </w:pPr>
      <w:r>
        <w:rPr>
          <w:rFonts w:ascii="宋体" w:hAnsi="宋体" w:eastAsia="宋体" w:cs="宋体"/>
          <w:b/>
          <w:bCs/>
          <w:color w:val="auto"/>
          <w:spacing w:val="0"/>
          <w:position w:val="0"/>
          <w:sz w:val="30"/>
          <w:szCs w:val="30"/>
          <w:highlight w:val="none"/>
        </w:rPr>
        <w:t>附件：</w:t>
      </w:r>
    </w:p>
    <w:p w14:paraId="54DB1243">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谈判报价表（格式）</w:t>
      </w:r>
    </w:p>
    <w:tbl>
      <w:tblPr>
        <w:tblStyle w:val="29"/>
        <w:tblW w:w="94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0"/>
        <w:gridCol w:w="1084"/>
        <w:gridCol w:w="1734"/>
        <w:gridCol w:w="999"/>
        <w:gridCol w:w="803"/>
        <w:gridCol w:w="606"/>
        <w:gridCol w:w="528"/>
        <w:gridCol w:w="959"/>
        <w:gridCol w:w="2300"/>
      </w:tblGrid>
      <w:tr w14:paraId="55629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480" w:type="dxa"/>
            <w:textDirection w:val="tbRlV"/>
            <w:vAlign w:val="top"/>
          </w:tcPr>
          <w:p w14:paraId="371ED42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项 号</w:t>
            </w:r>
          </w:p>
        </w:tc>
        <w:tc>
          <w:tcPr>
            <w:tcW w:w="1084" w:type="dxa"/>
            <w:vAlign w:val="top"/>
          </w:tcPr>
          <w:p w14:paraId="0BAE61A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p w14:paraId="057462A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标的名称</w:t>
            </w:r>
          </w:p>
        </w:tc>
        <w:tc>
          <w:tcPr>
            <w:tcW w:w="1734" w:type="dxa"/>
            <w:vAlign w:val="top"/>
          </w:tcPr>
          <w:p w14:paraId="0456CF5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生产厂家</w:t>
            </w:r>
          </w:p>
          <w:p w14:paraId="3301441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（或制造商）</w:t>
            </w:r>
          </w:p>
        </w:tc>
        <w:tc>
          <w:tcPr>
            <w:tcW w:w="999" w:type="dxa"/>
            <w:vAlign w:val="top"/>
          </w:tcPr>
          <w:p w14:paraId="1D62F0E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品牌</w:t>
            </w:r>
          </w:p>
          <w:p w14:paraId="41CF6DE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（如有）</w:t>
            </w:r>
          </w:p>
        </w:tc>
        <w:tc>
          <w:tcPr>
            <w:tcW w:w="803" w:type="dxa"/>
            <w:vAlign w:val="top"/>
          </w:tcPr>
          <w:p w14:paraId="63E7E34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规格型号</w:t>
            </w:r>
          </w:p>
        </w:tc>
        <w:tc>
          <w:tcPr>
            <w:tcW w:w="606" w:type="dxa"/>
            <w:textDirection w:val="tbRlV"/>
            <w:vAlign w:val="center"/>
          </w:tcPr>
          <w:p w14:paraId="1126646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数 量 ①</w:t>
            </w:r>
          </w:p>
        </w:tc>
        <w:tc>
          <w:tcPr>
            <w:tcW w:w="528" w:type="dxa"/>
            <w:textDirection w:val="tbRlV"/>
            <w:vAlign w:val="center"/>
          </w:tcPr>
          <w:p w14:paraId="04EBEDA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单 位</w:t>
            </w:r>
          </w:p>
        </w:tc>
        <w:tc>
          <w:tcPr>
            <w:tcW w:w="959" w:type="dxa"/>
            <w:vAlign w:val="top"/>
          </w:tcPr>
          <w:p w14:paraId="4AC666BE">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单价</w:t>
            </w:r>
          </w:p>
          <w:p w14:paraId="4FDA58D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（元）</w:t>
            </w:r>
          </w:p>
          <w:p w14:paraId="549D634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②</w:t>
            </w:r>
          </w:p>
        </w:tc>
        <w:tc>
          <w:tcPr>
            <w:tcW w:w="2300" w:type="dxa"/>
            <w:vAlign w:val="top"/>
          </w:tcPr>
          <w:p w14:paraId="081A962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单项合计=数量× 单价</w:t>
            </w:r>
          </w:p>
          <w:p w14:paraId="41151FF1">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③ = ①×②</w:t>
            </w:r>
          </w:p>
        </w:tc>
      </w:tr>
      <w:tr w14:paraId="65C27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0" w:type="dxa"/>
            <w:vAlign w:val="top"/>
          </w:tcPr>
          <w:p w14:paraId="09375EB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w:t>
            </w:r>
          </w:p>
        </w:tc>
        <w:tc>
          <w:tcPr>
            <w:tcW w:w="1084" w:type="dxa"/>
            <w:vAlign w:val="top"/>
          </w:tcPr>
          <w:p w14:paraId="29E2024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734" w:type="dxa"/>
            <w:vAlign w:val="top"/>
          </w:tcPr>
          <w:p w14:paraId="2F065AD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999" w:type="dxa"/>
            <w:vAlign w:val="top"/>
          </w:tcPr>
          <w:p w14:paraId="065581D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803" w:type="dxa"/>
            <w:vAlign w:val="top"/>
          </w:tcPr>
          <w:p w14:paraId="18B02DD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606" w:type="dxa"/>
            <w:vAlign w:val="top"/>
          </w:tcPr>
          <w:p w14:paraId="27A3C1C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528" w:type="dxa"/>
            <w:vAlign w:val="top"/>
          </w:tcPr>
          <w:p w14:paraId="1707B5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959" w:type="dxa"/>
            <w:vAlign w:val="top"/>
          </w:tcPr>
          <w:p w14:paraId="2FC387F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2300" w:type="dxa"/>
            <w:vAlign w:val="top"/>
          </w:tcPr>
          <w:p w14:paraId="1271756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r w14:paraId="26E28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0" w:type="dxa"/>
            <w:vAlign w:val="top"/>
          </w:tcPr>
          <w:p w14:paraId="16D70E2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2</w:t>
            </w:r>
          </w:p>
        </w:tc>
        <w:tc>
          <w:tcPr>
            <w:tcW w:w="1084" w:type="dxa"/>
            <w:vAlign w:val="top"/>
          </w:tcPr>
          <w:p w14:paraId="269542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1734" w:type="dxa"/>
            <w:vAlign w:val="top"/>
          </w:tcPr>
          <w:p w14:paraId="58608E7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999" w:type="dxa"/>
            <w:vAlign w:val="top"/>
          </w:tcPr>
          <w:p w14:paraId="27CE5E3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803" w:type="dxa"/>
            <w:vAlign w:val="top"/>
          </w:tcPr>
          <w:p w14:paraId="29BB6D2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606" w:type="dxa"/>
            <w:vAlign w:val="top"/>
          </w:tcPr>
          <w:p w14:paraId="152B54A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528" w:type="dxa"/>
            <w:vAlign w:val="top"/>
          </w:tcPr>
          <w:p w14:paraId="0583F56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959" w:type="dxa"/>
            <w:vAlign w:val="top"/>
          </w:tcPr>
          <w:p w14:paraId="74A59DA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c>
          <w:tcPr>
            <w:tcW w:w="2300" w:type="dxa"/>
            <w:vAlign w:val="top"/>
          </w:tcPr>
          <w:p w14:paraId="58FE5F5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r w14:paraId="56EA8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93" w:type="dxa"/>
            <w:gridSpan w:val="8"/>
            <w:vAlign w:val="top"/>
          </w:tcPr>
          <w:p w14:paraId="13540269">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合计金额</w:t>
            </w:r>
          </w:p>
        </w:tc>
        <w:tc>
          <w:tcPr>
            <w:tcW w:w="2300" w:type="dxa"/>
            <w:vAlign w:val="top"/>
          </w:tcPr>
          <w:p w14:paraId="4C9FDF9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p>
        </w:tc>
      </w:tr>
      <w:tr w14:paraId="63A47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493" w:type="dxa"/>
            <w:gridSpan w:val="9"/>
            <w:vAlign w:val="top"/>
          </w:tcPr>
          <w:p w14:paraId="20DD05D5">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谈判报价（大写）： </w:t>
            </w:r>
            <w:r>
              <w:rPr>
                <w:color w:val="auto"/>
                <w:spacing w:val="0"/>
                <w:position w:val="0"/>
                <w:sz w:val="21"/>
                <w:szCs w:val="21"/>
                <w:highlight w:val="none"/>
                <w:u w:val="single" w:color="auto"/>
              </w:rPr>
              <w:t xml:space="preserve">                  </w:t>
            </w:r>
            <w:r>
              <w:rPr>
                <w:color w:val="auto"/>
                <w:spacing w:val="0"/>
                <w:position w:val="0"/>
                <w:sz w:val="21"/>
                <w:szCs w:val="21"/>
                <w:highlight w:val="none"/>
              </w:rPr>
              <w:t xml:space="preserve"> 元人民币 (￥ </w:t>
            </w:r>
            <w:r>
              <w:rPr>
                <w:color w:val="auto"/>
                <w:spacing w:val="0"/>
                <w:position w:val="0"/>
                <w:sz w:val="21"/>
                <w:szCs w:val="21"/>
                <w:highlight w:val="none"/>
                <w:u w:val="single" w:color="auto"/>
              </w:rPr>
              <w:t xml:space="preserve">                   </w:t>
            </w:r>
            <w:r>
              <w:rPr>
                <w:color w:val="auto"/>
                <w:spacing w:val="0"/>
                <w:position w:val="0"/>
                <w:sz w:val="21"/>
                <w:szCs w:val="21"/>
                <w:highlight w:val="none"/>
              </w:rPr>
              <w:t xml:space="preserve"> )</w:t>
            </w:r>
          </w:p>
        </w:tc>
      </w:tr>
      <w:tr w14:paraId="57E4D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trPr>
        <w:tc>
          <w:tcPr>
            <w:tcW w:w="9493" w:type="dxa"/>
            <w:gridSpan w:val="9"/>
            <w:vAlign w:val="top"/>
          </w:tcPr>
          <w:p w14:paraId="3838F969">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其中：属于财政部《节能产品政府采购品目清单》内产品的总金额为人民币（大写</w:t>
            </w:r>
            <w:r>
              <w:rPr>
                <w:color w:val="auto"/>
                <w:spacing w:val="0"/>
                <w:w w:val="96"/>
                <w:position w:val="0"/>
                <w:sz w:val="21"/>
                <w:szCs w:val="21"/>
                <w:highlight w:val="none"/>
              </w:rPr>
              <w:t>）：</w:t>
            </w:r>
            <w:r>
              <w:rPr>
                <w:color w:val="auto"/>
                <w:spacing w:val="0"/>
                <w:position w:val="0"/>
                <w:sz w:val="21"/>
                <w:szCs w:val="21"/>
                <w:highlight w:val="none"/>
              </w:rPr>
              <w:t xml:space="preserve">             元(￥           ) ;</w:t>
            </w:r>
          </w:p>
          <w:p w14:paraId="2D40828E">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属于财政部《 环境标志产品政府采购品目清单》 内产品的总金额为人民币大写）： </w:t>
            </w:r>
            <w:r>
              <w:rPr>
                <w:rFonts w:hint="eastAsia"/>
                <w:color w:val="auto"/>
                <w:spacing w:val="0"/>
                <w:position w:val="0"/>
                <w:sz w:val="21"/>
                <w:szCs w:val="21"/>
                <w:highlight w:val="none"/>
                <w:lang w:val="en-US" w:eastAsia="zh-CN"/>
              </w:rPr>
              <w:t xml:space="preserve">  </w:t>
            </w:r>
            <w:r>
              <w:rPr>
                <w:color w:val="auto"/>
                <w:spacing w:val="0"/>
                <w:position w:val="0"/>
                <w:sz w:val="21"/>
                <w:szCs w:val="21"/>
                <w:highlight w:val="none"/>
              </w:rPr>
              <w:t>元 (￥            ) 。</w:t>
            </w:r>
          </w:p>
          <w:p w14:paraId="78914E7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color w:val="auto"/>
                <w:spacing w:val="0"/>
                <w:position w:val="0"/>
                <w:sz w:val="21"/>
                <w:szCs w:val="21"/>
                <w:highlight w:val="none"/>
              </w:rPr>
            </w:pPr>
            <w:r>
              <w:rPr>
                <w:b/>
                <w:bCs/>
                <w:color w:val="auto"/>
                <w:spacing w:val="0"/>
                <w:position w:val="0"/>
                <w:sz w:val="21"/>
                <w:szCs w:val="21"/>
                <w:highlight w:val="none"/>
              </w:rPr>
              <w:t>备注：若不属于财政部《节能产品政府采购品目清单》及《环境标志产品政府采购品目清单》内</w:t>
            </w:r>
            <w:r>
              <w:rPr>
                <w:color w:val="auto"/>
                <w:spacing w:val="0"/>
                <w:position w:val="0"/>
                <w:sz w:val="21"/>
                <w:szCs w:val="21"/>
                <w:highlight w:val="none"/>
              </w:rPr>
              <w:t xml:space="preserve"> </w:t>
            </w:r>
            <w:r>
              <w:rPr>
                <w:b/>
                <w:bCs/>
                <w:color w:val="auto"/>
                <w:spacing w:val="0"/>
                <w:position w:val="0"/>
                <w:sz w:val="21"/>
                <w:szCs w:val="21"/>
                <w:highlight w:val="none"/>
              </w:rPr>
              <w:t>产品的，则该处填写“无”字样。</w:t>
            </w:r>
          </w:p>
        </w:tc>
      </w:tr>
      <w:tr w14:paraId="65FD5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9493" w:type="dxa"/>
            <w:gridSpan w:val="9"/>
            <w:vAlign w:val="top"/>
          </w:tcPr>
          <w:p w14:paraId="32BFD220">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说明：供应商谈判报价应包括本次采购范围内货物价款、货物随配标准附件、包装、运输、装卸、 保险、税金、货到位以及安装、安装所需辅材、调试、检验、售后服务、培训、保修、验收及其 他所有成本费用的总和，供应商应综合考虑在报价中。</w:t>
            </w:r>
          </w:p>
        </w:tc>
      </w:tr>
    </w:tbl>
    <w:p w14:paraId="506ECE5E">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80981C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供应商</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w:t>
      </w:r>
      <w:r>
        <w:rPr>
          <w:rFonts w:ascii="宋体" w:hAnsi="宋体" w:eastAsia="宋体" w:cs="宋体"/>
          <w:color w:val="auto"/>
          <w:spacing w:val="0"/>
          <w:position w:val="0"/>
          <w:sz w:val="21"/>
          <w:szCs w:val="21"/>
          <w:highlight w:val="none"/>
        </w:rPr>
        <w:t>：</w:t>
      </w:r>
    </w:p>
    <w:p w14:paraId="64A8954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法定代表人(负责人、 自然人)或委托代理人签字</w:t>
      </w:r>
      <w:r>
        <w:rPr>
          <w:rFonts w:ascii="宋体" w:hAnsi="宋体" w:eastAsia="宋体" w:cs="宋体"/>
          <w:b/>
          <w:bCs/>
          <w:color w:val="auto"/>
          <w:spacing w:val="0"/>
          <w:position w:val="0"/>
          <w:sz w:val="21"/>
          <w:szCs w:val="21"/>
          <w:highlight w:val="none"/>
        </w:rPr>
        <w:t>（或个人</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CA</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证书签章）</w:t>
      </w:r>
      <w:r>
        <w:rPr>
          <w:rFonts w:ascii="宋体" w:hAnsi="宋体" w:eastAsia="宋体" w:cs="宋体"/>
          <w:color w:val="auto"/>
          <w:spacing w:val="0"/>
          <w:position w:val="0"/>
          <w:sz w:val="21"/>
          <w:szCs w:val="21"/>
          <w:highlight w:val="none"/>
        </w:rPr>
        <w:t>：</w:t>
      </w:r>
    </w:p>
    <w:p w14:paraId="31E9795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日          期：</w:t>
      </w:r>
    </w:p>
    <w:p w14:paraId="352B77A9">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C1CB9E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注：</w:t>
      </w:r>
    </w:p>
    <w:p w14:paraId="23E93B9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1.</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供应商必须就“采购需求</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”中的全部内容作完整唯一报价，响应文件只允许有一个报价方</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案，有选择的或有条件的报价将不予接受。</w:t>
      </w:r>
    </w:p>
    <w:p w14:paraId="4106F3E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2.供应商应如实填写谈判报价表的各项内容，否则，响应无效。</w:t>
      </w:r>
    </w:p>
    <w:p w14:paraId="00C1556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3.谈判报价表由多页构成时，须由法定代表人(负责人、自然人)或相应的委托代理人签字（或</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个人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证书签章）加盖供应商公章（CA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p>
    <w:p w14:paraId="20CCCAB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footerReference r:id="rId19" w:type="default"/>
          <w:pgSz w:w="11906" w:h="16839"/>
          <w:pgMar w:top="1417" w:right="1417" w:bottom="1417" w:left="1417" w:header="0" w:footer="1097" w:gutter="0"/>
          <w:pgNumType w:fmt="decimal"/>
          <w:cols w:space="720" w:num="1"/>
          <w:rtlGutter w:val="0"/>
          <w:docGrid w:linePitch="0" w:charSpace="0"/>
        </w:sectPr>
      </w:pPr>
    </w:p>
    <w:p w14:paraId="1402A789">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3</w:t>
      </w:r>
      <w:r>
        <w:rPr>
          <w:rFonts w:ascii="宋体" w:hAnsi="宋体" w:eastAsia="宋体" w:cs="宋体"/>
          <w:b/>
          <w:bCs/>
          <w:color w:val="auto"/>
          <w:spacing w:val="0"/>
          <w:position w:val="0"/>
          <w:sz w:val="28"/>
          <w:szCs w:val="28"/>
          <w:highlight w:val="none"/>
        </w:rPr>
        <w:t>.技术响应表（必须提供）</w:t>
      </w:r>
    </w:p>
    <w:p w14:paraId="70D1F7B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附件：</w:t>
      </w:r>
    </w:p>
    <w:p w14:paraId="2FB60D3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技术响应表（格式）</w:t>
      </w:r>
    </w:p>
    <w:tbl>
      <w:tblPr>
        <w:tblStyle w:val="29"/>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078"/>
        <w:gridCol w:w="2605"/>
        <w:gridCol w:w="2638"/>
        <w:gridCol w:w="1471"/>
      </w:tblGrid>
      <w:tr w14:paraId="3FF10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734" w:type="dxa"/>
            <w:vAlign w:val="top"/>
          </w:tcPr>
          <w:p w14:paraId="749DAC8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p w14:paraId="74542DC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highlight w:val="none"/>
              </w:rPr>
            </w:pPr>
            <w:r>
              <w:rPr>
                <w:color w:val="auto"/>
                <w:spacing w:val="0"/>
                <w:position w:val="0"/>
                <w:highlight w:val="none"/>
              </w:rPr>
              <w:t>项号</w:t>
            </w:r>
          </w:p>
        </w:tc>
        <w:tc>
          <w:tcPr>
            <w:tcW w:w="1078" w:type="dxa"/>
            <w:vAlign w:val="top"/>
          </w:tcPr>
          <w:p w14:paraId="7968B08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p w14:paraId="4EF64B8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color w:val="auto"/>
                <w:spacing w:val="0"/>
                <w:position w:val="0"/>
                <w:highlight w:val="none"/>
              </w:rPr>
            </w:pPr>
            <w:r>
              <w:rPr>
                <w:color w:val="auto"/>
                <w:spacing w:val="0"/>
                <w:position w:val="0"/>
                <w:highlight w:val="none"/>
              </w:rPr>
              <w:t>标的名称</w:t>
            </w:r>
          </w:p>
        </w:tc>
        <w:tc>
          <w:tcPr>
            <w:tcW w:w="2605" w:type="dxa"/>
            <w:vAlign w:val="center"/>
          </w:tcPr>
          <w:p w14:paraId="5C987593">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color w:val="auto"/>
                <w:spacing w:val="0"/>
                <w:position w:val="0"/>
                <w:highlight w:val="none"/>
              </w:rPr>
              <w:t>竞争性谈判文件的</w:t>
            </w:r>
          </w:p>
          <w:p w14:paraId="349D913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color w:val="auto"/>
                <w:spacing w:val="0"/>
                <w:position w:val="0"/>
                <w:highlight w:val="none"/>
              </w:rPr>
              <w:t>“采购需求 ”</w:t>
            </w:r>
          </w:p>
        </w:tc>
        <w:tc>
          <w:tcPr>
            <w:tcW w:w="2638" w:type="dxa"/>
            <w:vAlign w:val="center"/>
          </w:tcPr>
          <w:p w14:paraId="64BF2B9E">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color w:val="auto"/>
                <w:spacing w:val="0"/>
                <w:position w:val="0"/>
                <w:highlight w:val="none"/>
              </w:rPr>
              <w:t>对应“采购需求 ”，供应商 的详细响应情况</w:t>
            </w:r>
          </w:p>
        </w:tc>
        <w:tc>
          <w:tcPr>
            <w:tcW w:w="1471" w:type="dxa"/>
            <w:vAlign w:val="center"/>
          </w:tcPr>
          <w:p w14:paraId="2C44C9DB">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color w:val="auto"/>
                <w:spacing w:val="0"/>
                <w:position w:val="0"/>
                <w:highlight w:val="none"/>
              </w:rPr>
              <w:t>偏离情况说明</w:t>
            </w:r>
          </w:p>
        </w:tc>
      </w:tr>
      <w:tr w14:paraId="6A9D0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34" w:type="dxa"/>
            <w:vAlign w:val="top"/>
          </w:tcPr>
          <w:p w14:paraId="096EA6C6">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color w:val="auto"/>
                <w:spacing w:val="0"/>
                <w:position w:val="0"/>
                <w:highlight w:val="none"/>
              </w:rPr>
            </w:pPr>
            <w:r>
              <w:rPr>
                <w:color w:val="auto"/>
                <w:spacing w:val="0"/>
                <w:position w:val="0"/>
                <w:highlight w:val="none"/>
              </w:rPr>
              <w:t>1</w:t>
            </w:r>
          </w:p>
        </w:tc>
        <w:tc>
          <w:tcPr>
            <w:tcW w:w="1078" w:type="dxa"/>
            <w:vAlign w:val="top"/>
          </w:tcPr>
          <w:p w14:paraId="1D061D5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605" w:type="dxa"/>
            <w:vAlign w:val="top"/>
          </w:tcPr>
          <w:p w14:paraId="6D6E47F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638" w:type="dxa"/>
            <w:vAlign w:val="top"/>
          </w:tcPr>
          <w:p w14:paraId="63081A5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1471" w:type="dxa"/>
            <w:vAlign w:val="top"/>
          </w:tcPr>
          <w:p w14:paraId="24FB624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r>
      <w:tr w14:paraId="06BD1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34" w:type="dxa"/>
            <w:vAlign w:val="top"/>
          </w:tcPr>
          <w:p w14:paraId="19463368">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color w:val="auto"/>
                <w:spacing w:val="0"/>
                <w:position w:val="0"/>
                <w:highlight w:val="none"/>
              </w:rPr>
            </w:pPr>
            <w:r>
              <w:rPr>
                <w:color w:val="auto"/>
                <w:spacing w:val="0"/>
                <w:position w:val="0"/>
                <w:highlight w:val="none"/>
              </w:rPr>
              <w:t>2</w:t>
            </w:r>
          </w:p>
        </w:tc>
        <w:tc>
          <w:tcPr>
            <w:tcW w:w="1078" w:type="dxa"/>
            <w:vAlign w:val="top"/>
          </w:tcPr>
          <w:p w14:paraId="3E42B39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605" w:type="dxa"/>
            <w:vAlign w:val="top"/>
          </w:tcPr>
          <w:p w14:paraId="72505C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638" w:type="dxa"/>
            <w:vAlign w:val="top"/>
          </w:tcPr>
          <w:p w14:paraId="269670C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1471" w:type="dxa"/>
            <w:vAlign w:val="top"/>
          </w:tcPr>
          <w:p w14:paraId="065FB6E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r>
      <w:tr w14:paraId="61A3D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34" w:type="dxa"/>
            <w:vAlign w:val="top"/>
          </w:tcPr>
          <w:p w14:paraId="06AC978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color w:val="auto"/>
                <w:spacing w:val="0"/>
                <w:position w:val="0"/>
                <w:highlight w:val="none"/>
              </w:rPr>
            </w:pPr>
            <w:r>
              <w:rPr>
                <w:color w:val="auto"/>
                <w:spacing w:val="0"/>
                <w:position w:val="0"/>
                <w:highlight w:val="none"/>
              </w:rPr>
              <w:t>...</w:t>
            </w:r>
          </w:p>
        </w:tc>
        <w:tc>
          <w:tcPr>
            <w:tcW w:w="1078" w:type="dxa"/>
            <w:vAlign w:val="top"/>
          </w:tcPr>
          <w:p w14:paraId="581F8D7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605" w:type="dxa"/>
            <w:vAlign w:val="top"/>
          </w:tcPr>
          <w:p w14:paraId="103A058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638" w:type="dxa"/>
            <w:vAlign w:val="top"/>
          </w:tcPr>
          <w:p w14:paraId="3C02F1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1471" w:type="dxa"/>
            <w:vAlign w:val="top"/>
          </w:tcPr>
          <w:p w14:paraId="2E72544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r>
    </w:tbl>
    <w:p w14:paraId="72FAA0D4">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85AFE1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供应商</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r>
        <w:rPr>
          <w:rFonts w:ascii="宋体" w:hAnsi="宋体" w:eastAsia="宋体" w:cs="宋体"/>
          <w:color w:val="auto"/>
          <w:spacing w:val="0"/>
          <w:position w:val="0"/>
          <w:sz w:val="20"/>
          <w:szCs w:val="20"/>
          <w:highlight w:val="none"/>
        </w:rPr>
        <w:t>：</w:t>
      </w:r>
    </w:p>
    <w:p w14:paraId="6ABC03F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法定代表人(负责人、 自然人)或委托代理人签字</w:t>
      </w:r>
      <w:r>
        <w:rPr>
          <w:rFonts w:ascii="宋体" w:hAnsi="宋体" w:eastAsia="宋体" w:cs="宋体"/>
          <w:b/>
          <w:bCs/>
          <w:color w:val="auto"/>
          <w:spacing w:val="0"/>
          <w:position w:val="0"/>
          <w:sz w:val="20"/>
          <w:szCs w:val="20"/>
          <w:highlight w:val="none"/>
        </w:rPr>
        <w:t>（或个人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r>
        <w:rPr>
          <w:rFonts w:ascii="宋体" w:hAnsi="宋体" w:eastAsia="宋体" w:cs="宋体"/>
          <w:color w:val="auto"/>
          <w:spacing w:val="0"/>
          <w:position w:val="0"/>
          <w:sz w:val="20"/>
          <w:szCs w:val="20"/>
          <w:highlight w:val="none"/>
        </w:rPr>
        <w:t>：</w:t>
      </w:r>
    </w:p>
    <w:p w14:paraId="0957613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日          期：</w:t>
      </w:r>
    </w:p>
    <w:p w14:paraId="4EC355E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b/>
          <w:bCs/>
          <w:color w:val="auto"/>
          <w:spacing w:val="0"/>
          <w:position w:val="0"/>
          <w:sz w:val="20"/>
          <w:szCs w:val="20"/>
          <w:highlight w:val="none"/>
        </w:rPr>
      </w:pPr>
    </w:p>
    <w:p w14:paraId="305BD79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注：技术响应表须由法定代表人(负责人、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自然人)或相应的委托代理人签字（或个人CA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证书签章）并加盖供应商公章（CA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p>
    <w:p w14:paraId="51ED28F8">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b/>
          <w:bCs/>
          <w:color w:val="auto"/>
          <w:spacing w:val="0"/>
          <w:position w:val="0"/>
          <w:sz w:val="28"/>
          <w:szCs w:val="28"/>
          <w:highlight w:val="none"/>
        </w:rPr>
      </w:pPr>
    </w:p>
    <w:p w14:paraId="1166FD40">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b/>
          <w:bCs/>
          <w:color w:val="auto"/>
          <w:spacing w:val="0"/>
          <w:position w:val="0"/>
          <w:sz w:val="28"/>
          <w:szCs w:val="28"/>
          <w:highlight w:val="none"/>
        </w:rPr>
      </w:pPr>
    </w:p>
    <w:p w14:paraId="354B99FF">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28"/>
          <w:szCs w:val="28"/>
          <w:highlight w:val="none"/>
          <w:lang w:val="en-US" w:eastAsia="zh-CN"/>
        </w:rPr>
        <w:t>4</w:t>
      </w:r>
      <w:r>
        <w:rPr>
          <w:rFonts w:ascii="宋体" w:hAnsi="宋体" w:eastAsia="宋体" w:cs="宋体"/>
          <w:b/>
          <w:bCs/>
          <w:color w:val="auto"/>
          <w:spacing w:val="0"/>
          <w:position w:val="0"/>
          <w:sz w:val="28"/>
          <w:szCs w:val="28"/>
          <w:highlight w:val="none"/>
        </w:rPr>
        <w:t>.商务响应表（必须提供）</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31"/>
          <w:szCs w:val="31"/>
          <w:highlight w:val="none"/>
        </w:rPr>
        <w:t>附件：</w:t>
      </w:r>
    </w:p>
    <w:p w14:paraId="50FAEDE0">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商务响应表（格式）</w:t>
      </w:r>
    </w:p>
    <w:tbl>
      <w:tblPr>
        <w:tblStyle w:val="29"/>
        <w:tblW w:w="87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65"/>
        <w:gridCol w:w="2736"/>
        <w:gridCol w:w="2908"/>
        <w:gridCol w:w="1086"/>
      </w:tblGrid>
      <w:tr w14:paraId="494FE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065" w:type="dxa"/>
            <w:vAlign w:val="center"/>
          </w:tcPr>
          <w:p w14:paraId="526A8D62">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jc w:val="center"/>
              <w:textAlignment w:val="baseline"/>
              <w:rPr>
                <w:color w:val="auto"/>
                <w:spacing w:val="0"/>
                <w:position w:val="0"/>
                <w:highlight w:val="none"/>
              </w:rPr>
            </w:pPr>
            <w:r>
              <w:rPr>
                <w:b/>
                <w:bCs/>
                <w:color w:val="auto"/>
                <w:spacing w:val="0"/>
                <w:position w:val="0"/>
                <w:highlight w:val="none"/>
              </w:rPr>
              <w:t>项目</w:t>
            </w:r>
          </w:p>
        </w:tc>
        <w:tc>
          <w:tcPr>
            <w:tcW w:w="2736" w:type="dxa"/>
            <w:vAlign w:val="center"/>
          </w:tcPr>
          <w:p w14:paraId="73DD8A9F">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b/>
                <w:bCs/>
                <w:color w:val="auto"/>
                <w:spacing w:val="0"/>
                <w:position w:val="0"/>
                <w:highlight w:val="none"/>
              </w:rPr>
              <w:t>竞争性谈判文件的“商务要求</w:t>
            </w:r>
            <w:r>
              <w:rPr>
                <w:color w:val="auto"/>
                <w:spacing w:val="0"/>
                <w:position w:val="0"/>
                <w:highlight w:val="none"/>
              </w:rPr>
              <w:t xml:space="preserve"> </w:t>
            </w:r>
            <w:r>
              <w:rPr>
                <w:b/>
                <w:bCs/>
                <w:color w:val="auto"/>
                <w:spacing w:val="0"/>
                <w:position w:val="0"/>
                <w:highlight w:val="none"/>
              </w:rPr>
              <w:t>”</w:t>
            </w:r>
          </w:p>
        </w:tc>
        <w:tc>
          <w:tcPr>
            <w:tcW w:w="2908" w:type="dxa"/>
            <w:vAlign w:val="center"/>
          </w:tcPr>
          <w:p w14:paraId="295BE397">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b/>
                <w:bCs/>
                <w:color w:val="auto"/>
                <w:spacing w:val="0"/>
                <w:position w:val="0"/>
                <w:highlight w:val="none"/>
              </w:rPr>
              <w:t>对应“商务要求</w:t>
            </w:r>
            <w:r>
              <w:rPr>
                <w:color w:val="auto"/>
                <w:spacing w:val="0"/>
                <w:position w:val="0"/>
                <w:highlight w:val="none"/>
              </w:rPr>
              <w:t xml:space="preserve"> </w:t>
            </w:r>
            <w:r>
              <w:rPr>
                <w:b/>
                <w:bCs/>
                <w:color w:val="auto"/>
                <w:spacing w:val="0"/>
                <w:position w:val="0"/>
                <w:highlight w:val="none"/>
              </w:rPr>
              <w:t>”，</w:t>
            </w:r>
            <w:r>
              <w:rPr>
                <w:color w:val="auto"/>
                <w:spacing w:val="0"/>
                <w:position w:val="0"/>
                <w:highlight w:val="none"/>
              </w:rPr>
              <w:t xml:space="preserve"> </w:t>
            </w:r>
            <w:r>
              <w:rPr>
                <w:b/>
                <w:bCs/>
                <w:color w:val="auto"/>
                <w:spacing w:val="0"/>
                <w:position w:val="0"/>
                <w:highlight w:val="none"/>
              </w:rPr>
              <w:t>供应商</w:t>
            </w:r>
            <w:r>
              <w:rPr>
                <w:color w:val="auto"/>
                <w:spacing w:val="0"/>
                <w:position w:val="0"/>
                <w:highlight w:val="none"/>
              </w:rPr>
              <w:t xml:space="preserve"> </w:t>
            </w:r>
            <w:r>
              <w:rPr>
                <w:b/>
                <w:bCs/>
                <w:color w:val="auto"/>
                <w:spacing w:val="0"/>
                <w:position w:val="0"/>
                <w:highlight w:val="none"/>
              </w:rPr>
              <w:t>的详细响应情况</w:t>
            </w:r>
          </w:p>
        </w:tc>
        <w:tc>
          <w:tcPr>
            <w:tcW w:w="1086" w:type="dxa"/>
            <w:vAlign w:val="center"/>
          </w:tcPr>
          <w:p w14:paraId="13C43D9C">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highlight w:val="none"/>
              </w:rPr>
            </w:pPr>
            <w:r>
              <w:rPr>
                <w:b/>
                <w:bCs/>
                <w:color w:val="auto"/>
                <w:spacing w:val="0"/>
                <w:position w:val="0"/>
                <w:highlight w:val="none"/>
              </w:rPr>
              <w:t>偏离情况说明</w:t>
            </w:r>
          </w:p>
        </w:tc>
      </w:tr>
      <w:tr w14:paraId="0A87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065" w:type="dxa"/>
            <w:vAlign w:val="top"/>
          </w:tcPr>
          <w:p w14:paraId="78BE74E9">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color w:val="auto"/>
                <w:spacing w:val="0"/>
                <w:position w:val="0"/>
                <w:highlight w:val="none"/>
              </w:rPr>
            </w:pPr>
          </w:p>
        </w:tc>
        <w:tc>
          <w:tcPr>
            <w:tcW w:w="2736" w:type="dxa"/>
            <w:vAlign w:val="top"/>
          </w:tcPr>
          <w:p w14:paraId="2F6EB18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908" w:type="dxa"/>
            <w:vAlign w:val="top"/>
          </w:tcPr>
          <w:p w14:paraId="0C31CBE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1086" w:type="dxa"/>
            <w:vAlign w:val="top"/>
          </w:tcPr>
          <w:p w14:paraId="7A0B295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r>
      <w:tr w14:paraId="75069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065" w:type="dxa"/>
            <w:vAlign w:val="top"/>
          </w:tcPr>
          <w:p w14:paraId="4869425D">
            <w:pPr>
              <w:pStyle w:val="30"/>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color w:val="auto"/>
                <w:spacing w:val="0"/>
                <w:position w:val="0"/>
                <w:highlight w:val="none"/>
              </w:rPr>
            </w:pPr>
          </w:p>
        </w:tc>
        <w:tc>
          <w:tcPr>
            <w:tcW w:w="2736" w:type="dxa"/>
            <w:vAlign w:val="top"/>
          </w:tcPr>
          <w:p w14:paraId="09B4C2A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2908" w:type="dxa"/>
            <w:vAlign w:val="top"/>
          </w:tcPr>
          <w:p w14:paraId="78AE7EE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c>
          <w:tcPr>
            <w:tcW w:w="1086" w:type="dxa"/>
            <w:vAlign w:val="top"/>
          </w:tcPr>
          <w:p w14:paraId="44F9B6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highlight w:val="none"/>
              </w:rPr>
            </w:pPr>
          </w:p>
        </w:tc>
      </w:tr>
      <w:tr w14:paraId="1F6EE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2065" w:type="dxa"/>
            <w:vAlign w:val="top"/>
          </w:tcPr>
          <w:p w14:paraId="55DE966E">
            <w:pPr>
              <w:keepNext w:val="0"/>
              <w:keepLines w:val="0"/>
              <w:pageBreakBefore w:val="0"/>
              <w:widowControl w:val="0"/>
              <w:overflowPunct/>
              <w:topLinePunct w:val="0"/>
              <w:bidi w:val="0"/>
              <w:rPr>
                <w:color w:val="auto"/>
                <w:spacing w:val="0"/>
                <w:position w:val="0"/>
                <w:highlight w:val="none"/>
              </w:rPr>
            </w:pPr>
            <w:r>
              <w:rPr>
                <w:color w:val="auto"/>
                <w:spacing w:val="0"/>
                <w:position w:val="0"/>
                <w:highlight w:val="none"/>
              </w:rPr>
              <w:t>……</w:t>
            </w:r>
          </w:p>
        </w:tc>
        <w:tc>
          <w:tcPr>
            <w:tcW w:w="2736" w:type="dxa"/>
            <w:vAlign w:val="top"/>
          </w:tcPr>
          <w:p w14:paraId="1E88A7F2">
            <w:pPr>
              <w:keepNext w:val="0"/>
              <w:keepLines w:val="0"/>
              <w:pageBreakBefore w:val="0"/>
              <w:widowControl w:val="0"/>
              <w:overflowPunct/>
              <w:topLinePunct w:val="0"/>
              <w:bidi w:val="0"/>
              <w:rPr>
                <w:color w:val="auto"/>
                <w:spacing w:val="0"/>
                <w:position w:val="0"/>
                <w:highlight w:val="none"/>
              </w:rPr>
            </w:pPr>
            <w:r>
              <w:rPr>
                <w:color w:val="auto"/>
                <w:spacing w:val="0"/>
                <w:position w:val="0"/>
                <w:highlight w:val="none"/>
              </w:rPr>
              <w:t>……</w:t>
            </w:r>
          </w:p>
        </w:tc>
        <w:tc>
          <w:tcPr>
            <w:tcW w:w="2908" w:type="dxa"/>
            <w:vAlign w:val="top"/>
          </w:tcPr>
          <w:p w14:paraId="65EE5B5F">
            <w:pPr>
              <w:keepNext w:val="0"/>
              <w:keepLines w:val="0"/>
              <w:pageBreakBefore w:val="0"/>
              <w:widowControl w:val="0"/>
              <w:overflowPunct/>
              <w:topLinePunct w:val="0"/>
              <w:bidi w:val="0"/>
              <w:rPr>
                <w:color w:val="auto"/>
                <w:spacing w:val="0"/>
                <w:position w:val="0"/>
                <w:highlight w:val="none"/>
              </w:rPr>
            </w:pPr>
          </w:p>
          <w:p w14:paraId="10BC506F">
            <w:pPr>
              <w:keepNext w:val="0"/>
              <w:keepLines w:val="0"/>
              <w:pageBreakBefore w:val="0"/>
              <w:widowControl w:val="0"/>
              <w:overflowPunct/>
              <w:topLinePunct w:val="0"/>
              <w:bidi w:val="0"/>
              <w:rPr>
                <w:color w:val="auto"/>
                <w:spacing w:val="0"/>
                <w:position w:val="0"/>
                <w:highlight w:val="none"/>
              </w:rPr>
            </w:pPr>
            <w:bookmarkStart w:id="39" w:name="_Toc2572"/>
            <w:r>
              <w:rPr>
                <w:color w:val="auto"/>
                <w:spacing w:val="0"/>
                <w:position w:val="0"/>
                <w:highlight w:val="none"/>
              </w:rPr>
              <w:t>……</w:t>
            </w:r>
            <w:bookmarkEnd w:id="39"/>
          </w:p>
        </w:tc>
        <w:tc>
          <w:tcPr>
            <w:tcW w:w="1086" w:type="dxa"/>
            <w:vAlign w:val="top"/>
          </w:tcPr>
          <w:p w14:paraId="592FB046">
            <w:pPr>
              <w:keepNext w:val="0"/>
              <w:keepLines w:val="0"/>
              <w:pageBreakBefore w:val="0"/>
              <w:widowControl w:val="0"/>
              <w:overflowPunct/>
              <w:topLinePunct w:val="0"/>
              <w:bidi w:val="0"/>
              <w:rPr>
                <w:color w:val="auto"/>
                <w:spacing w:val="0"/>
                <w:position w:val="0"/>
                <w:highlight w:val="none"/>
              </w:rPr>
            </w:pPr>
            <w:r>
              <w:rPr>
                <w:color w:val="auto"/>
                <w:spacing w:val="0"/>
                <w:position w:val="0"/>
                <w:highlight w:val="none"/>
              </w:rPr>
              <w:t>……</w:t>
            </w:r>
          </w:p>
        </w:tc>
      </w:tr>
    </w:tbl>
    <w:p w14:paraId="3110F77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p>
    <w:p w14:paraId="708B82E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供应商</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r>
        <w:rPr>
          <w:rFonts w:ascii="宋体" w:hAnsi="宋体" w:eastAsia="宋体" w:cs="宋体"/>
          <w:color w:val="auto"/>
          <w:spacing w:val="0"/>
          <w:position w:val="0"/>
          <w:sz w:val="20"/>
          <w:szCs w:val="20"/>
          <w:highlight w:val="none"/>
        </w:rPr>
        <w:t>：</w:t>
      </w:r>
    </w:p>
    <w:p w14:paraId="1EC64B4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法定代表人(负责人、 自然人)或委托代理人签字</w:t>
      </w:r>
      <w:r>
        <w:rPr>
          <w:rFonts w:ascii="宋体" w:hAnsi="宋体" w:eastAsia="宋体" w:cs="宋体"/>
          <w:b/>
          <w:bCs/>
          <w:color w:val="auto"/>
          <w:spacing w:val="0"/>
          <w:position w:val="0"/>
          <w:sz w:val="20"/>
          <w:szCs w:val="20"/>
          <w:highlight w:val="none"/>
        </w:rPr>
        <w:t>（或个人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r>
        <w:rPr>
          <w:rFonts w:ascii="宋体" w:hAnsi="宋体" w:eastAsia="宋体" w:cs="宋体"/>
          <w:color w:val="auto"/>
          <w:spacing w:val="0"/>
          <w:position w:val="0"/>
          <w:sz w:val="20"/>
          <w:szCs w:val="20"/>
          <w:highlight w:val="none"/>
        </w:rPr>
        <w:t>：</w:t>
      </w:r>
    </w:p>
    <w:p w14:paraId="334E990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color w:val="auto"/>
          <w:spacing w:val="0"/>
          <w:position w:val="0"/>
          <w:sz w:val="20"/>
          <w:szCs w:val="20"/>
          <w:highlight w:val="none"/>
        </w:rPr>
        <w:t>日          期：</w:t>
      </w:r>
    </w:p>
    <w:p w14:paraId="4912BFC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2" w:firstLineChars="200"/>
        <w:textAlignment w:val="baseline"/>
        <w:rPr>
          <w:rFonts w:ascii="宋体" w:hAnsi="宋体" w:eastAsia="宋体" w:cs="宋体"/>
          <w:color w:val="auto"/>
          <w:spacing w:val="0"/>
          <w:position w:val="0"/>
          <w:sz w:val="20"/>
          <w:szCs w:val="20"/>
          <w:highlight w:val="none"/>
        </w:rPr>
      </w:pPr>
      <w:r>
        <w:rPr>
          <w:rFonts w:ascii="宋体" w:hAnsi="宋体" w:eastAsia="宋体" w:cs="宋体"/>
          <w:b/>
          <w:bCs/>
          <w:color w:val="auto"/>
          <w:spacing w:val="0"/>
          <w:position w:val="0"/>
          <w:sz w:val="20"/>
          <w:szCs w:val="20"/>
          <w:highlight w:val="none"/>
        </w:rPr>
        <w:t>注：商务响应表须由法定代表人(负责人、</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自然人)或相应的委托代理人签字（或个人CA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书签章）并加盖供应商公章（CA</w:t>
      </w:r>
      <w:r>
        <w:rPr>
          <w:rFonts w:ascii="宋体" w:hAnsi="宋体" w:eastAsia="宋体" w:cs="宋体"/>
          <w:color w:val="auto"/>
          <w:spacing w:val="0"/>
          <w:position w:val="0"/>
          <w:sz w:val="20"/>
          <w:szCs w:val="20"/>
          <w:highlight w:val="none"/>
        </w:rPr>
        <w:t xml:space="preserve"> </w:t>
      </w:r>
      <w:r>
        <w:rPr>
          <w:rFonts w:ascii="宋体" w:hAnsi="宋体" w:eastAsia="宋体" w:cs="宋体"/>
          <w:b/>
          <w:bCs/>
          <w:color w:val="auto"/>
          <w:spacing w:val="0"/>
          <w:position w:val="0"/>
          <w:sz w:val="20"/>
          <w:szCs w:val="20"/>
          <w:highlight w:val="none"/>
        </w:rPr>
        <w:t>证书签章）。</w:t>
      </w:r>
    </w:p>
    <w:p w14:paraId="47CC763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hint="eastAsia" w:ascii="宋体" w:hAnsi="宋体" w:eastAsia="宋体" w:cs="宋体"/>
          <w:b/>
          <w:bCs/>
          <w:color w:val="auto"/>
          <w:spacing w:val="0"/>
          <w:position w:val="0"/>
          <w:sz w:val="28"/>
          <w:szCs w:val="28"/>
          <w:highlight w:val="none"/>
          <w:lang w:val="en-US" w:eastAsia="zh-CN"/>
        </w:rPr>
        <w:t>5</w:t>
      </w:r>
      <w:r>
        <w:rPr>
          <w:rFonts w:ascii="宋体" w:hAnsi="宋体" w:eastAsia="宋体" w:cs="宋体"/>
          <w:b/>
          <w:bCs/>
          <w:color w:val="auto"/>
          <w:spacing w:val="0"/>
          <w:position w:val="0"/>
          <w:sz w:val="28"/>
          <w:szCs w:val="28"/>
          <w:highlight w:val="none"/>
        </w:rPr>
        <w:t>.售后服务承诺书（必须提供）</w:t>
      </w:r>
    </w:p>
    <w:p w14:paraId="76FDCC5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1556" w:firstLineChars="500"/>
        <w:textAlignment w:val="baseline"/>
        <w:rPr>
          <w:rFonts w:ascii="宋体" w:hAnsi="宋体" w:eastAsia="宋体" w:cs="宋体"/>
          <w:b/>
          <w:bCs/>
          <w:color w:val="auto"/>
          <w:spacing w:val="0"/>
          <w:position w:val="0"/>
          <w:sz w:val="31"/>
          <w:szCs w:val="31"/>
          <w:highlight w:val="none"/>
        </w:rPr>
      </w:pPr>
    </w:p>
    <w:p w14:paraId="2D43E4B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1556" w:firstLineChars="5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售后服务承诺书（格式，内容自拟）</w:t>
      </w:r>
    </w:p>
    <w:p w14:paraId="2D836B7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5754D5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outlineLvl w:val="1"/>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供应商(CA 证书签章)：</w:t>
      </w:r>
    </w:p>
    <w:p w14:paraId="3E88056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法定代表人或相应的委托代理人签字（或个人 CA 证书签章）：</w:t>
      </w:r>
    </w:p>
    <w:p w14:paraId="618664C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日     期：</w:t>
      </w:r>
    </w:p>
    <w:p w14:paraId="628E18A2">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309D16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注：售后服务承诺书须由法定代表人或相应的委托代理人签字（或个人</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CA</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证书</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签章）并加盖投供应商公章（CA</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证书签章）。</w:t>
      </w:r>
    </w:p>
    <w:p w14:paraId="1180A82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p>
    <w:p w14:paraId="4A672AC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p>
    <w:p w14:paraId="7DFACDE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p>
    <w:p w14:paraId="5E4E8D1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p>
    <w:p w14:paraId="2098D13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p>
    <w:p w14:paraId="66183DE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79D9D30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3F82BA8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63199F2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01A52B2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422D676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69B1853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1AE67CD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157060D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6F489F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3B0215F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b/>
          <w:bCs/>
          <w:color w:val="auto"/>
          <w:spacing w:val="0"/>
          <w:position w:val="0"/>
          <w:sz w:val="31"/>
          <w:szCs w:val="31"/>
          <w:highlight w:val="none"/>
        </w:rPr>
      </w:pPr>
    </w:p>
    <w:p w14:paraId="457DC26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（三）其它有效证明材料目录</w:t>
      </w:r>
    </w:p>
    <w:p w14:paraId="63CB48EF">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1.</w:t>
      </w:r>
      <w:r>
        <w:rPr>
          <w:rFonts w:ascii="宋体" w:hAnsi="宋体" w:eastAsia="宋体" w:cs="宋体"/>
          <w:color w:val="auto"/>
          <w:spacing w:val="0"/>
          <w:position w:val="0"/>
          <w:sz w:val="21"/>
          <w:szCs w:val="21"/>
          <w:highlight w:val="none"/>
        </w:rPr>
        <w:t>增值售后服务方案（包括但不限于：①故障出现解决方案；②免费技术培训方案； ③免费保修期外维修方案；④其它优惠方案等）（如有，请提供）；</w:t>
      </w:r>
    </w:p>
    <w:p w14:paraId="39A3B418">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2.</w:t>
      </w:r>
      <w:r>
        <w:rPr>
          <w:rFonts w:ascii="宋体" w:hAnsi="宋体" w:eastAsia="宋体" w:cs="宋体"/>
          <w:color w:val="auto"/>
          <w:spacing w:val="0"/>
          <w:position w:val="0"/>
          <w:sz w:val="21"/>
          <w:szCs w:val="21"/>
          <w:highlight w:val="none"/>
        </w:rPr>
        <w:t>供应商为生产厂家的，供应商的生产制造设备清单及专业技术能力说明（如有，请提供）；</w:t>
      </w:r>
    </w:p>
    <w:p w14:paraId="615710CC">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3.</w:t>
      </w:r>
      <w:r>
        <w:rPr>
          <w:rFonts w:ascii="宋体" w:hAnsi="宋体" w:eastAsia="宋体" w:cs="宋体"/>
          <w:color w:val="auto"/>
          <w:spacing w:val="0"/>
          <w:position w:val="0"/>
          <w:sz w:val="21"/>
          <w:szCs w:val="21"/>
          <w:highlight w:val="none"/>
        </w:rPr>
        <w:t>节能、环保方面的证书复印件（若采购货物含有政府强制采购的节能产品时，供应商必须提供所投产品国家确定的认证机构出具的、处于有效期之内的节能产品认证证 书复印件并加盖供应商公章）；</w:t>
      </w:r>
    </w:p>
    <w:p w14:paraId="2AA50DB7">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4.</w:t>
      </w:r>
      <w:r>
        <w:rPr>
          <w:rFonts w:ascii="宋体" w:hAnsi="宋体" w:eastAsia="宋体" w:cs="宋体"/>
          <w:color w:val="auto"/>
          <w:spacing w:val="0"/>
          <w:position w:val="0"/>
          <w:sz w:val="21"/>
          <w:szCs w:val="21"/>
          <w:highlight w:val="none"/>
        </w:rPr>
        <w:t>供应商具有同类产品的销售业绩的相关证明材料（无不良记录， 以中标、成交 通知书或签订的销售合同为准，并能清晰反映所销售的货物名称、种类、金额）（如有，请提供）；</w:t>
      </w:r>
    </w:p>
    <w:p w14:paraId="7E81975C">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5.</w:t>
      </w:r>
      <w:r>
        <w:rPr>
          <w:rFonts w:ascii="宋体" w:hAnsi="宋体" w:eastAsia="宋体" w:cs="宋体"/>
          <w:color w:val="auto"/>
          <w:spacing w:val="0"/>
          <w:position w:val="0"/>
          <w:sz w:val="21"/>
          <w:szCs w:val="21"/>
          <w:highlight w:val="none"/>
        </w:rPr>
        <w:t>供应商相关获奖证书、认证证书等复印件（如有，请提供）；</w:t>
      </w:r>
    </w:p>
    <w:p w14:paraId="52C24D26">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6.</w:t>
      </w:r>
      <w:r>
        <w:rPr>
          <w:rFonts w:ascii="宋体" w:hAnsi="宋体" w:eastAsia="宋体" w:cs="宋体"/>
          <w:color w:val="auto"/>
          <w:spacing w:val="0"/>
          <w:position w:val="0"/>
          <w:sz w:val="21"/>
          <w:szCs w:val="21"/>
          <w:highlight w:val="none"/>
        </w:rPr>
        <w:t>中小企业声明函【如供应商提供的货物由小型、微型企业（中小微型企业划分标准按照《国家统计局关于印发《统计上大中小微型企业划分办法〔2017〕》的通知》（国统 字〔2017〕213 号）执行）制造的，供应商应如实声明并对出具声明函的真实性负责。成交结果将同时公告该企业《中小企业声明函》，接受社会监督。】（格式见附件，如有，请提供）</w:t>
      </w:r>
    </w:p>
    <w:p w14:paraId="3EE7E211">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7.</w:t>
      </w:r>
      <w:r>
        <w:rPr>
          <w:rFonts w:ascii="宋体" w:hAnsi="宋体" w:eastAsia="宋体" w:cs="宋体"/>
          <w:color w:val="auto"/>
          <w:spacing w:val="0"/>
          <w:position w:val="0"/>
          <w:sz w:val="21"/>
          <w:szCs w:val="21"/>
          <w:highlight w:val="none"/>
        </w:rPr>
        <w:t>属于监狱企业的，应当提供由省级以上监狱管理局、戒毒管理局(含新疆生产建设兵团)出具的属于监狱企业的证明文件（如有，请提供）；</w:t>
      </w:r>
    </w:p>
    <w:p w14:paraId="007F297F">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8.</w:t>
      </w:r>
      <w:r>
        <w:rPr>
          <w:rFonts w:ascii="宋体" w:hAnsi="宋体" w:eastAsia="宋体" w:cs="宋体"/>
          <w:color w:val="auto"/>
          <w:spacing w:val="0"/>
          <w:position w:val="0"/>
          <w:sz w:val="21"/>
          <w:szCs w:val="21"/>
          <w:highlight w:val="none"/>
        </w:rPr>
        <w:t>符合条件的残疾人福利性单位在参加政府采购活动时，提供《残疾人福利性单位声明函》，并对声明的真实性负责（如有，请提供）；</w:t>
      </w:r>
    </w:p>
    <w:p w14:paraId="60CC4D6F">
      <w:pPr>
        <w:keepNext w:val="0"/>
        <w:keepLines w:val="0"/>
        <w:pageBreakBefore w:val="0"/>
        <w:widowControl w:val="0"/>
        <w:kinsoku w:val="0"/>
        <w:wordWrap/>
        <w:overflowPunct/>
        <w:topLinePunct w:val="0"/>
        <w:autoSpaceDE w:val="0"/>
        <w:autoSpaceDN w:val="0"/>
        <w:bidi w:val="0"/>
        <w:adjustRightInd w:val="0"/>
        <w:snapToGrid w:val="0"/>
        <w:spacing w:line="48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9.</w:t>
      </w:r>
      <w:r>
        <w:rPr>
          <w:rFonts w:ascii="宋体" w:hAnsi="宋体" w:eastAsia="宋体" w:cs="宋体"/>
          <w:color w:val="auto"/>
          <w:spacing w:val="0"/>
          <w:position w:val="0"/>
          <w:sz w:val="21"/>
          <w:szCs w:val="21"/>
          <w:highlight w:val="none"/>
        </w:rPr>
        <w:t>供应商可结合本项目的评审办法视自身情况自行提交相关证明材料（如有，请提供）。</w:t>
      </w:r>
    </w:p>
    <w:p w14:paraId="677FEFE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00" w:firstLineChars="200"/>
        <w:textAlignment w:val="baseline"/>
        <w:rPr>
          <w:rFonts w:ascii="宋体" w:hAnsi="宋体" w:eastAsia="宋体" w:cs="宋体"/>
          <w:color w:val="auto"/>
          <w:spacing w:val="0"/>
          <w:position w:val="0"/>
          <w:sz w:val="20"/>
          <w:szCs w:val="20"/>
          <w:highlight w:val="none"/>
        </w:rPr>
        <w:sectPr>
          <w:headerReference r:id="rId20" w:type="default"/>
          <w:footerReference r:id="rId21" w:type="default"/>
          <w:pgSz w:w="11906" w:h="16839"/>
          <w:pgMar w:top="1417" w:right="1417" w:bottom="1417" w:left="1417" w:header="1180" w:footer="1407" w:gutter="0"/>
          <w:pgNumType w:fmt="decimal"/>
          <w:cols w:space="720" w:num="1"/>
          <w:rtlGutter w:val="0"/>
          <w:docGrid w:linePitch="0" w:charSpace="0"/>
        </w:sectPr>
      </w:pPr>
    </w:p>
    <w:p w14:paraId="687B4B6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1.增值售后服务方案（包括但不限于：①故障出现解决方案；②免费</w:t>
      </w:r>
      <w:r>
        <w:rPr>
          <w:rFonts w:ascii="宋体" w:hAnsi="宋体" w:eastAsia="宋体" w:cs="宋体"/>
          <w:color w:val="auto"/>
          <w:spacing w:val="0"/>
          <w:position w:val="0"/>
          <w:sz w:val="28"/>
          <w:szCs w:val="28"/>
          <w:highlight w:val="none"/>
        </w:rPr>
        <w:t xml:space="preserve"> </w:t>
      </w:r>
      <w:r>
        <w:rPr>
          <w:rFonts w:ascii="宋体" w:hAnsi="宋体" w:eastAsia="宋体" w:cs="宋体"/>
          <w:b/>
          <w:bCs/>
          <w:color w:val="auto"/>
          <w:spacing w:val="0"/>
          <w:position w:val="0"/>
          <w:sz w:val="28"/>
          <w:szCs w:val="28"/>
          <w:highlight w:val="none"/>
        </w:rPr>
        <w:t>技术培训方案；③免费保修期外维修方案；④其它优惠方案等）</w:t>
      </w:r>
    </w:p>
    <w:p w14:paraId="574AE81E">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5DD6F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02" w:firstLineChars="200"/>
        <w:textAlignment w:val="baseline"/>
        <w:rPr>
          <w:rFonts w:ascii="宋体" w:hAnsi="宋体" w:eastAsia="宋体" w:cs="宋体"/>
          <w:color w:val="auto"/>
          <w:spacing w:val="0"/>
          <w:position w:val="0"/>
          <w:sz w:val="30"/>
          <w:szCs w:val="30"/>
          <w:highlight w:val="none"/>
        </w:rPr>
      </w:pPr>
      <w:r>
        <w:rPr>
          <w:rFonts w:ascii="宋体" w:hAnsi="宋体" w:eastAsia="宋体" w:cs="宋体"/>
          <w:b/>
          <w:bCs/>
          <w:color w:val="auto"/>
          <w:spacing w:val="0"/>
          <w:position w:val="0"/>
          <w:sz w:val="30"/>
          <w:szCs w:val="30"/>
          <w:highlight w:val="none"/>
        </w:rPr>
        <w:t>附件：</w:t>
      </w:r>
    </w:p>
    <w:p w14:paraId="06261F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28"/>
          <w:szCs w:val="28"/>
          <w:highlight w:val="none"/>
        </w:rPr>
        <w:t>增值售后服务方案</w:t>
      </w:r>
      <w:r>
        <w:rPr>
          <w:rFonts w:ascii="宋体" w:hAnsi="宋体" w:eastAsia="宋体" w:cs="宋体"/>
          <w:b/>
          <w:bCs/>
          <w:color w:val="auto"/>
          <w:spacing w:val="0"/>
          <w:position w:val="0"/>
          <w:sz w:val="31"/>
          <w:szCs w:val="31"/>
          <w:highlight w:val="none"/>
        </w:rPr>
        <w:t>（格式）</w:t>
      </w:r>
    </w:p>
    <w:p w14:paraId="03CFA5C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C57900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49DAC7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9E4CDC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0" w:firstLineChars="200"/>
        <w:textAlignment w:val="baseline"/>
        <w:rPr>
          <w:rFonts w:ascii="宋体" w:hAnsi="宋体" w:eastAsia="宋体" w:cs="宋体"/>
          <w:color w:val="auto"/>
          <w:spacing w:val="0"/>
          <w:position w:val="0"/>
          <w:sz w:val="28"/>
          <w:szCs w:val="28"/>
          <w:highlight w:val="none"/>
        </w:rPr>
      </w:pPr>
      <w:r>
        <w:rPr>
          <w:rFonts w:ascii="宋体" w:hAnsi="宋体" w:eastAsia="宋体" w:cs="宋体"/>
          <w:color w:val="auto"/>
          <w:spacing w:val="0"/>
          <w:position w:val="0"/>
          <w:sz w:val="28"/>
          <w:szCs w:val="28"/>
          <w:highlight w:val="none"/>
        </w:rPr>
        <w:t>一、</w:t>
      </w:r>
      <w:r>
        <w:rPr>
          <w:rFonts w:ascii="宋体" w:hAnsi="宋体" w:eastAsia="宋体" w:cs="宋体"/>
          <w:b/>
          <w:bCs/>
          <w:color w:val="auto"/>
          <w:spacing w:val="0"/>
          <w:position w:val="0"/>
          <w:sz w:val="28"/>
          <w:szCs w:val="28"/>
          <w:highlight w:val="none"/>
        </w:rPr>
        <w:t>故障出现解决方案</w:t>
      </w:r>
    </w:p>
    <w:p w14:paraId="0D88C75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B1E914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7B5B40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6FBBBB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0" w:firstLineChars="200"/>
        <w:textAlignment w:val="baseline"/>
        <w:rPr>
          <w:rFonts w:ascii="宋体" w:hAnsi="宋体" w:eastAsia="宋体" w:cs="宋体"/>
          <w:color w:val="auto"/>
          <w:spacing w:val="0"/>
          <w:position w:val="0"/>
          <w:sz w:val="28"/>
          <w:szCs w:val="28"/>
          <w:highlight w:val="none"/>
        </w:rPr>
      </w:pPr>
      <w:r>
        <w:rPr>
          <w:rFonts w:ascii="宋体" w:hAnsi="宋体" w:eastAsia="宋体" w:cs="宋体"/>
          <w:color w:val="auto"/>
          <w:spacing w:val="0"/>
          <w:position w:val="0"/>
          <w:sz w:val="28"/>
          <w:szCs w:val="28"/>
          <w:highlight w:val="none"/>
        </w:rPr>
        <w:t>二、</w:t>
      </w:r>
      <w:r>
        <w:rPr>
          <w:rFonts w:ascii="宋体" w:hAnsi="宋体" w:eastAsia="宋体" w:cs="宋体"/>
          <w:b/>
          <w:bCs/>
          <w:color w:val="auto"/>
          <w:spacing w:val="0"/>
          <w:position w:val="0"/>
          <w:sz w:val="28"/>
          <w:szCs w:val="28"/>
          <w:highlight w:val="none"/>
        </w:rPr>
        <w:t>免费技术培训方案</w:t>
      </w:r>
    </w:p>
    <w:p w14:paraId="7D34B33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975E9D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4C2DD6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0" w:firstLineChars="200"/>
        <w:textAlignment w:val="baseline"/>
        <w:rPr>
          <w:rFonts w:ascii="宋体" w:hAnsi="宋体" w:eastAsia="宋体" w:cs="宋体"/>
          <w:color w:val="auto"/>
          <w:spacing w:val="0"/>
          <w:position w:val="0"/>
          <w:sz w:val="28"/>
          <w:szCs w:val="28"/>
          <w:highlight w:val="none"/>
        </w:rPr>
      </w:pPr>
      <w:r>
        <w:rPr>
          <w:rFonts w:ascii="宋体" w:hAnsi="宋体" w:eastAsia="宋体" w:cs="宋体"/>
          <w:color w:val="auto"/>
          <w:spacing w:val="0"/>
          <w:position w:val="0"/>
          <w:sz w:val="28"/>
          <w:szCs w:val="28"/>
          <w:highlight w:val="none"/>
        </w:rPr>
        <w:t>三、</w:t>
      </w:r>
      <w:r>
        <w:rPr>
          <w:rFonts w:ascii="宋体" w:hAnsi="宋体" w:eastAsia="宋体" w:cs="宋体"/>
          <w:b/>
          <w:bCs/>
          <w:color w:val="auto"/>
          <w:spacing w:val="0"/>
          <w:position w:val="0"/>
          <w:sz w:val="28"/>
          <w:szCs w:val="28"/>
          <w:highlight w:val="none"/>
        </w:rPr>
        <w:t>免费保修期外维修方案</w:t>
      </w:r>
    </w:p>
    <w:p w14:paraId="3810DA4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43438D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82ECB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0" w:firstLineChars="200"/>
        <w:textAlignment w:val="baseline"/>
        <w:rPr>
          <w:rFonts w:ascii="宋体" w:hAnsi="宋体" w:eastAsia="宋体" w:cs="宋体"/>
          <w:color w:val="auto"/>
          <w:spacing w:val="0"/>
          <w:position w:val="0"/>
          <w:sz w:val="28"/>
          <w:szCs w:val="28"/>
          <w:highlight w:val="none"/>
        </w:rPr>
      </w:pPr>
      <w:r>
        <w:rPr>
          <w:rFonts w:ascii="宋体" w:hAnsi="宋体" w:eastAsia="宋体" w:cs="宋体"/>
          <w:color w:val="auto"/>
          <w:spacing w:val="0"/>
          <w:position w:val="0"/>
          <w:sz w:val="28"/>
          <w:szCs w:val="28"/>
          <w:highlight w:val="none"/>
        </w:rPr>
        <w:t>四、</w:t>
      </w:r>
      <w:r>
        <w:rPr>
          <w:rFonts w:ascii="宋体" w:hAnsi="宋体" w:eastAsia="宋体" w:cs="宋体"/>
          <w:b/>
          <w:bCs/>
          <w:color w:val="auto"/>
          <w:spacing w:val="0"/>
          <w:position w:val="0"/>
          <w:sz w:val="28"/>
          <w:szCs w:val="28"/>
          <w:highlight w:val="none"/>
        </w:rPr>
        <w:t>其它优惠方案</w:t>
      </w:r>
    </w:p>
    <w:p w14:paraId="75B602F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D82694F">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BF8F04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A04FF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562" w:firstLineChars="200"/>
        <w:textAlignment w:val="baseline"/>
        <w:rPr>
          <w:rFonts w:ascii="宋体" w:hAnsi="宋体" w:eastAsia="宋体" w:cs="宋体"/>
          <w:color w:val="auto"/>
          <w:spacing w:val="0"/>
          <w:position w:val="0"/>
          <w:sz w:val="28"/>
          <w:szCs w:val="28"/>
          <w:highlight w:val="none"/>
        </w:rPr>
      </w:pPr>
      <w:r>
        <w:rPr>
          <w:rFonts w:ascii="宋体" w:hAnsi="宋体" w:eastAsia="宋体" w:cs="宋体"/>
          <w:b/>
          <w:bCs/>
          <w:color w:val="auto"/>
          <w:spacing w:val="0"/>
          <w:position w:val="0"/>
          <w:sz w:val="28"/>
          <w:szCs w:val="28"/>
          <w:highlight w:val="none"/>
        </w:rPr>
        <w:t>……</w:t>
      </w:r>
    </w:p>
    <w:p w14:paraId="487B8A8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6A37E62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outlineLvl w:val="1"/>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供应商(CA 证书签章)：</w:t>
      </w:r>
    </w:p>
    <w:p w14:paraId="5BEDE7C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法定代表人或相应的委托代理人签字（或个人 CA 证书签章）：</w:t>
      </w:r>
    </w:p>
    <w:p w14:paraId="6782ECB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日     期：</w:t>
      </w:r>
    </w:p>
    <w:p w14:paraId="79B3B46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DC4F69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注：售后服务承诺书须由法定代表人或相应的委托代理人签字（或个人</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CA</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证书签章）并加盖投供应商公章（CA</w:t>
      </w:r>
      <w:r>
        <w:rPr>
          <w:rFonts w:ascii="宋体" w:hAnsi="宋体" w:eastAsia="宋体" w:cs="宋体"/>
          <w:color w:val="auto"/>
          <w:spacing w:val="0"/>
          <w:position w:val="0"/>
          <w:sz w:val="24"/>
          <w:szCs w:val="24"/>
          <w:highlight w:val="none"/>
        </w:rPr>
        <w:t xml:space="preserve"> </w:t>
      </w:r>
      <w:r>
        <w:rPr>
          <w:rFonts w:ascii="宋体" w:hAnsi="宋体" w:eastAsia="宋体" w:cs="宋体"/>
          <w:b/>
          <w:bCs/>
          <w:color w:val="auto"/>
          <w:spacing w:val="0"/>
          <w:position w:val="0"/>
          <w:sz w:val="24"/>
          <w:szCs w:val="24"/>
          <w:highlight w:val="none"/>
        </w:rPr>
        <w:t>证书签章）。</w:t>
      </w:r>
    </w:p>
    <w:p w14:paraId="734E7D4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pacing w:val="0"/>
          <w:position w:val="0"/>
          <w:sz w:val="24"/>
          <w:szCs w:val="24"/>
          <w:highlight w:val="none"/>
        </w:rPr>
        <w:sectPr>
          <w:headerReference r:id="rId22" w:type="default"/>
          <w:footerReference r:id="rId23" w:type="default"/>
          <w:pgSz w:w="11906" w:h="16839"/>
          <w:pgMar w:top="1417" w:right="1417" w:bottom="1417" w:left="1417" w:header="1180" w:footer="1407" w:gutter="0"/>
          <w:pgNumType w:fmt="decimal"/>
          <w:cols w:space="720" w:num="1"/>
          <w:rtlGutter w:val="0"/>
          <w:docGrid w:linePitch="0" w:charSpace="0"/>
        </w:sectPr>
      </w:pPr>
    </w:p>
    <w:p w14:paraId="54328E33">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2.</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供应商为生产厂家的，供应商的生产制造设备清单及专业技术能力说明（如有，请提供）</w:t>
      </w:r>
    </w:p>
    <w:p w14:paraId="6A897DD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080078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A0F75B5">
      <w:pPr>
        <w:rPr>
          <w:color w:val="auto"/>
          <w:spacing w:val="0"/>
          <w:position w:val="0"/>
          <w:highlight w:val="none"/>
        </w:rPr>
      </w:pPr>
    </w:p>
    <w:p w14:paraId="1B7248A4">
      <w:pPr>
        <w:rPr>
          <w:color w:val="auto"/>
          <w:spacing w:val="0"/>
          <w:position w:val="0"/>
          <w:highlight w:val="none"/>
        </w:rPr>
      </w:pPr>
    </w:p>
    <w:p w14:paraId="2425861A">
      <w:pPr>
        <w:rPr>
          <w:color w:val="auto"/>
          <w:spacing w:val="0"/>
          <w:position w:val="0"/>
          <w:highlight w:val="none"/>
        </w:rPr>
      </w:pPr>
    </w:p>
    <w:p w14:paraId="7103BCB8">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1ABA447">
      <w:pPr>
        <w:rPr>
          <w:color w:val="auto"/>
          <w:highlight w:val="none"/>
        </w:rPr>
      </w:pPr>
    </w:p>
    <w:p w14:paraId="651DB293">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both"/>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3.节能、环保方面的证书复印件（若采购货物含有政府强制采购的节能产品时，供应商必须提供所投产品国家确定的认证机构出具的、处于有效期之内的节能产品认证证书复印件并加盖供应商公章）</w:t>
      </w:r>
    </w:p>
    <w:p w14:paraId="3437DBE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05B9A9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5458AAF1">
      <w:pPr>
        <w:rPr>
          <w:color w:val="auto"/>
          <w:spacing w:val="0"/>
          <w:position w:val="0"/>
          <w:highlight w:val="none"/>
        </w:rPr>
      </w:pPr>
    </w:p>
    <w:p w14:paraId="398466F5">
      <w:pPr>
        <w:rPr>
          <w:color w:val="auto"/>
          <w:spacing w:val="0"/>
          <w:position w:val="0"/>
          <w:highlight w:val="none"/>
        </w:rPr>
      </w:pPr>
    </w:p>
    <w:p w14:paraId="7FA5D40A">
      <w:pPr>
        <w:rPr>
          <w:color w:val="auto"/>
          <w:spacing w:val="0"/>
          <w:position w:val="0"/>
          <w:highlight w:val="none"/>
        </w:rPr>
      </w:pPr>
    </w:p>
    <w:p w14:paraId="27796FA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02E4B01">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E9DC71D">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4.供应商具有同类产品的销售业绩的相关证明材料（无不良记录，以中标、成交通知书或签订的销售合同为准，并能清晰反映所销售的货物名称、种类、金额）（如有，请提供）；</w:t>
      </w:r>
    </w:p>
    <w:p w14:paraId="445590D1">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3BA1280">
      <w:pPr>
        <w:rPr>
          <w:color w:val="auto"/>
          <w:spacing w:val="0"/>
          <w:position w:val="0"/>
          <w:highlight w:val="none"/>
        </w:rPr>
      </w:pPr>
    </w:p>
    <w:p w14:paraId="1FA0F9F3">
      <w:pPr>
        <w:rPr>
          <w:color w:val="auto"/>
          <w:spacing w:val="0"/>
          <w:position w:val="0"/>
          <w:highlight w:val="none"/>
        </w:rPr>
      </w:pPr>
    </w:p>
    <w:p w14:paraId="2BAFC975">
      <w:pPr>
        <w:rPr>
          <w:color w:val="auto"/>
          <w:spacing w:val="0"/>
          <w:position w:val="0"/>
          <w:highlight w:val="none"/>
        </w:rPr>
      </w:pPr>
    </w:p>
    <w:p w14:paraId="378F87F8">
      <w:pPr>
        <w:rPr>
          <w:color w:val="auto"/>
          <w:spacing w:val="0"/>
          <w:position w:val="0"/>
          <w:highlight w:val="none"/>
        </w:rPr>
      </w:pPr>
    </w:p>
    <w:p w14:paraId="26B5A30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7E16390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7A1CD43">
      <w:pPr>
        <w:keepNext w:val="0"/>
        <w:keepLines w:val="0"/>
        <w:pageBreakBefore w:val="0"/>
        <w:widowControl w:val="0"/>
        <w:kinsoku w:val="0"/>
        <w:wordWrap/>
        <w:overflowPunct/>
        <w:topLinePunct w:val="0"/>
        <w:autoSpaceDE w:val="0"/>
        <w:autoSpaceDN w:val="0"/>
        <w:bidi w:val="0"/>
        <w:adjustRightInd w:val="0"/>
        <w:snapToGrid w:val="0"/>
        <w:spacing w:line="360" w:lineRule="auto"/>
        <w:ind w:right="0"/>
        <w:jc w:val="both"/>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31"/>
          <w:szCs w:val="31"/>
          <w:highlight w:val="none"/>
          <w:lang w:val="en-US" w:eastAsia="zh-CN"/>
        </w:rPr>
        <w:t>5</w:t>
      </w:r>
      <w:r>
        <w:rPr>
          <w:rFonts w:ascii="宋体" w:hAnsi="宋体" w:eastAsia="宋体" w:cs="宋体"/>
          <w:b/>
          <w:bCs/>
          <w:color w:val="auto"/>
          <w:spacing w:val="0"/>
          <w:position w:val="0"/>
          <w:sz w:val="31"/>
          <w:szCs w:val="31"/>
          <w:highlight w:val="none"/>
        </w:rPr>
        <w:t>.供应商相关获奖证书、认证证书等复印件（如有，请提供</w:t>
      </w:r>
      <w:r>
        <w:rPr>
          <w:rFonts w:ascii="宋体" w:hAnsi="宋体" w:eastAsia="宋体" w:cs="宋体"/>
          <w:b/>
          <w:bCs/>
          <w:color w:val="auto"/>
          <w:spacing w:val="0"/>
          <w:w w:val="87"/>
          <w:position w:val="0"/>
          <w:sz w:val="31"/>
          <w:szCs w:val="31"/>
          <w:highlight w:val="none"/>
        </w:rPr>
        <w:t>）；</w:t>
      </w:r>
    </w:p>
    <w:p w14:paraId="66F1B51B">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ED4508A">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091FBD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4B47755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1BD92F25">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8924AB0">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31"/>
          <w:szCs w:val="31"/>
          <w:highlight w:val="none"/>
          <w:lang w:val="en-US" w:eastAsia="zh-CN"/>
        </w:rPr>
        <w:t>6</w:t>
      </w:r>
      <w:r>
        <w:rPr>
          <w:rFonts w:ascii="宋体" w:hAnsi="宋体" w:eastAsia="宋体" w:cs="宋体"/>
          <w:b/>
          <w:bCs/>
          <w:color w:val="auto"/>
          <w:spacing w:val="0"/>
          <w:position w:val="0"/>
          <w:sz w:val="31"/>
          <w:szCs w:val="31"/>
          <w:highlight w:val="none"/>
        </w:rPr>
        <w:t>.中小企业声明函【如供应商提供的货物由小型、微型企业中小微型企业划分标准按照《国家统计局关于印发《统计上大中小微型企业划分办法〔2017〕》的通知》（国统字〔2017〕</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213</w:t>
      </w:r>
      <w:r>
        <w:rPr>
          <w:rFonts w:ascii="宋体" w:hAnsi="宋体" w:eastAsia="宋体" w:cs="宋体"/>
          <w:color w:val="auto"/>
          <w:spacing w:val="0"/>
          <w:position w:val="0"/>
          <w:sz w:val="31"/>
          <w:szCs w:val="31"/>
          <w:highlight w:val="none"/>
        </w:rPr>
        <w:t xml:space="preserve"> </w:t>
      </w:r>
      <w:r>
        <w:rPr>
          <w:rFonts w:ascii="宋体" w:hAnsi="宋体" w:eastAsia="宋体" w:cs="宋体"/>
          <w:b/>
          <w:bCs/>
          <w:color w:val="auto"/>
          <w:spacing w:val="0"/>
          <w:position w:val="0"/>
          <w:sz w:val="31"/>
          <w:szCs w:val="31"/>
          <w:highlight w:val="none"/>
        </w:rPr>
        <w:t>号）执行）制造的，供应商应如实声明并对出具声明函的真实性负责。成交结果将同时公告该企业《中小企业声明函》，接受社会监督。】（格式见附件，如有，请提供）</w:t>
      </w:r>
    </w:p>
    <w:p w14:paraId="41C2EAA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中小企业声明函（货物）（格式）</w:t>
      </w:r>
    </w:p>
    <w:p w14:paraId="7FD2FDE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本公司郑重声明，根据《政府采购促进中小企业发展管理办法》 （财库 ﹝2020﹞46 号）的规定，本公司参加</w:t>
      </w:r>
      <w:r>
        <w:rPr>
          <w:rFonts w:ascii="宋体" w:hAnsi="宋体" w:eastAsia="宋体" w:cs="宋体"/>
          <w:color w:val="auto"/>
          <w:spacing w:val="0"/>
          <w:position w:val="0"/>
          <w:sz w:val="21"/>
          <w:szCs w:val="21"/>
          <w:highlight w:val="none"/>
          <w:u w:val="single" w:color="auto"/>
        </w:rPr>
        <w:t>（单位名称）</w:t>
      </w:r>
      <w:r>
        <w:rPr>
          <w:rFonts w:ascii="宋体" w:hAnsi="宋体" w:eastAsia="宋体" w:cs="宋体"/>
          <w:color w:val="auto"/>
          <w:spacing w:val="0"/>
          <w:position w:val="0"/>
          <w:sz w:val="21"/>
          <w:szCs w:val="21"/>
          <w:highlight w:val="none"/>
        </w:rPr>
        <w:t>的</w:t>
      </w:r>
      <w:r>
        <w:rPr>
          <w:rFonts w:ascii="宋体" w:hAnsi="宋体" w:eastAsia="宋体" w:cs="宋体"/>
          <w:color w:val="auto"/>
          <w:spacing w:val="0"/>
          <w:position w:val="0"/>
          <w:sz w:val="21"/>
          <w:szCs w:val="21"/>
          <w:highlight w:val="none"/>
          <w:u w:val="single" w:color="auto"/>
        </w:rPr>
        <w:t>（项目名称）</w:t>
      </w:r>
      <w:r>
        <w:rPr>
          <w:rFonts w:ascii="宋体" w:hAnsi="宋体" w:eastAsia="宋体" w:cs="宋体"/>
          <w:color w:val="auto"/>
          <w:spacing w:val="0"/>
          <w:position w:val="0"/>
          <w:sz w:val="21"/>
          <w:szCs w:val="21"/>
          <w:highlight w:val="none"/>
        </w:rPr>
        <w:t>采购活动， 提供的货物全部由符合政策要求的中小企业制造。相关企业（含联合体中的中小 企业、签订分包意向协议的中小企业）的具体情况如下：</w:t>
      </w:r>
    </w:p>
    <w:p w14:paraId="458280D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1. </w:t>
      </w:r>
      <w:r>
        <w:rPr>
          <w:rFonts w:ascii="宋体" w:hAnsi="宋体" w:eastAsia="宋体" w:cs="宋体"/>
          <w:color w:val="auto"/>
          <w:spacing w:val="0"/>
          <w:position w:val="0"/>
          <w:sz w:val="21"/>
          <w:szCs w:val="21"/>
          <w:highlight w:val="none"/>
          <w:u w:val="single" w:color="auto"/>
        </w:rPr>
        <w:t xml:space="preserve">（标的名称） </w:t>
      </w:r>
      <w:r>
        <w:rPr>
          <w:rFonts w:ascii="宋体" w:hAnsi="宋体" w:eastAsia="宋体" w:cs="宋体"/>
          <w:color w:val="auto"/>
          <w:spacing w:val="0"/>
          <w:position w:val="0"/>
          <w:sz w:val="21"/>
          <w:szCs w:val="21"/>
          <w:highlight w:val="none"/>
        </w:rPr>
        <w:t>，属于</w:t>
      </w:r>
      <w:r>
        <w:rPr>
          <w:rFonts w:ascii="宋体" w:hAnsi="宋体" w:eastAsia="宋体" w:cs="宋体"/>
          <w:color w:val="auto"/>
          <w:spacing w:val="0"/>
          <w:position w:val="0"/>
          <w:sz w:val="21"/>
          <w:szCs w:val="21"/>
          <w:highlight w:val="none"/>
          <w:u w:val="single" w:color="auto"/>
        </w:rPr>
        <w:t>（采购文件中明确的所属行业）</w:t>
      </w:r>
      <w:r>
        <w:rPr>
          <w:rFonts w:ascii="宋体" w:hAnsi="宋体" w:eastAsia="宋体" w:cs="宋体"/>
          <w:color w:val="auto"/>
          <w:spacing w:val="0"/>
          <w:position w:val="0"/>
          <w:sz w:val="21"/>
          <w:szCs w:val="21"/>
          <w:highlight w:val="none"/>
        </w:rPr>
        <w:t>行业；制造商为</w:t>
      </w:r>
      <w:r>
        <w:rPr>
          <w:rFonts w:ascii="宋体" w:hAnsi="宋体" w:eastAsia="宋体" w:cs="宋体"/>
          <w:color w:val="auto"/>
          <w:spacing w:val="0"/>
          <w:position w:val="0"/>
          <w:sz w:val="21"/>
          <w:szCs w:val="21"/>
          <w:highlight w:val="none"/>
          <w:u w:val="single" w:color="auto"/>
        </w:rPr>
        <w:t>（企</w:t>
      </w:r>
      <w:r>
        <w:rPr>
          <w:rFonts w:ascii="宋体" w:hAnsi="宋体" w:eastAsia="宋体" w:cs="宋体"/>
          <w:color w:val="auto"/>
          <w:spacing w:val="0"/>
          <w:position w:val="0"/>
          <w:sz w:val="21"/>
          <w:szCs w:val="21"/>
          <w:highlight w:val="none"/>
        </w:rPr>
        <w:t xml:space="preserve"> </w:t>
      </w:r>
      <w:r>
        <w:rPr>
          <w:rFonts w:ascii="宋体" w:hAnsi="宋体" w:eastAsia="宋体" w:cs="宋体"/>
          <w:color w:val="auto"/>
          <w:spacing w:val="0"/>
          <w:position w:val="0"/>
          <w:sz w:val="21"/>
          <w:szCs w:val="21"/>
          <w:highlight w:val="none"/>
          <w:u w:val="single" w:color="auto"/>
        </w:rPr>
        <w:t>业名称）</w:t>
      </w:r>
      <w:r>
        <w:rPr>
          <w:rFonts w:ascii="宋体" w:hAnsi="宋体" w:eastAsia="宋体" w:cs="宋体"/>
          <w:color w:val="auto"/>
          <w:spacing w:val="0"/>
          <w:position w:val="0"/>
          <w:sz w:val="21"/>
          <w:szCs w:val="21"/>
          <w:highlight w:val="none"/>
        </w:rPr>
        <w:t>，从业人员</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人，营业收入为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万元，资产总额为</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万元， 属于（中型企业、小型企业、微型企业）；</w:t>
      </w:r>
    </w:p>
    <w:p w14:paraId="3935C5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 xml:space="preserve">2. </w:t>
      </w:r>
      <w:r>
        <w:rPr>
          <w:rFonts w:ascii="宋体" w:hAnsi="宋体" w:eastAsia="宋体" w:cs="宋体"/>
          <w:color w:val="auto"/>
          <w:spacing w:val="0"/>
          <w:position w:val="0"/>
          <w:sz w:val="21"/>
          <w:szCs w:val="21"/>
          <w:highlight w:val="none"/>
          <w:u w:val="single" w:color="auto"/>
        </w:rPr>
        <w:t xml:space="preserve">（标的名称） </w:t>
      </w:r>
      <w:r>
        <w:rPr>
          <w:rFonts w:ascii="宋体" w:hAnsi="宋体" w:eastAsia="宋体" w:cs="宋体"/>
          <w:color w:val="auto"/>
          <w:spacing w:val="0"/>
          <w:position w:val="0"/>
          <w:sz w:val="21"/>
          <w:szCs w:val="21"/>
          <w:highlight w:val="none"/>
        </w:rPr>
        <w:t>，属于</w:t>
      </w:r>
      <w:r>
        <w:rPr>
          <w:rFonts w:ascii="宋体" w:hAnsi="宋体" w:eastAsia="宋体" w:cs="宋体"/>
          <w:color w:val="auto"/>
          <w:spacing w:val="0"/>
          <w:position w:val="0"/>
          <w:sz w:val="21"/>
          <w:szCs w:val="21"/>
          <w:highlight w:val="none"/>
          <w:u w:val="single" w:color="auto"/>
        </w:rPr>
        <w:t>（采购文件中明确的所属行业）</w:t>
      </w:r>
      <w:r>
        <w:rPr>
          <w:rFonts w:ascii="宋体" w:hAnsi="宋体" w:eastAsia="宋体" w:cs="宋体"/>
          <w:color w:val="auto"/>
          <w:spacing w:val="0"/>
          <w:position w:val="0"/>
          <w:sz w:val="21"/>
          <w:szCs w:val="21"/>
          <w:highlight w:val="none"/>
        </w:rPr>
        <w:t>行业；制造商为</w:t>
      </w:r>
      <w:r>
        <w:rPr>
          <w:rFonts w:ascii="宋体" w:hAnsi="宋体" w:eastAsia="宋体" w:cs="宋体"/>
          <w:color w:val="auto"/>
          <w:spacing w:val="0"/>
          <w:position w:val="0"/>
          <w:sz w:val="21"/>
          <w:szCs w:val="21"/>
          <w:highlight w:val="none"/>
          <w:u w:val="single" w:color="auto"/>
        </w:rPr>
        <w:t>（企</w:t>
      </w:r>
      <w:r>
        <w:rPr>
          <w:rFonts w:ascii="宋体" w:hAnsi="宋体" w:eastAsia="宋体" w:cs="宋体"/>
          <w:color w:val="auto"/>
          <w:spacing w:val="0"/>
          <w:position w:val="0"/>
          <w:sz w:val="21"/>
          <w:szCs w:val="21"/>
          <w:highlight w:val="none"/>
        </w:rPr>
        <w:t xml:space="preserve"> </w:t>
      </w:r>
      <w:r>
        <w:rPr>
          <w:rFonts w:ascii="宋体" w:hAnsi="宋体" w:eastAsia="宋体" w:cs="宋体"/>
          <w:color w:val="auto"/>
          <w:spacing w:val="0"/>
          <w:position w:val="0"/>
          <w:sz w:val="21"/>
          <w:szCs w:val="21"/>
          <w:highlight w:val="none"/>
          <w:u w:val="single" w:color="auto"/>
        </w:rPr>
        <w:t>业名称）</w:t>
      </w:r>
      <w:r>
        <w:rPr>
          <w:rFonts w:ascii="宋体" w:hAnsi="宋体" w:eastAsia="宋体" w:cs="宋体"/>
          <w:color w:val="auto"/>
          <w:spacing w:val="0"/>
          <w:position w:val="0"/>
          <w:sz w:val="21"/>
          <w:szCs w:val="21"/>
          <w:highlight w:val="none"/>
        </w:rPr>
        <w:t>，从业人员</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人，营业收入为 </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万元，资产总额为</w:t>
      </w:r>
      <w:r>
        <w:rPr>
          <w:rFonts w:ascii="宋体" w:hAnsi="宋体" w:eastAsia="宋体" w:cs="宋体"/>
          <w:color w:val="auto"/>
          <w:spacing w:val="0"/>
          <w:position w:val="0"/>
          <w:sz w:val="21"/>
          <w:szCs w:val="21"/>
          <w:highlight w:val="none"/>
          <w:u w:val="single" w:color="auto"/>
        </w:rPr>
        <w:t xml:space="preserve">     </w:t>
      </w:r>
      <w:r>
        <w:rPr>
          <w:rFonts w:ascii="宋体" w:hAnsi="宋体" w:eastAsia="宋体" w:cs="宋体"/>
          <w:color w:val="auto"/>
          <w:spacing w:val="0"/>
          <w:position w:val="0"/>
          <w:sz w:val="21"/>
          <w:szCs w:val="21"/>
          <w:highlight w:val="none"/>
        </w:rPr>
        <w:t xml:space="preserve"> 万元， 属于（中型企业、小型企业、微型企业）；</w:t>
      </w:r>
    </w:p>
    <w:p w14:paraId="56AD343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w:t>
      </w:r>
    </w:p>
    <w:p w14:paraId="090F37D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以上企业，不属于大企业的分支机构，不存在控股股东为大企业的情形，也 不存在与大企业的负责人为同一人的情形。</w:t>
      </w:r>
    </w:p>
    <w:p w14:paraId="45197D5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本企业对上述声明内容的真实性负责。如有虚假，将依法承担相应责任。</w:t>
      </w:r>
    </w:p>
    <w:p w14:paraId="70FA5133">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p>
    <w:p w14:paraId="27982FC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单位名称（CA 证书签章）：</w:t>
      </w:r>
    </w:p>
    <w:p w14:paraId="1779074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日期：</w:t>
      </w:r>
    </w:p>
    <w:p w14:paraId="452E30D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b/>
          <w:bCs/>
          <w:color w:val="auto"/>
          <w:spacing w:val="0"/>
          <w:position w:val="0"/>
          <w:sz w:val="21"/>
          <w:szCs w:val="21"/>
          <w:highlight w:val="none"/>
        </w:rPr>
      </w:pPr>
    </w:p>
    <w:p w14:paraId="1E3FAF5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b/>
          <w:bCs/>
          <w:color w:val="auto"/>
          <w:spacing w:val="0"/>
          <w:position w:val="0"/>
          <w:sz w:val="21"/>
          <w:szCs w:val="21"/>
          <w:highlight w:val="none"/>
        </w:rPr>
      </w:pPr>
      <w:r>
        <w:rPr>
          <w:rFonts w:ascii="宋体" w:hAnsi="宋体" w:eastAsia="宋体" w:cs="宋体"/>
          <w:b/>
          <w:bCs/>
          <w:color w:val="auto"/>
          <w:spacing w:val="0"/>
          <w:position w:val="0"/>
          <w:sz w:val="21"/>
          <w:szCs w:val="21"/>
          <w:highlight w:val="none"/>
        </w:rPr>
        <w:t>注：1.从业人员、营业收入、资产总额填报上一年度数据，无上一年度数据的</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新成立企业可不填报。</w:t>
      </w:r>
    </w:p>
    <w:p w14:paraId="4DEC3D6C">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b/>
          <w:bCs/>
          <w:color w:val="auto"/>
          <w:spacing w:val="0"/>
          <w:position w:val="0"/>
          <w:sz w:val="21"/>
          <w:szCs w:val="21"/>
          <w:highlight w:val="none"/>
        </w:rPr>
        <w:t>2.中小企业在政府采购活动过程中，请根据自己的真实情况出具本声明函。</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依法享受中小企业优惠政策的，采购人或采购代理机构在公告成交结果时，同</w:t>
      </w:r>
      <w:r>
        <w:rPr>
          <w:rFonts w:ascii="宋体" w:hAnsi="宋体" w:eastAsia="宋体" w:cs="宋体"/>
          <w:color w:val="auto"/>
          <w:spacing w:val="0"/>
          <w:position w:val="0"/>
          <w:sz w:val="21"/>
          <w:szCs w:val="21"/>
          <w:highlight w:val="none"/>
        </w:rPr>
        <w:t xml:space="preserve">  </w:t>
      </w:r>
      <w:r>
        <w:rPr>
          <w:rFonts w:ascii="宋体" w:hAnsi="宋体" w:eastAsia="宋体" w:cs="宋体"/>
          <w:b/>
          <w:bCs/>
          <w:color w:val="auto"/>
          <w:spacing w:val="0"/>
          <w:position w:val="0"/>
          <w:sz w:val="21"/>
          <w:szCs w:val="21"/>
          <w:highlight w:val="none"/>
        </w:rPr>
        <w:t>时公告其《中小企业声明函》，接受社会监督。</w:t>
      </w:r>
    </w:p>
    <w:p w14:paraId="6B05E009">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31"/>
          <w:szCs w:val="31"/>
          <w:highlight w:val="none"/>
          <w:lang w:val="en-US" w:eastAsia="zh-CN"/>
        </w:rPr>
        <w:t>7</w:t>
      </w:r>
      <w:r>
        <w:rPr>
          <w:rFonts w:ascii="宋体" w:hAnsi="宋体" w:eastAsia="宋体" w:cs="宋体"/>
          <w:b/>
          <w:bCs/>
          <w:color w:val="auto"/>
          <w:spacing w:val="0"/>
          <w:position w:val="0"/>
          <w:sz w:val="31"/>
          <w:szCs w:val="31"/>
          <w:highlight w:val="none"/>
        </w:rPr>
        <w:t>.属于监狱企业的，应当提供由省级以上监狱管理局、戒毒管理局(含新疆生产建设兵团)出具的属于监狱企业的证明文件（如有，请提供）；</w:t>
      </w:r>
    </w:p>
    <w:p w14:paraId="3A14E147">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0A0B596">
      <w:pPr>
        <w:rPr>
          <w:color w:val="auto"/>
          <w:spacing w:val="0"/>
          <w:position w:val="0"/>
          <w:highlight w:val="none"/>
        </w:rPr>
      </w:pPr>
    </w:p>
    <w:p w14:paraId="58C888C3">
      <w:pPr>
        <w:rPr>
          <w:color w:val="auto"/>
          <w:spacing w:val="0"/>
          <w:position w:val="0"/>
          <w:highlight w:val="none"/>
        </w:rPr>
      </w:pPr>
    </w:p>
    <w:p w14:paraId="450A943D">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3D965959">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31"/>
          <w:szCs w:val="31"/>
          <w:highlight w:val="none"/>
          <w:lang w:val="en-US" w:eastAsia="zh-CN"/>
        </w:rPr>
        <w:t>8</w:t>
      </w:r>
      <w:r>
        <w:rPr>
          <w:rFonts w:ascii="宋体" w:hAnsi="宋体" w:eastAsia="宋体" w:cs="宋体"/>
          <w:b/>
          <w:bCs/>
          <w:color w:val="auto"/>
          <w:spacing w:val="0"/>
          <w:position w:val="0"/>
          <w:sz w:val="31"/>
          <w:szCs w:val="31"/>
          <w:highlight w:val="none"/>
        </w:rPr>
        <w:t>.符合条件的残疾人福利性单位在参加政府采购活动时，提供《残疾人福利性单位声明函》，并对声明的真实性负责（如有，请提供）；</w:t>
      </w:r>
    </w:p>
    <w:p w14:paraId="5D8E390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附件：</w:t>
      </w:r>
    </w:p>
    <w:p w14:paraId="4ECD2E3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22" w:firstLineChars="200"/>
        <w:jc w:val="center"/>
        <w:textAlignment w:val="baseline"/>
        <w:rPr>
          <w:rFonts w:ascii="宋体" w:hAnsi="宋体" w:eastAsia="宋体" w:cs="宋体"/>
          <w:color w:val="auto"/>
          <w:spacing w:val="0"/>
          <w:position w:val="0"/>
          <w:sz w:val="31"/>
          <w:szCs w:val="31"/>
          <w:highlight w:val="none"/>
        </w:rPr>
      </w:pPr>
      <w:r>
        <w:rPr>
          <w:rFonts w:ascii="宋体" w:hAnsi="宋体" w:eastAsia="宋体" w:cs="宋体"/>
          <w:b/>
          <w:bCs/>
          <w:color w:val="auto"/>
          <w:spacing w:val="0"/>
          <w:position w:val="0"/>
          <w:sz w:val="31"/>
          <w:szCs w:val="31"/>
          <w:highlight w:val="none"/>
        </w:rPr>
        <w:t>残疾人福利性单位声明函（格式）</w:t>
      </w:r>
    </w:p>
    <w:p w14:paraId="5A50E98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 （由本单位承担工程/提供服务），或者提供其他残疾人福利性 单位制造的货物（不包括使用非残疾人福利性单位注册商标的货物）。</w:t>
      </w:r>
    </w:p>
    <w:p w14:paraId="5C3C27A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本单位对上述声明的真实性负责。如有虚假，将依法承担相 应责任。</w:t>
      </w:r>
    </w:p>
    <w:p w14:paraId="4C2FD2B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color w:val="auto"/>
          <w:spacing w:val="0"/>
          <w:position w:val="0"/>
          <w:sz w:val="21"/>
          <w:szCs w:val="21"/>
          <w:highlight w:val="none"/>
        </w:rPr>
      </w:pPr>
    </w:p>
    <w:p w14:paraId="59F2EF5E">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单位名称（CA 证书签章）：</w:t>
      </w:r>
    </w:p>
    <w:p w14:paraId="271913CB">
      <w:pPr>
        <w:keepNext w:val="0"/>
        <w:keepLines w:val="0"/>
        <w:pageBreakBefore w:val="0"/>
        <w:widowControl w:val="0"/>
        <w:kinsoku w:val="0"/>
        <w:wordWrap/>
        <w:overflowPunct/>
        <w:topLinePunct w:val="0"/>
        <w:autoSpaceDE w:val="0"/>
        <w:autoSpaceDN w:val="0"/>
        <w:bidi w:val="0"/>
        <w:adjustRightInd w:val="0"/>
        <w:snapToGrid w:val="0"/>
        <w:spacing w:line="360" w:lineRule="auto"/>
        <w:ind w:right="0" w:firstLine="420" w:firstLineChars="200"/>
        <w:textAlignment w:val="baseline"/>
        <w:rPr>
          <w:rFonts w:ascii="宋体" w:hAnsi="宋体" w:eastAsia="宋体" w:cs="宋体"/>
          <w:color w:val="auto"/>
          <w:spacing w:val="0"/>
          <w:position w:val="0"/>
          <w:sz w:val="21"/>
          <w:szCs w:val="21"/>
          <w:highlight w:val="none"/>
        </w:rPr>
      </w:pPr>
      <w:r>
        <w:rPr>
          <w:rFonts w:ascii="宋体" w:hAnsi="宋体" w:eastAsia="宋体" w:cs="宋体"/>
          <w:color w:val="auto"/>
          <w:spacing w:val="0"/>
          <w:position w:val="0"/>
          <w:sz w:val="21"/>
          <w:szCs w:val="21"/>
          <w:highlight w:val="none"/>
        </w:rPr>
        <w:t>日  期：</w:t>
      </w:r>
    </w:p>
    <w:p w14:paraId="3DDEAE5C">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21F36ED6">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7F74FAF">
      <w:pPr>
        <w:rPr>
          <w:color w:val="auto"/>
          <w:spacing w:val="0"/>
          <w:position w:val="0"/>
          <w:highlight w:val="none"/>
        </w:rPr>
      </w:pPr>
    </w:p>
    <w:p w14:paraId="78B1E1F6">
      <w:pPr>
        <w:rPr>
          <w:color w:val="auto"/>
          <w:spacing w:val="0"/>
          <w:position w:val="0"/>
          <w:highlight w:val="none"/>
        </w:rPr>
      </w:pPr>
    </w:p>
    <w:p w14:paraId="5FF264E0">
      <w:pPr>
        <w:pStyle w:val="6"/>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highlight w:val="none"/>
        </w:rPr>
      </w:pPr>
    </w:p>
    <w:p w14:paraId="013A1D81">
      <w:pPr>
        <w:keepNext w:val="0"/>
        <w:keepLines w:val="0"/>
        <w:pageBreakBefore w:val="0"/>
        <w:widowControl w:val="0"/>
        <w:kinsoku w:val="0"/>
        <w:wordWrap/>
        <w:overflowPunct/>
        <w:topLinePunct w:val="0"/>
        <w:autoSpaceDE w:val="0"/>
        <w:autoSpaceDN w:val="0"/>
        <w:bidi w:val="0"/>
        <w:adjustRightInd w:val="0"/>
        <w:snapToGrid w:val="0"/>
        <w:spacing w:line="360" w:lineRule="auto"/>
        <w:ind w:right="0"/>
        <w:textAlignment w:val="baseline"/>
        <w:rPr>
          <w:rFonts w:ascii="宋体" w:hAnsi="宋体" w:eastAsia="宋体" w:cs="宋体"/>
          <w:color w:val="auto"/>
          <w:spacing w:val="0"/>
          <w:position w:val="0"/>
          <w:sz w:val="31"/>
          <w:szCs w:val="31"/>
          <w:highlight w:val="none"/>
        </w:rPr>
      </w:pPr>
      <w:r>
        <w:rPr>
          <w:rFonts w:hint="eastAsia" w:ascii="宋体" w:hAnsi="宋体" w:eastAsia="宋体" w:cs="宋体"/>
          <w:b/>
          <w:bCs/>
          <w:color w:val="auto"/>
          <w:spacing w:val="0"/>
          <w:position w:val="0"/>
          <w:sz w:val="31"/>
          <w:szCs w:val="31"/>
          <w:highlight w:val="none"/>
          <w:lang w:val="en-US" w:eastAsia="zh-CN"/>
        </w:rPr>
        <w:t>9</w:t>
      </w:r>
      <w:r>
        <w:rPr>
          <w:rFonts w:ascii="宋体" w:hAnsi="宋体" w:eastAsia="宋体" w:cs="宋体"/>
          <w:b/>
          <w:bCs/>
          <w:color w:val="auto"/>
          <w:spacing w:val="0"/>
          <w:position w:val="0"/>
          <w:sz w:val="31"/>
          <w:szCs w:val="31"/>
          <w:highlight w:val="none"/>
        </w:rPr>
        <w:t>.供应商可结合本项目的评审办法视自身情况自行提交相关证明材料（如有，请提供）；</w:t>
      </w:r>
    </w:p>
    <w:sectPr>
      <w:headerReference r:id="rId24" w:type="default"/>
      <w:footerReference r:id="rId25" w:type="default"/>
      <w:pgSz w:w="11906" w:h="16839"/>
      <w:pgMar w:top="1417" w:right="1417" w:bottom="1417" w:left="1417" w:header="0" w:footer="1407" w:gutter="0"/>
      <w:pgNumType w:fmt="decimal"/>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96B8">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29198">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7ECE2">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FF7ECE2">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A3A17">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10599">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F910599">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7B28F">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EA0F0">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D6EA0F0">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47690">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CE5F3">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8DCE5F3">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7FA6A">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85A5D">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AF85A5D">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FAE27">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AF744">
                          <w:pPr>
                            <w:pStyle w:val="1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203AF744">
                    <w:pPr>
                      <w:pStyle w:val="1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1B888">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E41AA">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64CE41AA">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079C4">
    <w:pPr>
      <w:tabs>
        <w:tab w:val="left" w:pos="4698"/>
      </w:tabs>
      <w:spacing w:line="176" w:lineRule="auto"/>
      <w:ind w:left="42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4DBC9">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4894DBC9">
                    <w:pPr>
                      <w:pStyle w:val="10"/>
                    </w:pPr>
                    <w:r>
                      <w:fldChar w:fldCharType="begin"/>
                    </w:r>
                    <w:r>
                      <w:instrText xml:space="preserve"> PAGE  \* MERGEFORMAT </w:instrText>
                    </w:r>
                    <w:r>
                      <w:fldChar w:fldCharType="separate"/>
                    </w:r>
                    <w:r>
                      <w:t>56</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E436E">
    <w:pPr>
      <w:pStyle w:val="1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23AA9">
                          <w:pPr>
                            <w:pStyle w:val="1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E823AA9">
                    <w:pPr>
                      <w:pStyle w:val="1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5A81E">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C30C9">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159C30C9">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694C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2D9BD">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0B2D9BD">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DA695">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53F8F">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09A53F8F">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0BA10">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54766">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1154766">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0128">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97509">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1397509">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4D04">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743C8">
                          <w:pPr>
                            <w:pStyle w:val="1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242743C8">
                    <w:pPr>
                      <w:pStyle w:val="1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A80E">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BAD63">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1ECBAD63">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B092">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EEC1C">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50DEEC1C">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BC817">
    <w:pPr>
      <w:pStyle w:val="6"/>
      <w:spacing w:line="46"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8787">
    <w:pPr>
      <w:pStyle w:val="6"/>
      <w:spacing w:line="46"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68CE5">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359AE"/>
    <w:multiLevelType w:val="singleLevel"/>
    <w:tmpl w:val="89F359AE"/>
    <w:lvl w:ilvl="0" w:tentative="0">
      <w:start w:val="9"/>
      <w:numFmt w:val="decimal"/>
      <w:suff w:val="space"/>
      <w:lvlText w:val="%1."/>
      <w:lvlJc w:val="left"/>
    </w:lvl>
  </w:abstractNum>
  <w:abstractNum w:abstractNumId="1">
    <w:nsid w:val="EB56816C"/>
    <w:multiLevelType w:val="singleLevel"/>
    <w:tmpl w:val="EB56816C"/>
    <w:lvl w:ilvl="0" w:tentative="0">
      <w:start w:val="1"/>
      <w:numFmt w:val="decimal"/>
      <w:lvlText w:val="%1."/>
      <w:lvlJc w:val="left"/>
      <w:pPr>
        <w:tabs>
          <w:tab w:val="left" w:pos="312"/>
        </w:tabs>
      </w:pPr>
    </w:lvl>
  </w:abstractNum>
  <w:abstractNum w:abstractNumId="2">
    <w:nsid w:val="F4F321F5"/>
    <w:multiLevelType w:val="singleLevel"/>
    <w:tmpl w:val="F4F321F5"/>
    <w:lvl w:ilvl="0" w:tentative="0">
      <w:start w:val="1"/>
      <w:numFmt w:val="chineseCounting"/>
      <w:suff w:val="nothing"/>
      <w:lvlText w:val="%1、"/>
      <w:lvlJc w:val="left"/>
      <w:pPr>
        <w:ind w:left="105" w:leftChars="0" w:firstLine="0" w:firstLineChars="0"/>
      </w:pPr>
      <w:rPr>
        <w:rFonts w:hint="eastAsia"/>
      </w:rPr>
    </w:lvl>
  </w:abstractNum>
  <w:abstractNum w:abstractNumId="3">
    <w:nsid w:val="2BDE1323"/>
    <w:multiLevelType w:val="singleLevel"/>
    <w:tmpl w:val="2BDE1323"/>
    <w:lvl w:ilvl="0" w:tentative="0">
      <w:start w:val="4"/>
      <w:numFmt w:val="chineseCounting"/>
      <w:suff w:val="space"/>
      <w:lvlText w:val="第%1章"/>
      <w:lvlJc w:val="left"/>
      <w:rPr>
        <w:rFonts w:hint="eastAsia"/>
      </w:rPr>
    </w:lvl>
  </w:abstractNum>
  <w:abstractNum w:abstractNumId="4">
    <w:nsid w:val="3893F45E"/>
    <w:multiLevelType w:val="singleLevel"/>
    <w:tmpl w:val="3893F45E"/>
    <w:lvl w:ilvl="0" w:tentative="0">
      <w:start w:val="1"/>
      <w:numFmt w:val="decimal"/>
      <w:suff w:val="nothing"/>
      <w:lvlText w:val="%1、"/>
      <w:lvlJc w:val="left"/>
    </w:lvl>
  </w:abstractNum>
  <w:abstractNum w:abstractNumId="5">
    <w:nsid w:val="417F359F"/>
    <w:multiLevelType w:val="singleLevel"/>
    <w:tmpl w:val="417F359F"/>
    <w:lvl w:ilvl="0" w:tentative="0">
      <w:start w:val="4"/>
      <w:numFmt w:val="decimal"/>
      <w:lvlText w:val="%1."/>
      <w:lvlJc w:val="left"/>
      <w:pPr>
        <w:tabs>
          <w:tab w:val="left" w:pos="312"/>
        </w:tabs>
      </w:pPr>
    </w:lvl>
  </w:abstractNum>
  <w:abstractNum w:abstractNumId="6">
    <w:nsid w:val="6FD20AA1"/>
    <w:multiLevelType w:val="singleLevel"/>
    <w:tmpl w:val="6FD20AA1"/>
    <w:lvl w:ilvl="0" w:tentative="0">
      <w:start w:val="1"/>
      <w:numFmt w:val="chineseCounting"/>
      <w:suff w:val="nothing"/>
      <w:lvlText w:val="%1、"/>
      <w:lvlJc w:val="left"/>
      <w:rPr>
        <w:rFonts w:hint="eastAsia"/>
      </w:rPr>
    </w:lvl>
  </w:abstractNum>
  <w:num w:numId="1">
    <w:abstractNumId w:val="0"/>
  </w:num>
  <w:num w:numId="2">
    <w:abstractNumId w:val="2"/>
  </w:num>
  <w:num w:numId="3">
    <w:abstractNumId w:val="6"/>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B6FA9"/>
    <w:rsid w:val="047A5F30"/>
    <w:rsid w:val="05A216B9"/>
    <w:rsid w:val="06693418"/>
    <w:rsid w:val="0701711F"/>
    <w:rsid w:val="0970184A"/>
    <w:rsid w:val="0C6D6F6E"/>
    <w:rsid w:val="0C95740C"/>
    <w:rsid w:val="120D4228"/>
    <w:rsid w:val="1C4B0516"/>
    <w:rsid w:val="1E741DD1"/>
    <w:rsid w:val="20F3114C"/>
    <w:rsid w:val="23D1070E"/>
    <w:rsid w:val="23E546F9"/>
    <w:rsid w:val="257D2ECD"/>
    <w:rsid w:val="2B0D781D"/>
    <w:rsid w:val="2CFE05A2"/>
    <w:rsid w:val="302B1693"/>
    <w:rsid w:val="313C59EB"/>
    <w:rsid w:val="33274D42"/>
    <w:rsid w:val="34721392"/>
    <w:rsid w:val="34EF4AFD"/>
    <w:rsid w:val="36220D96"/>
    <w:rsid w:val="3E7A2248"/>
    <w:rsid w:val="4201680A"/>
    <w:rsid w:val="43B52F07"/>
    <w:rsid w:val="44A0122D"/>
    <w:rsid w:val="45551DD1"/>
    <w:rsid w:val="48351FF1"/>
    <w:rsid w:val="4E3605C9"/>
    <w:rsid w:val="582B2191"/>
    <w:rsid w:val="5865151F"/>
    <w:rsid w:val="5C546007"/>
    <w:rsid w:val="5F762117"/>
    <w:rsid w:val="6323130F"/>
    <w:rsid w:val="64BE613B"/>
    <w:rsid w:val="6521263D"/>
    <w:rsid w:val="6C3109FE"/>
    <w:rsid w:val="6DA560EA"/>
    <w:rsid w:val="722E70F2"/>
    <w:rsid w:val="72CA5CFE"/>
    <w:rsid w:val="775826E1"/>
    <w:rsid w:val="78B95140"/>
    <w:rsid w:val="78BC692F"/>
    <w:rsid w:val="79D819B0"/>
    <w:rsid w:val="7DAC40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keepNext/>
      <w:keepLines/>
      <w:spacing w:before="260" w:beforeAutospacing="0" w:after="260" w:afterAutospacing="0" w:line="240" w:lineRule="auto"/>
      <w:outlineLvl w:val="2"/>
    </w:pPr>
    <w:rPr>
      <w:b/>
      <w:sz w:val="32"/>
      <w:szCs w:val="20"/>
    </w:rPr>
  </w:style>
  <w:style w:type="paragraph" w:styleId="4">
    <w:name w:val="heading 4"/>
    <w:basedOn w:val="1"/>
    <w:next w:val="1"/>
    <w:qFormat/>
    <w:uiPriority w:val="0"/>
    <w:pPr>
      <w:keepNext/>
      <w:spacing w:before="240" w:after="60"/>
      <w:outlineLvl w:val="3"/>
    </w:pPr>
    <w:rPr>
      <w:b/>
      <w:bCs/>
      <w:sz w:val="28"/>
      <w:szCs w:val="28"/>
    </w:rPr>
  </w:style>
  <w:style w:type="character" w:default="1" w:styleId="16">
    <w:name w:val="Default Paragraph Font"/>
    <w:semiHidden/>
    <w:qFormat/>
    <w:uiPriority w:val="0"/>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spacing w:after="120"/>
      <w:ind w:left="420" w:leftChars="200"/>
    </w:pPr>
  </w:style>
  <w:style w:type="paragraph" w:styleId="8">
    <w:name w:val="Block Text"/>
    <w:basedOn w:val="1"/>
    <w:qFormat/>
    <w:uiPriority w:val="99"/>
    <w:pPr>
      <w:adjustRightInd w:val="0"/>
      <w:ind w:left="420" w:right="33"/>
      <w:jc w:val="left"/>
      <w:textAlignment w:val="baseline"/>
    </w:pPr>
    <w:rPr>
      <w:kern w:val="0"/>
      <w:sz w:val="24"/>
      <w:szCs w:val="20"/>
    </w:rPr>
  </w:style>
  <w:style w:type="paragraph" w:styleId="9">
    <w:name w:val="Plain Text"/>
    <w:basedOn w:val="1"/>
    <w:next w:val="1"/>
    <w:qFormat/>
    <w:uiPriority w:val="99"/>
    <w:rPr>
      <w:rFonts w:ascii="宋体" w:hAnsi="Courier New"/>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Normal (Web)"/>
    <w:basedOn w:val="1"/>
    <w:qFormat/>
    <w:uiPriority w:val="99"/>
    <w:pPr>
      <w:widowControl/>
      <w:spacing w:before="100" w:beforeAutospacing="1" w:after="100" w:afterAutospacing="1"/>
      <w:jc w:val="left"/>
    </w:pPr>
    <w:rPr>
      <w:rFonts w:ascii="宋体" w:hAnsi="宋体"/>
      <w:sz w:val="24"/>
      <w:szCs w:val="20"/>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bCs/>
    </w:rPr>
  </w:style>
  <w:style w:type="character" w:styleId="18">
    <w:name w:val="FollowedHyperlink"/>
    <w:basedOn w:val="16"/>
    <w:uiPriority w:val="0"/>
    <w:rPr>
      <w:color w:val="800080"/>
      <w:u w:val="none"/>
    </w:rPr>
  </w:style>
  <w:style w:type="character" w:styleId="19">
    <w:name w:val="Emphasis"/>
    <w:basedOn w:val="16"/>
    <w:qFormat/>
    <w:uiPriority w:val="0"/>
    <w:rPr>
      <w:b/>
      <w:bCs/>
    </w:rPr>
  </w:style>
  <w:style w:type="character" w:styleId="20">
    <w:name w:val="HTML Definition"/>
    <w:basedOn w:val="16"/>
    <w:uiPriority w:val="0"/>
  </w:style>
  <w:style w:type="character" w:styleId="21">
    <w:name w:val="HTML Typewriter"/>
    <w:basedOn w:val="16"/>
    <w:qFormat/>
    <w:uiPriority w:val="0"/>
    <w:rPr>
      <w:rFonts w:hint="default" w:ascii="monospace" w:hAnsi="monospace" w:eastAsia="monospace" w:cs="monospace"/>
      <w:sz w:val="20"/>
    </w:rPr>
  </w:style>
  <w:style w:type="character" w:styleId="22">
    <w:name w:val="HTML Acronym"/>
    <w:basedOn w:val="16"/>
    <w:uiPriority w:val="0"/>
  </w:style>
  <w:style w:type="character" w:styleId="23">
    <w:name w:val="HTML Variable"/>
    <w:basedOn w:val="16"/>
    <w:uiPriority w:val="0"/>
  </w:style>
  <w:style w:type="character" w:styleId="24">
    <w:name w:val="Hyperlink"/>
    <w:basedOn w:val="16"/>
    <w:uiPriority w:val="0"/>
    <w:rPr>
      <w:color w:val="0000FF"/>
      <w:u w:val="none"/>
    </w:rPr>
  </w:style>
  <w:style w:type="character" w:styleId="25">
    <w:name w:val="HTML Code"/>
    <w:basedOn w:val="16"/>
    <w:uiPriority w:val="0"/>
    <w:rPr>
      <w:rFonts w:hint="default" w:ascii="monospace" w:hAnsi="monospace" w:eastAsia="monospace" w:cs="monospace"/>
      <w:sz w:val="20"/>
    </w:rPr>
  </w:style>
  <w:style w:type="character" w:styleId="26">
    <w:name w:val="HTML Cite"/>
    <w:basedOn w:val="16"/>
    <w:uiPriority w:val="0"/>
  </w:style>
  <w:style w:type="character" w:styleId="27">
    <w:name w:val="HTML Keyboard"/>
    <w:basedOn w:val="16"/>
    <w:qFormat/>
    <w:uiPriority w:val="0"/>
    <w:rPr>
      <w:rFonts w:hint="default" w:ascii="monospace" w:hAnsi="monospace" w:eastAsia="monospace" w:cs="monospace"/>
      <w:sz w:val="20"/>
    </w:rPr>
  </w:style>
  <w:style w:type="character" w:styleId="28">
    <w:name w:val="HTML Sample"/>
    <w:basedOn w:val="16"/>
    <w:uiPriority w:val="0"/>
    <w:rPr>
      <w:rFonts w:ascii="monospace" w:hAnsi="monospace" w:eastAsia="monospace" w:cs="monospace"/>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rPr>
      <w:rFonts w:ascii="宋体" w:hAnsi="宋体" w:eastAsia="宋体" w:cs="宋体"/>
      <w:sz w:val="20"/>
      <w:szCs w:val="20"/>
      <w:lang w:val="en-US" w:eastAsia="en-US" w:bidi="ar-SA"/>
    </w:rPr>
  </w:style>
  <w:style w:type="paragraph" w:customStyle="1" w:styleId="3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3">
    <w:name w:val="hover1"/>
    <w:basedOn w:val="16"/>
    <w:qFormat/>
    <w:uiPriority w:val="0"/>
    <w:rPr>
      <w:color w:val="2590EB"/>
    </w:rPr>
  </w:style>
  <w:style w:type="character" w:customStyle="1" w:styleId="34">
    <w:name w:val="hover2"/>
    <w:basedOn w:val="16"/>
    <w:uiPriority w:val="0"/>
    <w:rPr>
      <w:color w:val="2590EB"/>
    </w:rPr>
  </w:style>
  <w:style w:type="character" w:customStyle="1" w:styleId="35">
    <w:name w:val="hover3"/>
    <w:basedOn w:val="16"/>
    <w:uiPriority w:val="0"/>
  </w:style>
  <w:style w:type="character" w:customStyle="1" w:styleId="36">
    <w:name w:val="mini-outputtext1"/>
    <w:basedOn w:val="16"/>
    <w:uiPriority w:val="0"/>
  </w:style>
  <w:style w:type="character" w:customStyle="1" w:styleId="37">
    <w:name w:val="hover"/>
    <w:basedOn w:val="16"/>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8.xml"/><Relationship Id="rId24" Type="http://schemas.openxmlformats.org/officeDocument/2006/relationships/header" Target="header3.xml"/><Relationship Id="rId23" Type="http://schemas.openxmlformats.org/officeDocument/2006/relationships/footer" Target="footer17.xml"/><Relationship Id="rId22" Type="http://schemas.openxmlformats.org/officeDocument/2006/relationships/header" Target="header2.xml"/><Relationship Id="rId21" Type="http://schemas.openxmlformats.org/officeDocument/2006/relationships/footer" Target="footer16.xml"/><Relationship Id="rId20"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70</Pages>
  <Words>11211</Words>
  <Characters>12085</Characters>
  <TotalTime>61</TotalTime>
  <ScaleCrop>false</ScaleCrop>
  <LinksUpToDate>false</LinksUpToDate>
  <CharactersWithSpaces>12475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2025-04-10T10:45:00Z</dcterms:created>
  <dc:creator>Administrator</dc:creator>
  <cp:lastModifiedBy>WPS_1733708243</cp:lastModifiedBy>
  <cp:lastPrinted>2026-08-03T03:24:00Z</cp:lastPrinted>
  <dcterms:modified xsi:type="dcterms:W3CDTF">2026-08-03T07:01:41Z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2025-06-20T09:44:10Z</vt:filetime>
  </property>
  <property fmtid="{D5CDD505-2E9C-101B-9397-08002B2CF9AE}" pid="4" name="KSOTemplateDocerSaveRecord">
    <vt:lpwstr>eyJoZGlkIjoiODk1NTQwMmYzZmU0ODkwMjdjOTFjNmEyMjc0NTljM2YiLCJ1c2VySWQiOiIxNjY0MjE2ODI0In0=</vt:lpwstr>
  </property>
  <property fmtid="{D5CDD505-2E9C-101B-9397-08002B2CF9AE}" pid="5" name="KSOProductBuildVer">
    <vt:lpwstr>2052-12.1.0.28043</vt:lpwstr>
  </property>
  <property fmtid="{D5CDD505-2E9C-101B-9397-08002B2CF9AE}" pid="6" name="ICV">
    <vt:lpwstr>6BB1066301C7478AAB8AD7B5D78681E4_13</vt:lpwstr>
  </property>
</Properties>
</file>